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9364FE">
      <w:pPr>
        <w:rPr>
          <w:rFonts w:cs="Arial"/>
          <w:szCs w:val="24"/>
        </w:rPr>
      </w:pPr>
      <w:r>
        <w:rPr>
          <w:rFonts w:ascii="Gill Sans MT" w:hAnsi="Gill Sans MT"/>
          <w:b/>
          <w:sz w:val="56"/>
          <w:szCs w:val="56"/>
        </w:rPr>
        <w:t>Rapporto</w:t>
      </w:r>
      <w:bookmarkStart w:id="0" w:name="_GoBack"/>
      <w:bookmarkEnd w:id="0"/>
    </w:p>
    <w:p w:rsidR="007975CB" w:rsidRDefault="007975CB">
      <w:pPr>
        <w:rPr>
          <w:rFonts w:cs="Arial"/>
          <w:szCs w:val="24"/>
        </w:rPr>
      </w:pPr>
    </w:p>
    <w:p w:rsidR="00076E70" w:rsidRDefault="00076E70">
      <w:pPr>
        <w:rPr>
          <w:rFonts w:cs="Arial"/>
          <w:szCs w:val="24"/>
        </w:rPr>
      </w:pPr>
    </w:p>
    <w:p w:rsidR="00D92082" w:rsidRDefault="00D92082" w:rsidP="00E87277">
      <w:pPr>
        <w:tabs>
          <w:tab w:val="left" w:pos="567"/>
          <w:tab w:val="left" w:pos="2098"/>
          <w:tab w:val="left" w:pos="4933"/>
        </w:tabs>
        <w:jc w:val="right"/>
      </w:pPr>
      <w:r>
        <w:rPr>
          <w:b/>
          <w:sz w:val="32"/>
        </w:rPr>
        <w:t>7233</w:t>
      </w:r>
      <w:r w:rsidR="00E87277">
        <w:rPr>
          <w:b/>
          <w:sz w:val="32"/>
        </w:rPr>
        <w:t xml:space="preserve"> R</w:t>
      </w:r>
      <w:r>
        <w:rPr>
          <w:sz w:val="28"/>
        </w:rPr>
        <w:tab/>
        <w:t>1</w:t>
      </w:r>
      <w:r w:rsidR="00601BC1">
        <w:rPr>
          <w:sz w:val="28"/>
        </w:rPr>
        <w:t>0 gennaio 2017</w:t>
      </w:r>
      <w:r>
        <w:rPr>
          <w:sz w:val="28"/>
        </w:rPr>
        <w:tab/>
      </w:r>
      <w:r w:rsidRPr="00680A58">
        <w:rPr>
          <w:rFonts w:eastAsia="Calibri"/>
          <w:sz w:val="28"/>
        </w:rPr>
        <w:t>EDUCAZIONE, CULTURA E SPORT</w:t>
      </w:r>
    </w:p>
    <w:p w:rsidR="008B4137" w:rsidRDefault="008B4137">
      <w:pPr>
        <w:rPr>
          <w:rFonts w:cs="Arial"/>
          <w:szCs w:val="24"/>
        </w:rPr>
      </w:pPr>
    </w:p>
    <w:p w:rsidR="008B4137" w:rsidRDefault="008B4137">
      <w:pPr>
        <w:rPr>
          <w:rFonts w:cs="Arial"/>
          <w:szCs w:val="24"/>
        </w:rPr>
      </w:pPr>
    </w:p>
    <w:p w:rsidR="00D377B5" w:rsidRDefault="00D377B5">
      <w:pPr>
        <w:rPr>
          <w:rFonts w:cs="Arial"/>
          <w:szCs w:val="24"/>
        </w:rPr>
      </w:pPr>
    </w:p>
    <w:p w:rsidR="00D92082" w:rsidRPr="008B4137" w:rsidRDefault="00D92082" w:rsidP="00D92082">
      <w:pPr>
        <w:rPr>
          <w:rFonts w:cs="Arial"/>
          <w:b/>
          <w:sz w:val="28"/>
          <w:szCs w:val="28"/>
        </w:rPr>
      </w:pPr>
      <w:r w:rsidRPr="008B4137">
        <w:rPr>
          <w:rFonts w:cs="Arial"/>
          <w:b/>
          <w:sz w:val="28"/>
          <w:szCs w:val="28"/>
        </w:rPr>
        <w:t>della Commissione della gestione e delle finanze</w:t>
      </w:r>
    </w:p>
    <w:p w:rsidR="005340D2" w:rsidRPr="00E81050" w:rsidRDefault="00D92082" w:rsidP="00D92082">
      <w:pPr>
        <w:rPr>
          <w:b/>
          <w:sz w:val="28"/>
          <w:szCs w:val="28"/>
        </w:rPr>
      </w:pPr>
      <w:r w:rsidRPr="008B4137">
        <w:rPr>
          <w:rFonts w:cs="Arial"/>
          <w:b/>
          <w:sz w:val="28"/>
          <w:szCs w:val="28"/>
        </w:rPr>
        <w:t>sul messaggio</w:t>
      </w:r>
      <w:r>
        <w:rPr>
          <w:rFonts w:cs="Arial"/>
          <w:b/>
          <w:sz w:val="28"/>
          <w:szCs w:val="28"/>
        </w:rPr>
        <w:t xml:space="preserve"> 12 ottobre 2016 concernente la r</w:t>
      </w:r>
      <w:r w:rsidR="005340D2">
        <w:rPr>
          <w:b/>
          <w:color w:val="000000"/>
          <w:sz w:val="28"/>
          <w:szCs w:val="28"/>
        </w:rPr>
        <w:t xml:space="preserve">ichiesta di un contributo </w:t>
      </w:r>
      <w:r w:rsidR="005340D2" w:rsidRPr="00362F8D">
        <w:rPr>
          <w:b/>
          <w:color w:val="000000"/>
          <w:sz w:val="28"/>
          <w:szCs w:val="28"/>
        </w:rPr>
        <w:t xml:space="preserve">di </w:t>
      </w:r>
      <w:r w:rsidR="005340D2">
        <w:rPr>
          <w:b/>
          <w:color w:val="000000"/>
          <w:sz w:val="28"/>
          <w:szCs w:val="28"/>
        </w:rPr>
        <w:t xml:space="preserve">10 milioni di franchi per il finanziamento del nuovo </w:t>
      </w:r>
      <w:r w:rsidR="005340D2" w:rsidRPr="00F17294">
        <w:rPr>
          <w:b/>
          <w:sz w:val="28"/>
          <w:szCs w:val="28"/>
        </w:rPr>
        <w:t xml:space="preserve">immobile a Bellinzona destinato ad accogliere </w:t>
      </w:r>
      <w:r w:rsidR="005340D2">
        <w:rPr>
          <w:b/>
          <w:sz w:val="28"/>
          <w:szCs w:val="28"/>
        </w:rPr>
        <w:t>l’Istituto di ricerca in biomedicina e</w:t>
      </w:r>
      <w:r w:rsidR="005340D2" w:rsidRPr="00F17294">
        <w:rPr>
          <w:b/>
          <w:sz w:val="28"/>
          <w:szCs w:val="28"/>
        </w:rPr>
        <w:t xml:space="preserve"> </w:t>
      </w:r>
      <w:r w:rsidR="005340D2">
        <w:rPr>
          <w:b/>
          <w:sz w:val="28"/>
          <w:szCs w:val="28"/>
        </w:rPr>
        <w:t>l’Istituto oncologico di ricerca</w:t>
      </w:r>
    </w:p>
    <w:p w:rsidR="005340D2" w:rsidRPr="006F65EA" w:rsidRDefault="005340D2" w:rsidP="00D92082">
      <w:pPr>
        <w:rPr>
          <w:sz w:val="20"/>
          <w:szCs w:val="20"/>
        </w:rPr>
      </w:pPr>
    </w:p>
    <w:p w:rsidR="005340D2" w:rsidRPr="006F65EA" w:rsidRDefault="005340D2" w:rsidP="00D92082">
      <w:pPr>
        <w:rPr>
          <w:sz w:val="20"/>
          <w:szCs w:val="20"/>
        </w:rPr>
      </w:pPr>
    </w:p>
    <w:p w:rsidR="00D92082" w:rsidRPr="006F65EA" w:rsidRDefault="00D92082" w:rsidP="00D92082">
      <w:pPr>
        <w:rPr>
          <w:sz w:val="20"/>
          <w:szCs w:val="20"/>
        </w:rPr>
      </w:pPr>
    </w:p>
    <w:p w:rsidR="005340D2" w:rsidRDefault="005340D2" w:rsidP="005340D2">
      <w:pPr>
        <w:tabs>
          <w:tab w:val="left" w:pos="567"/>
        </w:tabs>
      </w:pPr>
      <w:r>
        <w:t xml:space="preserve">Il messaggio n. 7233 del Consiglio di Stato relativo alla richiesta di un contributo cantonale di 10 mio per la realizzazione di una nuova sede in cui ospitare </w:t>
      </w:r>
      <w:r w:rsidRPr="00D20970">
        <w:t xml:space="preserve">l’Istituto di ricerca in biomedicina </w:t>
      </w:r>
      <w:r>
        <w:t xml:space="preserve">(IRB) </w:t>
      </w:r>
      <w:r w:rsidRPr="00D20970">
        <w:t>e l’Istituto oncologico di ricerca</w:t>
      </w:r>
      <w:r>
        <w:t xml:space="preserve"> (IOR) illustra in modo esaustivo i termini del progetto.</w:t>
      </w:r>
    </w:p>
    <w:p w:rsidR="005340D2" w:rsidRDefault="005340D2" w:rsidP="005340D2">
      <w:pPr>
        <w:tabs>
          <w:tab w:val="left" w:pos="567"/>
        </w:tabs>
      </w:pPr>
      <w:r>
        <w:t xml:space="preserve">Nel presente rapporto si intende evidenziare alcuni aspetti centrali della questione. </w:t>
      </w:r>
    </w:p>
    <w:p w:rsidR="005340D2" w:rsidRPr="006F65EA" w:rsidRDefault="005340D2" w:rsidP="005340D2">
      <w:pPr>
        <w:tabs>
          <w:tab w:val="left" w:pos="567"/>
        </w:tabs>
        <w:rPr>
          <w:sz w:val="20"/>
          <w:szCs w:val="20"/>
        </w:rPr>
      </w:pPr>
    </w:p>
    <w:p w:rsidR="00D92082" w:rsidRPr="006F65EA" w:rsidRDefault="00D92082" w:rsidP="005340D2">
      <w:pPr>
        <w:tabs>
          <w:tab w:val="left" w:pos="567"/>
        </w:tabs>
        <w:rPr>
          <w:sz w:val="20"/>
          <w:szCs w:val="20"/>
        </w:rPr>
      </w:pPr>
    </w:p>
    <w:p w:rsidR="006F65EA" w:rsidRPr="006F65EA" w:rsidRDefault="006F65EA" w:rsidP="005340D2">
      <w:pPr>
        <w:tabs>
          <w:tab w:val="left" w:pos="567"/>
        </w:tabs>
        <w:rPr>
          <w:sz w:val="20"/>
          <w:szCs w:val="20"/>
        </w:rPr>
      </w:pPr>
    </w:p>
    <w:p w:rsidR="005340D2" w:rsidRDefault="005340D2" w:rsidP="006F65EA">
      <w:pPr>
        <w:pStyle w:val="Titolo1"/>
      </w:pPr>
      <w:r>
        <w:t>La p</w:t>
      </w:r>
      <w:r w:rsidRPr="00940CC0">
        <w:t>olitica universitaria in Ticino</w:t>
      </w:r>
      <w:r>
        <w:t xml:space="preserve"> </w:t>
      </w:r>
    </w:p>
    <w:p w:rsidR="005340D2" w:rsidRPr="00940CC0" w:rsidRDefault="005340D2" w:rsidP="00D92082">
      <w:pPr>
        <w:spacing w:before="120"/>
      </w:pPr>
      <w:r>
        <w:t>L’offerta universitaria in Ticino si è arricchita con la nuova facoltà di biomedicina grazie alla d</w:t>
      </w:r>
      <w:r w:rsidRPr="00D20970">
        <w:t>ecisione del GC del 24 novembre 2014</w:t>
      </w:r>
      <w:r>
        <w:t>. L’art 13 della Legge cantonale sull’università è stato completato al cpv</w:t>
      </w:r>
      <w:r w:rsidR="00601BC1">
        <w:t>.</w:t>
      </w:r>
      <w:r>
        <w:t xml:space="preserve"> 1 con la </w:t>
      </w:r>
      <w:proofErr w:type="spellStart"/>
      <w:r>
        <w:t>lett</w:t>
      </w:r>
      <w:proofErr w:type="spellEnd"/>
      <w:r w:rsidR="00601BC1">
        <w:t>.</w:t>
      </w:r>
      <w:r>
        <w:t xml:space="preserve"> </w:t>
      </w:r>
      <w:r w:rsidRPr="00940CC0">
        <w:rPr>
          <w:i/>
        </w:rPr>
        <w:t>e) dalla Facoltà di scienze biomediche e dall’affiliato Istituto di ricerca in biomedicina.</w:t>
      </w:r>
    </w:p>
    <w:p w:rsidR="005340D2" w:rsidRDefault="005340D2" w:rsidP="00D92082">
      <w:r>
        <w:t xml:space="preserve">È importante sottolineare il ruolo centrale costituito dalla </w:t>
      </w:r>
      <w:r w:rsidRPr="00D20970">
        <w:t xml:space="preserve">ricerca </w:t>
      </w:r>
      <w:r>
        <w:t xml:space="preserve">nella politica universitaria svizzera quale elemento imprescindibile di ogni istituto accademico. In effetti la centralità della ricerca nella politica universitaria svizzera è confermata dalla Legge </w:t>
      </w:r>
      <w:r w:rsidRPr="00E13F32">
        <w:t>federale sulla promozione e sul coordinamento del settore universitario svizzero (LPSU) del 30 settembre 2011</w:t>
      </w:r>
      <w:r>
        <w:t xml:space="preserve"> in cui è ribadito come la ricerca sia intesa come fattore irrinunciabile per la promozione dell’innovazione.</w:t>
      </w:r>
    </w:p>
    <w:p w:rsidR="005340D2" w:rsidRDefault="005340D2" w:rsidP="00D92082">
      <w:r>
        <w:t xml:space="preserve">Nello specifico la nuova facoltà di scienze biomediche si caratterizza per un profilo molto marcato nella ricerca in campo medico grazie all’esistenza di due Istituti, IRB e IOR, che hanno saputo affermarsi grazie a un lavoro di altissima qualità. </w:t>
      </w:r>
    </w:p>
    <w:p w:rsidR="005340D2" w:rsidRPr="006F65EA" w:rsidRDefault="005340D2" w:rsidP="00D92082">
      <w:pPr>
        <w:rPr>
          <w:sz w:val="20"/>
          <w:szCs w:val="20"/>
        </w:rPr>
      </w:pPr>
    </w:p>
    <w:p w:rsidR="006F65EA" w:rsidRPr="006F65EA" w:rsidRDefault="006F65EA" w:rsidP="00D92082">
      <w:pPr>
        <w:rPr>
          <w:sz w:val="20"/>
          <w:szCs w:val="20"/>
        </w:rPr>
      </w:pPr>
    </w:p>
    <w:p w:rsidR="005340D2" w:rsidRPr="006F65EA" w:rsidRDefault="005340D2" w:rsidP="00D92082">
      <w:pPr>
        <w:rPr>
          <w:sz w:val="20"/>
          <w:szCs w:val="20"/>
        </w:rPr>
      </w:pPr>
    </w:p>
    <w:p w:rsidR="005340D2" w:rsidRPr="0029356A" w:rsidRDefault="005340D2" w:rsidP="006F65EA">
      <w:pPr>
        <w:pStyle w:val="Titolo1"/>
      </w:pPr>
      <w:r>
        <w:t xml:space="preserve">La ricerca </w:t>
      </w:r>
    </w:p>
    <w:p w:rsidR="005340D2" w:rsidRDefault="005340D2" w:rsidP="006F65EA">
      <w:r>
        <w:t>La conferma della crescita dei due istituti IRB e IOR è ben visibile dai dati presentati nel messaggio da cui riprendiamo i dati principali.</w:t>
      </w:r>
    </w:p>
    <w:p w:rsidR="005340D2" w:rsidRPr="006F65EA" w:rsidRDefault="005340D2" w:rsidP="006F65EA">
      <w:pPr>
        <w:rPr>
          <w:sz w:val="20"/>
          <w:szCs w:val="20"/>
        </w:rPr>
      </w:pPr>
    </w:p>
    <w:p w:rsidR="006F65EA" w:rsidRPr="006F65EA" w:rsidRDefault="006F65EA" w:rsidP="006F65EA">
      <w:pPr>
        <w:rPr>
          <w:sz w:val="20"/>
          <w:szCs w:val="20"/>
        </w:rPr>
      </w:pPr>
    </w:p>
    <w:p w:rsidR="005340D2" w:rsidRPr="00521858" w:rsidRDefault="006F65EA" w:rsidP="006F65EA">
      <w:pPr>
        <w:pStyle w:val="Titolo2"/>
      </w:pPr>
      <w:r>
        <w:t>2.1</w:t>
      </w:r>
      <w:r w:rsidR="005340D2">
        <w:tab/>
      </w:r>
      <w:r w:rsidR="005340D2" w:rsidRPr="00521858">
        <w:t>IRB</w:t>
      </w:r>
    </w:p>
    <w:p w:rsidR="005340D2" w:rsidRPr="00521858" w:rsidRDefault="005340D2" w:rsidP="00D92082">
      <w:r w:rsidRPr="00521858">
        <w:t xml:space="preserve">La Fondazione per l’Istituto di ricerca in biomedicina, con sede a Bellinzona, è stata istituita nel mese di giugno 1997 da un gruppo di persone attive nel campo medico, della scienza, dell’economia e della politica. </w:t>
      </w:r>
    </w:p>
    <w:p w:rsidR="005340D2" w:rsidRPr="00521858" w:rsidRDefault="005340D2" w:rsidP="00D92082">
      <w:pPr>
        <w:spacing w:before="120"/>
        <w:rPr>
          <w:rFonts w:cs="Arial"/>
        </w:rPr>
      </w:pPr>
      <w:r w:rsidRPr="00521858">
        <w:rPr>
          <w:rFonts w:cs="Arial"/>
        </w:rPr>
        <w:lastRenderedPageBreak/>
        <w:t xml:space="preserve">L’istituto si occupa di temi legati all’immunologia, alla </w:t>
      </w:r>
      <w:proofErr w:type="spellStart"/>
      <w:r w:rsidRPr="00521858">
        <w:rPr>
          <w:rFonts w:cs="Arial"/>
        </w:rPr>
        <w:t>vaccinologia</w:t>
      </w:r>
      <w:proofErr w:type="spellEnd"/>
      <w:r w:rsidRPr="00521858">
        <w:rPr>
          <w:rFonts w:cs="Arial"/>
        </w:rPr>
        <w:t xml:space="preserve"> e a malattie spiegabili o trattabili con principi connessi all’immunologia. Un’attenzione particolare è indirizzata a studi del modello umano, con l’intento di giungere a nuove conoscenze </w:t>
      </w:r>
      <w:proofErr w:type="spellStart"/>
      <w:r w:rsidRPr="00521858">
        <w:rPr>
          <w:rFonts w:cs="Arial"/>
        </w:rPr>
        <w:t>fisio</w:t>
      </w:r>
      <w:proofErr w:type="spellEnd"/>
      <w:r w:rsidRPr="00521858">
        <w:rPr>
          <w:rFonts w:cs="Arial"/>
        </w:rPr>
        <w:t xml:space="preserve">-patologiche e di sviluppare terapie innovative. </w:t>
      </w:r>
    </w:p>
    <w:p w:rsidR="005340D2" w:rsidRPr="00521858" w:rsidRDefault="005340D2" w:rsidP="00D92082">
      <w:pPr>
        <w:spacing w:before="120"/>
        <w:rPr>
          <w:rFonts w:cs="Arial"/>
        </w:rPr>
      </w:pPr>
      <w:r w:rsidRPr="00521858">
        <w:rPr>
          <w:rFonts w:cs="Arial"/>
        </w:rPr>
        <w:t xml:space="preserve">L’attività dell’IRB è iniziata nel febbraio del 2000 nel palazzo in Via Vela 6 a Bellinzona con un budget annuo di circa 4 milioni di franchi. Inizialmente l’attività era svolta da sei gruppi di ricerca sotto la direzione del Prof. Antonio Lanzavecchia, scienziato di rinomanza internazionale. </w:t>
      </w:r>
    </w:p>
    <w:p w:rsidR="005340D2" w:rsidRPr="00521858" w:rsidRDefault="005340D2" w:rsidP="00D92082">
      <w:pPr>
        <w:spacing w:before="120"/>
        <w:rPr>
          <w:rFonts w:cs="Arial"/>
        </w:rPr>
      </w:pPr>
      <w:r w:rsidRPr="00521858">
        <w:rPr>
          <w:rFonts w:cs="Arial"/>
        </w:rPr>
        <w:t xml:space="preserve">L’inaugurazione ufficiale è avvenuta nel settembre dello stesso anno. Nell’aprile 2006 è stata aperta una seconda sede in Via Murate (denominata anche </w:t>
      </w:r>
      <w:proofErr w:type="spellStart"/>
      <w:r w:rsidRPr="00521858">
        <w:rPr>
          <w:rFonts w:cs="Arial"/>
        </w:rPr>
        <w:t>IRBbis</w:t>
      </w:r>
      <w:proofErr w:type="spellEnd"/>
      <w:r w:rsidRPr="00521858">
        <w:rPr>
          <w:rFonts w:cs="Arial"/>
        </w:rPr>
        <w:t xml:space="preserve">), comprendente laboratori supplementari, di cui uno ad alta sicurezza biologica (livello di sicurezza 3, che permette la manipolazione e lo studio di patogeni accertati come il virus HIV). Le spese di affitto dei due stabili (complessivamente circa 700'000.- franchi) sono state prese a carico dalla Città di Bellinzona. L'IRB ha infine una terza sede nello stabile ex </w:t>
      </w:r>
      <w:proofErr w:type="spellStart"/>
      <w:r w:rsidRPr="00521858">
        <w:rPr>
          <w:rFonts w:cs="Arial"/>
        </w:rPr>
        <w:t>Gallera</w:t>
      </w:r>
      <w:proofErr w:type="spellEnd"/>
      <w:r w:rsidRPr="00521858">
        <w:rPr>
          <w:rFonts w:cs="Arial"/>
        </w:rPr>
        <w:t xml:space="preserve"> sempre in via Vela a Bellinzona.</w:t>
      </w:r>
    </w:p>
    <w:p w:rsidR="005340D2" w:rsidRPr="00521858" w:rsidRDefault="005340D2" w:rsidP="00D92082">
      <w:pPr>
        <w:spacing w:before="120"/>
        <w:rPr>
          <w:rFonts w:cs="Arial"/>
        </w:rPr>
      </w:pPr>
      <w:r w:rsidRPr="00521858">
        <w:rPr>
          <w:rFonts w:cs="Arial"/>
        </w:rPr>
        <w:t xml:space="preserve">Dopo l'affiliazione all'USI (cfr. messaggio 6292 del 13 ottobre 2009 approvato il 20 aprile 2010), i cui effetti finanziari erano previsti a partire dal 1 gennaio 2012, il Cantone versa contributi ricorrenti all’IRB attraverso il contratto di prestazione USI per un importo indicizzato di 2 milioni l'anno (nel 2015 l'importo è arrivato a 2.05 milioni). </w:t>
      </w:r>
    </w:p>
    <w:p w:rsidR="005340D2" w:rsidRPr="00521858" w:rsidRDefault="005340D2" w:rsidP="00D92082">
      <w:pPr>
        <w:spacing w:after="120"/>
        <w:rPr>
          <w:rFonts w:cs="Arial"/>
          <w:b/>
          <w:sz w:val="22"/>
        </w:rPr>
      </w:pPr>
    </w:p>
    <w:p w:rsidR="005340D2" w:rsidRPr="00521858" w:rsidRDefault="005340D2" w:rsidP="00D92082">
      <w:pPr>
        <w:spacing w:after="120"/>
        <w:rPr>
          <w:rFonts w:cs="Arial"/>
          <w:b/>
          <w:sz w:val="22"/>
        </w:rPr>
      </w:pPr>
      <w:r w:rsidRPr="00521858">
        <w:rPr>
          <w:rFonts w:cs="Arial"/>
          <w:b/>
          <w:sz w:val="22"/>
        </w:rPr>
        <w:t>Collaboratori IRB</w:t>
      </w:r>
    </w:p>
    <w:tbl>
      <w:tblPr>
        <w:tblW w:w="9435" w:type="dxa"/>
        <w:tblInd w:w="70" w:type="dxa"/>
        <w:tblCellMar>
          <w:left w:w="70" w:type="dxa"/>
          <w:right w:w="70" w:type="dxa"/>
        </w:tblCellMar>
        <w:tblLook w:val="04A0" w:firstRow="1" w:lastRow="0" w:firstColumn="1" w:lastColumn="0" w:noHBand="0" w:noVBand="1"/>
      </w:tblPr>
      <w:tblGrid>
        <w:gridCol w:w="2977"/>
        <w:gridCol w:w="1056"/>
        <w:gridCol w:w="1056"/>
        <w:gridCol w:w="1056"/>
        <w:gridCol w:w="1056"/>
        <w:gridCol w:w="1117"/>
        <w:gridCol w:w="1117"/>
      </w:tblGrid>
      <w:tr w:rsidR="005340D2" w:rsidRPr="006F65EA" w:rsidTr="006F65EA">
        <w:trPr>
          <w:trHeight w:val="330"/>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rPr>
                <w:rFonts w:cs="Arial"/>
                <w:b/>
                <w:bCs/>
                <w:sz w:val="22"/>
                <w:lang w:eastAsia="it-CH"/>
              </w:rPr>
            </w:pPr>
            <w:r w:rsidRPr="006F65EA">
              <w:rPr>
                <w:rFonts w:cs="Arial"/>
                <w:b/>
                <w:bCs/>
                <w:sz w:val="22"/>
                <w:lang w:eastAsia="it-CH"/>
              </w:rPr>
              <w:t> </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2013</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2014</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2015</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2016</w:t>
            </w:r>
          </w:p>
        </w:tc>
        <w:tc>
          <w:tcPr>
            <w:tcW w:w="1117"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2017</w:t>
            </w:r>
          </w:p>
        </w:tc>
        <w:tc>
          <w:tcPr>
            <w:tcW w:w="1117"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2020</w:t>
            </w:r>
          </w:p>
        </w:tc>
      </w:tr>
      <w:tr w:rsidR="005340D2" w:rsidRPr="006F65EA" w:rsidTr="006F65EA">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rPr>
                <w:rFonts w:cs="Arial"/>
                <w:sz w:val="22"/>
                <w:lang w:eastAsia="it-CH"/>
              </w:rPr>
            </w:pPr>
            <w:r w:rsidRPr="006F65EA">
              <w:rPr>
                <w:rFonts w:cs="Arial"/>
                <w:sz w:val="22"/>
                <w:lang w:eastAsia="it-CH"/>
              </w:rPr>
              <w:t>Ricercatori ETP</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rPr>
            </w:pPr>
            <w:r w:rsidRPr="006F65EA">
              <w:rPr>
                <w:rFonts w:cs="Arial"/>
                <w:sz w:val="22"/>
              </w:rPr>
              <w:t>77.3</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rPr>
            </w:pPr>
            <w:r w:rsidRPr="006F65EA">
              <w:rPr>
                <w:rFonts w:cs="Arial"/>
                <w:sz w:val="22"/>
              </w:rPr>
              <w:t>74.9</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rPr>
            </w:pPr>
            <w:r w:rsidRPr="006F65EA">
              <w:rPr>
                <w:rFonts w:cs="Arial"/>
                <w:sz w:val="22"/>
              </w:rPr>
              <w:t>85.4</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rPr>
            </w:pPr>
            <w:r w:rsidRPr="006F65EA">
              <w:rPr>
                <w:rFonts w:cs="Arial"/>
                <w:sz w:val="22"/>
              </w:rPr>
              <w:t>90.8</w:t>
            </w:r>
          </w:p>
        </w:tc>
        <w:tc>
          <w:tcPr>
            <w:tcW w:w="1117"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rPr>
            </w:pPr>
            <w:r w:rsidRPr="006F65EA">
              <w:rPr>
                <w:rFonts w:cs="Arial"/>
                <w:sz w:val="22"/>
              </w:rPr>
              <w:t>96.8</w:t>
            </w:r>
          </w:p>
        </w:tc>
        <w:tc>
          <w:tcPr>
            <w:tcW w:w="1117"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106.0</w:t>
            </w:r>
          </w:p>
        </w:tc>
      </w:tr>
      <w:tr w:rsidR="005340D2" w:rsidRPr="006F65EA" w:rsidTr="006F65EA">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rPr>
                <w:rFonts w:cs="Arial"/>
                <w:sz w:val="22"/>
                <w:lang w:eastAsia="it-CH"/>
              </w:rPr>
            </w:pPr>
            <w:r w:rsidRPr="006F65EA">
              <w:rPr>
                <w:rFonts w:cs="Arial"/>
                <w:sz w:val="22"/>
                <w:lang w:eastAsia="it-CH"/>
              </w:rPr>
              <w:t>Amministrativo ETP</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5.6</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6.3</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6.7</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6.7</w:t>
            </w:r>
          </w:p>
        </w:tc>
        <w:tc>
          <w:tcPr>
            <w:tcW w:w="1117"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7.0</w:t>
            </w:r>
          </w:p>
        </w:tc>
        <w:tc>
          <w:tcPr>
            <w:tcW w:w="1117"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8.0</w:t>
            </w:r>
          </w:p>
        </w:tc>
      </w:tr>
      <w:tr w:rsidR="005340D2" w:rsidRPr="006F65EA" w:rsidTr="006F65EA">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6F65EA">
            <w:pPr>
              <w:tabs>
                <w:tab w:val="left" w:pos="567"/>
              </w:tabs>
              <w:jc w:val="left"/>
              <w:rPr>
                <w:rFonts w:cs="Arial"/>
                <w:b/>
                <w:bCs/>
                <w:sz w:val="22"/>
                <w:lang w:eastAsia="it-CH"/>
              </w:rPr>
            </w:pPr>
            <w:r w:rsidRPr="006F65EA">
              <w:rPr>
                <w:rFonts w:cs="Arial"/>
                <w:b/>
                <w:bCs/>
                <w:sz w:val="22"/>
                <w:lang w:eastAsia="it-CH"/>
              </w:rPr>
              <w:t>Totale collaboratori ETP</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82.9</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81.2</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92.1</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97.5</w:t>
            </w:r>
          </w:p>
        </w:tc>
        <w:tc>
          <w:tcPr>
            <w:tcW w:w="1117"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103.8</w:t>
            </w:r>
          </w:p>
        </w:tc>
        <w:tc>
          <w:tcPr>
            <w:tcW w:w="1117"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114.0</w:t>
            </w:r>
          </w:p>
        </w:tc>
      </w:tr>
      <w:tr w:rsidR="005340D2" w:rsidRPr="006F65EA" w:rsidTr="006F65EA">
        <w:trPr>
          <w:trHeight w:val="315"/>
        </w:trPr>
        <w:tc>
          <w:tcPr>
            <w:tcW w:w="2977" w:type="dxa"/>
            <w:tcBorders>
              <w:top w:val="nil"/>
              <w:left w:val="nil"/>
              <w:bottom w:val="nil"/>
              <w:right w:val="nil"/>
            </w:tcBorders>
            <w:shd w:val="clear" w:color="auto" w:fill="auto"/>
            <w:noWrap/>
            <w:vAlign w:val="bottom"/>
            <w:hideMark/>
          </w:tcPr>
          <w:p w:rsidR="005340D2" w:rsidRPr="006F65EA" w:rsidRDefault="005340D2" w:rsidP="00276EE1">
            <w:pPr>
              <w:tabs>
                <w:tab w:val="left" w:pos="567"/>
              </w:tabs>
              <w:jc w:val="left"/>
              <w:rPr>
                <w:rFonts w:ascii="Calibri" w:hAnsi="Calibri"/>
                <w:sz w:val="22"/>
                <w:lang w:eastAsia="it-CH"/>
              </w:rPr>
            </w:pPr>
          </w:p>
        </w:tc>
        <w:tc>
          <w:tcPr>
            <w:tcW w:w="1056" w:type="dxa"/>
            <w:tcBorders>
              <w:top w:val="nil"/>
              <w:left w:val="nil"/>
              <w:bottom w:val="nil"/>
              <w:right w:val="nil"/>
            </w:tcBorders>
            <w:shd w:val="clear" w:color="auto" w:fill="auto"/>
            <w:noWrap/>
            <w:vAlign w:val="center"/>
            <w:hideMark/>
          </w:tcPr>
          <w:p w:rsidR="005340D2" w:rsidRPr="006F65EA" w:rsidRDefault="005340D2" w:rsidP="00276EE1">
            <w:pPr>
              <w:tabs>
                <w:tab w:val="left" w:pos="567"/>
              </w:tabs>
              <w:ind w:left="426"/>
              <w:jc w:val="center"/>
              <w:rPr>
                <w:rFonts w:ascii="Calibri" w:hAnsi="Calibri"/>
                <w:sz w:val="22"/>
                <w:lang w:eastAsia="it-CH"/>
              </w:rPr>
            </w:pPr>
          </w:p>
        </w:tc>
        <w:tc>
          <w:tcPr>
            <w:tcW w:w="1056" w:type="dxa"/>
            <w:tcBorders>
              <w:top w:val="nil"/>
              <w:left w:val="nil"/>
              <w:bottom w:val="nil"/>
              <w:right w:val="nil"/>
            </w:tcBorders>
            <w:shd w:val="clear" w:color="auto" w:fill="auto"/>
            <w:noWrap/>
            <w:vAlign w:val="center"/>
            <w:hideMark/>
          </w:tcPr>
          <w:p w:rsidR="005340D2" w:rsidRPr="006F65EA" w:rsidRDefault="005340D2" w:rsidP="00276EE1">
            <w:pPr>
              <w:tabs>
                <w:tab w:val="left" w:pos="567"/>
              </w:tabs>
              <w:ind w:left="426"/>
              <w:jc w:val="center"/>
              <w:rPr>
                <w:rFonts w:ascii="Calibri" w:hAnsi="Calibri"/>
                <w:sz w:val="22"/>
                <w:lang w:eastAsia="it-CH"/>
              </w:rPr>
            </w:pPr>
          </w:p>
        </w:tc>
        <w:tc>
          <w:tcPr>
            <w:tcW w:w="1056" w:type="dxa"/>
            <w:tcBorders>
              <w:top w:val="nil"/>
              <w:left w:val="nil"/>
              <w:bottom w:val="nil"/>
              <w:right w:val="nil"/>
            </w:tcBorders>
            <w:shd w:val="clear" w:color="auto" w:fill="auto"/>
            <w:noWrap/>
            <w:vAlign w:val="center"/>
            <w:hideMark/>
          </w:tcPr>
          <w:p w:rsidR="005340D2" w:rsidRPr="006F65EA" w:rsidRDefault="005340D2" w:rsidP="00276EE1">
            <w:pPr>
              <w:tabs>
                <w:tab w:val="left" w:pos="567"/>
              </w:tabs>
              <w:ind w:left="426"/>
              <w:jc w:val="center"/>
              <w:rPr>
                <w:rFonts w:ascii="Calibri" w:hAnsi="Calibri"/>
                <w:sz w:val="22"/>
                <w:lang w:eastAsia="it-CH"/>
              </w:rPr>
            </w:pPr>
          </w:p>
        </w:tc>
        <w:tc>
          <w:tcPr>
            <w:tcW w:w="1056" w:type="dxa"/>
            <w:tcBorders>
              <w:top w:val="nil"/>
              <w:left w:val="nil"/>
              <w:bottom w:val="nil"/>
              <w:right w:val="nil"/>
            </w:tcBorders>
            <w:shd w:val="clear" w:color="auto" w:fill="auto"/>
            <w:noWrap/>
            <w:vAlign w:val="center"/>
            <w:hideMark/>
          </w:tcPr>
          <w:p w:rsidR="005340D2" w:rsidRPr="006F65EA" w:rsidRDefault="005340D2" w:rsidP="00276EE1">
            <w:pPr>
              <w:tabs>
                <w:tab w:val="left" w:pos="567"/>
              </w:tabs>
              <w:ind w:left="426"/>
              <w:jc w:val="center"/>
              <w:rPr>
                <w:rFonts w:ascii="Calibri" w:hAnsi="Calibri"/>
                <w:sz w:val="22"/>
                <w:lang w:eastAsia="it-CH"/>
              </w:rPr>
            </w:pPr>
          </w:p>
        </w:tc>
        <w:tc>
          <w:tcPr>
            <w:tcW w:w="1117" w:type="dxa"/>
            <w:tcBorders>
              <w:top w:val="nil"/>
              <w:left w:val="nil"/>
              <w:bottom w:val="nil"/>
              <w:right w:val="nil"/>
            </w:tcBorders>
            <w:shd w:val="clear" w:color="auto" w:fill="auto"/>
            <w:noWrap/>
            <w:vAlign w:val="center"/>
            <w:hideMark/>
          </w:tcPr>
          <w:p w:rsidR="005340D2" w:rsidRPr="006F65EA" w:rsidRDefault="005340D2" w:rsidP="00276EE1">
            <w:pPr>
              <w:tabs>
                <w:tab w:val="left" w:pos="567"/>
              </w:tabs>
              <w:ind w:left="426"/>
              <w:jc w:val="center"/>
              <w:rPr>
                <w:rFonts w:ascii="Calibri" w:hAnsi="Calibri"/>
                <w:sz w:val="22"/>
                <w:lang w:eastAsia="it-CH"/>
              </w:rPr>
            </w:pPr>
          </w:p>
        </w:tc>
        <w:tc>
          <w:tcPr>
            <w:tcW w:w="1117" w:type="dxa"/>
            <w:tcBorders>
              <w:top w:val="nil"/>
              <w:left w:val="nil"/>
              <w:bottom w:val="nil"/>
              <w:right w:val="nil"/>
            </w:tcBorders>
            <w:shd w:val="clear" w:color="auto" w:fill="auto"/>
            <w:noWrap/>
            <w:vAlign w:val="center"/>
            <w:hideMark/>
          </w:tcPr>
          <w:p w:rsidR="005340D2" w:rsidRPr="006F65EA" w:rsidRDefault="005340D2" w:rsidP="00276EE1">
            <w:pPr>
              <w:tabs>
                <w:tab w:val="left" w:pos="567"/>
              </w:tabs>
              <w:ind w:left="426"/>
              <w:jc w:val="center"/>
              <w:rPr>
                <w:rFonts w:ascii="Calibri" w:hAnsi="Calibri"/>
                <w:sz w:val="22"/>
                <w:lang w:eastAsia="it-CH"/>
              </w:rPr>
            </w:pPr>
          </w:p>
        </w:tc>
      </w:tr>
      <w:tr w:rsidR="005340D2" w:rsidRPr="006F65EA" w:rsidTr="006F65EA">
        <w:trPr>
          <w:trHeight w:val="315"/>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rPr>
                <w:rFonts w:cs="Arial"/>
                <w:sz w:val="22"/>
                <w:lang w:eastAsia="it-CH"/>
              </w:rPr>
            </w:pPr>
            <w:r w:rsidRPr="006F65EA">
              <w:rPr>
                <w:rFonts w:cs="Arial"/>
                <w:sz w:val="22"/>
                <w:lang w:eastAsia="it-CH"/>
              </w:rPr>
              <w:t>Amministrativi &gt;= 50%</w:t>
            </w:r>
          </w:p>
        </w:tc>
        <w:tc>
          <w:tcPr>
            <w:tcW w:w="1056" w:type="dxa"/>
            <w:tcBorders>
              <w:top w:val="single" w:sz="8" w:space="0" w:color="auto"/>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5</w:t>
            </w:r>
          </w:p>
        </w:tc>
        <w:tc>
          <w:tcPr>
            <w:tcW w:w="1056" w:type="dxa"/>
            <w:tcBorders>
              <w:top w:val="single" w:sz="8" w:space="0" w:color="auto"/>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5</w:t>
            </w:r>
          </w:p>
        </w:tc>
        <w:tc>
          <w:tcPr>
            <w:tcW w:w="1056" w:type="dxa"/>
            <w:tcBorders>
              <w:top w:val="single" w:sz="8" w:space="0" w:color="auto"/>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w:t>
            </w:r>
          </w:p>
        </w:tc>
        <w:tc>
          <w:tcPr>
            <w:tcW w:w="1056" w:type="dxa"/>
            <w:tcBorders>
              <w:top w:val="single" w:sz="8" w:space="0" w:color="auto"/>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w:t>
            </w:r>
          </w:p>
        </w:tc>
        <w:tc>
          <w:tcPr>
            <w:tcW w:w="1117" w:type="dxa"/>
            <w:tcBorders>
              <w:top w:val="single" w:sz="8" w:space="0" w:color="auto"/>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w:t>
            </w:r>
          </w:p>
        </w:tc>
        <w:tc>
          <w:tcPr>
            <w:tcW w:w="1117" w:type="dxa"/>
            <w:tcBorders>
              <w:top w:val="single" w:sz="8" w:space="0" w:color="auto"/>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7</w:t>
            </w:r>
          </w:p>
        </w:tc>
      </w:tr>
      <w:tr w:rsidR="005340D2" w:rsidRPr="006F65EA" w:rsidTr="006F65EA">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rPr>
                <w:rFonts w:cs="Arial"/>
                <w:sz w:val="22"/>
                <w:lang w:eastAsia="it-CH"/>
              </w:rPr>
            </w:pPr>
            <w:r w:rsidRPr="006F65EA">
              <w:rPr>
                <w:rFonts w:cs="Arial"/>
                <w:sz w:val="22"/>
                <w:lang w:eastAsia="it-CH"/>
              </w:rPr>
              <w:t>Amministrativi &lt; 50%</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w:t>
            </w:r>
          </w:p>
        </w:tc>
      </w:tr>
      <w:tr w:rsidR="005340D2" w:rsidRPr="006F65EA" w:rsidTr="006F65EA">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rPr>
                <w:rFonts w:cs="Arial"/>
                <w:sz w:val="22"/>
                <w:lang w:eastAsia="it-CH"/>
              </w:rPr>
            </w:pPr>
            <w:r w:rsidRPr="006F65EA">
              <w:rPr>
                <w:rFonts w:cs="Arial"/>
                <w:sz w:val="22"/>
                <w:lang w:eastAsia="it-CH"/>
              </w:rPr>
              <w:t> </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r>
      <w:tr w:rsidR="005340D2" w:rsidRPr="006F65EA" w:rsidTr="006F65EA">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rPr>
                <w:rFonts w:cs="Arial"/>
                <w:sz w:val="22"/>
                <w:lang w:eastAsia="it-CH"/>
              </w:rPr>
            </w:pPr>
            <w:r w:rsidRPr="006F65EA">
              <w:rPr>
                <w:rFonts w:cs="Arial"/>
                <w:sz w:val="22"/>
                <w:lang w:eastAsia="it-CH"/>
              </w:rPr>
              <w:t>Ricercatori &gt;50%</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77</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76</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86</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90</w:t>
            </w: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96</w:t>
            </w: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105</w:t>
            </w:r>
          </w:p>
        </w:tc>
      </w:tr>
      <w:tr w:rsidR="005340D2" w:rsidRPr="006F65EA" w:rsidTr="006F65EA">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rPr>
                <w:rFonts w:cs="Arial"/>
                <w:sz w:val="22"/>
                <w:lang w:eastAsia="it-CH"/>
              </w:rPr>
            </w:pPr>
            <w:r w:rsidRPr="006F65EA">
              <w:rPr>
                <w:rFonts w:cs="Arial"/>
                <w:sz w:val="22"/>
                <w:lang w:eastAsia="it-CH"/>
              </w:rPr>
              <w:t>Ricercatori &lt;49%</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r>
      <w:tr w:rsidR="005340D2" w:rsidRPr="006F65EA" w:rsidTr="006F65EA">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rPr>
                <w:rFonts w:cs="Arial"/>
                <w:sz w:val="22"/>
                <w:lang w:eastAsia="it-CH"/>
              </w:rPr>
            </w:pPr>
            <w:r w:rsidRPr="006F65EA">
              <w:rPr>
                <w:rFonts w:cs="Arial"/>
                <w:sz w:val="22"/>
                <w:lang w:eastAsia="it-CH"/>
              </w:rPr>
              <w:t> </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sz w:val="22"/>
                <w:lang w:eastAsia="it-CH"/>
              </w:rPr>
            </w:pPr>
          </w:p>
        </w:tc>
      </w:tr>
      <w:tr w:rsidR="005340D2" w:rsidRPr="006F65EA" w:rsidTr="006F65EA">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6F65EA" w:rsidP="006F65EA">
            <w:pPr>
              <w:tabs>
                <w:tab w:val="left" w:pos="567"/>
              </w:tabs>
              <w:rPr>
                <w:rFonts w:cs="Arial"/>
                <w:b/>
                <w:sz w:val="22"/>
                <w:lang w:eastAsia="it-CH"/>
              </w:rPr>
            </w:pPr>
            <w:r>
              <w:rPr>
                <w:rFonts w:cs="Arial"/>
                <w:b/>
                <w:sz w:val="22"/>
                <w:lang w:eastAsia="it-CH"/>
              </w:rPr>
              <w:t>T</w:t>
            </w:r>
            <w:r w:rsidR="005340D2" w:rsidRPr="006F65EA">
              <w:rPr>
                <w:rFonts w:cs="Arial"/>
                <w:b/>
                <w:sz w:val="22"/>
                <w:lang w:eastAsia="it-CH"/>
              </w:rPr>
              <w:t>otale n. collaboratori</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86</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85</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96</w:t>
            </w:r>
          </w:p>
        </w:tc>
        <w:tc>
          <w:tcPr>
            <w:tcW w:w="1056"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100</w:t>
            </w: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106</w:t>
            </w:r>
          </w:p>
        </w:tc>
        <w:tc>
          <w:tcPr>
            <w:tcW w:w="1117" w:type="dxa"/>
            <w:tcBorders>
              <w:top w:val="nil"/>
              <w:left w:val="nil"/>
              <w:bottom w:val="single" w:sz="8" w:space="0" w:color="auto"/>
              <w:right w:val="single" w:sz="8" w:space="0" w:color="auto"/>
            </w:tcBorders>
            <w:shd w:val="clear" w:color="auto" w:fill="auto"/>
            <w:vAlign w:val="center"/>
          </w:tcPr>
          <w:p w:rsidR="005340D2" w:rsidRPr="006F65EA" w:rsidRDefault="005340D2" w:rsidP="00276EE1">
            <w:pPr>
              <w:tabs>
                <w:tab w:val="left" w:pos="567"/>
              </w:tabs>
              <w:ind w:left="426"/>
              <w:jc w:val="center"/>
              <w:rPr>
                <w:rFonts w:cs="Arial"/>
                <w:b/>
                <w:sz w:val="22"/>
                <w:lang w:eastAsia="it-CH"/>
              </w:rPr>
            </w:pPr>
            <w:r w:rsidRPr="006F65EA">
              <w:rPr>
                <w:rFonts w:cs="Arial"/>
                <w:b/>
                <w:sz w:val="22"/>
                <w:lang w:eastAsia="it-CH"/>
              </w:rPr>
              <w:t>117</w:t>
            </w:r>
          </w:p>
        </w:tc>
      </w:tr>
    </w:tbl>
    <w:p w:rsidR="005340D2" w:rsidRPr="00521858" w:rsidRDefault="005340D2" w:rsidP="006F65EA">
      <w:pPr>
        <w:ind w:left="567" w:hanging="567"/>
        <w:rPr>
          <w:rFonts w:cs="Arial"/>
          <w:i/>
          <w:sz w:val="12"/>
          <w:szCs w:val="12"/>
        </w:rPr>
      </w:pPr>
    </w:p>
    <w:p w:rsidR="005340D2" w:rsidRPr="00521858" w:rsidRDefault="005340D2" w:rsidP="006F65EA">
      <w:pPr>
        <w:ind w:left="567" w:hanging="567"/>
        <w:rPr>
          <w:rFonts w:cs="Arial"/>
          <w:i/>
          <w:sz w:val="16"/>
          <w:szCs w:val="16"/>
        </w:rPr>
      </w:pPr>
      <w:r w:rsidRPr="00521858">
        <w:rPr>
          <w:rFonts w:cs="Arial"/>
          <w:i/>
          <w:sz w:val="16"/>
          <w:szCs w:val="16"/>
        </w:rPr>
        <w:t>Fonte: IRB</w:t>
      </w:r>
    </w:p>
    <w:p w:rsidR="005340D2" w:rsidRPr="00521858" w:rsidRDefault="005340D2" w:rsidP="00D92082"/>
    <w:p w:rsidR="007975CB" w:rsidRDefault="007975CB">
      <w:pPr>
        <w:rPr>
          <w:rFonts w:eastAsia="Calibri" w:cs="Arial"/>
          <w:b/>
          <w:sz w:val="22"/>
        </w:rPr>
      </w:pPr>
      <w:r>
        <w:rPr>
          <w:rFonts w:cs="Arial"/>
          <w:b/>
          <w:sz w:val="22"/>
        </w:rPr>
        <w:br w:type="page"/>
      </w:r>
    </w:p>
    <w:p w:rsidR="005340D2" w:rsidRPr="00521858" w:rsidRDefault="005340D2" w:rsidP="00D92082">
      <w:pPr>
        <w:pStyle w:val="Paragrafoelenco1"/>
        <w:spacing w:before="0" w:beforeAutospacing="0" w:after="0" w:afterAutospacing="0"/>
        <w:rPr>
          <w:rFonts w:ascii="Arial" w:hAnsi="Arial" w:cs="Arial"/>
          <w:b/>
          <w:sz w:val="22"/>
          <w:szCs w:val="22"/>
          <w:lang w:val="it-CH"/>
        </w:rPr>
      </w:pPr>
      <w:r w:rsidRPr="00521858">
        <w:rPr>
          <w:rFonts w:ascii="Arial" w:hAnsi="Arial" w:cs="Arial"/>
          <w:b/>
          <w:sz w:val="22"/>
          <w:szCs w:val="22"/>
          <w:lang w:val="it-CH"/>
        </w:rPr>
        <w:lastRenderedPageBreak/>
        <w:t>Evoluzione del volume di ricerca e dei ricercatori dello IRB</w:t>
      </w:r>
    </w:p>
    <w:p w:rsidR="005340D2" w:rsidRPr="00ED7157" w:rsidRDefault="005340D2" w:rsidP="006F65EA">
      <w:pPr>
        <w:jc w:val="left"/>
        <w:rPr>
          <w:rFonts w:cs="Arial"/>
          <w:color w:val="808080" w:themeColor="background1" w:themeShade="80"/>
          <w:szCs w:val="24"/>
        </w:rPr>
      </w:pPr>
      <w:r w:rsidRPr="00ED7157">
        <w:rPr>
          <w:noProof/>
          <w:color w:val="808080" w:themeColor="background1" w:themeShade="80"/>
          <w:lang w:eastAsia="it-CH"/>
        </w:rPr>
        <w:drawing>
          <wp:inline distT="0" distB="0" distL="0" distR="0" wp14:anchorId="63EB91D3" wp14:editId="5F4627E3">
            <wp:extent cx="6067425" cy="2476500"/>
            <wp:effectExtent l="0" t="0" r="0"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F65EA" w:rsidRDefault="006F65EA" w:rsidP="006F65EA">
      <w:pPr>
        <w:tabs>
          <w:tab w:val="left" w:pos="567"/>
        </w:tabs>
        <w:rPr>
          <w:rFonts w:cs="Arial"/>
          <w:i/>
          <w:sz w:val="16"/>
          <w:szCs w:val="16"/>
        </w:rPr>
      </w:pPr>
    </w:p>
    <w:p w:rsidR="005340D2" w:rsidRPr="00521858" w:rsidRDefault="005340D2" w:rsidP="006F65EA">
      <w:pPr>
        <w:tabs>
          <w:tab w:val="left" w:pos="567"/>
        </w:tabs>
        <w:ind w:left="567" w:hanging="567"/>
        <w:rPr>
          <w:rFonts w:cs="Arial"/>
          <w:i/>
          <w:sz w:val="16"/>
          <w:szCs w:val="16"/>
        </w:rPr>
      </w:pPr>
      <w:r w:rsidRPr="00521858">
        <w:rPr>
          <w:rFonts w:cs="Arial"/>
          <w:i/>
          <w:sz w:val="16"/>
          <w:szCs w:val="16"/>
        </w:rPr>
        <w:t>Fonte: IRB</w:t>
      </w:r>
    </w:p>
    <w:p w:rsidR="005340D2" w:rsidRDefault="005340D2" w:rsidP="006F65EA">
      <w:pPr>
        <w:tabs>
          <w:tab w:val="left" w:pos="567"/>
        </w:tabs>
        <w:ind w:left="567" w:hanging="567"/>
        <w:rPr>
          <w:rFonts w:cs="Arial"/>
          <w:sz w:val="23"/>
          <w:szCs w:val="23"/>
        </w:rPr>
      </w:pPr>
    </w:p>
    <w:p w:rsidR="005340D2" w:rsidRPr="00521858" w:rsidRDefault="005340D2" w:rsidP="00D92082">
      <w:pPr>
        <w:rPr>
          <w:rFonts w:cs="Arial"/>
          <w:sz w:val="23"/>
          <w:szCs w:val="23"/>
        </w:rPr>
      </w:pPr>
    </w:p>
    <w:p w:rsidR="005340D2" w:rsidRPr="00521858" w:rsidRDefault="005340D2" w:rsidP="00D92082">
      <w:pPr>
        <w:rPr>
          <w:rFonts w:cs="Arial"/>
          <w:b/>
          <w:sz w:val="22"/>
        </w:rPr>
      </w:pPr>
      <w:r w:rsidRPr="00521858">
        <w:rPr>
          <w:rFonts w:cs="Arial"/>
          <w:b/>
          <w:sz w:val="22"/>
        </w:rPr>
        <w:t xml:space="preserve">Evoluzione del budget IRB (2014-2020) </w:t>
      </w:r>
    </w:p>
    <w:p w:rsidR="005340D2" w:rsidRPr="00521858" w:rsidRDefault="005340D2" w:rsidP="005340D2">
      <w:pPr>
        <w:tabs>
          <w:tab w:val="left" w:pos="567"/>
        </w:tabs>
        <w:rPr>
          <w:rFonts w:cs="Arial"/>
          <w:sz w:val="16"/>
          <w:szCs w:val="16"/>
        </w:rPr>
      </w:pPr>
    </w:p>
    <w:tbl>
      <w:tblPr>
        <w:tblW w:w="9719" w:type="dxa"/>
        <w:tblInd w:w="70" w:type="dxa"/>
        <w:tblCellMar>
          <w:left w:w="70" w:type="dxa"/>
          <w:right w:w="70" w:type="dxa"/>
        </w:tblCellMar>
        <w:tblLook w:val="04A0" w:firstRow="1" w:lastRow="0" w:firstColumn="1" w:lastColumn="0" w:noHBand="0" w:noVBand="1"/>
      </w:tblPr>
      <w:tblGrid>
        <w:gridCol w:w="1716"/>
        <w:gridCol w:w="1155"/>
        <w:gridCol w:w="1134"/>
        <w:gridCol w:w="1134"/>
        <w:gridCol w:w="1134"/>
        <w:gridCol w:w="1134"/>
        <w:gridCol w:w="1125"/>
        <w:gridCol w:w="1187"/>
      </w:tblGrid>
      <w:tr w:rsidR="005340D2" w:rsidRPr="00772FBD" w:rsidTr="006F65EA">
        <w:trPr>
          <w:trHeight w:val="315"/>
        </w:trPr>
        <w:tc>
          <w:tcPr>
            <w:tcW w:w="171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b/>
                <w:bCs/>
                <w:sz w:val="22"/>
                <w:lang w:eastAsia="it-CH"/>
              </w:rPr>
            </w:pPr>
            <w:r w:rsidRPr="00772FBD">
              <w:rPr>
                <w:rFonts w:cs="Arial"/>
                <w:b/>
                <w:bCs/>
                <w:sz w:val="22"/>
                <w:lang w:eastAsia="it-CH"/>
              </w:rPr>
              <w:t>Descrizione</w:t>
            </w:r>
          </w:p>
        </w:tc>
        <w:tc>
          <w:tcPr>
            <w:tcW w:w="1155" w:type="dxa"/>
            <w:tcBorders>
              <w:top w:val="single" w:sz="8" w:space="0" w:color="auto"/>
              <w:left w:val="nil"/>
              <w:bottom w:val="single" w:sz="8" w:space="0" w:color="auto"/>
              <w:right w:val="single" w:sz="4" w:space="0" w:color="auto"/>
            </w:tcBorders>
            <w:shd w:val="clear" w:color="auto" w:fill="auto"/>
            <w:vAlign w:val="center"/>
            <w:hideMark/>
          </w:tcPr>
          <w:p w:rsidR="005340D2" w:rsidRPr="00772FBD" w:rsidRDefault="005340D2" w:rsidP="00276EE1">
            <w:pPr>
              <w:tabs>
                <w:tab w:val="left" w:pos="567"/>
              </w:tabs>
              <w:jc w:val="center"/>
              <w:rPr>
                <w:rFonts w:cs="Arial"/>
                <w:b/>
                <w:bCs/>
                <w:sz w:val="22"/>
                <w:lang w:eastAsia="it-CH"/>
              </w:rPr>
            </w:pPr>
            <w:r w:rsidRPr="00772FBD">
              <w:rPr>
                <w:rFonts w:cs="Arial"/>
                <w:b/>
                <w:bCs/>
                <w:sz w:val="22"/>
                <w:lang w:eastAsia="it-CH"/>
              </w:rPr>
              <w:t>2014*</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340D2" w:rsidRPr="00772FBD" w:rsidRDefault="005340D2" w:rsidP="00276EE1">
            <w:pPr>
              <w:tabs>
                <w:tab w:val="left" w:pos="567"/>
              </w:tabs>
              <w:jc w:val="center"/>
              <w:rPr>
                <w:rFonts w:cs="Arial"/>
                <w:b/>
                <w:bCs/>
                <w:sz w:val="22"/>
                <w:lang w:eastAsia="it-CH"/>
              </w:rPr>
            </w:pPr>
            <w:r w:rsidRPr="00772FBD">
              <w:rPr>
                <w:rFonts w:cs="Arial"/>
                <w:b/>
                <w:bCs/>
                <w:sz w:val="22"/>
                <w:lang w:eastAsia="it-CH"/>
              </w:rPr>
              <w:t>2015*</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340D2" w:rsidRPr="00772FBD" w:rsidRDefault="005340D2" w:rsidP="00276EE1">
            <w:pPr>
              <w:tabs>
                <w:tab w:val="left" w:pos="567"/>
              </w:tabs>
              <w:jc w:val="center"/>
              <w:rPr>
                <w:rFonts w:cs="Arial"/>
                <w:b/>
                <w:bCs/>
                <w:color w:val="C00000"/>
                <w:sz w:val="22"/>
                <w:lang w:eastAsia="it-CH"/>
              </w:rPr>
            </w:pPr>
            <w:r w:rsidRPr="00772FBD">
              <w:rPr>
                <w:rFonts w:cs="Arial"/>
                <w:b/>
                <w:bCs/>
                <w:color w:val="C00000"/>
                <w:sz w:val="22"/>
                <w:lang w:eastAsia="it-CH"/>
              </w:rPr>
              <w:t>2016</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340D2" w:rsidRPr="00772FBD" w:rsidRDefault="005340D2" w:rsidP="00276EE1">
            <w:pPr>
              <w:tabs>
                <w:tab w:val="left" w:pos="567"/>
              </w:tabs>
              <w:jc w:val="center"/>
              <w:rPr>
                <w:rFonts w:cs="Arial"/>
                <w:b/>
                <w:bCs/>
                <w:sz w:val="22"/>
                <w:lang w:eastAsia="it-CH"/>
              </w:rPr>
            </w:pPr>
            <w:r w:rsidRPr="00772FBD">
              <w:rPr>
                <w:rFonts w:cs="Arial"/>
                <w:b/>
                <w:bCs/>
                <w:sz w:val="22"/>
                <w:lang w:eastAsia="it-CH"/>
              </w:rPr>
              <w:t>2017</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340D2" w:rsidRPr="00772FBD" w:rsidRDefault="005340D2" w:rsidP="00276EE1">
            <w:pPr>
              <w:tabs>
                <w:tab w:val="left" w:pos="567"/>
              </w:tabs>
              <w:jc w:val="center"/>
              <w:rPr>
                <w:rFonts w:cs="Arial"/>
                <w:b/>
                <w:bCs/>
                <w:sz w:val="22"/>
                <w:lang w:eastAsia="it-CH"/>
              </w:rPr>
            </w:pPr>
            <w:r w:rsidRPr="00772FBD">
              <w:rPr>
                <w:rFonts w:cs="Arial"/>
                <w:b/>
                <w:bCs/>
                <w:sz w:val="22"/>
                <w:lang w:eastAsia="it-CH"/>
              </w:rPr>
              <w:t>2018</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rsidR="005340D2" w:rsidRPr="00772FBD" w:rsidRDefault="005340D2" w:rsidP="00276EE1">
            <w:pPr>
              <w:tabs>
                <w:tab w:val="left" w:pos="567"/>
              </w:tabs>
              <w:jc w:val="center"/>
              <w:rPr>
                <w:rFonts w:cs="Arial"/>
                <w:b/>
                <w:bCs/>
                <w:sz w:val="22"/>
                <w:lang w:eastAsia="it-CH"/>
              </w:rPr>
            </w:pPr>
            <w:r w:rsidRPr="00772FBD">
              <w:rPr>
                <w:rFonts w:cs="Arial"/>
                <w:b/>
                <w:bCs/>
                <w:sz w:val="22"/>
                <w:lang w:eastAsia="it-CH"/>
              </w:rPr>
              <w:t>2019</w:t>
            </w:r>
          </w:p>
        </w:tc>
        <w:tc>
          <w:tcPr>
            <w:tcW w:w="1187" w:type="dxa"/>
            <w:tcBorders>
              <w:top w:val="single" w:sz="8" w:space="0" w:color="auto"/>
              <w:left w:val="nil"/>
              <w:bottom w:val="single" w:sz="8" w:space="0" w:color="auto"/>
              <w:right w:val="single" w:sz="8" w:space="0" w:color="auto"/>
            </w:tcBorders>
            <w:shd w:val="clear" w:color="auto" w:fill="auto"/>
            <w:vAlign w:val="center"/>
            <w:hideMark/>
          </w:tcPr>
          <w:p w:rsidR="005340D2" w:rsidRPr="00772FBD" w:rsidRDefault="005340D2" w:rsidP="00276EE1">
            <w:pPr>
              <w:tabs>
                <w:tab w:val="left" w:pos="567"/>
              </w:tabs>
              <w:jc w:val="center"/>
              <w:rPr>
                <w:rFonts w:cs="Arial"/>
                <w:b/>
                <w:bCs/>
                <w:sz w:val="22"/>
                <w:lang w:eastAsia="it-CH"/>
              </w:rPr>
            </w:pPr>
            <w:r w:rsidRPr="00772FBD">
              <w:rPr>
                <w:rFonts w:cs="Arial"/>
                <w:b/>
                <w:bCs/>
                <w:sz w:val="22"/>
                <w:lang w:eastAsia="it-CH"/>
              </w:rPr>
              <w:t>2020</w:t>
            </w:r>
          </w:p>
        </w:tc>
      </w:tr>
      <w:tr w:rsidR="005340D2" w:rsidRPr="00772FBD" w:rsidTr="006F65EA">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Costi del personale</w:t>
            </w:r>
          </w:p>
        </w:tc>
        <w:tc>
          <w:tcPr>
            <w:tcW w:w="1155"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lang w:eastAsia="it-CH"/>
              </w:rPr>
            </w:pPr>
            <w:r w:rsidRPr="00772FBD">
              <w:rPr>
                <w:rFonts w:cs="Arial"/>
                <w:sz w:val="20"/>
              </w:rPr>
              <w:t>7'842'993</w:t>
            </w:r>
          </w:p>
        </w:tc>
        <w:tc>
          <w:tcPr>
            <w:tcW w:w="1134"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8'305'505</w:t>
            </w:r>
          </w:p>
        </w:tc>
        <w:tc>
          <w:tcPr>
            <w:tcW w:w="1134"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8'027'058</w:t>
            </w:r>
          </w:p>
        </w:tc>
        <w:tc>
          <w:tcPr>
            <w:tcW w:w="1134"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8'921'484</w:t>
            </w:r>
          </w:p>
        </w:tc>
        <w:tc>
          <w:tcPr>
            <w:tcW w:w="1134"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9'681'967</w:t>
            </w:r>
          </w:p>
        </w:tc>
        <w:tc>
          <w:tcPr>
            <w:tcW w:w="1125"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10'119'166</w:t>
            </w:r>
          </w:p>
        </w:tc>
        <w:tc>
          <w:tcPr>
            <w:tcW w:w="1187"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10'868'481</w:t>
            </w:r>
          </w:p>
        </w:tc>
      </w:tr>
      <w:tr w:rsidR="005340D2" w:rsidRPr="00772FBD" w:rsidTr="006F65EA">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Costi generali</w:t>
            </w:r>
          </w:p>
        </w:tc>
        <w:tc>
          <w:tcPr>
            <w:tcW w:w="1155"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9'558'093</w:t>
            </w:r>
          </w:p>
        </w:tc>
        <w:tc>
          <w:tcPr>
            <w:tcW w:w="1134"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9'153'897</w:t>
            </w:r>
          </w:p>
        </w:tc>
        <w:tc>
          <w:tcPr>
            <w:tcW w:w="1134"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9'108'396</w:t>
            </w:r>
          </w:p>
        </w:tc>
        <w:tc>
          <w:tcPr>
            <w:tcW w:w="1134"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9'881'136</w:t>
            </w:r>
          </w:p>
        </w:tc>
        <w:tc>
          <w:tcPr>
            <w:tcW w:w="1134"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9'596'149</w:t>
            </w:r>
          </w:p>
        </w:tc>
        <w:tc>
          <w:tcPr>
            <w:tcW w:w="1125"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9'616'407</w:t>
            </w:r>
          </w:p>
        </w:tc>
        <w:tc>
          <w:tcPr>
            <w:tcW w:w="1187" w:type="dxa"/>
            <w:tcBorders>
              <w:top w:val="nil"/>
              <w:left w:val="nil"/>
              <w:bottom w:val="single" w:sz="8" w:space="0" w:color="auto"/>
              <w:right w:val="single" w:sz="8" w:space="0" w:color="auto"/>
            </w:tcBorders>
            <w:shd w:val="clear" w:color="auto" w:fill="auto"/>
            <w:vAlign w:val="center"/>
          </w:tcPr>
          <w:p w:rsidR="005340D2" w:rsidRPr="00772FBD" w:rsidRDefault="005340D2" w:rsidP="00276EE1">
            <w:pPr>
              <w:tabs>
                <w:tab w:val="left" w:pos="567"/>
              </w:tabs>
              <w:jc w:val="right"/>
              <w:rPr>
                <w:rFonts w:cs="Arial"/>
                <w:sz w:val="20"/>
              </w:rPr>
            </w:pPr>
            <w:r w:rsidRPr="00772FBD">
              <w:rPr>
                <w:rFonts w:cs="Arial"/>
                <w:sz w:val="20"/>
              </w:rPr>
              <w:t>9'710'427</w:t>
            </w:r>
          </w:p>
        </w:tc>
      </w:tr>
      <w:tr w:rsidR="005340D2" w:rsidRPr="00772FBD" w:rsidTr="006F65EA">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b/>
                <w:bCs/>
                <w:i/>
                <w:iCs/>
                <w:sz w:val="20"/>
                <w:lang w:eastAsia="it-CH"/>
              </w:rPr>
            </w:pPr>
            <w:r w:rsidRPr="00772FBD">
              <w:rPr>
                <w:rFonts w:cs="Arial"/>
                <w:b/>
                <w:bCs/>
                <w:i/>
                <w:iCs/>
                <w:sz w:val="20"/>
                <w:lang w:eastAsia="it-CH"/>
              </w:rPr>
              <w:t>Totale costi</w:t>
            </w:r>
          </w:p>
        </w:tc>
        <w:tc>
          <w:tcPr>
            <w:tcW w:w="115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17'401'086</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17'459'402</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color w:val="C00000"/>
                <w:sz w:val="20"/>
              </w:rPr>
            </w:pPr>
            <w:r w:rsidRPr="00772FBD">
              <w:rPr>
                <w:rFonts w:cs="Arial"/>
                <w:b/>
                <w:bCs/>
                <w:i/>
                <w:iCs/>
                <w:color w:val="C00000"/>
                <w:sz w:val="20"/>
              </w:rPr>
              <w:t>17'135'454</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18'802'619</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19'278'116</w:t>
            </w:r>
          </w:p>
        </w:tc>
        <w:tc>
          <w:tcPr>
            <w:tcW w:w="112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19'735'572</w:t>
            </w:r>
          </w:p>
        </w:tc>
        <w:tc>
          <w:tcPr>
            <w:tcW w:w="1187"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20'578'908</w:t>
            </w:r>
          </w:p>
        </w:tc>
      </w:tr>
      <w:tr w:rsidR="005340D2" w:rsidRPr="00772FBD" w:rsidTr="006F65E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Ricavi ricerca competitiva</w:t>
            </w:r>
          </w:p>
        </w:tc>
        <w:tc>
          <w:tcPr>
            <w:tcW w:w="1155" w:type="dxa"/>
            <w:tcBorders>
              <w:top w:val="single" w:sz="8" w:space="0" w:color="auto"/>
              <w:left w:val="nil"/>
              <w:bottom w:val="single" w:sz="8" w:space="0" w:color="auto"/>
              <w:right w:val="single" w:sz="8" w:space="0" w:color="auto"/>
            </w:tcBorders>
            <w:shd w:val="clear" w:color="000000" w:fill="auto"/>
            <w:noWrap/>
            <w:vAlign w:val="center"/>
          </w:tcPr>
          <w:p w:rsidR="005340D2" w:rsidRPr="00772FBD" w:rsidRDefault="005340D2" w:rsidP="00276EE1">
            <w:pPr>
              <w:tabs>
                <w:tab w:val="left" w:pos="567"/>
              </w:tabs>
              <w:jc w:val="right"/>
              <w:rPr>
                <w:rFonts w:cs="Arial"/>
                <w:sz w:val="20"/>
              </w:rPr>
            </w:pPr>
            <w:r w:rsidRPr="00772FBD">
              <w:rPr>
                <w:rFonts w:cs="Arial"/>
                <w:sz w:val="20"/>
              </w:rPr>
              <w:t>8'116'352</w:t>
            </w:r>
          </w:p>
        </w:tc>
        <w:tc>
          <w:tcPr>
            <w:tcW w:w="1134" w:type="dxa"/>
            <w:tcBorders>
              <w:top w:val="single" w:sz="8" w:space="0" w:color="auto"/>
              <w:left w:val="nil"/>
              <w:bottom w:val="single" w:sz="8" w:space="0" w:color="auto"/>
              <w:right w:val="single" w:sz="8" w:space="0" w:color="auto"/>
            </w:tcBorders>
            <w:shd w:val="clear" w:color="000000" w:fill="auto"/>
            <w:noWrap/>
            <w:vAlign w:val="center"/>
          </w:tcPr>
          <w:p w:rsidR="005340D2" w:rsidRPr="00772FBD" w:rsidRDefault="005340D2" w:rsidP="00276EE1">
            <w:pPr>
              <w:tabs>
                <w:tab w:val="left" w:pos="567"/>
              </w:tabs>
              <w:jc w:val="right"/>
              <w:rPr>
                <w:rFonts w:cs="Arial"/>
                <w:sz w:val="20"/>
              </w:rPr>
            </w:pPr>
            <w:r w:rsidRPr="00772FBD">
              <w:rPr>
                <w:rFonts w:cs="Arial"/>
                <w:sz w:val="20"/>
              </w:rPr>
              <w:t>7'798'118</w:t>
            </w:r>
          </w:p>
        </w:tc>
        <w:tc>
          <w:tcPr>
            <w:tcW w:w="1134" w:type="dxa"/>
            <w:tcBorders>
              <w:top w:val="single" w:sz="8" w:space="0" w:color="auto"/>
              <w:left w:val="nil"/>
              <w:bottom w:val="single" w:sz="8" w:space="0" w:color="auto"/>
              <w:right w:val="single" w:sz="8" w:space="0" w:color="auto"/>
            </w:tcBorders>
            <w:shd w:val="clear" w:color="000000" w:fill="auto"/>
            <w:noWrap/>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7'233'154</w:t>
            </w:r>
          </w:p>
        </w:tc>
        <w:tc>
          <w:tcPr>
            <w:tcW w:w="1134" w:type="dxa"/>
            <w:tcBorders>
              <w:top w:val="single" w:sz="8" w:space="0" w:color="auto"/>
              <w:left w:val="nil"/>
              <w:bottom w:val="single" w:sz="8" w:space="0" w:color="auto"/>
              <w:right w:val="single" w:sz="8" w:space="0" w:color="auto"/>
            </w:tcBorders>
            <w:shd w:val="clear" w:color="000000" w:fill="auto"/>
            <w:noWrap/>
            <w:vAlign w:val="center"/>
          </w:tcPr>
          <w:p w:rsidR="005340D2" w:rsidRPr="00772FBD" w:rsidRDefault="005340D2" w:rsidP="00276EE1">
            <w:pPr>
              <w:tabs>
                <w:tab w:val="left" w:pos="567"/>
              </w:tabs>
              <w:jc w:val="right"/>
              <w:rPr>
                <w:rFonts w:cs="Arial"/>
                <w:sz w:val="20"/>
              </w:rPr>
            </w:pPr>
            <w:r w:rsidRPr="00772FBD">
              <w:rPr>
                <w:rFonts w:cs="Arial"/>
                <w:sz w:val="20"/>
              </w:rPr>
              <w:t>7'956'469</w:t>
            </w:r>
          </w:p>
        </w:tc>
        <w:tc>
          <w:tcPr>
            <w:tcW w:w="1134" w:type="dxa"/>
            <w:tcBorders>
              <w:top w:val="single" w:sz="8" w:space="0" w:color="auto"/>
              <w:left w:val="nil"/>
              <w:bottom w:val="single" w:sz="8" w:space="0" w:color="auto"/>
              <w:right w:val="single" w:sz="8" w:space="0" w:color="auto"/>
            </w:tcBorders>
            <w:shd w:val="clear" w:color="000000" w:fill="auto"/>
            <w:noWrap/>
            <w:vAlign w:val="center"/>
          </w:tcPr>
          <w:p w:rsidR="005340D2" w:rsidRPr="00772FBD" w:rsidRDefault="005340D2" w:rsidP="00276EE1">
            <w:pPr>
              <w:tabs>
                <w:tab w:val="left" w:pos="567"/>
              </w:tabs>
              <w:jc w:val="right"/>
              <w:rPr>
                <w:rFonts w:cs="Arial"/>
                <w:sz w:val="20"/>
              </w:rPr>
            </w:pPr>
            <w:r w:rsidRPr="00772FBD">
              <w:rPr>
                <w:rFonts w:cs="Arial"/>
                <w:sz w:val="20"/>
              </w:rPr>
              <w:t>8'752'116</w:t>
            </w:r>
          </w:p>
        </w:tc>
        <w:tc>
          <w:tcPr>
            <w:tcW w:w="1125" w:type="dxa"/>
            <w:tcBorders>
              <w:top w:val="single" w:sz="8" w:space="0" w:color="auto"/>
              <w:left w:val="nil"/>
              <w:bottom w:val="single" w:sz="8" w:space="0" w:color="auto"/>
              <w:right w:val="single" w:sz="8" w:space="0" w:color="auto"/>
            </w:tcBorders>
            <w:shd w:val="clear" w:color="000000" w:fill="auto"/>
            <w:noWrap/>
            <w:vAlign w:val="center"/>
          </w:tcPr>
          <w:p w:rsidR="005340D2" w:rsidRPr="00772FBD" w:rsidRDefault="005340D2" w:rsidP="00276EE1">
            <w:pPr>
              <w:tabs>
                <w:tab w:val="left" w:pos="567"/>
              </w:tabs>
              <w:jc w:val="right"/>
              <w:rPr>
                <w:rFonts w:cs="Arial"/>
                <w:sz w:val="20"/>
              </w:rPr>
            </w:pPr>
            <w:r w:rsidRPr="00772FBD">
              <w:rPr>
                <w:rFonts w:cs="Arial"/>
                <w:sz w:val="20"/>
              </w:rPr>
              <w:t>9'189'722</w:t>
            </w:r>
          </w:p>
        </w:tc>
        <w:tc>
          <w:tcPr>
            <w:tcW w:w="1187" w:type="dxa"/>
            <w:tcBorders>
              <w:top w:val="single" w:sz="8" w:space="0" w:color="auto"/>
              <w:left w:val="nil"/>
              <w:bottom w:val="single" w:sz="8" w:space="0" w:color="auto"/>
              <w:right w:val="single" w:sz="8" w:space="0" w:color="auto"/>
            </w:tcBorders>
            <w:shd w:val="clear" w:color="000000" w:fill="auto"/>
            <w:noWrap/>
            <w:vAlign w:val="center"/>
          </w:tcPr>
          <w:p w:rsidR="005340D2" w:rsidRPr="00772FBD" w:rsidRDefault="005340D2" w:rsidP="00276EE1">
            <w:pPr>
              <w:tabs>
                <w:tab w:val="left" w:pos="567"/>
              </w:tabs>
              <w:jc w:val="right"/>
              <w:rPr>
                <w:rFonts w:cs="Arial"/>
                <w:sz w:val="20"/>
              </w:rPr>
            </w:pPr>
            <w:r w:rsidRPr="00772FBD">
              <w:rPr>
                <w:rFonts w:cs="Arial"/>
                <w:sz w:val="20"/>
              </w:rPr>
              <w:t>9'649'208</w:t>
            </w:r>
          </w:p>
        </w:tc>
      </w:tr>
      <w:tr w:rsidR="005340D2" w:rsidRPr="00772FBD" w:rsidTr="006F65E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Contributi div.</w:t>
            </w:r>
          </w:p>
        </w:tc>
        <w:tc>
          <w:tcPr>
            <w:tcW w:w="115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c>
          <w:tcPr>
            <w:tcW w:w="112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c>
          <w:tcPr>
            <w:tcW w:w="1187"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r>
      <w:tr w:rsidR="005340D2" w:rsidRPr="00772FBD" w:rsidTr="006F65E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Fondazioni e Donazioni</w:t>
            </w:r>
          </w:p>
        </w:tc>
        <w:tc>
          <w:tcPr>
            <w:tcW w:w="115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2'076'098</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2'025'000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2'000'000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2'400'000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2'400'000</w:t>
            </w:r>
          </w:p>
        </w:tc>
        <w:tc>
          <w:tcPr>
            <w:tcW w:w="112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2'400'000</w:t>
            </w:r>
          </w:p>
        </w:tc>
        <w:tc>
          <w:tcPr>
            <w:tcW w:w="1187"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2'400'000</w:t>
            </w:r>
          </w:p>
        </w:tc>
      </w:tr>
      <w:tr w:rsidR="005340D2" w:rsidRPr="00772FBD" w:rsidTr="006F65E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Contributi cantonali</w:t>
            </w:r>
          </w:p>
        </w:tc>
        <w:tc>
          <w:tcPr>
            <w:tcW w:w="115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1'978'000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2'070'490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2'070'000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2'111'400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2'153'628</w:t>
            </w:r>
          </w:p>
        </w:tc>
        <w:tc>
          <w:tcPr>
            <w:tcW w:w="112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2'196'701</w:t>
            </w:r>
          </w:p>
        </w:tc>
        <w:tc>
          <w:tcPr>
            <w:tcW w:w="1187"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2'240'635</w:t>
            </w:r>
          </w:p>
        </w:tc>
      </w:tr>
      <w:tr w:rsidR="005340D2" w:rsidRPr="00772FBD" w:rsidTr="006F65EA">
        <w:trPr>
          <w:trHeight w:val="3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Contr. Città di Bellinzona</w:t>
            </w:r>
          </w:p>
        </w:tc>
        <w:tc>
          <w:tcPr>
            <w:tcW w:w="115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681'000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681'000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681'000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666'000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621'000</w:t>
            </w:r>
          </w:p>
        </w:tc>
        <w:tc>
          <w:tcPr>
            <w:tcW w:w="112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621'000</w:t>
            </w:r>
          </w:p>
        </w:tc>
        <w:tc>
          <w:tcPr>
            <w:tcW w:w="1187"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r>
      <w:tr w:rsidR="005340D2" w:rsidRPr="00772FBD" w:rsidTr="006F65EA">
        <w:trPr>
          <w:trHeight w:val="31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Contributi federali LPRI</w:t>
            </w:r>
          </w:p>
        </w:tc>
        <w:tc>
          <w:tcPr>
            <w:tcW w:w="115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1'950'000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2'056'350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2'128'400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2'000'000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2'000'000</w:t>
            </w:r>
          </w:p>
        </w:tc>
        <w:tc>
          <w:tcPr>
            <w:tcW w:w="112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2'250'000</w:t>
            </w:r>
          </w:p>
        </w:tc>
        <w:tc>
          <w:tcPr>
            <w:tcW w:w="1187"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2'250'000</w:t>
            </w:r>
          </w:p>
        </w:tc>
      </w:tr>
      <w:tr w:rsidR="005340D2" w:rsidRPr="00772FBD" w:rsidTr="006F65EA">
        <w:trPr>
          <w:trHeight w:val="315"/>
        </w:trPr>
        <w:tc>
          <w:tcPr>
            <w:tcW w:w="1716" w:type="dxa"/>
            <w:tcBorders>
              <w:top w:val="nil"/>
              <w:left w:val="single" w:sz="4" w:space="0" w:color="auto"/>
              <w:bottom w:val="single" w:sz="4" w:space="0" w:color="auto"/>
              <w:right w:val="single" w:sz="4" w:space="0" w:color="auto"/>
            </w:tcBorders>
            <w:shd w:val="clear" w:color="auto" w:fill="auto"/>
            <w:vAlign w:val="center"/>
          </w:tcPr>
          <w:p w:rsidR="005340D2" w:rsidRPr="00772FBD" w:rsidRDefault="005340D2" w:rsidP="00276EE1">
            <w:pPr>
              <w:tabs>
                <w:tab w:val="left" w:pos="567"/>
              </w:tabs>
              <w:jc w:val="left"/>
              <w:rPr>
                <w:rFonts w:cs="Arial"/>
                <w:sz w:val="20"/>
                <w:lang w:eastAsia="it-CH"/>
              </w:rPr>
            </w:pPr>
            <w:r w:rsidRPr="00772FBD">
              <w:rPr>
                <w:rFonts w:cs="Arial"/>
                <w:sz w:val="20"/>
                <w:lang w:eastAsia="it-CH"/>
              </w:rPr>
              <w:t>Contributi federali LPSU</w:t>
            </w:r>
          </w:p>
        </w:tc>
        <w:tc>
          <w:tcPr>
            <w:tcW w:w="115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2'124'900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2'605'853</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2'000'000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2'500'000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2'500'000</w:t>
            </w:r>
          </w:p>
        </w:tc>
        <w:tc>
          <w:tcPr>
            <w:tcW w:w="112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2'500'000</w:t>
            </w:r>
          </w:p>
        </w:tc>
        <w:tc>
          <w:tcPr>
            <w:tcW w:w="1187"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2'500'000</w:t>
            </w:r>
          </w:p>
        </w:tc>
      </w:tr>
      <w:tr w:rsidR="005340D2" w:rsidRPr="00772FBD" w:rsidTr="006F65EA">
        <w:trPr>
          <w:trHeight w:val="31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Diversi</w:t>
            </w:r>
          </w:p>
        </w:tc>
        <w:tc>
          <w:tcPr>
            <w:tcW w:w="115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1'946'789</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1'574'385</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color w:val="C00000"/>
                <w:sz w:val="20"/>
              </w:rPr>
            </w:pPr>
            <w:r w:rsidRPr="00772FBD">
              <w:rPr>
                <w:rFonts w:cs="Arial"/>
                <w:color w:val="C00000"/>
                <w:sz w:val="20"/>
              </w:rPr>
              <w:t>862'533</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950'000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950'000</w:t>
            </w:r>
          </w:p>
        </w:tc>
        <w:tc>
          <w:tcPr>
            <w:tcW w:w="112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950'000</w:t>
            </w:r>
          </w:p>
        </w:tc>
        <w:tc>
          <w:tcPr>
            <w:tcW w:w="1187"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950'000</w:t>
            </w:r>
          </w:p>
        </w:tc>
      </w:tr>
      <w:tr w:rsidR="005340D2" w:rsidRPr="00772FBD" w:rsidTr="006F65EA">
        <w:trPr>
          <w:trHeight w:val="315"/>
        </w:trPr>
        <w:tc>
          <w:tcPr>
            <w:tcW w:w="1716" w:type="dxa"/>
            <w:tcBorders>
              <w:top w:val="nil"/>
              <w:left w:val="single" w:sz="4" w:space="0" w:color="auto"/>
              <w:bottom w:val="nil"/>
              <w:right w:val="single" w:sz="4" w:space="0" w:color="auto"/>
            </w:tcBorders>
            <w:shd w:val="clear" w:color="auto" w:fill="auto"/>
            <w:vAlign w:val="center"/>
            <w:hideMark/>
          </w:tcPr>
          <w:p w:rsidR="005340D2" w:rsidRPr="00772FBD" w:rsidRDefault="005340D2" w:rsidP="00276EE1">
            <w:pPr>
              <w:tabs>
                <w:tab w:val="left" w:pos="567"/>
              </w:tabs>
              <w:jc w:val="left"/>
              <w:rPr>
                <w:rFonts w:cs="Arial"/>
                <w:b/>
                <w:bCs/>
                <w:sz w:val="20"/>
                <w:lang w:eastAsia="it-CH"/>
              </w:rPr>
            </w:pPr>
            <w:r w:rsidRPr="00772FBD">
              <w:rPr>
                <w:rFonts w:cs="Arial"/>
                <w:b/>
                <w:bCs/>
                <w:sz w:val="20"/>
                <w:lang w:eastAsia="it-CH"/>
              </w:rPr>
              <w:t>Totale ricavi</w:t>
            </w:r>
          </w:p>
        </w:tc>
        <w:tc>
          <w:tcPr>
            <w:tcW w:w="1155" w:type="dxa"/>
            <w:tcBorders>
              <w:top w:val="nil"/>
              <w:left w:val="nil"/>
              <w:bottom w:val="nil"/>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18'873'140</w:t>
            </w:r>
          </w:p>
        </w:tc>
        <w:tc>
          <w:tcPr>
            <w:tcW w:w="1134" w:type="dxa"/>
            <w:tcBorders>
              <w:top w:val="nil"/>
              <w:left w:val="nil"/>
              <w:bottom w:val="nil"/>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18'811'196</w:t>
            </w:r>
          </w:p>
        </w:tc>
        <w:tc>
          <w:tcPr>
            <w:tcW w:w="1134" w:type="dxa"/>
            <w:tcBorders>
              <w:top w:val="nil"/>
              <w:left w:val="nil"/>
              <w:bottom w:val="nil"/>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color w:val="C00000"/>
                <w:sz w:val="20"/>
              </w:rPr>
            </w:pPr>
            <w:r w:rsidRPr="00772FBD">
              <w:rPr>
                <w:rFonts w:cs="Arial"/>
                <w:b/>
                <w:bCs/>
                <w:i/>
                <w:iCs/>
                <w:color w:val="C00000"/>
                <w:sz w:val="20"/>
              </w:rPr>
              <w:t>16'975'087</w:t>
            </w:r>
          </w:p>
        </w:tc>
        <w:tc>
          <w:tcPr>
            <w:tcW w:w="1134" w:type="dxa"/>
            <w:tcBorders>
              <w:top w:val="nil"/>
              <w:left w:val="nil"/>
              <w:bottom w:val="nil"/>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18'583'869</w:t>
            </w:r>
          </w:p>
        </w:tc>
        <w:tc>
          <w:tcPr>
            <w:tcW w:w="1134" w:type="dxa"/>
            <w:tcBorders>
              <w:top w:val="nil"/>
              <w:left w:val="nil"/>
              <w:bottom w:val="nil"/>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19'376'744</w:t>
            </w:r>
          </w:p>
        </w:tc>
        <w:tc>
          <w:tcPr>
            <w:tcW w:w="1125" w:type="dxa"/>
            <w:tcBorders>
              <w:top w:val="nil"/>
              <w:left w:val="nil"/>
              <w:bottom w:val="nil"/>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20'107'423</w:t>
            </w:r>
          </w:p>
        </w:tc>
        <w:tc>
          <w:tcPr>
            <w:tcW w:w="1187" w:type="dxa"/>
            <w:tcBorders>
              <w:top w:val="nil"/>
              <w:left w:val="nil"/>
              <w:bottom w:val="nil"/>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19'989'843</w:t>
            </w:r>
          </w:p>
        </w:tc>
      </w:tr>
      <w:tr w:rsidR="005340D2" w:rsidRPr="00772FBD" w:rsidTr="006F65EA">
        <w:trPr>
          <w:trHeight w:val="315"/>
        </w:trPr>
        <w:tc>
          <w:tcPr>
            <w:tcW w:w="171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b/>
                <w:bCs/>
                <w:sz w:val="20"/>
                <w:lang w:eastAsia="it-CH"/>
              </w:rPr>
            </w:pPr>
            <w:r w:rsidRPr="00772FBD">
              <w:rPr>
                <w:rFonts w:cs="Arial"/>
                <w:b/>
                <w:bCs/>
                <w:sz w:val="20"/>
                <w:lang w:eastAsia="it-CH"/>
              </w:rPr>
              <w:t>Risultato esercizio</w:t>
            </w:r>
          </w:p>
        </w:tc>
        <w:tc>
          <w:tcPr>
            <w:tcW w:w="1155" w:type="dxa"/>
            <w:tcBorders>
              <w:top w:val="single" w:sz="8" w:space="0" w:color="auto"/>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1'472'054</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1'351'795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-160'367</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-218'750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98'628</w:t>
            </w:r>
          </w:p>
        </w:tc>
        <w:tc>
          <w:tcPr>
            <w:tcW w:w="1125" w:type="dxa"/>
            <w:tcBorders>
              <w:top w:val="single" w:sz="8" w:space="0" w:color="auto"/>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371'851</w:t>
            </w:r>
          </w:p>
        </w:tc>
        <w:tc>
          <w:tcPr>
            <w:tcW w:w="1187" w:type="dxa"/>
            <w:tcBorders>
              <w:top w:val="single" w:sz="8" w:space="0" w:color="auto"/>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b/>
                <w:bCs/>
                <w:i/>
                <w:iCs/>
                <w:sz w:val="20"/>
              </w:rPr>
            </w:pPr>
            <w:r w:rsidRPr="00772FBD">
              <w:rPr>
                <w:rFonts w:cs="Arial"/>
                <w:b/>
                <w:bCs/>
                <w:i/>
                <w:iCs/>
                <w:sz w:val="20"/>
              </w:rPr>
              <w:t>-589'065</w:t>
            </w:r>
          </w:p>
        </w:tc>
      </w:tr>
      <w:tr w:rsidR="005340D2" w:rsidRPr="00521858" w:rsidTr="006F65EA">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D2" w:rsidRPr="00772FBD" w:rsidRDefault="005340D2" w:rsidP="00276EE1">
            <w:pPr>
              <w:tabs>
                <w:tab w:val="left" w:pos="567"/>
              </w:tabs>
              <w:jc w:val="left"/>
              <w:rPr>
                <w:rFonts w:cs="Arial"/>
                <w:sz w:val="20"/>
                <w:lang w:eastAsia="it-CH"/>
              </w:rPr>
            </w:pPr>
            <w:r w:rsidRPr="00772FBD">
              <w:rPr>
                <w:rFonts w:cs="Arial"/>
                <w:sz w:val="20"/>
                <w:lang w:eastAsia="it-CH"/>
              </w:rPr>
              <w:t xml:space="preserve">./. Costi straordinari </w:t>
            </w:r>
          </w:p>
        </w:tc>
        <w:tc>
          <w:tcPr>
            <w:tcW w:w="115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1'400'000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1'300'000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c>
          <w:tcPr>
            <w:tcW w:w="1134"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c>
          <w:tcPr>
            <w:tcW w:w="1125" w:type="dxa"/>
            <w:tcBorders>
              <w:top w:val="nil"/>
              <w:left w:val="nil"/>
              <w:bottom w:val="single" w:sz="8" w:space="0" w:color="auto"/>
              <w:right w:val="single" w:sz="8" w:space="0" w:color="auto"/>
            </w:tcBorders>
            <w:shd w:val="clear" w:color="auto" w:fill="auto"/>
            <w:noWrap/>
            <w:vAlign w:val="center"/>
          </w:tcPr>
          <w:p w:rsidR="005340D2" w:rsidRPr="00772FBD" w:rsidRDefault="005340D2" w:rsidP="00276EE1">
            <w:pPr>
              <w:tabs>
                <w:tab w:val="left" w:pos="567"/>
              </w:tabs>
              <w:jc w:val="right"/>
              <w:rPr>
                <w:rFonts w:cs="Arial"/>
                <w:sz w:val="20"/>
              </w:rPr>
            </w:pPr>
            <w:r w:rsidRPr="00772FBD">
              <w:rPr>
                <w:rFonts w:cs="Arial"/>
                <w:sz w:val="20"/>
              </w:rPr>
              <w:t>0</w:t>
            </w:r>
          </w:p>
        </w:tc>
        <w:tc>
          <w:tcPr>
            <w:tcW w:w="1187" w:type="dxa"/>
            <w:tcBorders>
              <w:top w:val="nil"/>
              <w:left w:val="nil"/>
              <w:bottom w:val="single" w:sz="8" w:space="0" w:color="auto"/>
              <w:right w:val="single" w:sz="8" w:space="0" w:color="auto"/>
            </w:tcBorders>
            <w:shd w:val="clear" w:color="auto" w:fill="auto"/>
            <w:noWrap/>
            <w:vAlign w:val="center"/>
          </w:tcPr>
          <w:p w:rsidR="005340D2" w:rsidRPr="00521858" w:rsidRDefault="005340D2" w:rsidP="00276EE1">
            <w:pPr>
              <w:tabs>
                <w:tab w:val="left" w:pos="567"/>
              </w:tabs>
              <w:jc w:val="right"/>
              <w:rPr>
                <w:rFonts w:cs="Arial"/>
                <w:sz w:val="20"/>
              </w:rPr>
            </w:pPr>
            <w:r w:rsidRPr="00772FBD">
              <w:rPr>
                <w:rFonts w:cs="Arial"/>
                <w:sz w:val="20"/>
              </w:rPr>
              <w:t>0</w:t>
            </w:r>
          </w:p>
        </w:tc>
      </w:tr>
      <w:tr w:rsidR="005340D2" w:rsidRPr="00521858" w:rsidTr="006F65EA">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D2" w:rsidRPr="00521858" w:rsidRDefault="005340D2" w:rsidP="00276EE1">
            <w:pPr>
              <w:tabs>
                <w:tab w:val="left" w:pos="567"/>
              </w:tabs>
              <w:jc w:val="left"/>
              <w:rPr>
                <w:rFonts w:cs="Arial"/>
                <w:sz w:val="20"/>
                <w:lang w:eastAsia="it-CH"/>
              </w:rPr>
            </w:pPr>
            <w:r w:rsidRPr="00521858">
              <w:rPr>
                <w:rFonts w:cs="Arial"/>
                <w:sz w:val="20"/>
                <w:lang w:eastAsia="it-CH"/>
              </w:rPr>
              <w:t>+ Ricavi straordinari</w:t>
            </w:r>
          </w:p>
        </w:tc>
        <w:tc>
          <w:tcPr>
            <w:tcW w:w="1155" w:type="dxa"/>
            <w:tcBorders>
              <w:top w:val="nil"/>
              <w:left w:val="nil"/>
              <w:bottom w:val="nil"/>
              <w:right w:val="single" w:sz="8" w:space="0" w:color="auto"/>
            </w:tcBorders>
            <w:shd w:val="clear" w:color="auto" w:fill="auto"/>
            <w:noWrap/>
            <w:vAlign w:val="center"/>
          </w:tcPr>
          <w:p w:rsidR="005340D2" w:rsidRPr="00521858" w:rsidRDefault="005340D2" w:rsidP="00276EE1">
            <w:pPr>
              <w:tabs>
                <w:tab w:val="left" w:pos="567"/>
              </w:tabs>
              <w:jc w:val="right"/>
              <w:rPr>
                <w:rFonts w:cs="Arial"/>
                <w:sz w:val="20"/>
              </w:rPr>
            </w:pPr>
            <w:r w:rsidRPr="00521858">
              <w:rPr>
                <w:rFonts w:cs="Arial"/>
                <w:sz w:val="20"/>
              </w:rPr>
              <w:t>0 </w:t>
            </w:r>
          </w:p>
        </w:tc>
        <w:tc>
          <w:tcPr>
            <w:tcW w:w="1134" w:type="dxa"/>
            <w:tcBorders>
              <w:top w:val="nil"/>
              <w:left w:val="nil"/>
              <w:bottom w:val="nil"/>
              <w:right w:val="single" w:sz="8" w:space="0" w:color="auto"/>
            </w:tcBorders>
            <w:shd w:val="clear" w:color="auto" w:fill="auto"/>
            <w:noWrap/>
            <w:vAlign w:val="center"/>
          </w:tcPr>
          <w:p w:rsidR="005340D2" w:rsidRPr="00521858" w:rsidRDefault="005340D2" w:rsidP="00276EE1">
            <w:pPr>
              <w:tabs>
                <w:tab w:val="left" w:pos="567"/>
              </w:tabs>
              <w:jc w:val="right"/>
              <w:rPr>
                <w:rFonts w:cs="Arial"/>
                <w:sz w:val="20"/>
              </w:rPr>
            </w:pPr>
            <w:r w:rsidRPr="00521858">
              <w:rPr>
                <w:rFonts w:cs="Arial"/>
                <w:sz w:val="20"/>
              </w:rPr>
              <w:t>0</w:t>
            </w:r>
          </w:p>
        </w:tc>
        <w:tc>
          <w:tcPr>
            <w:tcW w:w="1134" w:type="dxa"/>
            <w:tcBorders>
              <w:top w:val="nil"/>
              <w:left w:val="nil"/>
              <w:bottom w:val="nil"/>
              <w:right w:val="single" w:sz="8" w:space="0" w:color="auto"/>
            </w:tcBorders>
            <w:shd w:val="clear" w:color="auto" w:fill="auto"/>
            <w:noWrap/>
            <w:vAlign w:val="center"/>
          </w:tcPr>
          <w:p w:rsidR="005340D2" w:rsidRPr="00521858" w:rsidRDefault="005340D2" w:rsidP="00276EE1">
            <w:pPr>
              <w:tabs>
                <w:tab w:val="left" w:pos="567"/>
              </w:tabs>
              <w:jc w:val="right"/>
              <w:rPr>
                <w:rFonts w:cs="Arial"/>
                <w:sz w:val="20"/>
              </w:rPr>
            </w:pPr>
            <w:r w:rsidRPr="00521858">
              <w:rPr>
                <w:rFonts w:cs="Arial"/>
                <w:sz w:val="20"/>
              </w:rPr>
              <w:t>0</w:t>
            </w:r>
          </w:p>
        </w:tc>
        <w:tc>
          <w:tcPr>
            <w:tcW w:w="1134" w:type="dxa"/>
            <w:tcBorders>
              <w:top w:val="nil"/>
              <w:left w:val="nil"/>
              <w:bottom w:val="nil"/>
              <w:right w:val="single" w:sz="8" w:space="0" w:color="auto"/>
            </w:tcBorders>
            <w:shd w:val="clear" w:color="auto" w:fill="auto"/>
            <w:noWrap/>
            <w:vAlign w:val="center"/>
          </w:tcPr>
          <w:p w:rsidR="005340D2" w:rsidRPr="00521858" w:rsidRDefault="005340D2" w:rsidP="00276EE1">
            <w:pPr>
              <w:tabs>
                <w:tab w:val="left" w:pos="567"/>
              </w:tabs>
              <w:jc w:val="right"/>
              <w:rPr>
                <w:rFonts w:cs="Arial"/>
                <w:sz w:val="20"/>
              </w:rPr>
            </w:pPr>
            <w:r w:rsidRPr="00521858">
              <w:rPr>
                <w:rFonts w:cs="Arial"/>
                <w:sz w:val="20"/>
              </w:rPr>
              <w:t>0</w:t>
            </w:r>
          </w:p>
        </w:tc>
        <w:tc>
          <w:tcPr>
            <w:tcW w:w="1134" w:type="dxa"/>
            <w:tcBorders>
              <w:top w:val="nil"/>
              <w:left w:val="nil"/>
              <w:bottom w:val="nil"/>
              <w:right w:val="single" w:sz="8" w:space="0" w:color="auto"/>
            </w:tcBorders>
            <w:shd w:val="clear" w:color="auto" w:fill="auto"/>
            <w:noWrap/>
            <w:vAlign w:val="center"/>
          </w:tcPr>
          <w:p w:rsidR="005340D2" w:rsidRPr="00521858" w:rsidRDefault="005340D2" w:rsidP="00276EE1">
            <w:pPr>
              <w:tabs>
                <w:tab w:val="left" w:pos="567"/>
              </w:tabs>
              <w:jc w:val="right"/>
              <w:rPr>
                <w:rFonts w:cs="Arial"/>
                <w:sz w:val="20"/>
              </w:rPr>
            </w:pPr>
            <w:r w:rsidRPr="00521858">
              <w:rPr>
                <w:rFonts w:cs="Arial"/>
                <w:sz w:val="20"/>
              </w:rPr>
              <w:t>0</w:t>
            </w:r>
          </w:p>
        </w:tc>
        <w:tc>
          <w:tcPr>
            <w:tcW w:w="1125" w:type="dxa"/>
            <w:tcBorders>
              <w:top w:val="nil"/>
              <w:left w:val="nil"/>
              <w:bottom w:val="nil"/>
              <w:right w:val="single" w:sz="8" w:space="0" w:color="auto"/>
            </w:tcBorders>
            <w:shd w:val="clear" w:color="auto" w:fill="auto"/>
            <w:noWrap/>
            <w:vAlign w:val="center"/>
          </w:tcPr>
          <w:p w:rsidR="005340D2" w:rsidRPr="00521858" w:rsidRDefault="005340D2" w:rsidP="00276EE1">
            <w:pPr>
              <w:tabs>
                <w:tab w:val="left" w:pos="567"/>
              </w:tabs>
              <w:jc w:val="right"/>
              <w:rPr>
                <w:rFonts w:cs="Arial"/>
                <w:sz w:val="20"/>
              </w:rPr>
            </w:pPr>
            <w:r w:rsidRPr="00521858">
              <w:rPr>
                <w:rFonts w:cs="Arial"/>
                <w:sz w:val="20"/>
              </w:rPr>
              <w:t>0</w:t>
            </w:r>
          </w:p>
        </w:tc>
        <w:tc>
          <w:tcPr>
            <w:tcW w:w="1187" w:type="dxa"/>
            <w:tcBorders>
              <w:top w:val="nil"/>
              <w:left w:val="nil"/>
              <w:bottom w:val="nil"/>
              <w:right w:val="single" w:sz="8" w:space="0" w:color="auto"/>
            </w:tcBorders>
            <w:shd w:val="clear" w:color="auto" w:fill="auto"/>
            <w:noWrap/>
            <w:vAlign w:val="center"/>
          </w:tcPr>
          <w:p w:rsidR="005340D2" w:rsidRPr="00521858" w:rsidRDefault="005340D2" w:rsidP="00276EE1">
            <w:pPr>
              <w:tabs>
                <w:tab w:val="left" w:pos="567"/>
              </w:tabs>
              <w:jc w:val="right"/>
              <w:rPr>
                <w:rFonts w:cs="Arial"/>
                <w:sz w:val="20"/>
              </w:rPr>
            </w:pPr>
            <w:r w:rsidRPr="00521858">
              <w:rPr>
                <w:rFonts w:cs="Arial"/>
                <w:sz w:val="20"/>
              </w:rPr>
              <w:t>0</w:t>
            </w:r>
          </w:p>
        </w:tc>
      </w:tr>
      <w:tr w:rsidR="005340D2" w:rsidRPr="00521858" w:rsidTr="006F65EA">
        <w:trPr>
          <w:trHeight w:val="315"/>
        </w:trPr>
        <w:tc>
          <w:tcPr>
            <w:tcW w:w="1716" w:type="dxa"/>
            <w:tcBorders>
              <w:top w:val="single" w:sz="4" w:space="0" w:color="auto"/>
              <w:left w:val="single" w:sz="8" w:space="0" w:color="auto"/>
              <w:bottom w:val="single" w:sz="8" w:space="0" w:color="auto"/>
              <w:right w:val="nil"/>
            </w:tcBorders>
            <w:shd w:val="clear" w:color="auto" w:fill="auto"/>
            <w:vAlign w:val="center"/>
            <w:hideMark/>
          </w:tcPr>
          <w:p w:rsidR="005340D2" w:rsidRPr="00521858" w:rsidRDefault="005340D2" w:rsidP="00276EE1">
            <w:pPr>
              <w:tabs>
                <w:tab w:val="left" w:pos="567"/>
              </w:tabs>
              <w:jc w:val="left"/>
              <w:rPr>
                <w:rFonts w:cs="Arial"/>
                <w:sz w:val="20"/>
                <w:lang w:eastAsia="it-CH"/>
              </w:rPr>
            </w:pPr>
            <w:r w:rsidRPr="00521858">
              <w:rPr>
                <w:rFonts w:cs="Arial"/>
                <w:sz w:val="20"/>
                <w:lang w:eastAsia="it-CH"/>
              </w:rPr>
              <w:t xml:space="preserve">Risultato </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5340D2" w:rsidRPr="00521858" w:rsidRDefault="005340D2" w:rsidP="00276EE1">
            <w:pPr>
              <w:tabs>
                <w:tab w:val="left" w:pos="567"/>
              </w:tabs>
              <w:jc w:val="right"/>
              <w:rPr>
                <w:rFonts w:cs="Arial"/>
                <w:i/>
                <w:iCs/>
                <w:sz w:val="20"/>
              </w:rPr>
            </w:pPr>
            <w:r w:rsidRPr="00521858">
              <w:rPr>
                <w:rFonts w:cs="Arial"/>
                <w:i/>
                <w:iCs/>
                <w:sz w:val="20"/>
              </w:rPr>
              <w:t>72'054</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5340D2" w:rsidRPr="00521858" w:rsidRDefault="005340D2" w:rsidP="00276EE1">
            <w:pPr>
              <w:tabs>
                <w:tab w:val="left" w:pos="567"/>
              </w:tabs>
              <w:jc w:val="right"/>
              <w:rPr>
                <w:rFonts w:cs="Arial"/>
                <w:i/>
                <w:iCs/>
                <w:sz w:val="20"/>
              </w:rPr>
            </w:pPr>
            <w:r w:rsidRPr="00521858">
              <w:rPr>
                <w:rFonts w:cs="Arial"/>
                <w:i/>
                <w:iCs/>
                <w:sz w:val="20"/>
              </w:rPr>
              <w:t>51'795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5340D2" w:rsidRPr="00521858" w:rsidRDefault="005340D2" w:rsidP="00276EE1">
            <w:pPr>
              <w:tabs>
                <w:tab w:val="left" w:pos="567"/>
              </w:tabs>
              <w:jc w:val="right"/>
              <w:rPr>
                <w:rFonts w:cs="Arial"/>
                <w:i/>
                <w:iCs/>
                <w:sz w:val="20"/>
              </w:rPr>
            </w:pPr>
            <w:r w:rsidRPr="00521858">
              <w:rPr>
                <w:rFonts w:cs="Arial"/>
                <w:i/>
                <w:iCs/>
                <w:sz w:val="20"/>
              </w:rPr>
              <w:t>-160'367</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5340D2" w:rsidRPr="00521858" w:rsidRDefault="005340D2" w:rsidP="00276EE1">
            <w:pPr>
              <w:tabs>
                <w:tab w:val="left" w:pos="567"/>
              </w:tabs>
              <w:jc w:val="right"/>
              <w:rPr>
                <w:rFonts w:cs="Arial"/>
                <w:i/>
                <w:iCs/>
                <w:sz w:val="20"/>
              </w:rPr>
            </w:pPr>
            <w:r w:rsidRPr="00521858">
              <w:rPr>
                <w:rFonts w:cs="Arial"/>
                <w:i/>
                <w:iCs/>
                <w:sz w:val="20"/>
              </w:rPr>
              <w:t>-218'750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5340D2" w:rsidRPr="00521858" w:rsidRDefault="005340D2" w:rsidP="00276EE1">
            <w:pPr>
              <w:tabs>
                <w:tab w:val="left" w:pos="567"/>
              </w:tabs>
              <w:jc w:val="right"/>
              <w:rPr>
                <w:rFonts w:cs="Arial"/>
                <w:i/>
                <w:iCs/>
                <w:sz w:val="20"/>
              </w:rPr>
            </w:pPr>
            <w:r w:rsidRPr="00521858">
              <w:rPr>
                <w:rFonts w:cs="Arial"/>
                <w:i/>
                <w:iCs/>
                <w:sz w:val="20"/>
              </w:rPr>
              <w:t>98'628</w:t>
            </w:r>
          </w:p>
        </w:tc>
        <w:tc>
          <w:tcPr>
            <w:tcW w:w="1125" w:type="dxa"/>
            <w:tcBorders>
              <w:top w:val="single" w:sz="8" w:space="0" w:color="auto"/>
              <w:left w:val="nil"/>
              <w:bottom w:val="single" w:sz="8" w:space="0" w:color="auto"/>
              <w:right w:val="single" w:sz="8" w:space="0" w:color="auto"/>
            </w:tcBorders>
            <w:shd w:val="clear" w:color="auto" w:fill="auto"/>
            <w:noWrap/>
            <w:vAlign w:val="center"/>
          </w:tcPr>
          <w:p w:rsidR="005340D2" w:rsidRPr="00521858" w:rsidRDefault="005340D2" w:rsidP="00276EE1">
            <w:pPr>
              <w:tabs>
                <w:tab w:val="left" w:pos="567"/>
              </w:tabs>
              <w:jc w:val="right"/>
              <w:rPr>
                <w:rFonts w:cs="Arial"/>
                <w:i/>
                <w:iCs/>
                <w:sz w:val="20"/>
              </w:rPr>
            </w:pPr>
            <w:r w:rsidRPr="00521858">
              <w:rPr>
                <w:rFonts w:cs="Arial"/>
                <w:i/>
                <w:iCs/>
                <w:sz w:val="20"/>
              </w:rPr>
              <w:t>371'851</w:t>
            </w:r>
          </w:p>
        </w:tc>
        <w:tc>
          <w:tcPr>
            <w:tcW w:w="1187" w:type="dxa"/>
            <w:tcBorders>
              <w:top w:val="single" w:sz="8" w:space="0" w:color="auto"/>
              <w:left w:val="nil"/>
              <w:bottom w:val="single" w:sz="8" w:space="0" w:color="auto"/>
              <w:right w:val="single" w:sz="8" w:space="0" w:color="auto"/>
            </w:tcBorders>
            <w:shd w:val="clear" w:color="auto" w:fill="auto"/>
            <w:noWrap/>
            <w:vAlign w:val="center"/>
          </w:tcPr>
          <w:p w:rsidR="005340D2" w:rsidRPr="00521858" w:rsidRDefault="005340D2" w:rsidP="00276EE1">
            <w:pPr>
              <w:tabs>
                <w:tab w:val="left" w:pos="567"/>
              </w:tabs>
              <w:jc w:val="right"/>
              <w:rPr>
                <w:rFonts w:cs="Arial"/>
                <w:i/>
                <w:iCs/>
                <w:sz w:val="20"/>
              </w:rPr>
            </w:pPr>
            <w:r w:rsidRPr="00521858">
              <w:rPr>
                <w:rFonts w:cs="Arial"/>
                <w:i/>
                <w:iCs/>
                <w:sz w:val="20"/>
              </w:rPr>
              <w:t>-589'065</w:t>
            </w:r>
          </w:p>
        </w:tc>
      </w:tr>
    </w:tbl>
    <w:p w:rsidR="005340D2" w:rsidRPr="00521858" w:rsidRDefault="005340D2" w:rsidP="006F65EA">
      <w:pPr>
        <w:pStyle w:val="Corpotesto1"/>
        <w:tabs>
          <w:tab w:val="clear" w:pos="284"/>
          <w:tab w:val="clear" w:pos="426"/>
          <w:tab w:val="left" w:pos="567"/>
        </w:tabs>
        <w:ind w:left="567" w:hanging="567"/>
        <w:rPr>
          <w:rFonts w:cs="Arial"/>
          <w:sz w:val="12"/>
          <w:szCs w:val="12"/>
          <w:lang w:val="it-CH"/>
        </w:rPr>
      </w:pPr>
    </w:p>
    <w:p w:rsidR="005340D2" w:rsidRPr="00521858" w:rsidRDefault="005340D2" w:rsidP="006F65EA">
      <w:pPr>
        <w:pStyle w:val="Corpotesto1"/>
        <w:tabs>
          <w:tab w:val="clear" w:pos="284"/>
          <w:tab w:val="clear" w:pos="426"/>
          <w:tab w:val="left" w:pos="567"/>
        </w:tabs>
        <w:ind w:left="567" w:hanging="567"/>
        <w:rPr>
          <w:rFonts w:cs="Arial"/>
          <w:sz w:val="18"/>
          <w:szCs w:val="18"/>
          <w:lang w:val="it-CH"/>
        </w:rPr>
      </w:pPr>
      <w:r w:rsidRPr="00521858">
        <w:rPr>
          <w:rFonts w:cs="Arial"/>
          <w:i/>
          <w:sz w:val="18"/>
          <w:szCs w:val="18"/>
          <w:lang w:val="it-CH"/>
        </w:rPr>
        <w:t>Fonte: IRB</w:t>
      </w:r>
      <w:r w:rsidRPr="00521858">
        <w:rPr>
          <w:rFonts w:cs="Arial"/>
          <w:sz w:val="18"/>
          <w:szCs w:val="18"/>
          <w:lang w:val="it-CH"/>
        </w:rPr>
        <w:t xml:space="preserve"> </w:t>
      </w:r>
      <w:r w:rsidRPr="00521858">
        <w:rPr>
          <w:rFonts w:cs="Arial"/>
          <w:i/>
          <w:sz w:val="18"/>
          <w:szCs w:val="18"/>
          <w:lang w:val="it-CH"/>
        </w:rPr>
        <w:t>2016; (*) dati di consuntivo</w:t>
      </w:r>
    </w:p>
    <w:p w:rsidR="005340D2" w:rsidRPr="00521858" w:rsidRDefault="005340D2" w:rsidP="00D92082"/>
    <w:p w:rsidR="005340D2" w:rsidRPr="0029356A" w:rsidRDefault="005340D2" w:rsidP="00D92082">
      <w:r w:rsidRPr="0029356A">
        <w:t>L'aumento previsto dei costi è imputabile in gran parte al rafforzamento dell’istituto con l’arrivo di due nuovi gruppi di ricerca (il primo a ottobre 2016 e il secondo nel corso del 2017).</w:t>
      </w:r>
    </w:p>
    <w:p w:rsidR="005340D2" w:rsidRPr="00521858" w:rsidRDefault="006F65EA" w:rsidP="006F65EA">
      <w:pPr>
        <w:pStyle w:val="Titolo2"/>
      </w:pPr>
      <w:r>
        <w:lastRenderedPageBreak/>
        <w:t>2.2</w:t>
      </w:r>
      <w:r w:rsidR="005340D2">
        <w:tab/>
      </w:r>
      <w:r w:rsidR="005340D2" w:rsidRPr="00521858">
        <w:t xml:space="preserve">IOR </w:t>
      </w:r>
    </w:p>
    <w:p w:rsidR="005340D2" w:rsidRPr="00521858" w:rsidRDefault="005340D2" w:rsidP="00D92082">
      <w:r w:rsidRPr="00521858">
        <w:t xml:space="preserve">Lo IOR ha iniziato la propria attività nel 2003 come laboratorio di ricerca dell’Istituto oncologico della Svizzera italiana (IOSI). A partire dal mese di settembre 2011 è stato scorporato dall'Ente ospedaliero cantonale (EOC) ed è passato sotto la gestione della Fondazione per la ricerca e la cura dei linfomi. A partire dal 2013 è riconosciuto dalla Confederazione come avente diritto a contributi in base all’art. 15 della Legge federale sulla promozione della ricerca e l'innovazione. Il budget 2015 dello IOR era di poco più di 6 milioni di franchi annui. Durante gli anni 2008-2012 il Cantone ha sostenuto lo IOR con un contributo annuale di 300'000.- franchi attraverso il programma </w:t>
      </w:r>
      <w:proofErr w:type="spellStart"/>
      <w:r w:rsidRPr="00521858">
        <w:rPr>
          <w:i/>
        </w:rPr>
        <w:t>computational</w:t>
      </w:r>
      <w:proofErr w:type="spellEnd"/>
      <w:r w:rsidRPr="00521858">
        <w:rPr>
          <w:i/>
        </w:rPr>
        <w:t xml:space="preserve"> life </w:t>
      </w:r>
      <w:proofErr w:type="spellStart"/>
      <w:r w:rsidRPr="00521858">
        <w:rPr>
          <w:i/>
        </w:rPr>
        <w:t>sciences</w:t>
      </w:r>
      <w:proofErr w:type="spellEnd"/>
      <w:r w:rsidRPr="00521858">
        <w:t xml:space="preserve"> nell'ambito del credito quadro definito dal messaggio n. 5872 del 9 gennaio 2007. A partire dal 2013 il contributo cantonale si è assestato a 350'000.- franchi annuali attraverso il fondo </w:t>
      </w:r>
      <w:proofErr w:type="spellStart"/>
      <w:r w:rsidRPr="00521858">
        <w:t>Swisslos</w:t>
      </w:r>
      <w:proofErr w:type="spellEnd"/>
      <w:r w:rsidRPr="00521858">
        <w:t>. Con l’adozione del decreto connesso al messaggio 7165 avvenuta il 10 ottobre 2016 e l’affiliazione all’USI il contributo cantonale sarà portato a 650'000.- franchi annui.</w:t>
      </w:r>
    </w:p>
    <w:p w:rsidR="005340D2" w:rsidRPr="007975CB" w:rsidRDefault="005340D2" w:rsidP="00601BC1">
      <w:pPr>
        <w:spacing w:before="120"/>
        <w:rPr>
          <w:sz w:val="22"/>
        </w:rPr>
      </w:pPr>
    </w:p>
    <w:p w:rsidR="005340D2" w:rsidRPr="00000505" w:rsidRDefault="005340D2" w:rsidP="006F65EA">
      <w:pPr>
        <w:rPr>
          <w:rFonts w:cs="Arial"/>
          <w:b/>
          <w:sz w:val="22"/>
        </w:rPr>
      </w:pPr>
      <w:r w:rsidRPr="00000505">
        <w:rPr>
          <w:rFonts w:cs="Arial"/>
          <w:b/>
          <w:sz w:val="22"/>
        </w:rPr>
        <w:t>Collaboratori IOR</w:t>
      </w:r>
    </w:p>
    <w:p w:rsidR="005340D2" w:rsidRPr="007975CB" w:rsidRDefault="005340D2" w:rsidP="006F65EA">
      <w:pPr>
        <w:rPr>
          <w:rFonts w:cs="Arial"/>
          <w:b/>
          <w:sz w:val="12"/>
          <w:szCs w:val="12"/>
        </w:rPr>
      </w:pPr>
    </w:p>
    <w:tbl>
      <w:tblPr>
        <w:tblW w:w="9455" w:type="dxa"/>
        <w:tblInd w:w="70" w:type="dxa"/>
        <w:tblCellMar>
          <w:left w:w="70" w:type="dxa"/>
          <w:right w:w="70" w:type="dxa"/>
        </w:tblCellMar>
        <w:tblLook w:val="04A0" w:firstRow="1" w:lastRow="0" w:firstColumn="1" w:lastColumn="0" w:noHBand="0" w:noVBand="1"/>
      </w:tblPr>
      <w:tblGrid>
        <w:gridCol w:w="3119"/>
        <w:gridCol w:w="1056"/>
        <w:gridCol w:w="1056"/>
        <w:gridCol w:w="1056"/>
        <w:gridCol w:w="1056"/>
        <w:gridCol w:w="1056"/>
        <w:gridCol w:w="1056"/>
      </w:tblGrid>
      <w:tr w:rsidR="005340D2" w:rsidRPr="006F65EA" w:rsidTr="006F65EA">
        <w:trPr>
          <w:trHeight w:val="330"/>
        </w:trPr>
        <w:tc>
          <w:tcPr>
            <w:tcW w:w="31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b/>
                <w:bCs/>
                <w:sz w:val="22"/>
                <w:lang w:eastAsia="it-CH"/>
              </w:rPr>
            </w:pPr>
            <w:r w:rsidRPr="006F65EA">
              <w:rPr>
                <w:rFonts w:cs="Arial"/>
                <w:b/>
                <w:bCs/>
                <w:sz w:val="22"/>
                <w:lang w:eastAsia="it-CH"/>
              </w:rPr>
              <w:t> </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2013</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2014</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2015</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color w:val="C00000"/>
                <w:sz w:val="22"/>
                <w:lang w:eastAsia="it-CH"/>
              </w:rPr>
            </w:pPr>
            <w:r w:rsidRPr="006F65EA">
              <w:rPr>
                <w:rFonts w:cs="Arial"/>
                <w:b/>
                <w:bCs/>
                <w:color w:val="C00000"/>
                <w:sz w:val="22"/>
                <w:lang w:eastAsia="it-CH"/>
              </w:rPr>
              <w:t>2016</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2017</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b/>
                <w:bCs/>
                <w:sz w:val="22"/>
                <w:lang w:eastAsia="it-CH"/>
              </w:rPr>
            </w:pPr>
            <w:r w:rsidRPr="006F65EA">
              <w:rPr>
                <w:rFonts w:cs="Arial"/>
                <w:b/>
                <w:bCs/>
                <w:sz w:val="22"/>
                <w:lang w:eastAsia="it-CH"/>
              </w:rPr>
              <w:t>2020</w:t>
            </w:r>
          </w:p>
        </w:tc>
      </w:tr>
      <w:tr w:rsidR="005340D2" w:rsidRPr="006F65EA" w:rsidTr="006F65EA">
        <w:trPr>
          <w:trHeight w:val="315"/>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sz w:val="22"/>
                <w:lang w:eastAsia="it-CH"/>
              </w:rPr>
            </w:pPr>
            <w:r w:rsidRPr="006F65EA">
              <w:rPr>
                <w:rFonts w:cs="Arial"/>
                <w:sz w:val="22"/>
                <w:lang w:eastAsia="it-CH"/>
              </w:rPr>
              <w:t>Ricercatori ETP</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28.7</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40.3</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42.9</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r w:rsidRPr="006F65EA">
              <w:rPr>
                <w:rFonts w:cs="Arial"/>
                <w:color w:val="C00000"/>
                <w:sz w:val="22"/>
                <w:lang w:eastAsia="it-CH"/>
              </w:rPr>
              <w:t>49.8</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51.6</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62.0</w:t>
            </w:r>
          </w:p>
        </w:tc>
      </w:tr>
      <w:tr w:rsidR="005340D2" w:rsidRPr="006F65EA" w:rsidTr="006F65EA">
        <w:trPr>
          <w:trHeight w:val="315"/>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sz w:val="22"/>
                <w:lang w:eastAsia="it-CH"/>
              </w:rPr>
            </w:pPr>
            <w:r w:rsidRPr="006F65EA">
              <w:rPr>
                <w:rFonts w:cs="Arial"/>
                <w:sz w:val="22"/>
                <w:lang w:eastAsia="it-CH"/>
              </w:rPr>
              <w:t>Amministrativo ETP</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2.7</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2.8</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3.2</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r w:rsidRPr="006F65EA">
              <w:rPr>
                <w:rFonts w:cs="Arial"/>
                <w:color w:val="C00000"/>
                <w:sz w:val="22"/>
                <w:lang w:eastAsia="it-CH"/>
              </w:rPr>
              <w:t>3.2</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3.4</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4.0</w:t>
            </w:r>
          </w:p>
        </w:tc>
      </w:tr>
      <w:tr w:rsidR="005340D2" w:rsidRPr="006F65EA" w:rsidTr="006F65EA">
        <w:trPr>
          <w:trHeight w:val="33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b/>
                <w:bCs/>
                <w:sz w:val="22"/>
                <w:lang w:eastAsia="it-CH"/>
              </w:rPr>
            </w:pPr>
            <w:r w:rsidRPr="006F65EA">
              <w:rPr>
                <w:rFonts w:cs="Arial"/>
                <w:b/>
                <w:bCs/>
                <w:sz w:val="22"/>
                <w:lang w:eastAsia="it-CH"/>
              </w:rPr>
              <w:t>Totale collaboratori ETP</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31.4</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43.1</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46.1</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r w:rsidRPr="006F65EA">
              <w:rPr>
                <w:rFonts w:cs="Arial"/>
                <w:color w:val="C00000"/>
                <w:sz w:val="22"/>
                <w:lang w:eastAsia="it-CH"/>
              </w:rPr>
              <w:t>53.0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55.0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66.0</w:t>
            </w:r>
          </w:p>
        </w:tc>
      </w:tr>
      <w:tr w:rsidR="005340D2" w:rsidRPr="007975CB" w:rsidTr="007975CB">
        <w:tc>
          <w:tcPr>
            <w:tcW w:w="3119" w:type="dxa"/>
            <w:tcBorders>
              <w:top w:val="nil"/>
              <w:left w:val="nil"/>
              <w:bottom w:val="nil"/>
              <w:right w:val="nil"/>
            </w:tcBorders>
            <w:shd w:val="clear" w:color="auto" w:fill="auto"/>
            <w:noWrap/>
            <w:vAlign w:val="bottom"/>
            <w:hideMark/>
          </w:tcPr>
          <w:p w:rsidR="005340D2" w:rsidRPr="007975CB" w:rsidRDefault="005340D2" w:rsidP="00276EE1">
            <w:pPr>
              <w:tabs>
                <w:tab w:val="left" w:pos="567"/>
              </w:tabs>
              <w:ind w:left="71"/>
              <w:jc w:val="left"/>
              <w:rPr>
                <w:rFonts w:ascii="Calibri" w:hAnsi="Calibri"/>
                <w:sz w:val="12"/>
                <w:szCs w:val="12"/>
                <w:lang w:eastAsia="it-CH"/>
              </w:rPr>
            </w:pPr>
          </w:p>
        </w:tc>
        <w:tc>
          <w:tcPr>
            <w:tcW w:w="1056" w:type="dxa"/>
            <w:tcBorders>
              <w:top w:val="nil"/>
              <w:left w:val="nil"/>
              <w:bottom w:val="nil"/>
              <w:right w:val="nil"/>
            </w:tcBorders>
            <w:shd w:val="clear" w:color="auto" w:fill="auto"/>
            <w:noWrap/>
            <w:vAlign w:val="bottom"/>
            <w:hideMark/>
          </w:tcPr>
          <w:p w:rsidR="005340D2" w:rsidRPr="007975CB" w:rsidRDefault="005340D2" w:rsidP="00276EE1">
            <w:pPr>
              <w:tabs>
                <w:tab w:val="left" w:pos="567"/>
              </w:tabs>
              <w:ind w:left="426"/>
              <w:jc w:val="center"/>
              <w:rPr>
                <w:rFonts w:ascii="Calibri" w:hAnsi="Calibri"/>
                <w:sz w:val="12"/>
                <w:szCs w:val="12"/>
                <w:lang w:eastAsia="it-CH"/>
              </w:rPr>
            </w:pPr>
          </w:p>
        </w:tc>
        <w:tc>
          <w:tcPr>
            <w:tcW w:w="1056" w:type="dxa"/>
            <w:tcBorders>
              <w:top w:val="nil"/>
              <w:left w:val="nil"/>
              <w:bottom w:val="nil"/>
              <w:right w:val="nil"/>
            </w:tcBorders>
            <w:shd w:val="clear" w:color="auto" w:fill="auto"/>
            <w:noWrap/>
            <w:vAlign w:val="bottom"/>
            <w:hideMark/>
          </w:tcPr>
          <w:p w:rsidR="005340D2" w:rsidRPr="007975CB" w:rsidRDefault="005340D2" w:rsidP="00276EE1">
            <w:pPr>
              <w:tabs>
                <w:tab w:val="left" w:pos="567"/>
              </w:tabs>
              <w:ind w:left="426"/>
              <w:jc w:val="center"/>
              <w:rPr>
                <w:rFonts w:ascii="Calibri" w:hAnsi="Calibri"/>
                <w:sz w:val="12"/>
                <w:szCs w:val="12"/>
                <w:lang w:eastAsia="it-CH"/>
              </w:rPr>
            </w:pPr>
          </w:p>
        </w:tc>
        <w:tc>
          <w:tcPr>
            <w:tcW w:w="1056" w:type="dxa"/>
            <w:tcBorders>
              <w:top w:val="nil"/>
              <w:left w:val="nil"/>
              <w:bottom w:val="nil"/>
              <w:right w:val="nil"/>
            </w:tcBorders>
            <w:shd w:val="clear" w:color="auto" w:fill="auto"/>
            <w:noWrap/>
            <w:vAlign w:val="bottom"/>
            <w:hideMark/>
          </w:tcPr>
          <w:p w:rsidR="005340D2" w:rsidRPr="007975CB" w:rsidRDefault="005340D2" w:rsidP="00276EE1">
            <w:pPr>
              <w:tabs>
                <w:tab w:val="left" w:pos="567"/>
              </w:tabs>
              <w:ind w:left="426"/>
              <w:jc w:val="center"/>
              <w:rPr>
                <w:rFonts w:ascii="Calibri" w:hAnsi="Calibri"/>
                <w:sz w:val="12"/>
                <w:szCs w:val="12"/>
                <w:lang w:eastAsia="it-CH"/>
              </w:rPr>
            </w:pPr>
          </w:p>
        </w:tc>
        <w:tc>
          <w:tcPr>
            <w:tcW w:w="1056" w:type="dxa"/>
            <w:tcBorders>
              <w:top w:val="nil"/>
              <w:left w:val="nil"/>
              <w:bottom w:val="nil"/>
              <w:right w:val="nil"/>
            </w:tcBorders>
            <w:shd w:val="clear" w:color="auto" w:fill="auto"/>
            <w:noWrap/>
            <w:vAlign w:val="bottom"/>
            <w:hideMark/>
          </w:tcPr>
          <w:p w:rsidR="005340D2" w:rsidRPr="007975CB" w:rsidRDefault="005340D2" w:rsidP="00276EE1">
            <w:pPr>
              <w:tabs>
                <w:tab w:val="left" w:pos="567"/>
              </w:tabs>
              <w:ind w:left="426"/>
              <w:jc w:val="center"/>
              <w:rPr>
                <w:rFonts w:ascii="Calibri" w:hAnsi="Calibri"/>
                <w:color w:val="C00000"/>
                <w:sz w:val="12"/>
                <w:szCs w:val="12"/>
                <w:lang w:eastAsia="it-CH"/>
              </w:rPr>
            </w:pPr>
          </w:p>
        </w:tc>
        <w:tc>
          <w:tcPr>
            <w:tcW w:w="1056" w:type="dxa"/>
            <w:tcBorders>
              <w:top w:val="nil"/>
              <w:left w:val="nil"/>
              <w:bottom w:val="nil"/>
              <w:right w:val="nil"/>
            </w:tcBorders>
            <w:shd w:val="clear" w:color="auto" w:fill="auto"/>
            <w:noWrap/>
            <w:vAlign w:val="bottom"/>
            <w:hideMark/>
          </w:tcPr>
          <w:p w:rsidR="005340D2" w:rsidRPr="007975CB" w:rsidRDefault="005340D2" w:rsidP="00276EE1">
            <w:pPr>
              <w:tabs>
                <w:tab w:val="left" w:pos="567"/>
              </w:tabs>
              <w:ind w:left="426"/>
              <w:jc w:val="center"/>
              <w:rPr>
                <w:rFonts w:ascii="Calibri" w:hAnsi="Calibri"/>
                <w:sz w:val="12"/>
                <w:szCs w:val="12"/>
                <w:lang w:eastAsia="it-CH"/>
              </w:rPr>
            </w:pPr>
          </w:p>
        </w:tc>
        <w:tc>
          <w:tcPr>
            <w:tcW w:w="1056" w:type="dxa"/>
            <w:tcBorders>
              <w:top w:val="nil"/>
              <w:left w:val="nil"/>
              <w:bottom w:val="nil"/>
              <w:right w:val="nil"/>
            </w:tcBorders>
            <w:shd w:val="clear" w:color="auto" w:fill="auto"/>
            <w:noWrap/>
            <w:vAlign w:val="bottom"/>
            <w:hideMark/>
          </w:tcPr>
          <w:p w:rsidR="005340D2" w:rsidRPr="007975CB" w:rsidRDefault="005340D2" w:rsidP="00276EE1">
            <w:pPr>
              <w:tabs>
                <w:tab w:val="left" w:pos="567"/>
              </w:tabs>
              <w:ind w:left="426"/>
              <w:jc w:val="center"/>
              <w:rPr>
                <w:rFonts w:ascii="Calibri" w:hAnsi="Calibri"/>
                <w:sz w:val="12"/>
                <w:szCs w:val="12"/>
                <w:lang w:eastAsia="it-CH"/>
              </w:rPr>
            </w:pPr>
          </w:p>
        </w:tc>
      </w:tr>
      <w:tr w:rsidR="005340D2" w:rsidRPr="006F65EA" w:rsidTr="006F65EA">
        <w:trPr>
          <w:trHeight w:val="315"/>
        </w:trPr>
        <w:tc>
          <w:tcPr>
            <w:tcW w:w="31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sz w:val="22"/>
                <w:lang w:eastAsia="it-CH"/>
              </w:rPr>
            </w:pPr>
            <w:r w:rsidRPr="006F65EA">
              <w:rPr>
                <w:rFonts w:cs="Arial"/>
                <w:sz w:val="22"/>
                <w:lang w:eastAsia="it-CH"/>
              </w:rPr>
              <w:t>Amministrativi &gt;= 50%</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r w:rsidRPr="006F65EA">
              <w:rPr>
                <w:rFonts w:cs="Arial"/>
                <w:color w:val="C00000"/>
                <w:sz w:val="22"/>
                <w:lang w:eastAsia="it-CH"/>
              </w:rPr>
              <w:t>4</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5</w:t>
            </w:r>
          </w:p>
        </w:tc>
      </w:tr>
      <w:tr w:rsidR="005340D2" w:rsidRPr="006F65EA" w:rsidTr="006F65EA">
        <w:trPr>
          <w:trHeight w:val="315"/>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sz w:val="22"/>
                <w:lang w:eastAsia="it-CH"/>
              </w:rPr>
            </w:pPr>
            <w:r w:rsidRPr="006F65EA">
              <w:rPr>
                <w:rFonts w:cs="Arial"/>
                <w:sz w:val="22"/>
                <w:lang w:eastAsia="it-CH"/>
              </w:rPr>
              <w:t>Amministrativi &lt; 50%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2</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r w:rsidRPr="006F65EA">
              <w:rPr>
                <w:rFonts w:cs="Arial"/>
                <w:color w:val="C00000"/>
                <w:sz w:val="22"/>
                <w:lang w:eastAsia="it-CH"/>
              </w:rPr>
              <w:t>3</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w:t>
            </w:r>
          </w:p>
        </w:tc>
      </w:tr>
      <w:tr w:rsidR="005340D2" w:rsidRPr="006F65EA" w:rsidTr="006F65EA">
        <w:trPr>
          <w:trHeight w:val="315"/>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sz w:val="22"/>
                <w:lang w:eastAsia="it-CH"/>
              </w:rPr>
            </w:pPr>
            <w:r w:rsidRPr="006F65EA">
              <w:rPr>
                <w:rFonts w:cs="Arial"/>
                <w:sz w:val="22"/>
                <w:lang w:eastAsia="it-CH"/>
              </w:rPr>
              <w:t> </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r>
      <w:tr w:rsidR="005340D2" w:rsidRPr="006F65EA" w:rsidTr="006F65EA">
        <w:trPr>
          <w:trHeight w:val="315"/>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sz w:val="22"/>
                <w:lang w:eastAsia="it-CH"/>
              </w:rPr>
            </w:pPr>
            <w:r w:rsidRPr="006F65EA">
              <w:rPr>
                <w:rFonts w:cs="Arial"/>
                <w:sz w:val="22"/>
                <w:lang w:eastAsia="it-CH"/>
              </w:rPr>
              <w:t>Ricercatori &gt;50%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31</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44</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45</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r w:rsidRPr="006F65EA">
              <w:rPr>
                <w:rFonts w:cs="Arial"/>
                <w:color w:val="C00000"/>
                <w:sz w:val="22"/>
                <w:lang w:eastAsia="it-CH"/>
              </w:rPr>
              <w:t>53</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54</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65</w:t>
            </w:r>
          </w:p>
        </w:tc>
      </w:tr>
      <w:tr w:rsidR="005340D2" w:rsidRPr="006F65EA" w:rsidTr="006F65EA">
        <w:trPr>
          <w:trHeight w:val="315"/>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sz w:val="22"/>
                <w:lang w:eastAsia="it-CH"/>
              </w:rPr>
            </w:pPr>
            <w:r w:rsidRPr="006F65EA">
              <w:rPr>
                <w:rFonts w:cs="Arial"/>
                <w:sz w:val="22"/>
                <w:lang w:eastAsia="it-CH"/>
              </w:rPr>
              <w:t>Ricercatori &lt;49%</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r w:rsidRPr="006F65EA">
              <w:rPr>
                <w:rFonts w:cs="Arial"/>
                <w:color w:val="C00000"/>
                <w:sz w:val="22"/>
                <w:lang w:eastAsia="it-CH"/>
              </w:rPr>
              <w:t>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0</w:t>
            </w:r>
          </w:p>
        </w:tc>
      </w:tr>
      <w:tr w:rsidR="005340D2" w:rsidRPr="006F65EA" w:rsidTr="006F65EA">
        <w:trPr>
          <w:trHeight w:val="315"/>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71"/>
              <w:rPr>
                <w:rFonts w:cs="Arial"/>
                <w:sz w:val="22"/>
                <w:lang w:eastAsia="it-CH"/>
              </w:rPr>
            </w:pPr>
            <w:r w:rsidRPr="006F65EA">
              <w:rPr>
                <w:rFonts w:cs="Arial"/>
                <w:sz w:val="22"/>
                <w:lang w:eastAsia="it-CH"/>
              </w:rPr>
              <w:t> </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p>
        </w:tc>
      </w:tr>
      <w:tr w:rsidR="005340D2" w:rsidRPr="006F65EA" w:rsidTr="006F65EA">
        <w:trPr>
          <w:trHeight w:val="315"/>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5340D2" w:rsidRPr="006F65EA" w:rsidRDefault="005340D2" w:rsidP="006F65EA">
            <w:pPr>
              <w:tabs>
                <w:tab w:val="left" w:pos="567"/>
              </w:tabs>
              <w:ind w:left="71"/>
              <w:rPr>
                <w:rFonts w:cs="Arial"/>
                <w:sz w:val="22"/>
                <w:lang w:eastAsia="it-CH"/>
              </w:rPr>
            </w:pPr>
            <w:r w:rsidRPr="006F65EA">
              <w:rPr>
                <w:rFonts w:cs="Arial"/>
                <w:sz w:val="22"/>
                <w:lang w:eastAsia="it-CH"/>
              </w:rPr>
              <w:t>Totale n. collaboratori</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36</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50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52</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color w:val="C00000"/>
                <w:sz w:val="22"/>
                <w:lang w:eastAsia="it-CH"/>
              </w:rPr>
            </w:pPr>
            <w:r w:rsidRPr="006F65EA">
              <w:rPr>
                <w:rFonts w:cs="Arial"/>
                <w:color w:val="C00000"/>
                <w:sz w:val="22"/>
                <w:lang w:eastAsia="it-CH"/>
              </w:rPr>
              <w:t>60</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62</w:t>
            </w:r>
          </w:p>
        </w:tc>
        <w:tc>
          <w:tcPr>
            <w:tcW w:w="1056" w:type="dxa"/>
            <w:tcBorders>
              <w:top w:val="nil"/>
              <w:left w:val="nil"/>
              <w:bottom w:val="single" w:sz="8" w:space="0" w:color="auto"/>
              <w:right w:val="single" w:sz="8" w:space="0" w:color="auto"/>
            </w:tcBorders>
            <w:shd w:val="clear" w:color="auto" w:fill="auto"/>
            <w:vAlign w:val="center"/>
            <w:hideMark/>
          </w:tcPr>
          <w:p w:rsidR="005340D2" w:rsidRPr="006F65EA" w:rsidRDefault="005340D2" w:rsidP="00276EE1">
            <w:pPr>
              <w:tabs>
                <w:tab w:val="left" w:pos="567"/>
              </w:tabs>
              <w:ind w:left="426"/>
              <w:jc w:val="center"/>
              <w:rPr>
                <w:rFonts w:cs="Arial"/>
                <w:sz w:val="22"/>
                <w:lang w:eastAsia="it-CH"/>
              </w:rPr>
            </w:pPr>
            <w:r w:rsidRPr="006F65EA">
              <w:rPr>
                <w:rFonts w:cs="Arial"/>
                <w:sz w:val="22"/>
                <w:lang w:eastAsia="it-CH"/>
              </w:rPr>
              <w:t>74</w:t>
            </w:r>
          </w:p>
        </w:tc>
      </w:tr>
    </w:tbl>
    <w:p w:rsidR="005340D2" w:rsidRPr="00000505" w:rsidRDefault="005340D2" w:rsidP="006F65EA">
      <w:pPr>
        <w:tabs>
          <w:tab w:val="left" w:pos="567"/>
        </w:tabs>
        <w:rPr>
          <w:rFonts w:cs="Arial"/>
          <w:i/>
          <w:sz w:val="12"/>
          <w:szCs w:val="12"/>
        </w:rPr>
      </w:pPr>
    </w:p>
    <w:p w:rsidR="005340D2" w:rsidRPr="00000505" w:rsidRDefault="005340D2" w:rsidP="006F65EA">
      <w:pPr>
        <w:rPr>
          <w:rFonts w:cs="Arial"/>
          <w:i/>
          <w:sz w:val="16"/>
          <w:szCs w:val="16"/>
        </w:rPr>
      </w:pPr>
      <w:r w:rsidRPr="00000505">
        <w:rPr>
          <w:rFonts w:cs="Arial"/>
          <w:i/>
          <w:sz w:val="16"/>
          <w:szCs w:val="16"/>
        </w:rPr>
        <w:t>Fonte: IOR</w:t>
      </w:r>
    </w:p>
    <w:p w:rsidR="005340D2" w:rsidRPr="007975CB" w:rsidRDefault="005340D2" w:rsidP="006F65EA">
      <w:pPr>
        <w:rPr>
          <w:rFonts w:cs="Arial"/>
          <w:sz w:val="22"/>
        </w:rPr>
      </w:pPr>
    </w:p>
    <w:p w:rsidR="005340D2" w:rsidRPr="007975CB" w:rsidRDefault="005340D2" w:rsidP="006F65EA">
      <w:pPr>
        <w:rPr>
          <w:rFonts w:cs="Arial"/>
          <w:sz w:val="22"/>
        </w:rPr>
      </w:pPr>
    </w:p>
    <w:p w:rsidR="005340D2" w:rsidRPr="00000505" w:rsidRDefault="005340D2" w:rsidP="006F65EA">
      <w:pPr>
        <w:rPr>
          <w:rFonts w:cs="Arial"/>
          <w:b/>
          <w:sz w:val="22"/>
        </w:rPr>
      </w:pPr>
      <w:r w:rsidRPr="00000505">
        <w:rPr>
          <w:rFonts w:cs="Arial"/>
          <w:b/>
          <w:sz w:val="22"/>
        </w:rPr>
        <w:t>Evoluzione del volume di ricerca e dei ricercatori dello IOR</w:t>
      </w:r>
    </w:p>
    <w:p w:rsidR="005340D2" w:rsidRPr="00000505" w:rsidRDefault="005340D2" w:rsidP="006F65EA">
      <w:pPr>
        <w:rPr>
          <w:rFonts w:cs="Arial"/>
          <w:i/>
          <w:sz w:val="16"/>
          <w:szCs w:val="16"/>
        </w:rPr>
      </w:pPr>
      <w:r w:rsidRPr="00000505">
        <w:rPr>
          <w:noProof/>
          <w:lang w:eastAsia="it-CH"/>
        </w:rPr>
        <w:drawing>
          <wp:inline distT="0" distB="0" distL="0" distR="0" wp14:anchorId="231F472E" wp14:editId="01FA8475">
            <wp:extent cx="5972175" cy="2676525"/>
            <wp:effectExtent l="0" t="0" r="0" b="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340D2" w:rsidRPr="00000505" w:rsidRDefault="005340D2" w:rsidP="006F65EA">
      <w:pPr>
        <w:rPr>
          <w:rFonts w:cs="Arial"/>
          <w:i/>
          <w:sz w:val="16"/>
          <w:szCs w:val="16"/>
        </w:rPr>
      </w:pPr>
    </w:p>
    <w:p w:rsidR="005340D2" w:rsidRPr="00000505" w:rsidRDefault="005340D2" w:rsidP="006F65EA">
      <w:pPr>
        <w:rPr>
          <w:rFonts w:cs="Arial"/>
          <w:i/>
          <w:sz w:val="16"/>
          <w:szCs w:val="16"/>
        </w:rPr>
      </w:pPr>
      <w:r w:rsidRPr="00000505">
        <w:rPr>
          <w:rFonts w:cs="Arial"/>
          <w:i/>
          <w:sz w:val="16"/>
          <w:szCs w:val="16"/>
        </w:rPr>
        <w:t>Fonte: IOR</w:t>
      </w:r>
    </w:p>
    <w:p w:rsidR="005340D2" w:rsidRDefault="005340D2" w:rsidP="006F65EA">
      <w:pPr>
        <w:pStyle w:val="Titolo1"/>
      </w:pPr>
      <w:r w:rsidRPr="00000505">
        <w:lastRenderedPageBreak/>
        <w:t xml:space="preserve">La logistica </w:t>
      </w:r>
      <w:r>
        <w:t xml:space="preserve">universitaria </w:t>
      </w:r>
    </w:p>
    <w:p w:rsidR="005340D2" w:rsidRDefault="006F65EA" w:rsidP="006F65EA">
      <w:pPr>
        <w:pStyle w:val="Titolo2"/>
      </w:pPr>
      <w:r>
        <w:t>3.1</w:t>
      </w:r>
      <w:r>
        <w:tab/>
      </w:r>
      <w:r w:rsidR="005340D2">
        <w:t xml:space="preserve">Investimenti approvati </w:t>
      </w:r>
    </w:p>
    <w:p w:rsidR="005340D2" w:rsidRDefault="005340D2" w:rsidP="00D92082">
      <w:r>
        <w:t>La politica universitaria in Ticino ha recentemente richiesto lo stanziamento di importanti crediti per la realizzazione delle nuove sedi di USI e SUPSI divenute indispensabili per rispondere in modo adeguato alla crescita degli istituti.</w:t>
      </w:r>
    </w:p>
    <w:p w:rsidR="005340D2" w:rsidRDefault="005340D2" w:rsidP="00D92082">
      <w:r>
        <w:t>Il messaggio 6957, approvato dal GC il 13 ottobre 2014, consentirà la realizzazione di tra grandi progetti:</w:t>
      </w:r>
    </w:p>
    <w:p w:rsidR="005340D2" w:rsidRDefault="005340D2" w:rsidP="006F65EA">
      <w:pPr>
        <w:pStyle w:val="Paragrafoelenco"/>
        <w:numPr>
          <w:ilvl w:val="0"/>
          <w:numId w:val="6"/>
        </w:numPr>
        <w:tabs>
          <w:tab w:val="left" w:pos="284"/>
        </w:tabs>
        <w:spacing w:before="60"/>
        <w:ind w:left="284" w:hanging="284"/>
      </w:pPr>
      <w:r>
        <w:t xml:space="preserve">l’ampliamento del campus USI/SUPSI a </w:t>
      </w:r>
      <w:proofErr w:type="spellStart"/>
      <w:r>
        <w:t>Viganello</w:t>
      </w:r>
      <w:proofErr w:type="spellEnd"/>
      <w:r>
        <w:t xml:space="preserve"> per un volume dell’investimenti stimato a 125 mio;</w:t>
      </w:r>
    </w:p>
    <w:p w:rsidR="005340D2" w:rsidRDefault="005340D2" w:rsidP="006F65EA">
      <w:pPr>
        <w:pStyle w:val="Paragrafoelenco"/>
        <w:numPr>
          <w:ilvl w:val="0"/>
          <w:numId w:val="6"/>
        </w:numPr>
        <w:tabs>
          <w:tab w:val="left" w:pos="284"/>
        </w:tabs>
        <w:spacing w:before="60"/>
        <w:ind w:left="284" w:hanging="284"/>
      </w:pPr>
      <w:r>
        <w:t>il nuovo campus SUPSI a Mendrisio per un investimento di 73 mio.</w:t>
      </w:r>
    </w:p>
    <w:p w:rsidR="005340D2" w:rsidRDefault="005340D2" w:rsidP="006F65EA">
      <w:pPr>
        <w:pStyle w:val="Paragrafoelenco"/>
        <w:numPr>
          <w:ilvl w:val="0"/>
          <w:numId w:val="6"/>
        </w:numPr>
        <w:tabs>
          <w:tab w:val="left" w:pos="284"/>
        </w:tabs>
        <w:spacing w:before="60"/>
        <w:ind w:left="284" w:hanging="284"/>
      </w:pPr>
      <w:r>
        <w:t>la nuova sede SUPSI alla stazione di Lugano per un investimento di 68 mio;</w:t>
      </w:r>
    </w:p>
    <w:p w:rsidR="005340D2" w:rsidRDefault="005340D2" w:rsidP="00D92082"/>
    <w:p w:rsidR="005340D2" w:rsidRDefault="005340D2" w:rsidP="00D92082">
      <w:r>
        <w:t xml:space="preserve">Il Ticino si appresta quindi a investire nei prossimi anni tra Lugano e Mendrisio ben </w:t>
      </w:r>
      <w:r w:rsidRPr="00C00335">
        <w:rPr>
          <w:u w:val="single"/>
        </w:rPr>
        <w:t>265 mio di franchi</w:t>
      </w:r>
      <w:r>
        <w:t xml:space="preserve"> per il consolidamento delle sedi di USI e SUPSI a conferma di un forte consenso a favore della crescita dell’offerta accademica del Ticino. </w:t>
      </w:r>
    </w:p>
    <w:p w:rsidR="005340D2" w:rsidRDefault="005340D2" w:rsidP="00D92082"/>
    <w:p w:rsidR="005340D2" w:rsidRDefault="005340D2" w:rsidP="00D92082">
      <w:r>
        <w:t>Ricordiamo che il finanziamento di questi investimenti si basa sulle seguenti ipotesi:</w:t>
      </w:r>
    </w:p>
    <w:p w:rsidR="005340D2" w:rsidRPr="006F65EA" w:rsidRDefault="005340D2" w:rsidP="006F65EA">
      <w:pPr>
        <w:pStyle w:val="Paragrafoelenco"/>
        <w:numPr>
          <w:ilvl w:val="0"/>
          <w:numId w:val="6"/>
        </w:numPr>
        <w:tabs>
          <w:tab w:val="left" w:pos="284"/>
        </w:tabs>
        <w:spacing w:before="60"/>
        <w:ind w:left="284" w:hanging="284"/>
      </w:pPr>
      <w:r w:rsidRPr="006F65EA">
        <w:t>265 milioni di costi globali massimi di costruzione dei tre campus;</w:t>
      </w:r>
    </w:p>
    <w:p w:rsidR="005340D2" w:rsidRPr="006F65EA" w:rsidRDefault="005340D2" w:rsidP="006F65EA">
      <w:pPr>
        <w:pStyle w:val="Paragrafoelenco"/>
        <w:numPr>
          <w:ilvl w:val="0"/>
          <w:numId w:val="6"/>
        </w:numPr>
        <w:tabs>
          <w:tab w:val="left" w:pos="284"/>
        </w:tabs>
        <w:spacing w:before="60"/>
        <w:ind w:left="284" w:hanging="284"/>
      </w:pPr>
      <w:r w:rsidRPr="006F65EA">
        <w:t>27% dei costi finanziati tramite sussidi della Confederazione (la decisione spetterà all’ente federale e la percentuale potrebbe leggermente differire);</w:t>
      </w:r>
    </w:p>
    <w:p w:rsidR="005340D2" w:rsidRPr="006F65EA" w:rsidRDefault="005340D2" w:rsidP="006F65EA">
      <w:pPr>
        <w:pStyle w:val="Paragrafoelenco"/>
        <w:numPr>
          <w:ilvl w:val="0"/>
          <w:numId w:val="6"/>
        </w:numPr>
        <w:tabs>
          <w:tab w:val="left" w:pos="284"/>
        </w:tabs>
        <w:spacing w:before="60"/>
        <w:ind w:left="284" w:hanging="284"/>
      </w:pPr>
      <w:r w:rsidRPr="006F65EA">
        <w:t>20% dei costi finanziati con contributo cantonale a costo zero;</w:t>
      </w:r>
    </w:p>
    <w:p w:rsidR="005340D2" w:rsidRPr="006F65EA" w:rsidRDefault="005340D2" w:rsidP="006F65EA">
      <w:pPr>
        <w:pStyle w:val="Paragrafoelenco"/>
        <w:numPr>
          <w:ilvl w:val="0"/>
          <w:numId w:val="6"/>
        </w:numPr>
        <w:tabs>
          <w:tab w:val="left" w:pos="284"/>
        </w:tabs>
        <w:spacing w:before="60"/>
        <w:ind w:left="284" w:hanging="284"/>
      </w:pPr>
      <w:r w:rsidRPr="006F65EA">
        <w:t>53% rimanente finanziato tramite prestito cantonale;</w:t>
      </w:r>
    </w:p>
    <w:p w:rsidR="005340D2" w:rsidRPr="006F65EA" w:rsidRDefault="005340D2" w:rsidP="006F65EA">
      <w:pPr>
        <w:pStyle w:val="Paragrafoelenco"/>
        <w:numPr>
          <w:ilvl w:val="0"/>
          <w:numId w:val="6"/>
        </w:numPr>
        <w:tabs>
          <w:tab w:val="left" w:pos="284"/>
        </w:tabs>
        <w:spacing w:before="60"/>
        <w:ind w:left="284" w:hanging="284"/>
      </w:pPr>
      <w:r w:rsidRPr="006F65EA">
        <w:t>2% annuo di costo di ammortamento del prestito cantonale (50 anni);</w:t>
      </w:r>
    </w:p>
    <w:p w:rsidR="005340D2" w:rsidRPr="006F65EA" w:rsidRDefault="005340D2" w:rsidP="006F65EA">
      <w:pPr>
        <w:pStyle w:val="Paragrafoelenco"/>
        <w:numPr>
          <w:ilvl w:val="0"/>
          <w:numId w:val="6"/>
        </w:numPr>
        <w:tabs>
          <w:tab w:val="left" w:pos="284"/>
        </w:tabs>
        <w:spacing w:before="60"/>
        <w:ind w:left="284" w:hanging="284"/>
      </w:pPr>
      <w:r w:rsidRPr="006F65EA">
        <w:t>3% di tasso d’interesse sul prestito cantonale per i primi 20 anni e 3.5% per i successivi 30 anni);</w:t>
      </w:r>
    </w:p>
    <w:p w:rsidR="005340D2" w:rsidRPr="006F65EA" w:rsidRDefault="005340D2" w:rsidP="006F65EA">
      <w:pPr>
        <w:pStyle w:val="Paragrafoelenco"/>
        <w:numPr>
          <w:ilvl w:val="0"/>
          <w:numId w:val="6"/>
        </w:numPr>
        <w:tabs>
          <w:tab w:val="left" w:pos="284"/>
        </w:tabs>
        <w:spacing w:before="60"/>
        <w:ind w:left="284" w:hanging="284"/>
      </w:pPr>
      <w:r w:rsidRPr="006F65EA">
        <w:t xml:space="preserve">rivalutazione degli affitti a parametri di mercato per il comparto Trevano SUPSI, per rendere comparabili i due scenari. </w:t>
      </w:r>
    </w:p>
    <w:p w:rsidR="005340D2" w:rsidRPr="00F66990" w:rsidRDefault="005340D2" w:rsidP="006F65EA">
      <w:pPr>
        <w:tabs>
          <w:tab w:val="left" w:pos="567"/>
        </w:tabs>
      </w:pPr>
    </w:p>
    <w:p w:rsidR="005340D2" w:rsidRPr="00F66990" w:rsidRDefault="005340D2" w:rsidP="006F65EA">
      <w:pPr>
        <w:rPr>
          <w:rFonts w:cs="Arial"/>
          <w:b/>
          <w:bCs/>
          <w:sz w:val="22"/>
        </w:rPr>
      </w:pPr>
      <w:r>
        <w:rPr>
          <w:rFonts w:cs="Arial"/>
          <w:b/>
          <w:bCs/>
          <w:sz w:val="22"/>
        </w:rPr>
        <w:t>I</w:t>
      </w:r>
      <w:r w:rsidRPr="00F66990">
        <w:rPr>
          <w:rFonts w:cs="Arial"/>
          <w:b/>
          <w:bCs/>
          <w:sz w:val="22"/>
        </w:rPr>
        <w:t>mpatto finanziario dei costi dei campus sui montanti di gestione corrente al momento della prevista entrata in funzione (anno 2019), in milioni di franchi</w:t>
      </w:r>
    </w:p>
    <w:p w:rsidR="005340D2" w:rsidRPr="00F66990" w:rsidRDefault="005340D2" w:rsidP="00601BC1">
      <w:pPr>
        <w:spacing w:before="120"/>
        <w:rPr>
          <w:rFonts w:cs="Arial"/>
          <w:bCs/>
          <w:szCs w:val="24"/>
        </w:rPr>
      </w:pPr>
    </w:p>
    <w:tbl>
      <w:tblPr>
        <w:tblW w:w="8431" w:type="dxa"/>
        <w:tblInd w:w="70" w:type="dxa"/>
        <w:tblCellMar>
          <w:left w:w="0" w:type="dxa"/>
          <w:right w:w="0" w:type="dxa"/>
        </w:tblCellMar>
        <w:tblLook w:val="0000" w:firstRow="0" w:lastRow="0" w:firstColumn="0" w:lastColumn="0" w:noHBand="0" w:noVBand="0"/>
      </w:tblPr>
      <w:tblGrid>
        <w:gridCol w:w="5812"/>
        <w:gridCol w:w="2619"/>
      </w:tblGrid>
      <w:tr w:rsidR="005340D2" w:rsidRPr="00F66990" w:rsidTr="007975CB">
        <w:trPr>
          <w:trHeight w:val="255"/>
        </w:trPr>
        <w:tc>
          <w:tcPr>
            <w:tcW w:w="5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340D2" w:rsidRPr="00F66990" w:rsidRDefault="005340D2" w:rsidP="00276EE1">
            <w:pPr>
              <w:tabs>
                <w:tab w:val="left" w:pos="567"/>
              </w:tabs>
              <w:rPr>
                <w:b/>
                <w:sz w:val="22"/>
              </w:rPr>
            </w:pPr>
            <w:r w:rsidRPr="00F66990">
              <w:rPr>
                <w:b/>
                <w:sz w:val="22"/>
              </w:rPr>
              <w:t>Voce</w:t>
            </w:r>
          </w:p>
        </w:tc>
        <w:tc>
          <w:tcPr>
            <w:tcW w:w="261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340D2" w:rsidRPr="00F66990" w:rsidRDefault="005340D2" w:rsidP="00276EE1">
            <w:pPr>
              <w:tabs>
                <w:tab w:val="left" w:pos="567"/>
              </w:tabs>
              <w:ind w:left="426"/>
              <w:jc w:val="center"/>
              <w:rPr>
                <w:rFonts w:cs="Arial"/>
                <w:sz w:val="22"/>
              </w:rPr>
            </w:pPr>
            <w:r w:rsidRPr="00F66990">
              <w:rPr>
                <w:rFonts w:cs="Arial"/>
                <w:sz w:val="22"/>
              </w:rPr>
              <w:t>in milioni di franchi</w:t>
            </w:r>
          </w:p>
        </w:tc>
      </w:tr>
      <w:tr w:rsidR="005340D2" w:rsidRPr="00F66990" w:rsidTr="007975CB">
        <w:trPr>
          <w:trHeight w:val="255"/>
        </w:trPr>
        <w:tc>
          <w:tcPr>
            <w:tcW w:w="5812" w:type="dxa"/>
            <w:tcBorders>
              <w:top w:val="single" w:sz="4" w:space="0" w:color="auto"/>
            </w:tcBorders>
            <w:noWrap/>
            <w:tcMar>
              <w:top w:w="0" w:type="dxa"/>
              <w:left w:w="70" w:type="dxa"/>
              <w:bottom w:w="0" w:type="dxa"/>
              <w:right w:w="70" w:type="dxa"/>
            </w:tcMar>
            <w:vAlign w:val="center"/>
          </w:tcPr>
          <w:p w:rsidR="005340D2" w:rsidRPr="00F66990" w:rsidRDefault="005340D2" w:rsidP="00601BC1">
            <w:pPr>
              <w:tabs>
                <w:tab w:val="left" w:pos="567"/>
              </w:tabs>
              <w:spacing w:before="120"/>
              <w:rPr>
                <w:rFonts w:cs="Arial"/>
              </w:rPr>
            </w:pPr>
            <w:r w:rsidRPr="00F66990">
              <w:rPr>
                <w:rFonts w:cs="Arial"/>
                <w:sz w:val="22"/>
              </w:rPr>
              <w:t>Costo d’investimento globale</w:t>
            </w:r>
          </w:p>
        </w:tc>
        <w:tc>
          <w:tcPr>
            <w:tcW w:w="2619" w:type="dxa"/>
            <w:tcBorders>
              <w:top w:val="single" w:sz="4" w:space="0" w:color="auto"/>
            </w:tcBorders>
            <w:noWrap/>
            <w:tcMar>
              <w:top w:w="0" w:type="dxa"/>
              <w:left w:w="70" w:type="dxa"/>
              <w:bottom w:w="0" w:type="dxa"/>
              <w:right w:w="70" w:type="dxa"/>
            </w:tcMar>
            <w:vAlign w:val="center"/>
          </w:tcPr>
          <w:p w:rsidR="005340D2" w:rsidRPr="00F66990" w:rsidRDefault="005340D2" w:rsidP="00601BC1">
            <w:pPr>
              <w:tabs>
                <w:tab w:val="left" w:pos="567"/>
              </w:tabs>
              <w:spacing w:before="120"/>
              <w:ind w:left="426"/>
              <w:jc w:val="center"/>
              <w:rPr>
                <w:rFonts w:cs="Arial"/>
              </w:rPr>
            </w:pPr>
            <w:r w:rsidRPr="00F66990">
              <w:rPr>
                <w:rFonts w:cs="Arial"/>
                <w:sz w:val="22"/>
              </w:rPr>
              <w:t>265.0</w:t>
            </w:r>
          </w:p>
        </w:tc>
      </w:tr>
      <w:tr w:rsidR="005340D2" w:rsidRPr="00F66990" w:rsidTr="007975CB">
        <w:trPr>
          <w:trHeight w:val="270"/>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rPr>
            </w:pPr>
            <w:r w:rsidRPr="00F66990">
              <w:rPr>
                <w:rFonts w:cs="Arial"/>
                <w:sz w:val="22"/>
              </w:rPr>
              <w:t>./. Sussidio federale (27 %)</w:t>
            </w:r>
          </w:p>
        </w:tc>
        <w:tc>
          <w:tcPr>
            <w:tcW w:w="2619" w:type="dxa"/>
            <w:tcBorders>
              <w:top w:val="nil"/>
              <w:left w:val="nil"/>
              <w:bottom w:val="single" w:sz="8" w:space="0" w:color="auto"/>
              <w:right w:val="nil"/>
            </w:tcBorders>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rPr>
            </w:pPr>
            <w:r w:rsidRPr="00F66990">
              <w:rPr>
                <w:rFonts w:cs="Arial"/>
                <w:sz w:val="22"/>
              </w:rPr>
              <w:t>71.5</w:t>
            </w: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rPr>
            </w:pPr>
            <w:r w:rsidRPr="00F66990">
              <w:rPr>
                <w:rFonts w:cs="Arial"/>
                <w:sz w:val="22"/>
              </w:rPr>
              <w:t xml:space="preserve">Costo d'investimento netto 1 </w:t>
            </w:r>
          </w:p>
        </w:tc>
        <w:tc>
          <w:tcPr>
            <w:tcW w:w="2619" w:type="dxa"/>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rPr>
            </w:pPr>
            <w:r w:rsidRPr="00F66990">
              <w:rPr>
                <w:rFonts w:cs="Arial"/>
                <w:sz w:val="22"/>
              </w:rPr>
              <w:t>193.5</w:t>
            </w:r>
          </w:p>
        </w:tc>
      </w:tr>
      <w:tr w:rsidR="005340D2" w:rsidRPr="00F66990" w:rsidTr="007975CB">
        <w:trPr>
          <w:trHeight w:val="270"/>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rPr>
            </w:pPr>
            <w:r w:rsidRPr="00F66990">
              <w:rPr>
                <w:rFonts w:cs="Arial"/>
                <w:sz w:val="22"/>
              </w:rPr>
              <w:t xml:space="preserve">./. contributo cantonale 20 % </w:t>
            </w:r>
          </w:p>
        </w:tc>
        <w:tc>
          <w:tcPr>
            <w:tcW w:w="2619" w:type="dxa"/>
            <w:tcBorders>
              <w:top w:val="nil"/>
              <w:left w:val="nil"/>
              <w:bottom w:val="single" w:sz="8" w:space="0" w:color="auto"/>
              <w:right w:val="nil"/>
            </w:tcBorders>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rPr>
            </w:pPr>
            <w:r w:rsidRPr="00F66990">
              <w:rPr>
                <w:rFonts w:cs="Arial"/>
                <w:sz w:val="22"/>
              </w:rPr>
              <w:t>53.2</w:t>
            </w: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rPr>
            </w:pPr>
            <w:r w:rsidRPr="00F66990">
              <w:rPr>
                <w:rFonts w:cs="Arial"/>
                <w:sz w:val="22"/>
              </w:rPr>
              <w:t>Da finanziare tramite prestito cantonale</w:t>
            </w:r>
          </w:p>
        </w:tc>
        <w:tc>
          <w:tcPr>
            <w:tcW w:w="2619" w:type="dxa"/>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rPr>
            </w:pPr>
            <w:r w:rsidRPr="00F66990">
              <w:rPr>
                <w:rFonts w:cs="Arial"/>
                <w:sz w:val="22"/>
              </w:rPr>
              <w:t>140.3</w:t>
            </w: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276EE1">
            <w:pPr>
              <w:tabs>
                <w:tab w:val="left" w:pos="567"/>
              </w:tabs>
              <w:rPr>
                <w:rFonts w:cs="Arial"/>
              </w:rPr>
            </w:pPr>
          </w:p>
        </w:tc>
        <w:tc>
          <w:tcPr>
            <w:tcW w:w="2619" w:type="dxa"/>
            <w:noWrap/>
            <w:tcMar>
              <w:top w:w="0" w:type="dxa"/>
              <w:left w:w="70" w:type="dxa"/>
              <w:bottom w:w="0" w:type="dxa"/>
              <w:right w:w="70" w:type="dxa"/>
            </w:tcMar>
            <w:vAlign w:val="center"/>
          </w:tcPr>
          <w:p w:rsidR="005340D2" w:rsidRPr="00F66990" w:rsidRDefault="005340D2" w:rsidP="00276EE1">
            <w:pPr>
              <w:tabs>
                <w:tab w:val="left" w:pos="567"/>
              </w:tabs>
              <w:ind w:left="426"/>
              <w:jc w:val="center"/>
              <w:rPr>
                <w:rFonts w:cs="Arial"/>
              </w:rPr>
            </w:pP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rPr>
            </w:pPr>
            <w:r w:rsidRPr="00F66990">
              <w:rPr>
                <w:rFonts w:cs="Arial"/>
                <w:sz w:val="22"/>
              </w:rPr>
              <w:t>Costi annui per nuovi campus SUPSI</w:t>
            </w:r>
          </w:p>
        </w:tc>
        <w:tc>
          <w:tcPr>
            <w:tcW w:w="2619" w:type="dxa"/>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rPr>
            </w:pPr>
            <w:r w:rsidRPr="00F66990">
              <w:rPr>
                <w:rFonts w:cs="Arial"/>
                <w:sz w:val="22"/>
              </w:rPr>
              <w:t>8.0</w:t>
            </w: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rPr>
            </w:pPr>
            <w:r w:rsidRPr="00F66990">
              <w:rPr>
                <w:rFonts w:cs="Arial"/>
                <w:sz w:val="22"/>
              </w:rPr>
              <w:t>Costi annui per nuovi campus USI</w:t>
            </w:r>
          </w:p>
        </w:tc>
        <w:tc>
          <w:tcPr>
            <w:tcW w:w="2619" w:type="dxa"/>
            <w:tcBorders>
              <w:bottom w:val="single" w:sz="4" w:space="0" w:color="auto"/>
            </w:tcBorders>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rPr>
            </w:pPr>
            <w:r w:rsidRPr="00F66990">
              <w:rPr>
                <w:rFonts w:cs="Arial"/>
                <w:sz w:val="22"/>
              </w:rPr>
              <w:t>2.5</w:t>
            </w: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b/>
              </w:rPr>
            </w:pPr>
            <w:r w:rsidRPr="00F66990">
              <w:rPr>
                <w:rFonts w:cs="Arial"/>
                <w:b/>
                <w:sz w:val="22"/>
              </w:rPr>
              <w:t>Costi annui USI + SUPSI</w:t>
            </w:r>
          </w:p>
        </w:tc>
        <w:tc>
          <w:tcPr>
            <w:tcW w:w="2619" w:type="dxa"/>
            <w:tcBorders>
              <w:top w:val="single" w:sz="4" w:space="0" w:color="auto"/>
            </w:tcBorders>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b/>
              </w:rPr>
            </w:pPr>
            <w:r w:rsidRPr="00F66990">
              <w:rPr>
                <w:rFonts w:cs="Arial"/>
                <w:b/>
                <w:sz w:val="22"/>
              </w:rPr>
              <w:t>10.5</w:t>
            </w: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276EE1">
            <w:pPr>
              <w:tabs>
                <w:tab w:val="left" w:pos="567"/>
              </w:tabs>
              <w:rPr>
                <w:rFonts w:cs="Arial"/>
                <w:b/>
              </w:rPr>
            </w:pPr>
          </w:p>
        </w:tc>
        <w:tc>
          <w:tcPr>
            <w:tcW w:w="2619" w:type="dxa"/>
            <w:noWrap/>
            <w:tcMar>
              <w:top w:w="0" w:type="dxa"/>
              <w:left w:w="70" w:type="dxa"/>
              <w:bottom w:w="0" w:type="dxa"/>
              <w:right w:w="70" w:type="dxa"/>
            </w:tcMar>
            <w:vAlign w:val="center"/>
          </w:tcPr>
          <w:p w:rsidR="005340D2" w:rsidRPr="00F66990" w:rsidRDefault="005340D2" w:rsidP="00276EE1">
            <w:pPr>
              <w:tabs>
                <w:tab w:val="left" w:pos="567"/>
              </w:tabs>
              <w:ind w:left="426"/>
              <w:jc w:val="center"/>
              <w:rPr>
                <w:rFonts w:cs="Arial"/>
                <w:b/>
              </w:rPr>
            </w:pP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rPr>
            </w:pPr>
            <w:r w:rsidRPr="00F66990">
              <w:rPr>
                <w:rFonts w:cs="Arial"/>
                <w:sz w:val="22"/>
              </w:rPr>
              <w:t xml:space="preserve">Onere supplementare annuale per </w:t>
            </w:r>
            <w:proofErr w:type="spellStart"/>
            <w:r w:rsidRPr="00F66990">
              <w:rPr>
                <w:rFonts w:cs="Arial"/>
                <w:sz w:val="22"/>
              </w:rPr>
              <w:t>CdP</w:t>
            </w:r>
            <w:proofErr w:type="spellEnd"/>
            <w:r w:rsidRPr="00F66990">
              <w:rPr>
                <w:rFonts w:cs="Arial"/>
                <w:sz w:val="22"/>
              </w:rPr>
              <w:t xml:space="preserve"> SUPSI</w:t>
            </w:r>
          </w:p>
        </w:tc>
        <w:tc>
          <w:tcPr>
            <w:tcW w:w="2619" w:type="dxa"/>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rPr>
            </w:pPr>
            <w:r w:rsidRPr="00F66990">
              <w:rPr>
                <w:rFonts w:cs="Arial"/>
                <w:sz w:val="22"/>
              </w:rPr>
              <w:t>3.0</w:t>
            </w: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rPr>
            </w:pPr>
            <w:r w:rsidRPr="00F66990">
              <w:rPr>
                <w:rFonts w:cs="Arial"/>
                <w:sz w:val="22"/>
              </w:rPr>
              <w:t xml:space="preserve">Onere supplementare annuale </w:t>
            </w:r>
            <w:proofErr w:type="spellStart"/>
            <w:r w:rsidRPr="00F66990">
              <w:rPr>
                <w:rFonts w:cs="Arial"/>
                <w:sz w:val="22"/>
              </w:rPr>
              <w:t>CdP</w:t>
            </w:r>
            <w:proofErr w:type="spellEnd"/>
            <w:r w:rsidRPr="00F66990">
              <w:rPr>
                <w:rFonts w:cs="Arial"/>
                <w:sz w:val="22"/>
              </w:rPr>
              <w:t xml:space="preserve"> per USI</w:t>
            </w:r>
          </w:p>
        </w:tc>
        <w:tc>
          <w:tcPr>
            <w:tcW w:w="2619" w:type="dxa"/>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rPr>
            </w:pPr>
            <w:r w:rsidRPr="00F66990">
              <w:rPr>
                <w:rFonts w:cs="Arial"/>
                <w:sz w:val="22"/>
              </w:rPr>
              <w:t>1.2</w:t>
            </w:r>
          </w:p>
        </w:tc>
      </w:tr>
      <w:tr w:rsidR="005340D2" w:rsidRPr="00F66990" w:rsidTr="007975CB">
        <w:trPr>
          <w:trHeight w:val="255"/>
        </w:trPr>
        <w:tc>
          <w:tcPr>
            <w:tcW w:w="5812" w:type="dxa"/>
            <w:noWrap/>
            <w:tcMar>
              <w:top w:w="0" w:type="dxa"/>
              <w:left w:w="70" w:type="dxa"/>
              <w:bottom w:w="0" w:type="dxa"/>
              <w:right w:w="70" w:type="dxa"/>
            </w:tcMar>
            <w:vAlign w:val="center"/>
          </w:tcPr>
          <w:p w:rsidR="005340D2" w:rsidRPr="00F66990" w:rsidRDefault="005340D2" w:rsidP="007975CB">
            <w:pPr>
              <w:tabs>
                <w:tab w:val="left" w:pos="567"/>
              </w:tabs>
              <w:spacing w:before="40"/>
              <w:rPr>
                <w:rFonts w:cs="Arial"/>
                <w:b/>
              </w:rPr>
            </w:pPr>
            <w:r w:rsidRPr="00F66990">
              <w:rPr>
                <w:rFonts w:cs="Arial"/>
                <w:b/>
                <w:sz w:val="22"/>
              </w:rPr>
              <w:t>Onere supplementare sui contributi di gestione</w:t>
            </w:r>
          </w:p>
        </w:tc>
        <w:tc>
          <w:tcPr>
            <w:tcW w:w="2619" w:type="dxa"/>
            <w:tcBorders>
              <w:top w:val="single" w:sz="4" w:space="0" w:color="auto"/>
            </w:tcBorders>
            <w:noWrap/>
            <w:tcMar>
              <w:top w:w="0" w:type="dxa"/>
              <w:left w:w="70" w:type="dxa"/>
              <w:bottom w:w="0" w:type="dxa"/>
              <w:right w:w="70" w:type="dxa"/>
            </w:tcMar>
            <w:vAlign w:val="center"/>
          </w:tcPr>
          <w:p w:rsidR="005340D2" w:rsidRPr="00F66990" w:rsidRDefault="005340D2" w:rsidP="007975CB">
            <w:pPr>
              <w:tabs>
                <w:tab w:val="left" w:pos="567"/>
              </w:tabs>
              <w:spacing w:before="40"/>
              <w:ind w:left="426"/>
              <w:jc w:val="center"/>
              <w:rPr>
                <w:rFonts w:cs="Arial"/>
                <w:b/>
              </w:rPr>
            </w:pPr>
            <w:r w:rsidRPr="00F66990">
              <w:rPr>
                <w:rFonts w:cs="Arial"/>
                <w:b/>
                <w:sz w:val="22"/>
              </w:rPr>
              <w:t>4.2</w:t>
            </w:r>
          </w:p>
        </w:tc>
      </w:tr>
    </w:tbl>
    <w:p w:rsidR="005340D2" w:rsidRDefault="005340D2" w:rsidP="005340D2">
      <w:pPr>
        <w:rPr>
          <w:rFonts w:cs="Arial"/>
        </w:rPr>
      </w:pPr>
    </w:p>
    <w:p w:rsidR="005340D2" w:rsidRDefault="005340D2" w:rsidP="005340D2">
      <w:pPr>
        <w:jc w:val="left"/>
        <w:rPr>
          <w:rFonts w:cs="Arial"/>
        </w:rPr>
      </w:pPr>
    </w:p>
    <w:p w:rsidR="007975CB" w:rsidRDefault="007975CB">
      <w:pPr>
        <w:rPr>
          <w:b/>
          <w:lang w:val="it-IT" w:eastAsia="it-IT"/>
        </w:rPr>
      </w:pPr>
      <w:r>
        <w:br w:type="page"/>
      </w:r>
    </w:p>
    <w:p w:rsidR="005340D2" w:rsidRPr="00000505" w:rsidRDefault="006F65EA" w:rsidP="006F65EA">
      <w:pPr>
        <w:pStyle w:val="Titolo2"/>
      </w:pPr>
      <w:r>
        <w:lastRenderedPageBreak/>
        <w:t>3.2</w:t>
      </w:r>
      <w:r>
        <w:tab/>
      </w:r>
      <w:r w:rsidR="005340D2">
        <w:t>Campus Bellinzona</w:t>
      </w:r>
    </w:p>
    <w:p w:rsidR="005340D2" w:rsidRDefault="005340D2" w:rsidP="00D92082">
      <w:r>
        <w:t xml:space="preserve">Il messaggio in oggetto consente finalmente di colmare le difficoltà logistiche dei due istituti di ricerca, IRB e IOR, che dopo 16 anni di crescita sono giunti a un punto di saturazione. </w:t>
      </w:r>
    </w:p>
    <w:p w:rsidR="005340D2" w:rsidRDefault="005340D2" w:rsidP="00D92082">
      <w:r>
        <w:t xml:space="preserve">Lo testimonia in particolare il fatto che l’IRB ha dovuto nel frattempo trovare soluzioni transitorie visto che la sede originale di Via Vela non era più sufficiente acquisendo spazi in affitto in Via Murate per lo stabulario e lo stabile ex </w:t>
      </w:r>
      <w:proofErr w:type="spellStart"/>
      <w:r>
        <w:t>Gallera</w:t>
      </w:r>
      <w:proofErr w:type="spellEnd"/>
      <w:r>
        <w:t xml:space="preserve"> in Via Vela. </w:t>
      </w:r>
    </w:p>
    <w:p w:rsidR="005340D2" w:rsidRDefault="005340D2" w:rsidP="00D92082">
      <w:r>
        <w:t>La sede per la ricerca a Bellinzona permette di consolidare ulteriormente l’USI quale istituto accademico della Svizzera Italiana visto che rafforza il coinvolgimento delle diverse regioni del Cantone all’attività universitaria ciò che darà certamente un accento particolare anche allo sviluppo socio economico del Ticino.</w:t>
      </w:r>
    </w:p>
    <w:p w:rsidR="005340D2" w:rsidRDefault="005340D2" w:rsidP="00D92082">
      <w:r>
        <w:t>Ricordiamo che presto l’apertura della galleria di base del Monte Ceneri rivoluzionerà i collegamenti ferroviari all’interno del Cantone permettendo a tutti in pochi minuti di spostarsi da una città all’altra. In questo senso anche il collegamento tra i vari campus sarà facilitato e sicuramente concorrenziale rispetto agli spostamenti necessari nelle città universitarie a nord delle Alpi.</w:t>
      </w:r>
    </w:p>
    <w:p w:rsidR="005340D2" w:rsidRPr="007975CB" w:rsidRDefault="005340D2" w:rsidP="00D92082">
      <w:pPr>
        <w:rPr>
          <w:sz w:val="20"/>
          <w:szCs w:val="20"/>
        </w:rPr>
      </w:pPr>
    </w:p>
    <w:p w:rsidR="006F65EA" w:rsidRPr="007975CB" w:rsidRDefault="006F65EA" w:rsidP="00D92082">
      <w:pPr>
        <w:rPr>
          <w:sz w:val="20"/>
          <w:szCs w:val="20"/>
        </w:rPr>
      </w:pPr>
    </w:p>
    <w:p w:rsidR="005340D2" w:rsidRPr="007975CB" w:rsidRDefault="005340D2" w:rsidP="00D92082">
      <w:pPr>
        <w:rPr>
          <w:sz w:val="20"/>
          <w:szCs w:val="20"/>
        </w:rPr>
      </w:pPr>
    </w:p>
    <w:p w:rsidR="005340D2" w:rsidRDefault="005340D2" w:rsidP="006F65EA">
      <w:pPr>
        <w:pStyle w:val="Titolo1"/>
      </w:pPr>
      <w:r w:rsidRPr="00522600">
        <w:t>Il Campus della ricerca a Bellinzona</w:t>
      </w:r>
    </w:p>
    <w:p w:rsidR="005340D2" w:rsidRDefault="006F65EA" w:rsidP="006F65EA">
      <w:pPr>
        <w:pStyle w:val="Titolo2"/>
      </w:pPr>
      <w:r>
        <w:t>4.1</w:t>
      </w:r>
      <w:r>
        <w:tab/>
      </w:r>
      <w:r w:rsidR="005340D2">
        <w:t>Il progetto</w:t>
      </w:r>
    </w:p>
    <w:p w:rsidR="005340D2" w:rsidRDefault="005340D2" w:rsidP="00D92082">
      <w:r w:rsidRPr="00E37221">
        <w:t xml:space="preserve">Il Consiglio della Fondazione </w:t>
      </w:r>
      <w:r>
        <w:t>dell’</w:t>
      </w:r>
      <w:r w:rsidRPr="00E37221">
        <w:t>IRB</w:t>
      </w:r>
      <w:r>
        <w:t>,</w:t>
      </w:r>
      <w:r w:rsidRPr="00E37221">
        <w:t xml:space="preserve"> </w:t>
      </w:r>
      <w:r>
        <w:t xml:space="preserve">responsabile per la gestione della sede </w:t>
      </w:r>
      <w:r w:rsidRPr="00522600">
        <w:t>dell’istituto, ha indetto nell'aprile 2014 un concorso di progetto per team interdisciplinare</w:t>
      </w:r>
      <w:r w:rsidRPr="00E37221">
        <w:t xml:space="preserve"> con procedura selettiva per la progettazione della nuova sede</w:t>
      </w:r>
    </w:p>
    <w:p w:rsidR="005340D2" w:rsidRDefault="005340D2" w:rsidP="00D92082">
      <w:r w:rsidRPr="00522600">
        <w:t xml:space="preserve">Il 18 giugno 2015 lo stesso </w:t>
      </w:r>
      <w:proofErr w:type="spellStart"/>
      <w:r w:rsidRPr="00522600">
        <w:t>CdF</w:t>
      </w:r>
      <w:proofErr w:type="spellEnd"/>
      <w:r w:rsidRPr="00522600">
        <w:t xml:space="preserve"> ha deciso di attribuire al Team </w:t>
      </w:r>
      <w:r>
        <w:t>diretto dall’</w:t>
      </w:r>
      <w:proofErr w:type="spellStart"/>
      <w:r>
        <w:t>arch.</w:t>
      </w:r>
      <w:r w:rsidRPr="00522600">
        <w:t>Aurelio</w:t>
      </w:r>
      <w:proofErr w:type="spellEnd"/>
      <w:r w:rsidRPr="00522600">
        <w:t xml:space="preserve"> </w:t>
      </w:r>
      <w:proofErr w:type="spellStart"/>
      <w:r w:rsidRPr="00522600">
        <w:t>Galfetti</w:t>
      </w:r>
      <w:proofErr w:type="spellEnd"/>
      <w:r w:rsidRPr="00522600">
        <w:t xml:space="preserve"> di Lugano, autore del progetto "Nel Parco", il mandato per la progettazione della nuova sede dell'IRB</w:t>
      </w:r>
      <w:r>
        <w:t>. Questo un estratto dell’apprezzamento della giuria del concorso:</w:t>
      </w:r>
    </w:p>
    <w:p w:rsidR="005340D2" w:rsidRPr="007975CB" w:rsidRDefault="005340D2" w:rsidP="00D92082">
      <w:pPr>
        <w:rPr>
          <w:i/>
          <w:sz w:val="16"/>
          <w:szCs w:val="16"/>
        </w:rPr>
      </w:pPr>
    </w:p>
    <w:p w:rsidR="005340D2" w:rsidRPr="00522600" w:rsidRDefault="005340D2" w:rsidP="006F65EA">
      <w:pPr>
        <w:pStyle w:val="Style1"/>
        <w:spacing w:after="0"/>
        <w:ind w:left="0"/>
        <w:jc w:val="both"/>
        <w:rPr>
          <w:rFonts w:ascii="Arial" w:hAnsi="Arial" w:cs="Arial"/>
          <w:i/>
          <w:sz w:val="22"/>
          <w:szCs w:val="22"/>
        </w:rPr>
      </w:pPr>
      <w:r w:rsidRPr="00522600">
        <w:rPr>
          <w:rFonts w:ascii="Arial" w:hAnsi="Arial" w:cs="Arial"/>
          <w:i/>
          <w:sz w:val="22"/>
          <w:szCs w:val="22"/>
        </w:rPr>
        <w:t>si integra in modo armonioso e senza eccessivi impatti nell'area verde che caratterizza i margini della città e offre anche spunti interessanti in vista del futuro sviluppo del comparto.</w:t>
      </w:r>
    </w:p>
    <w:p w:rsidR="005340D2" w:rsidRPr="00522600" w:rsidRDefault="005340D2" w:rsidP="006F65EA">
      <w:pPr>
        <w:pStyle w:val="Style1"/>
        <w:spacing w:after="0"/>
        <w:ind w:left="0"/>
        <w:jc w:val="both"/>
        <w:rPr>
          <w:rFonts w:ascii="Arial" w:hAnsi="Arial" w:cs="Arial"/>
          <w:i/>
          <w:sz w:val="22"/>
          <w:szCs w:val="22"/>
        </w:rPr>
      </w:pPr>
      <w:r w:rsidRPr="00522600">
        <w:rPr>
          <w:rFonts w:ascii="Arial" w:hAnsi="Arial" w:cs="Arial"/>
          <w:i/>
          <w:sz w:val="22"/>
          <w:szCs w:val="22"/>
        </w:rPr>
        <w:t>…</w:t>
      </w:r>
    </w:p>
    <w:p w:rsidR="005340D2" w:rsidRPr="00522600" w:rsidRDefault="005340D2" w:rsidP="006F65EA">
      <w:pPr>
        <w:pStyle w:val="Style1"/>
        <w:spacing w:after="0"/>
        <w:ind w:left="0"/>
        <w:jc w:val="both"/>
        <w:rPr>
          <w:rFonts w:ascii="Arial" w:hAnsi="Arial" w:cs="Arial"/>
          <w:i/>
          <w:sz w:val="22"/>
          <w:szCs w:val="22"/>
        </w:rPr>
      </w:pPr>
      <w:r w:rsidRPr="00522600">
        <w:rPr>
          <w:rFonts w:ascii="Arial" w:hAnsi="Arial" w:cs="Arial"/>
          <w:i/>
          <w:sz w:val="22"/>
          <w:szCs w:val="22"/>
        </w:rPr>
        <w:t>Le dimensioni contenute dell'edificio, così come l'unico piano interrato, presentano vantaggi anche dal profilo dell'investimento necessario.</w:t>
      </w:r>
    </w:p>
    <w:p w:rsidR="005340D2" w:rsidRDefault="005340D2" w:rsidP="006F65EA">
      <w:pPr>
        <w:pStyle w:val="Style1"/>
        <w:spacing w:after="0"/>
        <w:ind w:left="0"/>
        <w:jc w:val="both"/>
        <w:rPr>
          <w:rFonts w:ascii="Arial" w:hAnsi="Arial" w:cs="Arial"/>
          <w:sz w:val="24"/>
          <w:szCs w:val="24"/>
        </w:rPr>
      </w:pPr>
      <w:r w:rsidRPr="00522600">
        <w:rPr>
          <w:rFonts w:ascii="Arial" w:hAnsi="Arial" w:cs="Arial"/>
          <w:i/>
          <w:sz w:val="22"/>
          <w:szCs w:val="22"/>
        </w:rPr>
        <w:t>Il progetto propone anche una riflessione sull'edificazione ad est dell'area di concorso per eventuali necessità di ampliamento. Lo schema funzionale è in grado di generare un'estensione coerente con la prima fase</w:t>
      </w:r>
      <w:r w:rsidRPr="00522600">
        <w:rPr>
          <w:rFonts w:ascii="Arial" w:hAnsi="Arial" w:cs="Arial"/>
          <w:sz w:val="24"/>
          <w:szCs w:val="24"/>
        </w:rPr>
        <w:t>”.</w:t>
      </w:r>
    </w:p>
    <w:p w:rsidR="005340D2" w:rsidRPr="009774A9" w:rsidRDefault="005340D2" w:rsidP="006F65EA">
      <w:pPr>
        <w:pStyle w:val="Style1"/>
        <w:spacing w:after="0"/>
        <w:ind w:left="0"/>
        <w:jc w:val="both"/>
        <w:rPr>
          <w:rFonts w:ascii="Arial" w:hAnsi="Arial" w:cs="Arial"/>
          <w:sz w:val="24"/>
          <w:szCs w:val="24"/>
        </w:rPr>
      </w:pPr>
    </w:p>
    <w:p w:rsidR="005340D2" w:rsidRDefault="005340D2" w:rsidP="007975CB">
      <w:pPr>
        <w:ind w:left="284"/>
        <w:rPr>
          <w:color w:val="0070C0"/>
        </w:rPr>
      </w:pPr>
      <w:r>
        <w:rPr>
          <w:rFonts w:cs="Arial"/>
          <w:noProof/>
          <w:color w:val="FF0000"/>
          <w:szCs w:val="24"/>
          <w:lang w:eastAsia="it-CH"/>
        </w:rPr>
        <w:drawing>
          <wp:inline distT="0" distB="0" distL="0" distR="0" wp14:anchorId="22FCC82F" wp14:editId="56986C8B">
            <wp:extent cx="5807558" cy="2758440"/>
            <wp:effectExtent l="0" t="0" r="3175"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2559" cy="2760815"/>
                    </a:xfrm>
                    <a:prstGeom prst="rect">
                      <a:avLst/>
                    </a:prstGeom>
                    <a:noFill/>
                    <a:ln>
                      <a:noFill/>
                    </a:ln>
                  </pic:spPr>
                </pic:pic>
              </a:graphicData>
            </a:graphic>
          </wp:inline>
        </w:drawing>
      </w:r>
    </w:p>
    <w:p w:rsidR="005340D2" w:rsidRPr="007975CB" w:rsidRDefault="005340D2" w:rsidP="00D92082">
      <w:pPr>
        <w:rPr>
          <w:sz w:val="12"/>
          <w:szCs w:val="12"/>
        </w:rPr>
      </w:pPr>
    </w:p>
    <w:p w:rsidR="005340D2" w:rsidRDefault="005340D2" w:rsidP="00D92082">
      <w:r>
        <w:t>La nuova sede prevede le seguenti superfici:</w:t>
      </w:r>
    </w:p>
    <w:p w:rsidR="005340D2" w:rsidRDefault="005340D2" w:rsidP="00D92082"/>
    <w:p w:rsidR="00DD79A4" w:rsidRPr="00931DDE" w:rsidRDefault="00DD79A4" w:rsidP="00DD79A4">
      <w:pPr>
        <w:rPr>
          <w:rFonts w:cs="Arial"/>
          <w:b/>
          <w:color w:val="000000"/>
          <w:sz w:val="22"/>
        </w:rPr>
      </w:pPr>
      <w:r w:rsidRPr="00931DDE">
        <w:rPr>
          <w:rFonts w:cs="Arial"/>
          <w:b/>
          <w:color w:val="000000"/>
          <w:sz w:val="22"/>
        </w:rPr>
        <w:t>Superfici previste e tipologia</w:t>
      </w:r>
    </w:p>
    <w:p w:rsidR="00DD79A4" w:rsidRPr="00D91F9A" w:rsidRDefault="00DD79A4" w:rsidP="00DD79A4">
      <w:pPr>
        <w:rPr>
          <w:rFonts w:cs="Arial"/>
          <w:sz w:val="16"/>
          <w:szCs w:val="16"/>
        </w:rPr>
      </w:pPr>
    </w:p>
    <w:tbl>
      <w:tblPr>
        <w:tblpPr w:leftFromText="141" w:rightFromText="141" w:vertAnchor="text" w:tblpY="1"/>
        <w:tblOverlap w:val="never"/>
        <w:tblW w:w="8438" w:type="dxa"/>
        <w:tblLayout w:type="fixed"/>
        <w:tblCellMar>
          <w:left w:w="30" w:type="dxa"/>
          <w:right w:w="30" w:type="dxa"/>
        </w:tblCellMar>
        <w:tblLook w:val="0000" w:firstRow="0" w:lastRow="0" w:firstColumn="0" w:lastColumn="0" w:noHBand="0" w:noVBand="0"/>
      </w:tblPr>
      <w:tblGrid>
        <w:gridCol w:w="4126"/>
        <w:gridCol w:w="1388"/>
        <w:gridCol w:w="1462"/>
        <w:gridCol w:w="1462"/>
      </w:tblGrid>
      <w:tr w:rsidR="00DD79A4" w:rsidRPr="00931DDE" w:rsidTr="00161C0F">
        <w:trPr>
          <w:trHeight w:val="428"/>
        </w:trPr>
        <w:tc>
          <w:tcPr>
            <w:tcW w:w="4126" w:type="dxa"/>
            <w:tcBorders>
              <w:top w:val="single" w:sz="2" w:space="0" w:color="000000"/>
              <w:left w:val="single" w:sz="2" w:space="0" w:color="000000"/>
              <w:bottom w:val="single" w:sz="2" w:space="0" w:color="000000"/>
              <w:right w:val="single" w:sz="2" w:space="0" w:color="000000"/>
            </w:tcBorders>
          </w:tcPr>
          <w:p w:rsidR="00DD79A4" w:rsidRPr="00931DDE" w:rsidRDefault="00DD79A4" w:rsidP="00161C0F">
            <w:pPr>
              <w:autoSpaceDE w:val="0"/>
              <w:autoSpaceDN w:val="0"/>
              <w:adjustRightInd w:val="0"/>
              <w:jc w:val="right"/>
              <w:rPr>
                <w:rFonts w:cs="Arial"/>
                <w:color w:val="000000"/>
                <w:sz w:val="22"/>
                <w:lang w:eastAsia="it-CH"/>
              </w:rPr>
            </w:pPr>
          </w:p>
        </w:tc>
        <w:tc>
          <w:tcPr>
            <w:tcW w:w="1388" w:type="dxa"/>
            <w:tcBorders>
              <w:top w:val="single" w:sz="2" w:space="0" w:color="000000"/>
              <w:left w:val="single" w:sz="2" w:space="0" w:color="000000"/>
              <w:bottom w:val="single" w:sz="2" w:space="0" w:color="000000"/>
              <w:right w:val="single" w:sz="2" w:space="0" w:color="000000"/>
            </w:tcBorders>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IRB</w:t>
            </w:r>
          </w:p>
        </w:tc>
        <w:tc>
          <w:tcPr>
            <w:tcW w:w="1462" w:type="dxa"/>
            <w:tcBorders>
              <w:top w:val="single" w:sz="2" w:space="0" w:color="000000"/>
              <w:left w:val="single" w:sz="2" w:space="0" w:color="000000"/>
              <w:bottom w:val="single" w:sz="2" w:space="0" w:color="000000"/>
              <w:right w:val="single" w:sz="2" w:space="0" w:color="000000"/>
            </w:tcBorders>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IOR</w:t>
            </w:r>
          </w:p>
        </w:tc>
        <w:tc>
          <w:tcPr>
            <w:tcW w:w="1462" w:type="dxa"/>
            <w:tcBorders>
              <w:top w:val="single" w:sz="2" w:space="0" w:color="000000"/>
              <w:left w:val="single" w:sz="2" w:space="0" w:color="000000"/>
              <w:bottom w:val="single" w:sz="2" w:space="0" w:color="000000"/>
              <w:right w:val="single" w:sz="2" w:space="0" w:color="000000"/>
            </w:tcBorders>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Totale</w:t>
            </w:r>
          </w:p>
        </w:tc>
      </w:tr>
      <w:tr w:rsidR="00DD79A4" w:rsidRPr="00931DDE" w:rsidTr="00161C0F">
        <w:trPr>
          <w:trHeight w:val="290"/>
        </w:trPr>
        <w:tc>
          <w:tcPr>
            <w:tcW w:w="4126" w:type="dxa"/>
            <w:tcBorders>
              <w:top w:val="single" w:sz="2" w:space="0" w:color="000000"/>
              <w:left w:val="single" w:sz="2" w:space="0" w:color="000000"/>
              <w:bottom w:val="single" w:sz="2" w:space="0" w:color="000000"/>
              <w:right w:val="single" w:sz="2" w:space="0" w:color="000000"/>
            </w:tcBorders>
            <w:shd w:val="clear" w:color="C0C0C0" w:fill="auto"/>
          </w:tcPr>
          <w:p w:rsidR="00DD79A4" w:rsidRPr="00931DDE" w:rsidRDefault="00DD79A4" w:rsidP="00161C0F">
            <w:pPr>
              <w:autoSpaceDE w:val="0"/>
              <w:autoSpaceDN w:val="0"/>
              <w:adjustRightInd w:val="0"/>
              <w:jc w:val="left"/>
              <w:rPr>
                <w:rFonts w:cs="Arial"/>
                <w:color w:val="000000"/>
                <w:sz w:val="22"/>
                <w:lang w:eastAsia="it-CH"/>
              </w:rPr>
            </w:pPr>
            <w:r w:rsidRPr="00931DDE">
              <w:rPr>
                <w:rFonts w:cs="Arial"/>
                <w:color w:val="000000"/>
                <w:sz w:val="22"/>
                <w:lang w:eastAsia="it-CH"/>
              </w:rPr>
              <w:t>Laboratori tipo</w:t>
            </w:r>
          </w:p>
        </w:tc>
        <w:tc>
          <w:tcPr>
            <w:tcW w:w="1388" w:type="dxa"/>
            <w:tcBorders>
              <w:top w:val="single" w:sz="2" w:space="0" w:color="000000"/>
              <w:left w:val="single" w:sz="2" w:space="0" w:color="000000"/>
              <w:bottom w:val="single" w:sz="2" w:space="0" w:color="000000"/>
              <w:right w:val="single" w:sz="2" w:space="0" w:color="000000"/>
            </w:tcBorders>
            <w:shd w:val="clear" w:color="C0C0C0"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1’393</w:t>
            </w:r>
          </w:p>
        </w:tc>
        <w:tc>
          <w:tcPr>
            <w:tcW w:w="1462" w:type="dxa"/>
            <w:tcBorders>
              <w:top w:val="single" w:sz="2" w:space="0" w:color="000000"/>
              <w:left w:val="single" w:sz="2" w:space="0" w:color="000000"/>
              <w:bottom w:val="single" w:sz="2" w:space="0" w:color="000000"/>
              <w:right w:val="single" w:sz="2" w:space="0" w:color="000000"/>
            </w:tcBorders>
            <w:shd w:val="clear" w:color="C0C0C0"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639</w:t>
            </w:r>
          </w:p>
        </w:tc>
        <w:tc>
          <w:tcPr>
            <w:tcW w:w="1462" w:type="dxa"/>
            <w:tcBorders>
              <w:top w:val="single" w:sz="2" w:space="0" w:color="000000"/>
              <w:left w:val="single" w:sz="2" w:space="0" w:color="000000"/>
              <w:bottom w:val="single" w:sz="2" w:space="0" w:color="000000"/>
              <w:right w:val="single" w:sz="2" w:space="0" w:color="000000"/>
            </w:tcBorders>
            <w:shd w:val="clear" w:color="C0C0C0"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2’032</w:t>
            </w:r>
          </w:p>
        </w:tc>
      </w:tr>
      <w:tr w:rsidR="00DD79A4" w:rsidRPr="00931DDE" w:rsidTr="00161C0F">
        <w:trPr>
          <w:trHeight w:val="290"/>
        </w:trPr>
        <w:tc>
          <w:tcPr>
            <w:tcW w:w="4126"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left"/>
              <w:rPr>
                <w:rFonts w:cs="Arial"/>
                <w:color w:val="000000"/>
                <w:sz w:val="22"/>
                <w:lang w:eastAsia="it-CH"/>
              </w:rPr>
            </w:pPr>
            <w:r w:rsidRPr="00931DDE">
              <w:rPr>
                <w:rFonts w:cs="Arial"/>
                <w:color w:val="000000"/>
                <w:sz w:val="22"/>
                <w:lang w:eastAsia="it-CH"/>
              </w:rPr>
              <w:t>Laboratori speciali</w:t>
            </w:r>
          </w:p>
        </w:tc>
        <w:tc>
          <w:tcPr>
            <w:tcW w:w="1388"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467</w:t>
            </w:r>
          </w:p>
        </w:tc>
        <w:tc>
          <w:tcPr>
            <w:tcW w:w="1462" w:type="dxa"/>
            <w:tcBorders>
              <w:top w:val="single" w:sz="2" w:space="0" w:color="000000"/>
              <w:left w:val="single" w:sz="2" w:space="0" w:color="000000"/>
              <w:bottom w:val="single" w:sz="2" w:space="0" w:color="000000"/>
              <w:right w:val="single" w:sz="2" w:space="0" w:color="000000"/>
            </w:tcBorders>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86</w:t>
            </w:r>
          </w:p>
        </w:tc>
        <w:tc>
          <w:tcPr>
            <w:tcW w:w="1462"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553</w:t>
            </w:r>
          </w:p>
        </w:tc>
      </w:tr>
      <w:tr w:rsidR="00DD79A4" w:rsidRPr="00931DDE" w:rsidTr="00161C0F">
        <w:trPr>
          <w:trHeight w:val="290"/>
        </w:trPr>
        <w:tc>
          <w:tcPr>
            <w:tcW w:w="4126"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left"/>
              <w:rPr>
                <w:rFonts w:cs="Arial"/>
                <w:color w:val="000000"/>
                <w:sz w:val="22"/>
                <w:lang w:eastAsia="it-CH"/>
              </w:rPr>
            </w:pPr>
            <w:r w:rsidRPr="00931DDE">
              <w:rPr>
                <w:rFonts w:cs="Arial"/>
                <w:color w:val="000000"/>
                <w:sz w:val="22"/>
                <w:lang w:eastAsia="it-CH"/>
              </w:rPr>
              <w:t>Locali supporto laboratori</w:t>
            </w:r>
          </w:p>
        </w:tc>
        <w:tc>
          <w:tcPr>
            <w:tcW w:w="1388"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304</w:t>
            </w:r>
          </w:p>
        </w:tc>
        <w:tc>
          <w:tcPr>
            <w:tcW w:w="1462" w:type="dxa"/>
            <w:tcBorders>
              <w:top w:val="single" w:sz="2" w:space="0" w:color="000000"/>
              <w:left w:val="single" w:sz="2" w:space="0" w:color="000000"/>
              <w:bottom w:val="single" w:sz="2" w:space="0" w:color="000000"/>
              <w:right w:val="single" w:sz="2" w:space="0" w:color="000000"/>
            </w:tcBorders>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155</w:t>
            </w:r>
          </w:p>
        </w:tc>
        <w:tc>
          <w:tcPr>
            <w:tcW w:w="1462"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459</w:t>
            </w:r>
          </w:p>
        </w:tc>
      </w:tr>
      <w:tr w:rsidR="00DD79A4" w:rsidRPr="00931DDE" w:rsidTr="00161C0F">
        <w:trPr>
          <w:trHeight w:val="290"/>
        </w:trPr>
        <w:tc>
          <w:tcPr>
            <w:tcW w:w="4126"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left"/>
              <w:rPr>
                <w:rFonts w:cs="Arial"/>
                <w:color w:val="000000"/>
                <w:sz w:val="22"/>
                <w:lang w:eastAsia="it-CH"/>
              </w:rPr>
            </w:pPr>
            <w:r w:rsidRPr="00931DDE">
              <w:rPr>
                <w:rFonts w:cs="Arial"/>
                <w:color w:val="000000"/>
                <w:sz w:val="22"/>
                <w:lang w:eastAsia="it-CH"/>
              </w:rPr>
              <w:t>Uffici Group Leader</w:t>
            </w:r>
          </w:p>
        </w:tc>
        <w:tc>
          <w:tcPr>
            <w:tcW w:w="1388"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299</w:t>
            </w:r>
          </w:p>
        </w:tc>
        <w:tc>
          <w:tcPr>
            <w:tcW w:w="1462" w:type="dxa"/>
            <w:tcBorders>
              <w:top w:val="single" w:sz="2" w:space="0" w:color="000000"/>
              <w:left w:val="single" w:sz="2" w:space="0" w:color="000000"/>
              <w:bottom w:val="single" w:sz="2" w:space="0" w:color="000000"/>
              <w:right w:val="single" w:sz="2" w:space="0" w:color="000000"/>
            </w:tcBorders>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138</w:t>
            </w:r>
          </w:p>
        </w:tc>
        <w:tc>
          <w:tcPr>
            <w:tcW w:w="1462"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437</w:t>
            </w:r>
          </w:p>
        </w:tc>
      </w:tr>
      <w:tr w:rsidR="00DD79A4" w:rsidRPr="00931DDE" w:rsidTr="00161C0F">
        <w:trPr>
          <w:trHeight w:val="290"/>
        </w:trPr>
        <w:tc>
          <w:tcPr>
            <w:tcW w:w="4126"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left"/>
              <w:rPr>
                <w:rFonts w:cs="Arial"/>
                <w:color w:val="000000"/>
                <w:sz w:val="22"/>
                <w:lang w:eastAsia="it-CH"/>
              </w:rPr>
            </w:pPr>
            <w:r w:rsidRPr="00931DDE">
              <w:rPr>
                <w:rFonts w:cs="Arial"/>
                <w:color w:val="000000"/>
                <w:sz w:val="22"/>
                <w:lang w:eastAsia="it-CH"/>
              </w:rPr>
              <w:t xml:space="preserve">Amministrazione </w:t>
            </w:r>
          </w:p>
        </w:tc>
        <w:tc>
          <w:tcPr>
            <w:tcW w:w="1388"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88</w:t>
            </w:r>
          </w:p>
        </w:tc>
        <w:tc>
          <w:tcPr>
            <w:tcW w:w="1462" w:type="dxa"/>
            <w:tcBorders>
              <w:top w:val="single" w:sz="2" w:space="0" w:color="000000"/>
              <w:left w:val="single" w:sz="2" w:space="0" w:color="000000"/>
              <w:bottom w:val="single" w:sz="2" w:space="0" w:color="000000"/>
              <w:right w:val="single" w:sz="2" w:space="0" w:color="000000"/>
            </w:tcBorders>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22</w:t>
            </w:r>
          </w:p>
        </w:tc>
        <w:tc>
          <w:tcPr>
            <w:tcW w:w="1462"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110</w:t>
            </w:r>
          </w:p>
        </w:tc>
      </w:tr>
      <w:tr w:rsidR="00DD79A4" w:rsidRPr="00931DDE" w:rsidTr="00161C0F">
        <w:trPr>
          <w:trHeight w:val="434"/>
        </w:trPr>
        <w:tc>
          <w:tcPr>
            <w:tcW w:w="4126"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left"/>
              <w:rPr>
                <w:rFonts w:cs="Arial"/>
                <w:color w:val="000000"/>
                <w:sz w:val="22"/>
                <w:lang w:eastAsia="it-CH"/>
              </w:rPr>
            </w:pPr>
            <w:r w:rsidRPr="00931DDE">
              <w:rPr>
                <w:rFonts w:cs="Arial"/>
                <w:color w:val="000000"/>
                <w:sz w:val="22"/>
                <w:lang w:eastAsia="it-CH"/>
              </w:rPr>
              <w:t>Spazi comuni (stabulario, servizi, caffetteria, foyer, ecc.)</w:t>
            </w:r>
          </w:p>
        </w:tc>
        <w:tc>
          <w:tcPr>
            <w:tcW w:w="1388"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1’407</w:t>
            </w:r>
          </w:p>
        </w:tc>
        <w:tc>
          <w:tcPr>
            <w:tcW w:w="1462" w:type="dxa"/>
            <w:tcBorders>
              <w:top w:val="single" w:sz="2" w:space="0" w:color="000000"/>
              <w:left w:val="single" w:sz="2" w:space="0" w:color="000000"/>
              <w:bottom w:val="single" w:sz="2" w:space="0" w:color="000000"/>
              <w:right w:val="single" w:sz="2" w:space="0" w:color="000000"/>
            </w:tcBorders>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582</w:t>
            </w:r>
          </w:p>
        </w:tc>
        <w:tc>
          <w:tcPr>
            <w:tcW w:w="1462" w:type="dxa"/>
            <w:tcBorders>
              <w:top w:val="single" w:sz="2" w:space="0" w:color="000000"/>
              <w:left w:val="single" w:sz="2" w:space="0" w:color="000000"/>
              <w:bottom w:val="single" w:sz="2" w:space="0" w:color="000000"/>
              <w:right w:val="single" w:sz="2" w:space="0" w:color="000000"/>
            </w:tcBorders>
            <w:shd w:val="clear" w:color="auto" w:fill="auto"/>
          </w:tcPr>
          <w:p w:rsidR="00DD79A4" w:rsidRPr="00931DDE" w:rsidRDefault="00DD79A4" w:rsidP="00161C0F">
            <w:pPr>
              <w:autoSpaceDE w:val="0"/>
              <w:autoSpaceDN w:val="0"/>
              <w:adjustRightInd w:val="0"/>
              <w:jc w:val="right"/>
              <w:rPr>
                <w:rFonts w:cs="Arial"/>
                <w:color w:val="000000"/>
                <w:sz w:val="22"/>
                <w:lang w:eastAsia="it-CH"/>
              </w:rPr>
            </w:pPr>
            <w:r w:rsidRPr="00931DDE">
              <w:rPr>
                <w:rFonts w:cs="Arial"/>
                <w:color w:val="000000"/>
                <w:sz w:val="22"/>
                <w:lang w:eastAsia="it-CH"/>
              </w:rPr>
              <w:t>1’989</w:t>
            </w:r>
          </w:p>
        </w:tc>
      </w:tr>
      <w:tr w:rsidR="00DD79A4" w:rsidRPr="00931DDE" w:rsidTr="00161C0F">
        <w:trPr>
          <w:trHeight w:val="434"/>
        </w:trPr>
        <w:tc>
          <w:tcPr>
            <w:tcW w:w="4126" w:type="dxa"/>
            <w:tcBorders>
              <w:top w:val="single" w:sz="2" w:space="0" w:color="000000"/>
              <w:left w:val="single" w:sz="2" w:space="0" w:color="000000"/>
              <w:bottom w:val="single" w:sz="6" w:space="0" w:color="auto"/>
              <w:right w:val="single" w:sz="2" w:space="0" w:color="000000"/>
            </w:tcBorders>
            <w:vAlign w:val="center"/>
          </w:tcPr>
          <w:p w:rsidR="00DD79A4" w:rsidRPr="00931DDE" w:rsidRDefault="00DD79A4" w:rsidP="00161C0F">
            <w:pPr>
              <w:autoSpaceDE w:val="0"/>
              <w:autoSpaceDN w:val="0"/>
              <w:adjustRightInd w:val="0"/>
              <w:jc w:val="left"/>
              <w:rPr>
                <w:rFonts w:cs="Arial"/>
                <w:b/>
                <w:bCs/>
                <w:color w:val="000000"/>
                <w:sz w:val="22"/>
                <w:lang w:eastAsia="it-CH"/>
              </w:rPr>
            </w:pPr>
            <w:r w:rsidRPr="00931DDE">
              <w:rPr>
                <w:rFonts w:cs="Arial"/>
                <w:b/>
                <w:bCs/>
                <w:color w:val="000000"/>
                <w:sz w:val="22"/>
                <w:lang w:eastAsia="it-CH"/>
              </w:rPr>
              <w:t>Totale generale</w:t>
            </w:r>
          </w:p>
        </w:tc>
        <w:tc>
          <w:tcPr>
            <w:tcW w:w="1388" w:type="dxa"/>
            <w:tcBorders>
              <w:top w:val="single" w:sz="2" w:space="0" w:color="000000"/>
              <w:left w:val="single" w:sz="2" w:space="0" w:color="000000"/>
              <w:bottom w:val="single" w:sz="6" w:space="0" w:color="auto"/>
              <w:right w:val="single" w:sz="2" w:space="0" w:color="000000"/>
            </w:tcBorders>
            <w:vAlign w:val="center"/>
          </w:tcPr>
          <w:p w:rsidR="00DD79A4" w:rsidRPr="00931DDE" w:rsidRDefault="00DD79A4" w:rsidP="00161C0F">
            <w:pPr>
              <w:autoSpaceDE w:val="0"/>
              <w:autoSpaceDN w:val="0"/>
              <w:adjustRightInd w:val="0"/>
              <w:jc w:val="right"/>
              <w:rPr>
                <w:rFonts w:cs="Arial"/>
                <w:b/>
                <w:bCs/>
                <w:color w:val="000000"/>
                <w:sz w:val="22"/>
                <w:lang w:eastAsia="it-CH"/>
              </w:rPr>
            </w:pPr>
            <w:r w:rsidRPr="00931DDE">
              <w:rPr>
                <w:rFonts w:cs="Arial"/>
                <w:b/>
                <w:bCs/>
                <w:color w:val="000000"/>
                <w:sz w:val="22"/>
                <w:lang w:eastAsia="it-CH"/>
              </w:rPr>
              <w:t>3’958</w:t>
            </w:r>
          </w:p>
        </w:tc>
        <w:tc>
          <w:tcPr>
            <w:tcW w:w="1462" w:type="dxa"/>
            <w:tcBorders>
              <w:top w:val="single" w:sz="2" w:space="0" w:color="000000"/>
              <w:left w:val="single" w:sz="2" w:space="0" w:color="000000"/>
              <w:bottom w:val="single" w:sz="6" w:space="0" w:color="auto"/>
              <w:right w:val="single" w:sz="2" w:space="0" w:color="000000"/>
            </w:tcBorders>
            <w:vAlign w:val="center"/>
          </w:tcPr>
          <w:p w:rsidR="00DD79A4" w:rsidRPr="00931DDE" w:rsidRDefault="00DD79A4" w:rsidP="00161C0F">
            <w:pPr>
              <w:autoSpaceDE w:val="0"/>
              <w:autoSpaceDN w:val="0"/>
              <w:adjustRightInd w:val="0"/>
              <w:jc w:val="right"/>
              <w:rPr>
                <w:rFonts w:cs="Arial"/>
                <w:b/>
                <w:bCs/>
                <w:color w:val="000000"/>
                <w:sz w:val="22"/>
                <w:lang w:eastAsia="it-CH"/>
              </w:rPr>
            </w:pPr>
            <w:r w:rsidRPr="00931DDE">
              <w:rPr>
                <w:rFonts w:cs="Arial"/>
                <w:b/>
                <w:bCs/>
                <w:color w:val="000000"/>
                <w:sz w:val="22"/>
                <w:lang w:eastAsia="it-CH"/>
              </w:rPr>
              <w:t>1’622</w:t>
            </w:r>
          </w:p>
        </w:tc>
        <w:tc>
          <w:tcPr>
            <w:tcW w:w="1462" w:type="dxa"/>
            <w:tcBorders>
              <w:top w:val="single" w:sz="2" w:space="0" w:color="000000"/>
              <w:left w:val="single" w:sz="2" w:space="0" w:color="000000"/>
              <w:bottom w:val="single" w:sz="6" w:space="0" w:color="auto"/>
              <w:right w:val="single" w:sz="2" w:space="0" w:color="000000"/>
            </w:tcBorders>
            <w:vAlign w:val="center"/>
          </w:tcPr>
          <w:p w:rsidR="00DD79A4" w:rsidRPr="00931DDE" w:rsidRDefault="00DD79A4" w:rsidP="00161C0F">
            <w:pPr>
              <w:autoSpaceDE w:val="0"/>
              <w:autoSpaceDN w:val="0"/>
              <w:adjustRightInd w:val="0"/>
              <w:jc w:val="right"/>
              <w:rPr>
                <w:rFonts w:cs="Arial"/>
                <w:b/>
                <w:bCs/>
                <w:color w:val="000000"/>
                <w:sz w:val="22"/>
                <w:lang w:eastAsia="it-CH"/>
              </w:rPr>
            </w:pPr>
            <w:r w:rsidRPr="00931DDE">
              <w:rPr>
                <w:rFonts w:cs="Arial"/>
                <w:b/>
                <w:bCs/>
                <w:color w:val="000000"/>
                <w:sz w:val="22"/>
                <w:lang w:eastAsia="it-CH"/>
              </w:rPr>
              <w:t>5’580</w:t>
            </w:r>
          </w:p>
        </w:tc>
      </w:tr>
    </w:tbl>
    <w:p w:rsidR="00DD79A4" w:rsidRDefault="00DD79A4" w:rsidP="00DD79A4">
      <w:pPr>
        <w:rPr>
          <w:rFonts w:cs="Arial"/>
          <w:szCs w:val="24"/>
        </w:rPr>
      </w:pPr>
      <w:r w:rsidRPr="00931DDE">
        <w:rPr>
          <w:rFonts w:cs="Arial"/>
          <w:sz w:val="22"/>
        </w:rPr>
        <w:br w:type="textWrapping" w:clear="all"/>
      </w:r>
    </w:p>
    <w:p w:rsidR="007975CB" w:rsidRDefault="007975CB" w:rsidP="00D92082"/>
    <w:p w:rsidR="005340D2" w:rsidRDefault="005340D2" w:rsidP="00D92082">
      <w:r>
        <w:t xml:space="preserve">IRB e IOR disporranno quindi complessivamente di una superfice di 5’580 </w:t>
      </w:r>
      <w:r w:rsidRPr="00C4752D">
        <w:t>m</w:t>
      </w:r>
      <w:r w:rsidRPr="00C4752D">
        <w:rPr>
          <w:vertAlign w:val="superscript"/>
        </w:rPr>
        <w:t>2</w:t>
      </w:r>
      <w:r>
        <w:t xml:space="preserve">. </w:t>
      </w:r>
    </w:p>
    <w:p w:rsidR="005340D2" w:rsidRPr="003D09BA" w:rsidRDefault="005340D2" w:rsidP="00D92082">
      <w:pPr>
        <w:rPr>
          <w:b/>
        </w:rPr>
      </w:pPr>
      <w:r>
        <w:t xml:space="preserve">A queste superfici vanno inoltre aggiunti 967 </w:t>
      </w:r>
      <w:r w:rsidRPr="00C4752D">
        <w:t>m</w:t>
      </w:r>
      <w:r w:rsidRPr="00C4752D">
        <w:rPr>
          <w:vertAlign w:val="superscript"/>
        </w:rPr>
        <w:t>2</w:t>
      </w:r>
      <w:r>
        <w:t xml:space="preserve"> di pertinenza dei laboratori di ricerca del </w:t>
      </w:r>
      <w:proofErr w:type="spellStart"/>
      <w:r>
        <w:t>Neurocentro</w:t>
      </w:r>
      <w:proofErr w:type="spellEnd"/>
      <w:r>
        <w:t xml:space="preserve"> della Svizzera italiana (NCSI), istituto per il momento non affiliato all’USI e i cui costi sono sopportati dall’EOC, il che porta le superfici totali della nuova costruzione a 6'547</w:t>
      </w:r>
      <w:r w:rsidRPr="005807EE">
        <w:t xml:space="preserve"> </w:t>
      </w:r>
      <w:r w:rsidRPr="00C4752D">
        <w:t>m</w:t>
      </w:r>
      <w:r w:rsidRPr="00C4752D">
        <w:rPr>
          <w:vertAlign w:val="superscript"/>
        </w:rPr>
        <w:t>2</w:t>
      </w:r>
      <w:r>
        <w:t>.</w:t>
      </w:r>
    </w:p>
    <w:p w:rsidR="005340D2" w:rsidRDefault="005340D2" w:rsidP="00D92082">
      <w:r>
        <w:t>La nuova situazione consente di risolvere i bisogni logistici in linea con la pianificazione futura nel medio termine. Come affermato dalla stessa giuria, in considerazione dell’ulteriore possibile sviluppo anche repentino che questo settore potrebbe conoscere, l’impostazione del progetto permetterà eventuali ulteriori ampliamenti.</w:t>
      </w:r>
    </w:p>
    <w:p w:rsidR="005340D2" w:rsidRDefault="005340D2" w:rsidP="00D92082"/>
    <w:p w:rsidR="005340D2" w:rsidRDefault="005340D2" w:rsidP="005340D2">
      <w:pPr>
        <w:jc w:val="left"/>
        <w:rPr>
          <w:rFonts w:cs="Arial"/>
          <w:szCs w:val="24"/>
        </w:rPr>
      </w:pPr>
    </w:p>
    <w:p w:rsidR="005340D2" w:rsidRDefault="006F65EA" w:rsidP="006F65EA">
      <w:pPr>
        <w:pStyle w:val="Titolo2"/>
      </w:pPr>
      <w:r>
        <w:t>4.2</w:t>
      </w:r>
      <w:r>
        <w:tab/>
      </w:r>
      <w:r w:rsidR="005340D2">
        <w:t xml:space="preserve">I costi del Campus della ricerca </w:t>
      </w:r>
    </w:p>
    <w:p w:rsidR="005340D2" w:rsidRDefault="005340D2" w:rsidP="00D92082">
      <w:r>
        <w:t>Sulla base del progetto di massima è stata calcolata una stima dei costi di 44 milioni di franchi (pari a 980 franchi al m</w:t>
      </w:r>
      <w:r w:rsidRPr="00CD18B0">
        <w:rPr>
          <w:vertAlign w:val="superscript"/>
        </w:rPr>
        <w:t>3</w:t>
      </w:r>
      <w:r>
        <w:t>), cui vanno aggiunti 3 milioni di franchi per il costo del concorso, il coordinamento del progetto, i traslochi e gli interessi.</w:t>
      </w:r>
    </w:p>
    <w:p w:rsidR="005340D2" w:rsidRDefault="005340D2" w:rsidP="00D92082">
      <w:r w:rsidRPr="00931DDE">
        <w:t xml:space="preserve">In base alle superfici effettive occupate dai diversi istituti il costo </w:t>
      </w:r>
      <w:r>
        <w:t>è così suddiviso:</w:t>
      </w:r>
    </w:p>
    <w:p w:rsidR="005340D2" w:rsidRPr="009D389C" w:rsidRDefault="005340D2" w:rsidP="00DD79A4">
      <w:pPr>
        <w:pStyle w:val="Paragrafoelenco"/>
        <w:numPr>
          <w:ilvl w:val="0"/>
          <w:numId w:val="8"/>
        </w:numPr>
        <w:tabs>
          <w:tab w:val="left" w:pos="284"/>
          <w:tab w:val="left" w:pos="1985"/>
          <w:tab w:val="right" w:pos="3402"/>
        </w:tabs>
        <w:spacing w:before="80"/>
        <w:ind w:left="284" w:hanging="284"/>
      </w:pPr>
      <w:r w:rsidRPr="009D389C">
        <w:t>IRB</w:t>
      </w:r>
      <w:r>
        <w:tab/>
      </w:r>
      <w:r w:rsidRPr="009D389C">
        <w:t xml:space="preserve">28.4 </w:t>
      </w:r>
      <w:r>
        <w:t>milioni di franchi</w:t>
      </w:r>
    </w:p>
    <w:p w:rsidR="005340D2" w:rsidRPr="009D389C" w:rsidRDefault="005340D2" w:rsidP="00DD79A4">
      <w:pPr>
        <w:pStyle w:val="Paragrafoelenco"/>
        <w:numPr>
          <w:ilvl w:val="0"/>
          <w:numId w:val="8"/>
        </w:numPr>
        <w:tabs>
          <w:tab w:val="left" w:pos="284"/>
          <w:tab w:val="left" w:pos="1985"/>
          <w:tab w:val="right" w:pos="3402"/>
        </w:tabs>
        <w:spacing w:before="80"/>
        <w:ind w:left="284" w:hanging="284"/>
      </w:pPr>
      <w:r w:rsidRPr="009D389C">
        <w:t>IOR</w:t>
      </w:r>
      <w:r>
        <w:tab/>
        <w:t>11.</w:t>
      </w:r>
      <w:r w:rsidRPr="009D389C">
        <w:t xml:space="preserve">7 </w:t>
      </w:r>
      <w:r>
        <w:t>milioni di franchi</w:t>
      </w:r>
    </w:p>
    <w:p w:rsidR="005340D2" w:rsidRPr="009D389C" w:rsidRDefault="005340D2" w:rsidP="00DD79A4">
      <w:pPr>
        <w:pStyle w:val="Paragrafoelenco"/>
        <w:numPr>
          <w:ilvl w:val="0"/>
          <w:numId w:val="8"/>
        </w:numPr>
        <w:tabs>
          <w:tab w:val="left" w:pos="284"/>
          <w:tab w:val="left" w:pos="1985"/>
          <w:tab w:val="right" w:pos="3402"/>
        </w:tabs>
        <w:spacing w:before="80"/>
        <w:ind w:left="284" w:hanging="284"/>
      </w:pPr>
      <w:r w:rsidRPr="009D389C">
        <w:t>NCSI</w:t>
      </w:r>
      <w:r>
        <w:tab/>
      </w:r>
      <w:r w:rsidRPr="009D389C">
        <w:t xml:space="preserve">6.9 </w:t>
      </w:r>
      <w:r>
        <w:t>milioni di franchi</w:t>
      </w:r>
    </w:p>
    <w:p w:rsidR="006F65EA" w:rsidRDefault="006F65EA" w:rsidP="00D92082"/>
    <w:p w:rsidR="005340D2" w:rsidRDefault="005340D2" w:rsidP="00D92082">
      <w:r>
        <w:t>Ai costi dello stabile per la parte IRB e IOR vanno aggiunti quelli degli arredamenti e delle attrezzature stimati in:</w:t>
      </w:r>
    </w:p>
    <w:p w:rsidR="005340D2" w:rsidRPr="009D389C" w:rsidRDefault="005340D2" w:rsidP="00DD79A4">
      <w:pPr>
        <w:pStyle w:val="Paragrafoelenco"/>
        <w:numPr>
          <w:ilvl w:val="0"/>
          <w:numId w:val="8"/>
        </w:numPr>
        <w:tabs>
          <w:tab w:val="left" w:pos="284"/>
          <w:tab w:val="left" w:pos="1985"/>
          <w:tab w:val="right" w:pos="3402"/>
        </w:tabs>
        <w:spacing w:before="80"/>
        <w:ind w:left="284" w:hanging="284"/>
      </w:pPr>
      <w:r w:rsidRPr="009D389C">
        <w:t>IRB</w:t>
      </w:r>
      <w:r>
        <w:tab/>
        <w:t>12.</w:t>
      </w:r>
      <w:r w:rsidRPr="009D389C">
        <w:t xml:space="preserve">6 </w:t>
      </w:r>
      <w:r>
        <w:t>milioni di franchi</w:t>
      </w:r>
    </w:p>
    <w:p w:rsidR="005340D2" w:rsidRPr="009D389C" w:rsidRDefault="005340D2" w:rsidP="00DD79A4">
      <w:pPr>
        <w:pStyle w:val="Paragrafoelenco"/>
        <w:numPr>
          <w:ilvl w:val="0"/>
          <w:numId w:val="8"/>
        </w:numPr>
        <w:tabs>
          <w:tab w:val="left" w:pos="284"/>
          <w:tab w:val="left" w:pos="1985"/>
          <w:tab w:val="right" w:pos="3402"/>
        </w:tabs>
        <w:spacing w:before="80"/>
        <w:ind w:left="284" w:hanging="284"/>
      </w:pPr>
      <w:r w:rsidRPr="009D389C">
        <w:t>IOR</w:t>
      </w:r>
      <w:r>
        <w:tab/>
      </w:r>
      <w:r w:rsidRPr="009D389C">
        <w:t>4</w:t>
      </w:r>
      <w:r>
        <w:t>.</w:t>
      </w:r>
      <w:r w:rsidRPr="009D389C">
        <w:t xml:space="preserve">7 </w:t>
      </w:r>
      <w:r>
        <w:t>milioni di franchi</w:t>
      </w:r>
    </w:p>
    <w:p w:rsidR="006F65EA" w:rsidRDefault="006F65EA" w:rsidP="00D92082"/>
    <w:p w:rsidR="005340D2" w:rsidRDefault="005340D2" w:rsidP="00D92082">
      <w:r>
        <w:t xml:space="preserve">Come già </w:t>
      </w:r>
      <w:r w:rsidRPr="00F17294">
        <w:t>menzionato</w:t>
      </w:r>
      <w:r>
        <w:t>,</w:t>
      </w:r>
      <w:r w:rsidRPr="00F17294">
        <w:t xml:space="preserve"> il NCSI non è ancora affiliato o in via di affiliazione all'USI per cui </w:t>
      </w:r>
      <w:r>
        <w:t>gli spazi a</w:t>
      </w:r>
      <w:r w:rsidRPr="00F17294">
        <w:t>d esso destinati non possono beneficiare dei contributi federali e cantonali. Pertanto, la parte di investimento su cui si domanda una partecipazione del Cantone e della Confederazione è unicamente quella pertinente a IRB e IOR</w:t>
      </w:r>
      <w:r>
        <w:t>.</w:t>
      </w:r>
      <w:r w:rsidRPr="00F17294">
        <w:t xml:space="preserve"> </w:t>
      </w:r>
      <w:r>
        <w:t>Essa</w:t>
      </w:r>
      <w:r w:rsidRPr="00F17294">
        <w:t xml:space="preserve"> ammonta a 57.4 milioni di franchi</w:t>
      </w:r>
      <w:r>
        <w:t>,</w:t>
      </w:r>
      <w:r w:rsidRPr="00F17294">
        <w:t xml:space="preserve"> di cui 40.1 milioni per la costruzione e 17.3 </w:t>
      </w:r>
      <w:r>
        <w:t xml:space="preserve">milioni per il </w:t>
      </w:r>
      <w:r w:rsidRPr="00F17294">
        <w:t>nuovo arredo</w:t>
      </w:r>
      <w:r>
        <w:t>. Sulla base del progetto definitivo potrà essere poi allestito il preventivo con attendibilità +/-10% (Regolamento SIA).</w:t>
      </w:r>
    </w:p>
    <w:p w:rsidR="005340D2" w:rsidRDefault="005340D2" w:rsidP="00D92082"/>
    <w:p w:rsidR="005340D2" w:rsidRDefault="005340D2" w:rsidP="00D92082"/>
    <w:p w:rsidR="005340D2" w:rsidRDefault="006F65EA" w:rsidP="006F65EA">
      <w:pPr>
        <w:pStyle w:val="Titolo2"/>
      </w:pPr>
      <w:r>
        <w:lastRenderedPageBreak/>
        <w:t>4.3</w:t>
      </w:r>
      <w:r>
        <w:tab/>
      </w:r>
      <w:r w:rsidR="005340D2" w:rsidRPr="000B741D">
        <w:t>Fonti di finanziamento</w:t>
      </w:r>
    </w:p>
    <w:p w:rsidR="005340D2" w:rsidRPr="00EF1F56" w:rsidRDefault="005340D2" w:rsidP="00D92082">
      <w:r w:rsidRPr="00EF1F56">
        <w:t xml:space="preserve">Per il finanziamento dei costi elencati al punto precedente </w:t>
      </w:r>
      <w:r>
        <w:t>si tenga in considerazione i seguenti elementi:</w:t>
      </w:r>
    </w:p>
    <w:p w:rsidR="005340D2" w:rsidRPr="000B741D" w:rsidRDefault="005340D2" w:rsidP="006F65EA">
      <w:pPr>
        <w:widowControl w:val="0"/>
        <w:numPr>
          <w:ilvl w:val="0"/>
          <w:numId w:val="10"/>
        </w:numPr>
        <w:tabs>
          <w:tab w:val="clear" w:pos="720"/>
          <w:tab w:val="num" w:pos="284"/>
        </w:tabs>
        <w:spacing w:before="80"/>
        <w:ind w:left="284" w:hanging="284"/>
        <w:rPr>
          <w:rFonts w:cs="Arial"/>
          <w:szCs w:val="24"/>
        </w:rPr>
      </w:pPr>
      <w:r w:rsidRPr="000B741D">
        <w:rPr>
          <w:rFonts w:cs="Arial"/>
          <w:szCs w:val="24"/>
        </w:rPr>
        <w:t xml:space="preserve">la </w:t>
      </w:r>
      <w:r w:rsidRPr="00F54192">
        <w:rPr>
          <w:rFonts w:cs="Arial"/>
          <w:b/>
          <w:szCs w:val="24"/>
        </w:rPr>
        <w:t>Confederazione copre il 30% dei costi d’investimento per le superfici computabili</w:t>
      </w:r>
      <w:r w:rsidRPr="000B741D">
        <w:rPr>
          <w:rFonts w:cs="Arial"/>
          <w:szCs w:val="24"/>
        </w:rPr>
        <w:t xml:space="preserve">, (cfr. regole LAU). L’ufficio federale competente ha informato l'USI che ciò rappresenta in media una percentuale effettiva del 23-25% dei costi totali di costruzione dell’oggetto sussidiato; tenuto conto della tipologia di progetto, il contributo federale è stato perciò qui stimato nella misura del </w:t>
      </w:r>
      <w:r w:rsidRPr="00F54192">
        <w:rPr>
          <w:rFonts w:cs="Arial"/>
          <w:b/>
          <w:szCs w:val="24"/>
        </w:rPr>
        <w:t>25%</w:t>
      </w:r>
      <w:r w:rsidRPr="000B741D">
        <w:rPr>
          <w:rFonts w:cs="Arial"/>
          <w:szCs w:val="24"/>
        </w:rPr>
        <w:t xml:space="preserve">. </w:t>
      </w:r>
    </w:p>
    <w:p w:rsidR="005340D2" w:rsidRPr="000B741D" w:rsidRDefault="005340D2" w:rsidP="006F65EA">
      <w:pPr>
        <w:widowControl w:val="0"/>
        <w:numPr>
          <w:ilvl w:val="0"/>
          <w:numId w:val="10"/>
        </w:numPr>
        <w:tabs>
          <w:tab w:val="clear" w:pos="720"/>
          <w:tab w:val="num" w:pos="284"/>
        </w:tabs>
        <w:spacing w:before="80"/>
        <w:ind w:left="284" w:hanging="284"/>
        <w:rPr>
          <w:rFonts w:cs="Arial"/>
          <w:szCs w:val="24"/>
        </w:rPr>
      </w:pPr>
      <w:r w:rsidRPr="000B741D">
        <w:rPr>
          <w:rFonts w:cs="Arial"/>
          <w:szCs w:val="24"/>
        </w:rPr>
        <w:t xml:space="preserve">secondo la legge, </w:t>
      </w:r>
      <w:r w:rsidRPr="00F54192">
        <w:rPr>
          <w:rFonts w:cs="Arial"/>
          <w:b/>
          <w:szCs w:val="24"/>
        </w:rPr>
        <w:t>l’importo rimanente (75% del costo d’investimento) spetta all’ente finanziatore</w:t>
      </w:r>
      <w:r w:rsidRPr="000B741D">
        <w:rPr>
          <w:rFonts w:cs="Arial"/>
          <w:szCs w:val="24"/>
        </w:rPr>
        <w:t xml:space="preserve"> (</w:t>
      </w:r>
      <w:proofErr w:type="spellStart"/>
      <w:r w:rsidRPr="000B741D">
        <w:rPr>
          <w:rFonts w:cs="Arial"/>
          <w:szCs w:val="24"/>
        </w:rPr>
        <w:t>Träger</w:t>
      </w:r>
      <w:proofErr w:type="spellEnd"/>
      <w:r w:rsidRPr="000B741D">
        <w:rPr>
          <w:rFonts w:cs="Arial"/>
          <w:szCs w:val="24"/>
        </w:rPr>
        <w:t>), dedotti eventuali contributi da enti terzi;</w:t>
      </w:r>
    </w:p>
    <w:p w:rsidR="005340D2" w:rsidRDefault="005340D2" w:rsidP="006F65EA">
      <w:pPr>
        <w:widowControl w:val="0"/>
        <w:numPr>
          <w:ilvl w:val="0"/>
          <w:numId w:val="10"/>
        </w:numPr>
        <w:tabs>
          <w:tab w:val="clear" w:pos="720"/>
          <w:tab w:val="num" w:pos="284"/>
        </w:tabs>
        <w:spacing w:before="80"/>
        <w:ind w:left="284" w:hanging="284"/>
        <w:rPr>
          <w:rFonts w:cs="Arial"/>
          <w:szCs w:val="24"/>
        </w:rPr>
      </w:pPr>
      <w:r w:rsidRPr="00F54192">
        <w:rPr>
          <w:rFonts w:cs="Arial"/>
          <w:szCs w:val="24"/>
        </w:rPr>
        <w:t xml:space="preserve">la </w:t>
      </w:r>
      <w:r w:rsidRPr="00F54192">
        <w:rPr>
          <w:rFonts w:cs="Arial"/>
          <w:b/>
          <w:szCs w:val="24"/>
        </w:rPr>
        <w:t>Città di Bellinzona</w:t>
      </w:r>
      <w:r w:rsidRPr="00F54192">
        <w:rPr>
          <w:rFonts w:cs="Arial"/>
          <w:szCs w:val="24"/>
        </w:rPr>
        <w:t xml:space="preserve">, con decisione del Consiglio comunale, ha concesso all'IRB un contributo complessivo di </w:t>
      </w:r>
      <w:r w:rsidRPr="00F54192">
        <w:rPr>
          <w:rFonts w:cs="Arial"/>
          <w:b/>
          <w:szCs w:val="24"/>
        </w:rPr>
        <w:t>12.8 milioni</w:t>
      </w:r>
      <w:r w:rsidRPr="00F54192">
        <w:rPr>
          <w:rFonts w:cs="Arial"/>
          <w:szCs w:val="24"/>
        </w:rPr>
        <w:t xml:space="preserve"> di franchi approvando il messaggio municipale 3947 del febbraio 2016. Dei 12.8 milioni 2.8 sono stati utilizzati per trasformare in contributo a fondo perso il prestito senza interessi a suo tempo accordato; 10 milioni verranno invece versati cash per il finanziamento della nuova sede. </w:t>
      </w:r>
      <w:r>
        <w:rPr>
          <w:rFonts w:cs="Arial"/>
          <w:szCs w:val="24"/>
        </w:rPr>
        <w:t xml:space="preserve">La città contribuisce in modo straordinario al progetto anche rinunciando a qualsiasi indennizzo per il diritto di superficie concesso considerando che il valore del terreno è valutato in 6 mio di franchi. </w:t>
      </w:r>
    </w:p>
    <w:p w:rsidR="005340D2" w:rsidRPr="00F54192" w:rsidRDefault="005340D2" w:rsidP="006F65EA">
      <w:pPr>
        <w:widowControl w:val="0"/>
        <w:numPr>
          <w:ilvl w:val="0"/>
          <w:numId w:val="10"/>
        </w:numPr>
        <w:tabs>
          <w:tab w:val="clear" w:pos="720"/>
          <w:tab w:val="num" w:pos="284"/>
        </w:tabs>
        <w:spacing w:before="80"/>
        <w:ind w:left="284" w:hanging="284"/>
        <w:rPr>
          <w:rFonts w:cs="Arial"/>
          <w:szCs w:val="24"/>
        </w:rPr>
      </w:pPr>
      <w:r w:rsidRPr="00F54192">
        <w:rPr>
          <w:rFonts w:cs="Arial"/>
          <w:szCs w:val="24"/>
        </w:rPr>
        <w:t xml:space="preserve"> il </w:t>
      </w:r>
      <w:r w:rsidRPr="00F54192">
        <w:rPr>
          <w:rFonts w:cs="Arial"/>
          <w:b/>
          <w:szCs w:val="24"/>
        </w:rPr>
        <w:t>contratto di prestazioni vigente tra il Cantone e l’USI</w:t>
      </w:r>
      <w:r w:rsidRPr="00F54192">
        <w:rPr>
          <w:rFonts w:cs="Arial"/>
          <w:szCs w:val="24"/>
        </w:rPr>
        <w:t xml:space="preserve"> prevede all’art. 16 cpv. 2 che “</w:t>
      </w:r>
      <w:r w:rsidRPr="00F54192">
        <w:rPr>
          <w:i/>
          <w:szCs w:val="24"/>
        </w:rPr>
        <w:t>per investimenti superiori a 3 mio di franchi l'USI, in base alla LAU, chiede i contributi alla Confederazione e analogamente al Cantone. Il contributo del Cantone è calcolato al netto, dedotti i contributi federali e di altre fonti pubbliche o private</w:t>
      </w:r>
      <w:r w:rsidRPr="00F54192">
        <w:rPr>
          <w:szCs w:val="24"/>
        </w:rPr>
        <w:t>”.</w:t>
      </w:r>
      <w:r w:rsidRPr="00F54192">
        <w:rPr>
          <w:rFonts w:cs="Arial"/>
          <w:szCs w:val="24"/>
        </w:rPr>
        <w:t xml:space="preserve"> Il </w:t>
      </w:r>
      <w:r w:rsidRPr="00F54192">
        <w:rPr>
          <w:rFonts w:cs="Arial"/>
          <w:b/>
          <w:szCs w:val="24"/>
        </w:rPr>
        <w:t>contributo cantonale di 10 milioni di franchi</w:t>
      </w:r>
      <w:r w:rsidRPr="00F54192">
        <w:rPr>
          <w:rFonts w:cs="Arial"/>
          <w:szCs w:val="24"/>
        </w:rPr>
        <w:t xml:space="preserve"> è già previsto nelle linee direttive cantonali e già iscritto a piano finanziario del Cantone (cfr. capitolo 5 del presente messaggio).</w:t>
      </w:r>
    </w:p>
    <w:p w:rsidR="005340D2" w:rsidRPr="004210E7" w:rsidRDefault="005340D2" w:rsidP="00D92082"/>
    <w:p w:rsidR="00D92082" w:rsidRDefault="005340D2" w:rsidP="00D92082">
      <w:r>
        <w:t>La tabella che segue riassume, sulla base dei costi di costruzione, le fonti di finanziamento previste. Tale</w:t>
      </w:r>
      <w:r w:rsidRPr="003F6CF9">
        <w:t xml:space="preserve"> piano di finanziamento</w:t>
      </w:r>
      <w:r>
        <w:t xml:space="preserve"> è</w:t>
      </w:r>
      <w:r w:rsidRPr="003F6CF9">
        <w:t xml:space="preserve"> per il momento basato s</w:t>
      </w:r>
      <w:r>
        <w:t>ulla stima dei costi.</w:t>
      </w:r>
    </w:p>
    <w:p w:rsidR="006F65EA" w:rsidRDefault="006F65EA" w:rsidP="00D92082"/>
    <w:p w:rsidR="005340D2" w:rsidRDefault="005340D2" w:rsidP="00D92082"/>
    <w:p w:rsidR="005340D2" w:rsidRPr="00931DDE" w:rsidRDefault="005340D2" w:rsidP="00DD79A4">
      <w:pPr>
        <w:spacing w:before="40" w:after="160"/>
        <w:rPr>
          <w:rFonts w:cs="Arial"/>
          <w:b/>
          <w:sz w:val="22"/>
        </w:rPr>
      </w:pPr>
      <w:r w:rsidRPr="00931DDE">
        <w:rPr>
          <w:rFonts w:cs="Arial"/>
          <w:b/>
          <w:sz w:val="22"/>
        </w:rPr>
        <w:t xml:space="preserve">Riassunto delle fonti di finanziamento in milioni di franchi </w:t>
      </w:r>
    </w:p>
    <w:tbl>
      <w:tblPr>
        <w:tblW w:w="7670" w:type="dxa"/>
        <w:tblInd w:w="55" w:type="dxa"/>
        <w:tblCellMar>
          <w:left w:w="70" w:type="dxa"/>
          <w:right w:w="70" w:type="dxa"/>
        </w:tblCellMar>
        <w:tblLook w:val="04A0" w:firstRow="1" w:lastRow="0" w:firstColumn="1" w:lastColumn="0" w:noHBand="0" w:noVBand="1"/>
      </w:tblPr>
      <w:tblGrid>
        <w:gridCol w:w="6795"/>
        <w:gridCol w:w="875"/>
      </w:tblGrid>
      <w:tr w:rsidR="005340D2" w:rsidRPr="00931DDE" w:rsidTr="00276EE1">
        <w:tc>
          <w:tcPr>
            <w:tcW w:w="6795" w:type="dxa"/>
            <w:tcBorders>
              <w:left w:val="nil"/>
              <w:bottom w:val="nil"/>
              <w:right w:val="nil"/>
            </w:tcBorders>
            <w:shd w:val="clear" w:color="auto" w:fill="auto"/>
            <w:noWrap/>
            <w:vAlign w:val="bottom"/>
          </w:tcPr>
          <w:p w:rsidR="005340D2" w:rsidRPr="00931DDE" w:rsidRDefault="005340D2" w:rsidP="00DD79A4">
            <w:pPr>
              <w:spacing w:before="40" w:after="40"/>
              <w:jc w:val="left"/>
              <w:rPr>
                <w:rFonts w:cs="Arial"/>
                <w:sz w:val="22"/>
                <w:lang w:eastAsia="it-CH"/>
              </w:rPr>
            </w:pPr>
            <w:r w:rsidRPr="00931DDE">
              <w:rPr>
                <w:rFonts w:cs="Arial"/>
                <w:sz w:val="22"/>
                <w:lang w:eastAsia="it-CH"/>
              </w:rPr>
              <w:t>Costo di costruzione dell’immobile (incluso NCSI)</w:t>
            </w:r>
          </w:p>
        </w:tc>
        <w:tc>
          <w:tcPr>
            <w:tcW w:w="875" w:type="dxa"/>
            <w:tcBorders>
              <w:left w:val="nil"/>
              <w:right w:val="nil"/>
            </w:tcBorders>
            <w:vAlign w:val="bottom"/>
          </w:tcPr>
          <w:p w:rsidR="005340D2" w:rsidRPr="00931DDE" w:rsidRDefault="005340D2" w:rsidP="00DD79A4">
            <w:pPr>
              <w:jc w:val="right"/>
              <w:rPr>
                <w:rFonts w:cs="Arial"/>
                <w:sz w:val="22"/>
                <w:lang w:eastAsia="it-CH"/>
              </w:rPr>
            </w:pPr>
            <w:r w:rsidRPr="00931DDE">
              <w:rPr>
                <w:rFonts w:cs="Arial"/>
                <w:sz w:val="22"/>
                <w:lang w:eastAsia="it-CH"/>
              </w:rPr>
              <w:t>47.0</w:t>
            </w:r>
          </w:p>
        </w:tc>
      </w:tr>
      <w:tr w:rsidR="005340D2" w:rsidRPr="00931DDE" w:rsidTr="00276EE1">
        <w:tc>
          <w:tcPr>
            <w:tcW w:w="6795" w:type="dxa"/>
            <w:tcBorders>
              <w:left w:val="nil"/>
              <w:bottom w:val="nil"/>
              <w:right w:val="nil"/>
            </w:tcBorders>
            <w:shd w:val="clear" w:color="auto" w:fill="auto"/>
            <w:noWrap/>
            <w:vAlign w:val="bottom"/>
          </w:tcPr>
          <w:p w:rsidR="005340D2" w:rsidRPr="00931DDE" w:rsidRDefault="005340D2" w:rsidP="00DD79A4">
            <w:pPr>
              <w:spacing w:before="40" w:after="40"/>
              <w:jc w:val="left"/>
              <w:rPr>
                <w:rFonts w:cs="Arial"/>
                <w:sz w:val="22"/>
                <w:lang w:eastAsia="it-CH"/>
              </w:rPr>
            </w:pPr>
            <w:r w:rsidRPr="00931DDE">
              <w:rPr>
                <w:rFonts w:cs="Arial"/>
                <w:sz w:val="22"/>
                <w:lang w:eastAsia="it-CH"/>
              </w:rPr>
              <w:t>Costo primo arredo e attrezzature (IOR e IRB escluso NCSI)</w:t>
            </w:r>
          </w:p>
        </w:tc>
        <w:tc>
          <w:tcPr>
            <w:tcW w:w="875" w:type="dxa"/>
            <w:tcBorders>
              <w:left w:val="nil"/>
              <w:bottom w:val="single" w:sz="4" w:space="0" w:color="auto"/>
              <w:right w:val="nil"/>
            </w:tcBorders>
            <w:vAlign w:val="bottom"/>
          </w:tcPr>
          <w:p w:rsidR="005340D2" w:rsidRPr="00931DDE" w:rsidRDefault="005340D2" w:rsidP="00DD79A4">
            <w:pPr>
              <w:jc w:val="right"/>
              <w:rPr>
                <w:rFonts w:cs="Arial"/>
                <w:sz w:val="22"/>
                <w:lang w:eastAsia="it-CH"/>
              </w:rPr>
            </w:pPr>
            <w:r w:rsidRPr="00931DDE">
              <w:rPr>
                <w:rFonts w:cs="Arial"/>
                <w:sz w:val="22"/>
                <w:lang w:eastAsia="it-CH"/>
              </w:rPr>
              <w:t>17.3</w:t>
            </w:r>
          </w:p>
        </w:tc>
      </w:tr>
      <w:tr w:rsidR="005340D2" w:rsidRPr="00931DDE" w:rsidTr="00276EE1">
        <w:tc>
          <w:tcPr>
            <w:tcW w:w="6795" w:type="dxa"/>
            <w:tcBorders>
              <w:left w:val="nil"/>
              <w:bottom w:val="nil"/>
              <w:right w:val="nil"/>
            </w:tcBorders>
            <w:shd w:val="clear" w:color="auto" w:fill="auto"/>
            <w:noWrap/>
            <w:vAlign w:val="bottom"/>
          </w:tcPr>
          <w:p w:rsidR="005340D2" w:rsidRPr="00931DDE" w:rsidRDefault="005340D2" w:rsidP="00DD79A4">
            <w:pPr>
              <w:spacing w:before="40" w:after="40"/>
              <w:jc w:val="left"/>
              <w:rPr>
                <w:rFonts w:cs="Arial"/>
                <w:b/>
                <w:i/>
                <w:sz w:val="22"/>
                <w:lang w:eastAsia="it-CH"/>
              </w:rPr>
            </w:pPr>
            <w:r w:rsidRPr="00931DDE">
              <w:rPr>
                <w:rFonts w:cs="Arial"/>
                <w:b/>
                <w:i/>
                <w:sz w:val="22"/>
                <w:lang w:eastAsia="it-CH"/>
              </w:rPr>
              <w:t>Totale costo da finanziare</w:t>
            </w:r>
          </w:p>
        </w:tc>
        <w:tc>
          <w:tcPr>
            <w:tcW w:w="875" w:type="dxa"/>
            <w:tcBorders>
              <w:left w:val="nil"/>
              <w:right w:val="nil"/>
            </w:tcBorders>
            <w:vAlign w:val="bottom"/>
          </w:tcPr>
          <w:p w:rsidR="005340D2" w:rsidRPr="00931DDE" w:rsidRDefault="005340D2" w:rsidP="00DD79A4">
            <w:pPr>
              <w:jc w:val="right"/>
              <w:rPr>
                <w:rFonts w:cs="Arial"/>
                <w:b/>
                <w:i/>
                <w:sz w:val="22"/>
                <w:u w:val="single"/>
                <w:lang w:eastAsia="it-CH"/>
              </w:rPr>
            </w:pPr>
            <w:r w:rsidRPr="00931DDE">
              <w:rPr>
                <w:rFonts w:cs="Arial"/>
                <w:b/>
                <w:i/>
                <w:sz w:val="22"/>
                <w:u w:val="single"/>
                <w:lang w:eastAsia="it-CH"/>
              </w:rPr>
              <w:t>64.3</w:t>
            </w:r>
          </w:p>
        </w:tc>
      </w:tr>
      <w:tr w:rsidR="005340D2" w:rsidRPr="00931DDE" w:rsidTr="00276EE1">
        <w:tc>
          <w:tcPr>
            <w:tcW w:w="6795" w:type="dxa"/>
            <w:tcBorders>
              <w:top w:val="nil"/>
              <w:left w:val="nil"/>
              <w:bottom w:val="nil"/>
              <w:right w:val="nil"/>
            </w:tcBorders>
            <w:shd w:val="clear" w:color="auto" w:fill="auto"/>
            <w:noWrap/>
            <w:vAlign w:val="bottom"/>
          </w:tcPr>
          <w:p w:rsidR="005340D2" w:rsidRPr="00931DDE" w:rsidRDefault="005340D2" w:rsidP="00DD79A4">
            <w:pPr>
              <w:spacing w:before="40" w:after="40"/>
              <w:jc w:val="left"/>
              <w:rPr>
                <w:rFonts w:cs="Arial"/>
                <w:b/>
                <w:i/>
                <w:sz w:val="22"/>
                <w:lang w:eastAsia="it-CH"/>
              </w:rPr>
            </w:pPr>
            <w:r w:rsidRPr="00931DDE">
              <w:rPr>
                <w:rFonts w:cs="Arial"/>
                <w:b/>
                <w:i/>
                <w:sz w:val="22"/>
                <w:lang w:eastAsia="it-CH"/>
              </w:rPr>
              <w:t>Finanziamento</w:t>
            </w:r>
          </w:p>
          <w:p w:rsidR="005340D2" w:rsidRPr="00931DDE" w:rsidRDefault="005340D2" w:rsidP="00DD79A4">
            <w:pPr>
              <w:spacing w:before="40" w:after="40"/>
              <w:jc w:val="left"/>
              <w:rPr>
                <w:rFonts w:cs="Arial"/>
                <w:sz w:val="22"/>
                <w:lang w:eastAsia="it-CH"/>
              </w:rPr>
            </w:pPr>
            <w:r w:rsidRPr="00931DDE">
              <w:rPr>
                <w:rFonts w:cs="Arial"/>
                <w:sz w:val="22"/>
                <w:lang w:eastAsia="it-CH"/>
              </w:rPr>
              <w:t xml:space="preserve">Contributo federale per IRB e IOR (25% </w:t>
            </w:r>
            <w:proofErr w:type="spellStart"/>
            <w:r w:rsidRPr="00931DDE">
              <w:rPr>
                <w:rFonts w:cs="Arial"/>
                <w:sz w:val="22"/>
                <w:lang w:eastAsia="it-CH"/>
              </w:rPr>
              <w:t>escl</w:t>
            </w:r>
            <w:proofErr w:type="spellEnd"/>
            <w:r w:rsidRPr="00931DDE">
              <w:rPr>
                <w:rFonts w:cs="Arial"/>
                <w:sz w:val="22"/>
                <w:lang w:eastAsia="it-CH"/>
              </w:rPr>
              <w:t>. NCSI)</w:t>
            </w:r>
          </w:p>
        </w:tc>
        <w:tc>
          <w:tcPr>
            <w:tcW w:w="875" w:type="dxa"/>
            <w:tcBorders>
              <w:top w:val="nil"/>
              <w:left w:val="nil"/>
              <w:right w:val="nil"/>
            </w:tcBorders>
            <w:vAlign w:val="bottom"/>
          </w:tcPr>
          <w:p w:rsidR="005340D2" w:rsidRPr="00931DDE" w:rsidRDefault="005340D2" w:rsidP="00DD79A4">
            <w:pPr>
              <w:jc w:val="right"/>
              <w:rPr>
                <w:rFonts w:cs="Arial"/>
                <w:sz w:val="22"/>
                <w:lang w:eastAsia="it-CH"/>
              </w:rPr>
            </w:pPr>
            <w:r w:rsidRPr="00931DDE">
              <w:rPr>
                <w:rFonts w:cs="Arial"/>
                <w:sz w:val="22"/>
                <w:lang w:eastAsia="it-CH"/>
              </w:rPr>
              <w:t>14.4</w:t>
            </w:r>
          </w:p>
        </w:tc>
      </w:tr>
      <w:tr w:rsidR="005340D2" w:rsidRPr="00931DDE" w:rsidTr="00276EE1">
        <w:tc>
          <w:tcPr>
            <w:tcW w:w="6795" w:type="dxa"/>
            <w:tcBorders>
              <w:top w:val="nil"/>
              <w:left w:val="nil"/>
              <w:bottom w:val="nil"/>
              <w:right w:val="nil"/>
            </w:tcBorders>
            <w:shd w:val="clear" w:color="auto" w:fill="auto"/>
            <w:noWrap/>
            <w:vAlign w:val="bottom"/>
          </w:tcPr>
          <w:p w:rsidR="005340D2" w:rsidRPr="00931DDE" w:rsidRDefault="005340D2" w:rsidP="00DD79A4">
            <w:pPr>
              <w:spacing w:before="40" w:after="40"/>
              <w:jc w:val="left"/>
              <w:rPr>
                <w:rFonts w:cs="Arial"/>
                <w:sz w:val="22"/>
                <w:lang w:eastAsia="it-CH"/>
              </w:rPr>
            </w:pPr>
            <w:r w:rsidRPr="00931DDE">
              <w:rPr>
                <w:rFonts w:cs="Arial"/>
                <w:sz w:val="22"/>
                <w:lang w:eastAsia="it-CH"/>
              </w:rPr>
              <w:t xml:space="preserve">Contributo d’investimento cantonale </w:t>
            </w:r>
          </w:p>
        </w:tc>
        <w:tc>
          <w:tcPr>
            <w:tcW w:w="875" w:type="dxa"/>
            <w:tcBorders>
              <w:top w:val="nil"/>
              <w:left w:val="nil"/>
              <w:right w:val="nil"/>
            </w:tcBorders>
            <w:vAlign w:val="bottom"/>
          </w:tcPr>
          <w:p w:rsidR="005340D2" w:rsidRPr="00931DDE" w:rsidRDefault="005340D2" w:rsidP="00DD79A4">
            <w:pPr>
              <w:jc w:val="right"/>
              <w:rPr>
                <w:rFonts w:cs="Arial"/>
                <w:sz w:val="22"/>
                <w:lang w:eastAsia="it-CH"/>
              </w:rPr>
            </w:pPr>
            <w:r w:rsidRPr="00931DDE">
              <w:rPr>
                <w:rFonts w:cs="Arial"/>
                <w:sz w:val="22"/>
                <w:lang w:eastAsia="it-CH"/>
              </w:rPr>
              <w:t>10.0</w:t>
            </w:r>
          </w:p>
        </w:tc>
      </w:tr>
      <w:tr w:rsidR="005340D2" w:rsidRPr="00931DDE" w:rsidTr="00276EE1">
        <w:tc>
          <w:tcPr>
            <w:tcW w:w="6795" w:type="dxa"/>
            <w:tcBorders>
              <w:top w:val="nil"/>
              <w:left w:val="nil"/>
              <w:bottom w:val="nil"/>
              <w:right w:val="nil"/>
            </w:tcBorders>
            <w:shd w:val="clear" w:color="auto" w:fill="auto"/>
            <w:noWrap/>
            <w:vAlign w:val="bottom"/>
          </w:tcPr>
          <w:p w:rsidR="005340D2" w:rsidRPr="00931DDE" w:rsidRDefault="005340D2" w:rsidP="00DD79A4">
            <w:pPr>
              <w:spacing w:before="40" w:after="40"/>
              <w:rPr>
                <w:rFonts w:cs="Arial"/>
                <w:sz w:val="22"/>
                <w:lang w:eastAsia="it-CH"/>
              </w:rPr>
            </w:pPr>
            <w:r w:rsidRPr="00931DDE">
              <w:rPr>
                <w:rFonts w:cs="Arial"/>
                <w:sz w:val="22"/>
                <w:lang w:eastAsia="it-CH"/>
              </w:rPr>
              <w:t>Contributo Città di Bellinzona</w:t>
            </w:r>
          </w:p>
        </w:tc>
        <w:tc>
          <w:tcPr>
            <w:tcW w:w="875" w:type="dxa"/>
            <w:tcBorders>
              <w:top w:val="nil"/>
              <w:left w:val="nil"/>
              <w:right w:val="nil"/>
            </w:tcBorders>
            <w:vAlign w:val="bottom"/>
          </w:tcPr>
          <w:p w:rsidR="005340D2" w:rsidRPr="00931DDE" w:rsidRDefault="005340D2" w:rsidP="00DD79A4">
            <w:pPr>
              <w:jc w:val="right"/>
              <w:rPr>
                <w:rFonts w:cs="Arial"/>
                <w:sz w:val="22"/>
                <w:lang w:eastAsia="it-CH"/>
              </w:rPr>
            </w:pPr>
            <w:r w:rsidRPr="00931DDE">
              <w:rPr>
                <w:rFonts w:cs="Arial"/>
                <w:sz w:val="22"/>
                <w:lang w:eastAsia="it-CH"/>
              </w:rPr>
              <w:t>12.8</w:t>
            </w:r>
          </w:p>
        </w:tc>
      </w:tr>
      <w:tr w:rsidR="005340D2" w:rsidRPr="00931DDE" w:rsidTr="00276EE1">
        <w:tc>
          <w:tcPr>
            <w:tcW w:w="6795" w:type="dxa"/>
            <w:tcBorders>
              <w:top w:val="nil"/>
              <w:left w:val="nil"/>
              <w:bottom w:val="nil"/>
              <w:right w:val="nil"/>
            </w:tcBorders>
            <w:shd w:val="clear" w:color="auto" w:fill="auto"/>
            <w:noWrap/>
            <w:vAlign w:val="bottom"/>
          </w:tcPr>
          <w:p w:rsidR="005340D2" w:rsidRPr="00931DDE" w:rsidRDefault="005340D2" w:rsidP="00DD79A4">
            <w:pPr>
              <w:spacing w:before="40" w:after="40"/>
              <w:rPr>
                <w:rFonts w:cs="Arial"/>
                <w:sz w:val="22"/>
                <w:lang w:eastAsia="it-CH"/>
              </w:rPr>
            </w:pPr>
            <w:r w:rsidRPr="00931DDE">
              <w:rPr>
                <w:rFonts w:cs="Arial"/>
                <w:sz w:val="22"/>
              </w:rPr>
              <w:t>Fondazione privata e altri fondi terzi</w:t>
            </w:r>
          </w:p>
        </w:tc>
        <w:tc>
          <w:tcPr>
            <w:tcW w:w="875" w:type="dxa"/>
            <w:tcBorders>
              <w:left w:val="nil"/>
              <w:right w:val="nil"/>
            </w:tcBorders>
            <w:vAlign w:val="bottom"/>
          </w:tcPr>
          <w:p w:rsidR="005340D2" w:rsidRPr="00931DDE" w:rsidRDefault="005340D2" w:rsidP="00DD79A4">
            <w:pPr>
              <w:jc w:val="right"/>
              <w:rPr>
                <w:rFonts w:cs="Arial"/>
                <w:sz w:val="22"/>
                <w:lang w:eastAsia="it-CH"/>
              </w:rPr>
            </w:pPr>
            <w:r w:rsidRPr="00931DDE">
              <w:rPr>
                <w:rFonts w:cs="Arial"/>
                <w:sz w:val="22"/>
                <w:lang w:eastAsia="it-CH"/>
              </w:rPr>
              <w:t>11.3</w:t>
            </w:r>
          </w:p>
        </w:tc>
      </w:tr>
      <w:tr w:rsidR="005340D2" w:rsidRPr="00931DDE" w:rsidTr="00276EE1">
        <w:tc>
          <w:tcPr>
            <w:tcW w:w="6795" w:type="dxa"/>
            <w:tcBorders>
              <w:top w:val="nil"/>
              <w:left w:val="nil"/>
              <w:right w:val="nil"/>
            </w:tcBorders>
            <w:shd w:val="clear" w:color="auto" w:fill="auto"/>
            <w:noWrap/>
            <w:vAlign w:val="bottom"/>
          </w:tcPr>
          <w:p w:rsidR="005340D2" w:rsidRPr="00931DDE" w:rsidRDefault="005340D2" w:rsidP="00DD79A4">
            <w:pPr>
              <w:spacing w:before="40" w:after="40"/>
              <w:rPr>
                <w:rFonts w:cs="Arial"/>
                <w:sz w:val="22"/>
                <w:lang w:eastAsia="it-CH"/>
              </w:rPr>
            </w:pPr>
            <w:r w:rsidRPr="00931DDE">
              <w:rPr>
                <w:rFonts w:cs="Arial"/>
                <w:sz w:val="22"/>
              </w:rPr>
              <w:t xml:space="preserve">Fondi propri </w:t>
            </w:r>
          </w:p>
        </w:tc>
        <w:tc>
          <w:tcPr>
            <w:tcW w:w="875" w:type="dxa"/>
            <w:tcBorders>
              <w:left w:val="nil"/>
              <w:right w:val="nil"/>
            </w:tcBorders>
            <w:vAlign w:val="bottom"/>
          </w:tcPr>
          <w:p w:rsidR="005340D2" w:rsidRPr="00931DDE" w:rsidRDefault="005340D2" w:rsidP="00DD79A4">
            <w:pPr>
              <w:jc w:val="right"/>
              <w:rPr>
                <w:rFonts w:cs="Arial"/>
                <w:sz w:val="22"/>
                <w:lang w:eastAsia="it-CH"/>
              </w:rPr>
            </w:pPr>
            <w:r w:rsidRPr="00931DDE">
              <w:rPr>
                <w:rFonts w:cs="Arial"/>
                <w:sz w:val="22"/>
                <w:lang w:eastAsia="it-CH"/>
              </w:rPr>
              <w:t>15.8</w:t>
            </w:r>
          </w:p>
        </w:tc>
      </w:tr>
      <w:tr w:rsidR="005340D2" w:rsidRPr="00931DDE" w:rsidTr="00276EE1">
        <w:tc>
          <w:tcPr>
            <w:tcW w:w="6795" w:type="dxa"/>
            <w:tcBorders>
              <w:left w:val="nil"/>
              <w:bottom w:val="nil"/>
              <w:right w:val="nil"/>
            </w:tcBorders>
            <w:shd w:val="clear" w:color="auto" w:fill="auto"/>
            <w:noWrap/>
            <w:vAlign w:val="bottom"/>
          </w:tcPr>
          <w:p w:rsidR="005340D2" w:rsidRPr="00931DDE" w:rsidRDefault="005340D2" w:rsidP="00DD79A4">
            <w:pPr>
              <w:spacing w:before="40" w:after="40"/>
              <w:jc w:val="left"/>
              <w:rPr>
                <w:rFonts w:cs="Arial"/>
                <w:b/>
                <w:i/>
                <w:sz w:val="22"/>
                <w:lang w:eastAsia="it-CH"/>
              </w:rPr>
            </w:pPr>
            <w:r w:rsidRPr="00931DDE">
              <w:rPr>
                <w:rFonts w:cs="Arial"/>
                <w:b/>
                <w:i/>
                <w:sz w:val="22"/>
                <w:lang w:eastAsia="it-CH"/>
              </w:rPr>
              <w:t>Totale finanziamento</w:t>
            </w:r>
          </w:p>
        </w:tc>
        <w:tc>
          <w:tcPr>
            <w:tcW w:w="875" w:type="dxa"/>
            <w:tcBorders>
              <w:top w:val="single" w:sz="4" w:space="0" w:color="auto"/>
              <w:left w:val="nil"/>
              <w:right w:val="nil"/>
            </w:tcBorders>
            <w:vAlign w:val="bottom"/>
          </w:tcPr>
          <w:p w:rsidR="005340D2" w:rsidRPr="00931DDE" w:rsidRDefault="005340D2" w:rsidP="00DD79A4">
            <w:pPr>
              <w:jc w:val="right"/>
              <w:rPr>
                <w:rFonts w:cs="Arial"/>
                <w:b/>
                <w:i/>
                <w:sz w:val="22"/>
                <w:u w:val="single"/>
                <w:lang w:eastAsia="it-CH"/>
              </w:rPr>
            </w:pPr>
            <w:r w:rsidRPr="00931DDE">
              <w:rPr>
                <w:rFonts w:cs="Arial"/>
                <w:b/>
                <w:i/>
                <w:sz w:val="22"/>
                <w:u w:val="single"/>
                <w:lang w:eastAsia="it-CH"/>
              </w:rPr>
              <w:t>64.3</w:t>
            </w:r>
          </w:p>
        </w:tc>
      </w:tr>
    </w:tbl>
    <w:p w:rsidR="005340D2" w:rsidRDefault="005340D2" w:rsidP="00D92082"/>
    <w:p w:rsidR="005340D2" w:rsidRPr="00F17294" w:rsidRDefault="005340D2" w:rsidP="00D92082">
      <w:r w:rsidRPr="00F17294">
        <w:t xml:space="preserve">L’investimento complessivo massimo previsto è quindi di 64.3 milioni di franchi. L’importo contempla sia le opere di costruzione sia il nuovo arredo </w:t>
      </w:r>
      <w:r>
        <w:t>e le</w:t>
      </w:r>
      <w:r w:rsidRPr="00F17294">
        <w:t xml:space="preserve"> attrezzature da laboratorio. </w:t>
      </w:r>
    </w:p>
    <w:p w:rsidR="005340D2" w:rsidRPr="00F17294" w:rsidRDefault="005340D2" w:rsidP="00D92082">
      <w:r w:rsidRPr="00F17294">
        <w:t>Come già menzionato, il finanziamento del Cantone è da intendersi come</w:t>
      </w:r>
      <w:r>
        <w:t xml:space="preserve"> contributo forfettario;</w:t>
      </w:r>
      <w:r w:rsidRPr="00F17294">
        <w:t xml:space="preserve"> ciò implica che eventuali rischi derivanti dal superamento del costo previsto sono esclusivamente a carico del committente. </w:t>
      </w:r>
    </w:p>
    <w:p w:rsidR="005340D2" w:rsidRDefault="005340D2" w:rsidP="00D92082"/>
    <w:p w:rsidR="005340D2" w:rsidRDefault="005340D2" w:rsidP="00D92082">
      <w:r w:rsidRPr="000B741D">
        <w:lastRenderedPageBreak/>
        <w:t>A differenza di altri investimenti finanziati dal Cantone, quello oggetto del presente Messaggio si caratterizza per l’alta percentuale di finanziamento da mezzi propri e privati (oltre il 40%). Ciò è dovuto al fatto che le due istituzioni sono riuscite negli anni a essere attrattive per donatori privati.</w:t>
      </w:r>
      <w:r w:rsidRPr="00F17294">
        <w:t xml:space="preserve"> </w:t>
      </w:r>
    </w:p>
    <w:p w:rsidR="005340D2" w:rsidRDefault="005340D2" w:rsidP="00D92082">
      <w:r w:rsidRPr="00F17294">
        <w:t xml:space="preserve">L’IRB </w:t>
      </w:r>
      <w:r>
        <w:t>ha potuto</w:t>
      </w:r>
      <w:r w:rsidRPr="00F17294">
        <w:t xml:space="preserve"> inoltre costruirsi una solidità finanziaria che gli permette di accedere a prestiti bancari. </w:t>
      </w:r>
      <w:r>
        <w:t xml:space="preserve">La </w:t>
      </w:r>
      <w:r w:rsidRPr="00F17294">
        <w:t>frazione di costi di 27</w:t>
      </w:r>
      <w:r>
        <w:t>.1</w:t>
      </w:r>
      <w:r w:rsidRPr="00F17294">
        <w:t xml:space="preserve"> milioni di franchi non coperti da enti pubblici </w:t>
      </w:r>
      <w:r w:rsidRPr="000B741D">
        <w:t>(Confederazione, Cantone e Città) sarà in effetti finanziata per 10 milioni di franchi da una fondazione privata, con 1.3 milioni di franchi da altri privati e per i rimanenti 15.8</w:t>
      </w:r>
      <w:r w:rsidRPr="00F17294">
        <w:t xml:space="preserve"> milioni </w:t>
      </w:r>
      <w:r>
        <w:t xml:space="preserve">di franchi </w:t>
      </w:r>
      <w:r w:rsidRPr="00F17294">
        <w:t>in forma mista</w:t>
      </w:r>
      <w:r>
        <w:t>,</w:t>
      </w:r>
      <w:r w:rsidRPr="00F17294">
        <w:t xml:space="preserve"> considerando apporti propri dello IRB e dell’IOR e un mutuo bancario dell’IRB. </w:t>
      </w:r>
    </w:p>
    <w:p w:rsidR="005340D2" w:rsidRPr="00F17294" w:rsidRDefault="005340D2" w:rsidP="00D92082">
      <w:r w:rsidRPr="00F17294">
        <w:t>Il pagamento degli ammortamenti e degli interes</w:t>
      </w:r>
      <w:r>
        <w:t>si del mutuo bancario dell’IRB p</w:t>
      </w:r>
      <w:r w:rsidRPr="00F17294">
        <w:t>er le superfici che saranno adibite al NCSI sarà garantit</w:t>
      </w:r>
      <w:r>
        <w:t>o</w:t>
      </w:r>
      <w:r w:rsidRPr="00F17294">
        <w:t xml:space="preserve"> da un contratto di locazione stipulato con l'EOC per un minimo di 20 anni.</w:t>
      </w:r>
    </w:p>
    <w:p w:rsidR="005340D2" w:rsidRDefault="005340D2" w:rsidP="00D92082"/>
    <w:p w:rsidR="005340D2" w:rsidRDefault="005340D2" w:rsidP="00D92082"/>
    <w:p w:rsidR="005340D2" w:rsidRDefault="006F65EA" w:rsidP="006F65EA">
      <w:pPr>
        <w:pStyle w:val="Titolo2"/>
      </w:pPr>
      <w:r>
        <w:t>4.4</w:t>
      </w:r>
      <w:r>
        <w:tab/>
      </w:r>
      <w:r w:rsidR="005340D2" w:rsidRPr="000B741D">
        <w:t>Partecipazione del Cantone</w:t>
      </w:r>
    </w:p>
    <w:p w:rsidR="005340D2" w:rsidRDefault="005340D2" w:rsidP="00D92082">
      <w:pPr>
        <w:rPr>
          <w:color w:val="000000"/>
        </w:rPr>
      </w:pPr>
      <w:r w:rsidRPr="00F17294">
        <w:t xml:space="preserve">La proposta di contributo di 10 milioni </w:t>
      </w:r>
      <w:r>
        <w:t>di franchi</w:t>
      </w:r>
      <w:r w:rsidRPr="007A3B17">
        <w:t xml:space="preserve"> </w:t>
      </w:r>
      <w:r w:rsidRPr="00F17294">
        <w:t>del presente messaggio</w:t>
      </w:r>
      <w:r>
        <w:t xml:space="preserve"> </w:t>
      </w:r>
      <w:r w:rsidRPr="00F17294">
        <w:t xml:space="preserve">è considerata nel piano finanziario degli investimenti e iscritta </w:t>
      </w:r>
      <w:r>
        <w:t>a</w:t>
      </w:r>
      <w:r w:rsidRPr="00F17294">
        <w:t xml:space="preserve">l settore 45 “Settore universitario”, </w:t>
      </w:r>
      <w:r w:rsidRPr="000B24C7">
        <w:rPr>
          <w:color w:val="000000"/>
        </w:rPr>
        <w:t>posizion</w:t>
      </w:r>
      <w:r>
        <w:rPr>
          <w:color w:val="000000"/>
        </w:rPr>
        <w:t>e 456, elemento</w:t>
      </w:r>
      <w:r w:rsidRPr="000B24C7">
        <w:rPr>
          <w:color w:val="000000"/>
        </w:rPr>
        <w:t xml:space="preserve"> WBS </w:t>
      </w:r>
      <w:r>
        <w:rPr>
          <w:color w:val="000000"/>
        </w:rPr>
        <w:t>655 50 2021.</w:t>
      </w:r>
    </w:p>
    <w:p w:rsidR="005340D2" w:rsidRDefault="005340D2" w:rsidP="00D92082">
      <w:pPr>
        <w:rPr>
          <w:color w:val="000000"/>
        </w:rPr>
      </w:pPr>
    </w:p>
    <w:p w:rsidR="005340D2" w:rsidRPr="00931DDE" w:rsidRDefault="005340D2" w:rsidP="00276EE1">
      <w:pPr>
        <w:rPr>
          <w:rFonts w:cs="Arial"/>
          <w:b/>
          <w:sz w:val="22"/>
        </w:rPr>
      </w:pPr>
      <w:r>
        <w:rPr>
          <w:rFonts w:cs="Arial"/>
          <w:b/>
          <w:sz w:val="22"/>
        </w:rPr>
        <w:t>C</w:t>
      </w:r>
      <w:r w:rsidRPr="00931DDE">
        <w:rPr>
          <w:rFonts w:cs="Arial"/>
          <w:b/>
          <w:sz w:val="22"/>
        </w:rPr>
        <w:t>rediti attualmente iscritti per la realizzazione dei campus a piano finanziario degli investimenti, settore 45 “Università” in milioni di franchi</w:t>
      </w:r>
    </w:p>
    <w:p w:rsidR="005340D2" w:rsidRPr="00931DDE" w:rsidRDefault="005340D2" w:rsidP="00276EE1">
      <w:pPr>
        <w:rPr>
          <w:rFonts w:cs="Arial"/>
          <w:b/>
          <w:sz w:val="16"/>
          <w:szCs w:val="16"/>
        </w:rPr>
      </w:pPr>
    </w:p>
    <w:tbl>
      <w:tblPr>
        <w:tblW w:w="9781" w:type="dxa"/>
        <w:tblInd w:w="70" w:type="dxa"/>
        <w:tblCellMar>
          <w:left w:w="70" w:type="dxa"/>
          <w:right w:w="70" w:type="dxa"/>
        </w:tblCellMar>
        <w:tblLook w:val="0000" w:firstRow="0" w:lastRow="0" w:firstColumn="0" w:lastColumn="0" w:noHBand="0" w:noVBand="0"/>
      </w:tblPr>
      <w:tblGrid>
        <w:gridCol w:w="2977"/>
        <w:gridCol w:w="1701"/>
        <w:gridCol w:w="1701"/>
        <w:gridCol w:w="1559"/>
        <w:gridCol w:w="1843"/>
      </w:tblGrid>
      <w:tr w:rsidR="005340D2" w:rsidRPr="00931DDE" w:rsidTr="00601BC1">
        <w:trPr>
          <w:trHeight w:val="240"/>
        </w:trPr>
        <w:tc>
          <w:tcPr>
            <w:tcW w:w="2977" w:type="dxa"/>
            <w:tcBorders>
              <w:top w:val="single" w:sz="4" w:space="0" w:color="auto"/>
              <w:left w:val="single" w:sz="4" w:space="0" w:color="auto"/>
              <w:bottom w:val="single" w:sz="4" w:space="0" w:color="auto"/>
              <w:right w:val="single" w:sz="4" w:space="0" w:color="auto"/>
            </w:tcBorders>
            <w:noWrap/>
          </w:tcPr>
          <w:p w:rsidR="005340D2" w:rsidRPr="00931DDE" w:rsidRDefault="005340D2" w:rsidP="00276EE1">
            <w:pPr>
              <w:spacing w:before="40" w:after="40"/>
              <w:ind w:left="72"/>
              <w:rPr>
                <w:rFonts w:cs="Arial"/>
                <w:b/>
                <w:bCs/>
                <w:sz w:val="22"/>
              </w:rPr>
            </w:pPr>
            <w:r w:rsidRPr="00931DDE">
              <w:rPr>
                <w:rFonts w:cs="Arial"/>
                <w:b/>
                <w:bCs/>
                <w:sz w:val="22"/>
              </w:rPr>
              <w:t>Descrizione</w:t>
            </w:r>
          </w:p>
        </w:tc>
        <w:tc>
          <w:tcPr>
            <w:tcW w:w="1701" w:type="dxa"/>
            <w:tcBorders>
              <w:top w:val="single" w:sz="4" w:space="0" w:color="auto"/>
              <w:left w:val="nil"/>
              <w:bottom w:val="single" w:sz="4" w:space="0" w:color="auto"/>
              <w:right w:val="single" w:sz="4" w:space="0" w:color="auto"/>
            </w:tcBorders>
            <w:noWrap/>
          </w:tcPr>
          <w:p w:rsidR="005340D2" w:rsidRPr="00931DDE" w:rsidRDefault="005340D2" w:rsidP="00601BC1">
            <w:pPr>
              <w:spacing w:before="40" w:after="40"/>
              <w:ind w:left="71" w:firstLine="142"/>
              <w:jc w:val="center"/>
              <w:rPr>
                <w:rFonts w:cs="Arial"/>
                <w:b/>
                <w:bCs/>
                <w:sz w:val="22"/>
              </w:rPr>
            </w:pPr>
            <w:r w:rsidRPr="00931DDE">
              <w:rPr>
                <w:rFonts w:cs="Arial"/>
                <w:b/>
                <w:bCs/>
                <w:sz w:val="22"/>
              </w:rPr>
              <w:t>PFI 2016-19</w:t>
            </w:r>
          </w:p>
        </w:tc>
        <w:tc>
          <w:tcPr>
            <w:tcW w:w="1701" w:type="dxa"/>
            <w:tcBorders>
              <w:top w:val="single" w:sz="4" w:space="0" w:color="auto"/>
              <w:left w:val="nil"/>
              <w:bottom w:val="single" w:sz="4" w:space="0" w:color="auto"/>
              <w:right w:val="single" w:sz="4" w:space="0" w:color="auto"/>
            </w:tcBorders>
            <w:noWrap/>
          </w:tcPr>
          <w:p w:rsidR="005340D2" w:rsidRPr="00931DDE" w:rsidRDefault="005340D2" w:rsidP="00601BC1">
            <w:pPr>
              <w:spacing w:before="40" w:after="40"/>
              <w:ind w:left="71" w:firstLine="142"/>
              <w:jc w:val="center"/>
              <w:rPr>
                <w:rFonts w:cs="Arial"/>
                <w:b/>
                <w:bCs/>
                <w:sz w:val="22"/>
              </w:rPr>
            </w:pPr>
            <w:r w:rsidRPr="00931DDE">
              <w:rPr>
                <w:rFonts w:cs="Arial"/>
                <w:b/>
                <w:bCs/>
                <w:sz w:val="22"/>
              </w:rPr>
              <w:t>PFI 2020-23</w:t>
            </w:r>
          </w:p>
        </w:tc>
        <w:tc>
          <w:tcPr>
            <w:tcW w:w="1559" w:type="dxa"/>
            <w:tcBorders>
              <w:top w:val="single" w:sz="4" w:space="0" w:color="auto"/>
              <w:left w:val="nil"/>
              <w:bottom w:val="single" w:sz="4" w:space="0" w:color="auto"/>
              <w:right w:val="single" w:sz="4" w:space="0" w:color="auto"/>
            </w:tcBorders>
            <w:noWrap/>
          </w:tcPr>
          <w:p w:rsidR="005340D2" w:rsidRPr="00931DDE" w:rsidRDefault="005340D2" w:rsidP="00601BC1">
            <w:pPr>
              <w:spacing w:before="40" w:after="40"/>
              <w:ind w:left="71" w:firstLine="142"/>
              <w:jc w:val="center"/>
              <w:rPr>
                <w:rFonts w:cs="Arial"/>
                <w:b/>
                <w:bCs/>
                <w:sz w:val="22"/>
              </w:rPr>
            </w:pPr>
            <w:r w:rsidRPr="00931DDE">
              <w:rPr>
                <w:rFonts w:cs="Arial"/>
                <w:b/>
                <w:bCs/>
                <w:sz w:val="22"/>
              </w:rPr>
              <w:t>PFI dal 23</w:t>
            </w:r>
          </w:p>
        </w:tc>
        <w:tc>
          <w:tcPr>
            <w:tcW w:w="1843" w:type="dxa"/>
            <w:tcBorders>
              <w:top w:val="single" w:sz="4" w:space="0" w:color="auto"/>
              <w:left w:val="nil"/>
              <w:bottom w:val="single" w:sz="4" w:space="0" w:color="auto"/>
              <w:right w:val="single" w:sz="4" w:space="0" w:color="auto"/>
            </w:tcBorders>
            <w:noWrap/>
          </w:tcPr>
          <w:p w:rsidR="005340D2" w:rsidRPr="00931DDE" w:rsidRDefault="005340D2" w:rsidP="00601BC1">
            <w:pPr>
              <w:spacing w:before="40" w:after="40"/>
              <w:ind w:left="71" w:firstLine="142"/>
              <w:jc w:val="center"/>
              <w:rPr>
                <w:rFonts w:cs="Arial"/>
                <w:b/>
                <w:bCs/>
                <w:sz w:val="22"/>
              </w:rPr>
            </w:pPr>
            <w:r w:rsidRPr="00931DDE">
              <w:rPr>
                <w:rFonts w:cs="Arial"/>
                <w:b/>
                <w:bCs/>
                <w:sz w:val="22"/>
              </w:rPr>
              <w:t>Totale 16-23</w:t>
            </w:r>
          </w:p>
        </w:tc>
      </w:tr>
      <w:tr w:rsidR="005340D2" w:rsidRPr="00931DDE" w:rsidTr="00601BC1">
        <w:trPr>
          <w:trHeight w:val="240"/>
        </w:trPr>
        <w:tc>
          <w:tcPr>
            <w:tcW w:w="2977" w:type="dxa"/>
            <w:tcBorders>
              <w:top w:val="nil"/>
              <w:left w:val="single" w:sz="4" w:space="0" w:color="auto"/>
              <w:bottom w:val="single" w:sz="4" w:space="0" w:color="auto"/>
              <w:right w:val="single" w:sz="4" w:space="0" w:color="auto"/>
            </w:tcBorders>
            <w:noWrap/>
          </w:tcPr>
          <w:p w:rsidR="005340D2" w:rsidRPr="00931DDE" w:rsidRDefault="005340D2" w:rsidP="00276EE1">
            <w:pPr>
              <w:spacing w:before="40" w:after="40"/>
              <w:ind w:left="72"/>
              <w:jc w:val="left"/>
              <w:rPr>
                <w:rFonts w:cs="Arial"/>
                <w:sz w:val="22"/>
              </w:rPr>
            </w:pPr>
            <w:r w:rsidRPr="00931DDE">
              <w:rPr>
                <w:rFonts w:cs="Arial"/>
                <w:sz w:val="22"/>
              </w:rPr>
              <w:t>Stabile IRB-IOR Bellinzona</w:t>
            </w:r>
          </w:p>
        </w:tc>
        <w:tc>
          <w:tcPr>
            <w:tcW w:w="1701" w:type="dxa"/>
            <w:tcBorders>
              <w:top w:val="nil"/>
              <w:left w:val="nil"/>
              <w:bottom w:val="single" w:sz="4" w:space="0" w:color="auto"/>
              <w:right w:val="single" w:sz="4" w:space="0" w:color="auto"/>
            </w:tcBorders>
            <w:noWrap/>
          </w:tcPr>
          <w:p w:rsidR="005340D2" w:rsidRPr="00931DDE" w:rsidRDefault="005340D2" w:rsidP="00276EE1">
            <w:pPr>
              <w:spacing w:before="40" w:after="40"/>
              <w:ind w:left="567"/>
              <w:jc w:val="center"/>
              <w:rPr>
                <w:rFonts w:cs="Arial"/>
                <w:sz w:val="22"/>
              </w:rPr>
            </w:pPr>
            <w:r w:rsidRPr="00931DDE">
              <w:rPr>
                <w:rFonts w:cs="Arial"/>
                <w:sz w:val="22"/>
              </w:rPr>
              <w:t>4.0</w:t>
            </w:r>
          </w:p>
        </w:tc>
        <w:tc>
          <w:tcPr>
            <w:tcW w:w="1701" w:type="dxa"/>
            <w:tcBorders>
              <w:top w:val="nil"/>
              <w:left w:val="nil"/>
              <w:bottom w:val="single" w:sz="4" w:space="0" w:color="auto"/>
              <w:right w:val="single" w:sz="4" w:space="0" w:color="auto"/>
            </w:tcBorders>
            <w:noWrap/>
          </w:tcPr>
          <w:p w:rsidR="005340D2" w:rsidRPr="00931DDE" w:rsidRDefault="005340D2" w:rsidP="00276EE1">
            <w:pPr>
              <w:spacing w:before="40" w:after="40"/>
              <w:ind w:left="567"/>
              <w:jc w:val="center"/>
              <w:rPr>
                <w:rFonts w:cs="Arial"/>
                <w:sz w:val="22"/>
              </w:rPr>
            </w:pPr>
            <w:r w:rsidRPr="00931DDE">
              <w:rPr>
                <w:rFonts w:cs="Arial"/>
                <w:sz w:val="22"/>
              </w:rPr>
              <w:t>3.0</w:t>
            </w:r>
          </w:p>
        </w:tc>
        <w:tc>
          <w:tcPr>
            <w:tcW w:w="1559" w:type="dxa"/>
            <w:tcBorders>
              <w:top w:val="nil"/>
              <w:left w:val="nil"/>
              <w:bottom w:val="single" w:sz="4" w:space="0" w:color="auto"/>
              <w:right w:val="single" w:sz="4" w:space="0" w:color="auto"/>
            </w:tcBorders>
            <w:noWrap/>
          </w:tcPr>
          <w:p w:rsidR="005340D2" w:rsidRPr="00931DDE" w:rsidRDefault="005340D2" w:rsidP="00276EE1">
            <w:pPr>
              <w:spacing w:before="40" w:after="40"/>
              <w:ind w:left="567"/>
              <w:jc w:val="center"/>
              <w:rPr>
                <w:rFonts w:cs="Arial"/>
                <w:sz w:val="22"/>
              </w:rPr>
            </w:pPr>
            <w:r w:rsidRPr="00931DDE">
              <w:rPr>
                <w:rFonts w:cs="Arial"/>
                <w:sz w:val="22"/>
              </w:rPr>
              <w:t>3.0</w:t>
            </w:r>
          </w:p>
        </w:tc>
        <w:tc>
          <w:tcPr>
            <w:tcW w:w="1843" w:type="dxa"/>
            <w:tcBorders>
              <w:top w:val="nil"/>
              <w:left w:val="single" w:sz="4" w:space="0" w:color="auto"/>
              <w:bottom w:val="single" w:sz="4" w:space="0" w:color="auto"/>
              <w:right w:val="single" w:sz="4" w:space="0" w:color="auto"/>
            </w:tcBorders>
            <w:noWrap/>
            <w:vAlign w:val="bottom"/>
          </w:tcPr>
          <w:p w:rsidR="005340D2" w:rsidRPr="00931DDE" w:rsidRDefault="005340D2" w:rsidP="00276EE1">
            <w:pPr>
              <w:spacing w:before="40" w:after="40"/>
              <w:ind w:left="567"/>
              <w:jc w:val="center"/>
              <w:rPr>
                <w:rFonts w:cs="Arial"/>
                <w:sz w:val="22"/>
              </w:rPr>
            </w:pPr>
            <w:r w:rsidRPr="00931DDE">
              <w:rPr>
                <w:rFonts w:cs="Arial"/>
                <w:sz w:val="22"/>
              </w:rPr>
              <w:t>10.0</w:t>
            </w:r>
          </w:p>
        </w:tc>
      </w:tr>
    </w:tbl>
    <w:p w:rsidR="005340D2" w:rsidRPr="00931DDE" w:rsidRDefault="005340D2" w:rsidP="00276EE1">
      <w:pPr>
        <w:rPr>
          <w:rFonts w:cs="Arial"/>
          <w:i/>
          <w:sz w:val="12"/>
          <w:szCs w:val="12"/>
        </w:rPr>
      </w:pPr>
    </w:p>
    <w:p w:rsidR="005340D2" w:rsidRPr="00327A5E" w:rsidRDefault="005340D2" w:rsidP="00276EE1">
      <w:pPr>
        <w:rPr>
          <w:rFonts w:cs="Arial"/>
          <w:i/>
          <w:sz w:val="16"/>
          <w:szCs w:val="16"/>
        </w:rPr>
      </w:pPr>
      <w:r w:rsidRPr="001C3999">
        <w:rPr>
          <w:rFonts w:cs="Arial"/>
          <w:i/>
          <w:sz w:val="16"/>
          <w:szCs w:val="16"/>
        </w:rPr>
        <w:t>Fonte: sezione finanze, DFE</w:t>
      </w:r>
    </w:p>
    <w:p w:rsidR="005340D2" w:rsidRDefault="005340D2" w:rsidP="00276EE1">
      <w:pPr>
        <w:pStyle w:val="Corpodeltesto21"/>
        <w:rPr>
          <w:rFonts w:cs="Arial"/>
          <w:szCs w:val="24"/>
          <w:lang w:val="it-CH"/>
        </w:rPr>
      </w:pPr>
    </w:p>
    <w:p w:rsidR="005340D2" w:rsidRDefault="005340D2" w:rsidP="00276EE1">
      <w:pPr>
        <w:pStyle w:val="Corpodeltesto21"/>
        <w:rPr>
          <w:rFonts w:cs="Arial"/>
          <w:szCs w:val="24"/>
          <w:lang w:val="it-CH"/>
        </w:rPr>
      </w:pPr>
      <w:r>
        <w:rPr>
          <w:rFonts w:cs="Arial"/>
          <w:szCs w:val="24"/>
          <w:lang w:val="it-CH"/>
        </w:rPr>
        <w:t xml:space="preserve">L’investimento previsto non ha </w:t>
      </w:r>
      <w:r w:rsidRPr="00F17294">
        <w:rPr>
          <w:rFonts w:cs="Arial"/>
          <w:szCs w:val="24"/>
          <w:lang w:val="it-CH"/>
        </w:rPr>
        <w:t>conseguenz</w:t>
      </w:r>
      <w:r>
        <w:rPr>
          <w:rFonts w:cs="Arial"/>
          <w:szCs w:val="24"/>
          <w:lang w:val="it-CH"/>
        </w:rPr>
        <w:t>e</w:t>
      </w:r>
      <w:r w:rsidRPr="00F17294">
        <w:rPr>
          <w:rFonts w:cs="Arial"/>
          <w:szCs w:val="24"/>
          <w:lang w:val="it-CH"/>
        </w:rPr>
        <w:t xml:space="preserve"> sul personale</w:t>
      </w:r>
      <w:r>
        <w:rPr>
          <w:rFonts w:cs="Arial"/>
          <w:szCs w:val="24"/>
          <w:lang w:val="it-CH"/>
        </w:rPr>
        <w:t xml:space="preserve"> e sui Comuni.</w:t>
      </w:r>
    </w:p>
    <w:p w:rsidR="005340D2" w:rsidRDefault="005340D2" w:rsidP="00276EE1">
      <w:r w:rsidRPr="0026456A">
        <w:t>Lo stanziamento del credito proposto con l’allegato decreto legislativo richiede l’approvazione da parte della maggioranza assoluta dei membri del Gran Consiglio (cfr. art. 5 cpv. 3 LGF).</w:t>
      </w:r>
    </w:p>
    <w:p w:rsidR="005340D2" w:rsidRDefault="005340D2" w:rsidP="00D92082"/>
    <w:p w:rsidR="005340D2" w:rsidRDefault="005340D2" w:rsidP="00D92082"/>
    <w:p w:rsidR="00276EE1" w:rsidRDefault="00276EE1" w:rsidP="00D92082"/>
    <w:p w:rsidR="005340D2" w:rsidRDefault="005340D2" w:rsidP="006F65EA">
      <w:pPr>
        <w:pStyle w:val="Titolo1"/>
      </w:pPr>
      <w:r w:rsidRPr="000B741D">
        <w:t>C</w:t>
      </w:r>
      <w:r>
        <w:t>onclusioni</w:t>
      </w:r>
    </w:p>
    <w:p w:rsidR="005340D2" w:rsidRDefault="005340D2" w:rsidP="00D92082">
      <w:r>
        <w:t>Il messaggio oggetto del presente rapporto risponde a una esigenza logistica evidente che la progressiva e costante crescita dei due Istituti di ricerca ha reso indispensabile.</w:t>
      </w:r>
    </w:p>
    <w:p w:rsidR="005340D2" w:rsidRDefault="005340D2" w:rsidP="00D92082">
      <w:r>
        <w:t xml:space="preserve">Il progetto consolida la presenza di Istituti di ricerca di indubbio prestigio nel nostro Cantone rafforzando la ricerca medica nel contesto accademico e dando seguito alla nuova facoltà di scienze biomediche dell’USI. </w:t>
      </w:r>
    </w:p>
    <w:p w:rsidR="005340D2" w:rsidRDefault="005340D2" w:rsidP="00D92082">
      <w:r>
        <w:t>La Commissione condivide l’indirizzo del Consiglio di Stato che individua nella politica universitaria con l’indispensabile corollario di Istituti di ricerca una priorità per lo sviluppo e la crescita dell’economia del Cantone Ticino.</w:t>
      </w:r>
    </w:p>
    <w:p w:rsidR="00276EE1" w:rsidRDefault="00276EE1" w:rsidP="00D92082"/>
    <w:p w:rsidR="00601BC1" w:rsidRPr="00076E70" w:rsidRDefault="00601BC1" w:rsidP="00601BC1">
      <w:pPr>
        <w:rPr>
          <w:rFonts w:cs="Arial"/>
          <w:szCs w:val="24"/>
        </w:rPr>
      </w:pPr>
    </w:p>
    <w:p w:rsidR="00601BC1" w:rsidRPr="00586A8D" w:rsidRDefault="00601BC1" w:rsidP="00601BC1">
      <w:pPr>
        <w:pStyle w:val="Nessunaspaziatura"/>
        <w:jc w:val="center"/>
        <w:rPr>
          <w:rFonts w:ascii="Arial" w:hAnsi="Arial" w:cs="Arial"/>
          <w:sz w:val="28"/>
          <w:szCs w:val="28"/>
        </w:rPr>
      </w:pP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r w:rsidRPr="00586A8D">
        <w:rPr>
          <w:rFonts w:ascii="Arial" w:hAnsi="Arial" w:cs="Arial"/>
          <w:sz w:val="28"/>
          <w:szCs w:val="28"/>
        </w:rPr>
        <w:t xml:space="preserve"> </w:t>
      </w: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r w:rsidRPr="00586A8D">
        <w:rPr>
          <w:rFonts w:ascii="Arial" w:hAnsi="Arial" w:cs="Arial"/>
          <w:sz w:val="28"/>
          <w:szCs w:val="28"/>
        </w:rPr>
        <w:t xml:space="preserve"> </w:t>
      </w: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r w:rsidRPr="00586A8D">
        <w:rPr>
          <w:rFonts w:ascii="Arial" w:hAnsi="Arial" w:cs="Arial"/>
          <w:sz w:val="28"/>
          <w:szCs w:val="28"/>
        </w:rPr>
        <w:t xml:space="preserve"> </w:t>
      </w: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r w:rsidRPr="00586A8D">
        <w:rPr>
          <w:rFonts w:ascii="Arial" w:hAnsi="Arial" w:cs="Arial"/>
          <w:sz w:val="28"/>
          <w:szCs w:val="28"/>
        </w:rPr>
        <w:t xml:space="preserve"> </w:t>
      </w: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p>
    <w:p w:rsidR="00601BC1" w:rsidRPr="00076E70" w:rsidRDefault="00601BC1" w:rsidP="00601BC1">
      <w:pPr>
        <w:rPr>
          <w:rFonts w:cs="Arial"/>
          <w:szCs w:val="24"/>
        </w:rPr>
      </w:pPr>
    </w:p>
    <w:p w:rsidR="00601BC1" w:rsidRDefault="00601BC1"/>
    <w:p w:rsidR="00601BC1" w:rsidRDefault="00601BC1">
      <w:r>
        <w:br w:type="page"/>
      </w:r>
    </w:p>
    <w:p w:rsidR="005340D2" w:rsidRPr="00643111" w:rsidRDefault="005340D2" w:rsidP="00D92082">
      <w:r>
        <w:lastRenderedPageBreak/>
        <w:t xml:space="preserve">Con le considerazioni esposte la Commissione propone al Parlamento l’approvazione del </w:t>
      </w:r>
      <w:r w:rsidRPr="00BE0FAB">
        <w:t>decreto legislativo allegato</w:t>
      </w:r>
      <w:r w:rsidR="00601BC1">
        <w:t xml:space="preserve"> al messaggio governativo</w:t>
      </w:r>
      <w:r w:rsidRPr="00BE0FAB">
        <w:t>.</w:t>
      </w:r>
    </w:p>
    <w:p w:rsidR="00D92082" w:rsidRPr="00076E70" w:rsidRDefault="00D92082" w:rsidP="00D92082">
      <w:pPr>
        <w:rPr>
          <w:rFonts w:cs="Arial"/>
          <w:szCs w:val="24"/>
        </w:rPr>
      </w:pPr>
    </w:p>
    <w:p w:rsidR="00D92082" w:rsidRPr="00076E70" w:rsidRDefault="00D92082" w:rsidP="00D92082">
      <w:pPr>
        <w:autoSpaceDE w:val="0"/>
        <w:autoSpaceDN w:val="0"/>
        <w:adjustRightInd w:val="0"/>
        <w:rPr>
          <w:rFonts w:cs="Arial"/>
          <w:szCs w:val="24"/>
        </w:rPr>
      </w:pPr>
    </w:p>
    <w:p w:rsidR="00D92082" w:rsidRPr="00076E70" w:rsidRDefault="00D92082" w:rsidP="00D92082">
      <w:pPr>
        <w:rPr>
          <w:rFonts w:cs="Arial"/>
          <w:szCs w:val="24"/>
        </w:rPr>
      </w:pPr>
    </w:p>
    <w:p w:rsidR="00D92082" w:rsidRPr="00076E70" w:rsidRDefault="00D92082" w:rsidP="00D92082">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D92082" w:rsidRPr="00076E70" w:rsidRDefault="00D92082" w:rsidP="00D92082">
      <w:pPr>
        <w:rPr>
          <w:rFonts w:cs="Arial"/>
          <w:szCs w:val="24"/>
        </w:rPr>
      </w:pPr>
      <w:r>
        <w:t>Bixio Caprara</w:t>
      </w:r>
      <w:r w:rsidRPr="00076E70">
        <w:rPr>
          <w:rFonts w:cs="Arial"/>
          <w:szCs w:val="24"/>
        </w:rPr>
        <w:t>, relatore</w:t>
      </w:r>
    </w:p>
    <w:p w:rsidR="00276EE1" w:rsidRDefault="00276EE1" w:rsidP="00276EE1">
      <w:pPr>
        <w:rPr>
          <w:rFonts w:cs="Arial"/>
        </w:rPr>
      </w:pPr>
      <w:bookmarkStart w:id="1" w:name="OLE_LINK1"/>
      <w:bookmarkStart w:id="2" w:name="OLE_LINK2"/>
      <w:r>
        <w:rPr>
          <w:rFonts w:cs="Arial"/>
        </w:rPr>
        <w:t xml:space="preserve">Badasci - Caverzasio - De Rosa - Denti - </w:t>
      </w:r>
    </w:p>
    <w:p w:rsidR="00276EE1" w:rsidRDefault="00276EE1" w:rsidP="00276EE1">
      <w:pPr>
        <w:rPr>
          <w:rFonts w:cs="Arial"/>
        </w:rPr>
      </w:pPr>
      <w:r>
        <w:rPr>
          <w:rFonts w:cs="Arial"/>
        </w:rPr>
        <w:t xml:space="preserve">Durisch - Farinelli - Frapolli - Garobbio - </w:t>
      </w:r>
    </w:p>
    <w:p w:rsidR="00276EE1" w:rsidRDefault="00276EE1" w:rsidP="00276EE1">
      <w:pPr>
        <w:rPr>
          <w:rFonts w:cs="Arial"/>
        </w:rPr>
      </w:pPr>
      <w:r>
        <w:rPr>
          <w:rFonts w:cs="Arial"/>
        </w:rPr>
        <w:t xml:space="preserve">Gianora - Guerra - Kandemir Bordoli - </w:t>
      </w:r>
    </w:p>
    <w:p w:rsidR="00276EE1" w:rsidRDefault="00276EE1" w:rsidP="00276EE1">
      <w:pPr>
        <w:rPr>
          <w:rFonts w:cs="Arial"/>
        </w:rPr>
      </w:pPr>
      <w:r>
        <w:rPr>
          <w:rFonts w:cs="Arial"/>
        </w:rPr>
        <w:t>Pini - Pinoja - Quadranti</w:t>
      </w:r>
    </w:p>
    <w:bookmarkEnd w:id="1"/>
    <w:bookmarkEnd w:id="2"/>
    <w:p w:rsidR="005340D2" w:rsidRDefault="005340D2" w:rsidP="00D92082"/>
    <w:sectPr w:rsidR="005340D2" w:rsidSect="007975CB">
      <w:footerReference w:type="default" r:id="rId12"/>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CB8" w:rsidRDefault="00FB6CB8" w:rsidP="008E77C6">
      <w:r>
        <w:separator/>
      </w:r>
    </w:p>
  </w:endnote>
  <w:endnote w:type="continuationSeparator" w:id="0">
    <w:p w:rsidR="00FB6CB8" w:rsidRDefault="00FB6CB8"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276EE1" w:rsidRPr="008E77C6" w:rsidRDefault="00276EE1">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9364FE" w:rsidRPr="009364FE">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CB8" w:rsidRDefault="00FB6CB8" w:rsidP="008E77C6">
      <w:r>
        <w:separator/>
      </w:r>
    </w:p>
  </w:footnote>
  <w:footnote w:type="continuationSeparator" w:id="0">
    <w:p w:rsidR="00FB6CB8" w:rsidRDefault="00FB6CB8"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F7ED5"/>
    <w:multiLevelType w:val="hybridMultilevel"/>
    <w:tmpl w:val="FFF4D458"/>
    <w:lvl w:ilvl="0" w:tplc="FA10D9C0">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nsid w:val="0D355C0C"/>
    <w:multiLevelType w:val="multilevel"/>
    <w:tmpl w:val="2780C974"/>
    <w:lvl w:ilvl="0">
      <w:start w:val="1"/>
      <w:numFmt w:val="decimal"/>
      <w:pStyle w:val="Titolo1"/>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FBD04CD"/>
    <w:multiLevelType w:val="hybridMultilevel"/>
    <w:tmpl w:val="A928F422"/>
    <w:lvl w:ilvl="0" w:tplc="FA10D9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6C745D"/>
    <w:multiLevelType w:val="hybridMultilevel"/>
    <w:tmpl w:val="ABD6D5A4"/>
    <w:lvl w:ilvl="0" w:tplc="FA10D9C0">
      <w:start w:val="1"/>
      <w:numFmt w:val="bullet"/>
      <w:lvlText w:val="-"/>
      <w:lvlJc w:val="left"/>
      <w:pPr>
        <w:ind w:left="720" w:hanging="360"/>
      </w:pPr>
      <w:rPr>
        <w:rFonts w:ascii="Arial" w:hAnsi="Arial" w:hint="default"/>
      </w:rPr>
    </w:lvl>
    <w:lvl w:ilvl="1" w:tplc="08100003">
      <w:start w:val="1"/>
      <w:numFmt w:val="decimal"/>
      <w:lvlText w:val="%2."/>
      <w:lvlJc w:val="left"/>
      <w:pPr>
        <w:tabs>
          <w:tab w:val="num" w:pos="1440"/>
        </w:tabs>
        <w:ind w:left="1440" w:hanging="360"/>
      </w:pPr>
    </w:lvl>
    <w:lvl w:ilvl="2" w:tplc="08100005">
      <w:start w:val="1"/>
      <w:numFmt w:val="decimal"/>
      <w:lvlText w:val="%3."/>
      <w:lvlJc w:val="left"/>
      <w:pPr>
        <w:tabs>
          <w:tab w:val="num" w:pos="2160"/>
        </w:tabs>
        <w:ind w:left="2160" w:hanging="360"/>
      </w:pPr>
    </w:lvl>
    <w:lvl w:ilvl="3" w:tplc="08100001">
      <w:start w:val="1"/>
      <w:numFmt w:val="decimal"/>
      <w:lvlText w:val="%4."/>
      <w:lvlJc w:val="left"/>
      <w:pPr>
        <w:tabs>
          <w:tab w:val="num" w:pos="2880"/>
        </w:tabs>
        <w:ind w:left="2880" w:hanging="360"/>
      </w:pPr>
    </w:lvl>
    <w:lvl w:ilvl="4" w:tplc="08100003">
      <w:start w:val="1"/>
      <w:numFmt w:val="decimal"/>
      <w:lvlText w:val="%5."/>
      <w:lvlJc w:val="left"/>
      <w:pPr>
        <w:tabs>
          <w:tab w:val="num" w:pos="3600"/>
        </w:tabs>
        <w:ind w:left="3600" w:hanging="360"/>
      </w:pPr>
    </w:lvl>
    <w:lvl w:ilvl="5" w:tplc="08100005">
      <w:start w:val="1"/>
      <w:numFmt w:val="decimal"/>
      <w:lvlText w:val="%6."/>
      <w:lvlJc w:val="left"/>
      <w:pPr>
        <w:tabs>
          <w:tab w:val="num" w:pos="4320"/>
        </w:tabs>
        <w:ind w:left="4320" w:hanging="360"/>
      </w:pPr>
    </w:lvl>
    <w:lvl w:ilvl="6" w:tplc="08100001">
      <w:start w:val="1"/>
      <w:numFmt w:val="decimal"/>
      <w:lvlText w:val="%7."/>
      <w:lvlJc w:val="left"/>
      <w:pPr>
        <w:tabs>
          <w:tab w:val="num" w:pos="5040"/>
        </w:tabs>
        <w:ind w:left="5040" w:hanging="360"/>
      </w:pPr>
    </w:lvl>
    <w:lvl w:ilvl="7" w:tplc="08100003">
      <w:start w:val="1"/>
      <w:numFmt w:val="decimal"/>
      <w:lvlText w:val="%8."/>
      <w:lvlJc w:val="left"/>
      <w:pPr>
        <w:tabs>
          <w:tab w:val="num" w:pos="5760"/>
        </w:tabs>
        <w:ind w:left="5760" w:hanging="360"/>
      </w:pPr>
    </w:lvl>
    <w:lvl w:ilvl="8" w:tplc="08100005">
      <w:start w:val="1"/>
      <w:numFmt w:val="decimal"/>
      <w:lvlText w:val="%9."/>
      <w:lvlJc w:val="left"/>
      <w:pPr>
        <w:tabs>
          <w:tab w:val="num" w:pos="6480"/>
        </w:tabs>
        <w:ind w:left="6480" w:hanging="360"/>
      </w:pPr>
    </w:lvl>
  </w:abstractNum>
  <w:abstractNum w:abstractNumId="4">
    <w:nsid w:val="3AE933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FCA21E1"/>
    <w:multiLevelType w:val="hybridMultilevel"/>
    <w:tmpl w:val="B538D240"/>
    <w:lvl w:ilvl="0" w:tplc="D7C2DF5E">
      <w:start w:val="2"/>
      <w:numFmt w:val="bullet"/>
      <w:lvlText w:val="-"/>
      <w:lvlJc w:val="left"/>
      <w:pPr>
        <w:ind w:left="709" w:hanging="360"/>
      </w:pPr>
      <w:rPr>
        <w:rFonts w:ascii="Arial" w:eastAsia="Times New Roman" w:hAnsi="Arial" w:cs="Aria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6">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3D21DAB"/>
    <w:multiLevelType w:val="hybridMultilevel"/>
    <w:tmpl w:val="A7E450D4"/>
    <w:lvl w:ilvl="0" w:tplc="FA10D9C0">
      <w:start w:val="1"/>
      <w:numFmt w:val="bullet"/>
      <w:lvlText w:val="-"/>
      <w:lvlJc w:val="left"/>
      <w:pPr>
        <w:tabs>
          <w:tab w:val="num" w:pos="720"/>
        </w:tabs>
        <w:ind w:left="720"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6"/>
  </w:num>
  <w:num w:numId="2">
    <w:abstractNumId w:val="6"/>
  </w:num>
  <w:num w:numId="3">
    <w:abstractNumId w:val="8"/>
  </w:num>
  <w:num w:numId="4">
    <w:abstractNumId w:val="1"/>
  </w:num>
  <w:num w:numId="5">
    <w:abstractNumId w:val="4"/>
  </w:num>
  <w:num w:numId="6">
    <w:abstractNumId w:val="5"/>
  </w:num>
  <w:num w:numId="7">
    <w:abstractNumId w:val="2"/>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276EE1"/>
    <w:rsid w:val="002E5E40"/>
    <w:rsid w:val="003608E9"/>
    <w:rsid w:val="0052425A"/>
    <w:rsid w:val="005340D2"/>
    <w:rsid w:val="00586A8D"/>
    <w:rsid w:val="00601BC1"/>
    <w:rsid w:val="006A7F21"/>
    <w:rsid w:val="006D7A3B"/>
    <w:rsid w:val="006F65EA"/>
    <w:rsid w:val="007975CB"/>
    <w:rsid w:val="007B5462"/>
    <w:rsid w:val="008034BD"/>
    <w:rsid w:val="00876352"/>
    <w:rsid w:val="008B4137"/>
    <w:rsid w:val="008C767A"/>
    <w:rsid w:val="008E77C6"/>
    <w:rsid w:val="009364FE"/>
    <w:rsid w:val="009770BB"/>
    <w:rsid w:val="009E008D"/>
    <w:rsid w:val="00A5465F"/>
    <w:rsid w:val="00A77678"/>
    <w:rsid w:val="00BC4C95"/>
    <w:rsid w:val="00BD5944"/>
    <w:rsid w:val="00CF6858"/>
    <w:rsid w:val="00D377B5"/>
    <w:rsid w:val="00D92082"/>
    <w:rsid w:val="00D93B31"/>
    <w:rsid w:val="00DD79A4"/>
    <w:rsid w:val="00E87277"/>
    <w:rsid w:val="00FB6CB8"/>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customStyle="1" w:styleId="Corpotesto1">
    <w:name w:val="Corpo testo1"/>
    <w:basedOn w:val="Normale"/>
    <w:link w:val="CorpotestoCarattere"/>
    <w:rsid w:val="005340D2"/>
    <w:pPr>
      <w:tabs>
        <w:tab w:val="left" w:pos="284"/>
        <w:tab w:val="left" w:pos="426"/>
        <w:tab w:val="left" w:pos="4962"/>
      </w:tabs>
    </w:pPr>
    <w:rPr>
      <w:rFonts w:eastAsia="Times New Roman" w:cs="Times New Roman"/>
      <w:szCs w:val="20"/>
      <w:lang w:val="it-IT" w:eastAsia="it-IT"/>
    </w:rPr>
  </w:style>
  <w:style w:type="paragraph" w:customStyle="1" w:styleId="Corpodeltesto21">
    <w:name w:val="Corpo del testo 21"/>
    <w:basedOn w:val="Normale"/>
    <w:rsid w:val="005340D2"/>
    <w:rPr>
      <w:rFonts w:eastAsia="Times New Roman" w:cs="Times New Roman"/>
      <w:szCs w:val="20"/>
      <w:lang w:val="it-IT" w:eastAsia="it-IT"/>
    </w:rPr>
  </w:style>
  <w:style w:type="paragraph" w:customStyle="1" w:styleId="Paragrafoelenco1">
    <w:name w:val="Paragrafo elenco1"/>
    <w:aliases w:val="Elenco normale"/>
    <w:basedOn w:val="Normale"/>
    <w:link w:val="ListParagraphChar"/>
    <w:rsid w:val="005340D2"/>
    <w:pPr>
      <w:spacing w:before="100" w:beforeAutospacing="1" w:after="100" w:afterAutospacing="1"/>
      <w:jc w:val="left"/>
    </w:pPr>
    <w:rPr>
      <w:rFonts w:ascii="Times New Roman" w:eastAsia="Calibri" w:hAnsi="Times New Roman" w:cs="Times New Roman"/>
      <w:szCs w:val="24"/>
      <w:lang w:val="en-US"/>
    </w:rPr>
  </w:style>
  <w:style w:type="character" w:customStyle="1" w:styleId="ListParagraphChar">
    <w:name w:val="List Paragraph Char"/>
    <w:aliases w:val="Elenco normale Char"/>
    <w:link w:val="Paragrafoelenco1"/>
    <w:locked/>
    <w:rsid w:val="005340D2"/>
    <w:rPr>
      <w:rFonts w:ascii="Times New Roman" w:eastAsia="Calibri" w:hAnsi="Times New Roman" w:cs="Times New Roman"/>
      <w:sz w:val="24"/>
      <w:szCs w:val="24"/>
      <w:lang w:val="en-US"/>
    </w:rPr>
  </w:style>
  <w:style w:type="paragraph" w:customStyle="1" w:styleId="Style1">
    <w:name w:val="Style1"/>
    <w:basedOn w:val="Corpodeltesto3"/>
    <w:rsid w:val="005340D2"/>
    <w:pPr>
      <w:ind w:left="426"/>
      <w:jc w:val="left"/>
    </w:pPr>
    <w:rPr>
      <w:rFonts w:ascii="Frutiger 45 Light" w:eastAsia="Times New Roman" w:hAnsi="Frutiger 45 Light" w:cs="Times New Roman"/>
      <w:lang w:eastAsia="it-IT"/>
    </w:rPr>
  </w:style>
  <w:style w:type="character" w:customStyle="1" w:styleId="CorpotestoCarattere">
    <w:name w:val="Corpo testo Carattere"/>
    <w:link w:val="Corpotesto1"/>
    <w:locked/>
    <w:rsid w:val="005340D2"/>
    <w:rPr>
      <w:rFonts w:ascii="Arial" w:eastAsia="Times New Roman" w:hAnsi="Arial" w:cs="Times New Roman"/>
      <w:sz w:val="24"/>
      <w:szCs w:val="20"/>
      <w:lang w:val="it-IT" w:eastAsia="it-IT"/>
    </w:rPr>
  </w:style>
  <w:style w:type="paragraph" w:styleId="Corpodeltesto3">
    <w:name w:val="Body Text 3"/>
    <w:basedOn w:val="Normale"/>
    <w:link w:val="Corpodeltesto3Carattere"/>
    <w:uiPriority w:val="99"/>
    <w:semiHidden/>
    <w:unhideWhenUsed/>
    <w:rsid w:val="005340D2"/>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5340D2"/>
    <w:rPr>
      <w:rFonts w:ascii="Arial" w:hAnsi="Arial"/>
      <w:sz w:val="16"/>
      <w:szCs w:val="16"/>
    </w:rPr>
  </w:style>
  <w:style w:type="paragraph" w:styleId="Testofumetto">
    <w:name w:val="Balloon Text"/>
    <w:basedOn w:val="Normale"/>
    <w:link w:val="TestofumettoCarattere"/>
    <w:uiPriority w:val="99"/>
    <w:semiHidden/>
    <w:unhideWhenUsed/>
    <w:rsid w:val="005340D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40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customStyle="1" w:styleId="Corpotesto1">
    <w:name w:val="Corpo testo1"/>
    <w:basedOn w:val="Normale"/>
    <w:link w:val="CorpotestoCarattere"/>
    <w:rsid w:val="005340D2"/>
    <w:pPr>
      <w:tabs>
        <w:tab w:val="left" w:pos="284"/>
        <w:tab w:val="left" w:pos="426"/>
        <w:tab w:val="left" w:pos="4962"/>
      </w:tabs>
    </w:pPr>
    <w:rPr>
      <w:rFonts w:eastAsia="Times New Roman" w:cs="Times New Roman"/>
      <w:szCs w:val="20"/>
      <w:lang w:val="it-IT" w:eastAsia="it-IT"/>
    </w:rPr>
  </w:style>
  <w:style w:type="paragraph" w:customStyle="1" w:styleId="Corpodeltesto21">
    <w:name w:val="Corpo del testo 21"/>
    <w:basedOn w:val="Normale"/>
    <w:rsid w:val="005340D2"/>
    <w:rPr>
      <w:rFonts w:eastAsia="Times New Roman" w:cs="Times New Roman"/>
      <w:szCs w:val="20"/>
      <w:lang w:val="it-IT" w:eastAsia="it-IT"/>
    </w:rPr>
  </w:style>
  <w:style w:type="paragraph" w:customStyle="1" w:styleId="Paragrafoelenco1">
    <w:name w:val="Paragrafo elenco1"/>
    <w:aliases w:val="Elenco normale"/>
    <w:basedOn w:val="Normale"/>
    <w:link w:val="ListParagraphChar"/>
    <w:rsid w:val="005340D2"/>
    <w:pPr>
      <w:spacing w:before="100" w:beforeAutospacing="1" w:after="100" w:afterAutospacing="1"/>
      <w:jc w:val="left"/>
    </w:pPr>
    <w:rPr>
      <w:rFonts w:ascii="Times New Roman" w:eastAsia="Calibri" w:hAnsi="Times New Roman" w:cs="Times New Roman"/>
      <w:szCs w:val="24"/>
      <w:lang w:val="en-US"/>
    </w:rPr>
  </w:style>
  <w:style w:type="character" w:customStyle="1" w:styleId="ListParagraphChar">
    <w:name w:val="List Paragraph Char"/>
    <w:aliases w:val="Elenco normale Char"/>
    <w:link w:val="Paragrafoelenco1"/>
    <w:locked/>
    <w:rsid w:val="005340D2"/>
    <w:rPr>
      <w:rFonts w:ascii="Times New Roman" w:eastAsia="Calibri" w:hAnsi="Times New Roman" w:cs="Times New Roman"/>
      <w:sz w:val="24"/>
      <w:szCs w:val="24"/>
      <w:lang w:val="en-US"/>
    </w:rPr>
  </w:style>
  <w:style w:type="paragraph" w:customStyle="1" w:styleId="Style1">
    <w:name w:val="Style1"/>
    <w:basedOn w:val="Corpodeltesto3"/>
    <w:rsid w:val="005340D2"/>
    <w:pPr>
      <w:ind w:left="426"/>
      <w:jc w:val="left"/>
    </w:pPr>
    <w:rPr>
      <w:rFonts w:ascii="Frutiger 45 Light" w:eastAsia="Times New Roman" w:hAnsi="Frutiger 45 Light" w:cs="Times New Roman"/>
      <w:lang w:eastAsia="it-IT"/>
    </w:rPr>
  </w:style>
  <w:style w:type="character" w:customStyle="1" w:styleId="CorpotestoCarattere">
    <w:name w:val="Corpo testo Carattere"/>
    <w:link w:val="Corpotesto1"/>
    <w:locked/>
    <w:rsid w:val="005340D2"/>
    <w:rPr>
      <w:rFonts w:ascii="Arial" w:eastAsia="Times New Roman" w:hAnsi="Arial" w:cs="Times New Roman"/>
      <w:sz w:val="24"/>
      <w:szCs w:val="20"/>
      <w:lang w:val="it-IT" w:eastAsia="it-IT"/>
    </w:rPr>
  </w:style>
  <w:style w:type="paragraph" w:styleId="Corpodeltesto3">
    <w:name w:val="Body Text 3"/>
    <w:basedOn w:val="Normale"/>
    <w:link w:val="Corpodeltesto3Carattere"/>
    <w:uiPriority w:val="99"/>
    <w:semiHidden/>
    <w:unhideWhenUsed/>
    <w:rsid w:val="005340D2"/>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5340D2"/>
    <w:rPr>
      <w:rFonts w:ascii="Arial" w:hAnsi="Arial"/>
      <w:sz w:val="16"/>
      <w:szCs w:val="16"/>
    </w:rPr>
  </w:style>
  <w:style w:type="paragraph" w:styleId="Testofumetto">
    <w:name w:val="Balloon Text"/>
    <w:basedOn w:val="Normale"/>
    <w:link w:val="TestofumettoCarattere"/>
    <w:uiPriority w:val="99"/>
    <w:semiHidden/>
    <w:unhideWhenUsed/>
    <w:rsid w:val="005340D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4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FSBELL01\EDCU\Area%20studi%20universitari\02%20-%20MESSAGGI%20-%20ATTI%20PARLAMENTARI\01%20-%20MESSAGGI\2016%20-%20M.%20yyyy%20-%20Campus%20IRB\Dati%20grafici%20e%20tabell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SBELL01\EDCU\Area%20studi%20universitari\02%20-%20MESSAGGI%20-%20ATTI%20PARLAMENTARI\01%20-%20MESSAGGI\2016%20-%20M.%20yyyy%20-%20Campus%20IRB\Dati%20grafici%20e%20tabelle.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'IRB ricerca'!$A$3</c:f>
              <c:strCache>
                <c:ptCount val="1"/>
                <c:pt idx="0">
                  <c:v>Volume ricerca in mio CHF</c:v>
                </c:pt>
              </c:strCache>
            </c:strRef>
          </c:tx>
          <c:invertIfNegative val="0"/>
          <c:cat>
            <c:numRef>
              <c:f>'IRB ricerca'!$B$2:$G$2</c:f>
              <c:numCache>
                <c:formatCode>General</c:formatCode>
                <c:ptCount val="6"/>
                <c:pt idx="0">
                  <c:v>2013</c:v>
                </c:pt>
                <c:pt idx="1">
                  <c:v>2014</c:v>
                </c:pt>
                <c:pt idx="2">
                  <c:v>2015</c:v>
                </c:pt>
                <c:pt idx="3">
                  <c:v>2016</c:v>
                </c:pt>
                <c:pt idx="4">
                  <c:v>2017</c:v>
                </c:pt>
                <c:pt idx="5">
                  <c:v>2020</c:v>
                </c:pt>
              </c:numCache>
            </c:numRef>
          </c:cat>
          <c:val>
            <c:numRef>
              <c:f>'IRB ricerca'!$B$3:$G$3</c:f>
              <c:numCache>
                <c:formatCode>General</c:formatCode>
                <c:ptCount val="6"/>
                <c:pt idx="0">
                  <c:v>7.7</c:v>
                </c:pt>
                <c:pt idx="1">
                  <c:v>8.1</c:v>
                </c:pt>
                <c:pt idx="2">
                  <c:v>7.8</c:v>
                </c:pt>
                <c:pt idx="3">
                  <c:v>7.2</c:v>
                </c:pt>
                <c:pt idx="4">
                  <c:v>7.9</c:v>
                </c:pt>
                <c:pt idx="5">
                  <c:v>9.6</c:v>
                </c:pt>
              </c:numCache>
            </c:numRef>
          </c:val>
        </c:ser>
        <c:dLbls>
          <c:showLegendKey val="0"/>
          <c:showVal val="0"/>
          <c:showCatName val="0"/>
          <c:showSerName val="0"/>
          <c:showPercent val="0"/>
          <c:showBubbleSize val="0"/>
        </c:dLbls>
        <c:gapWidth val="150"/>
        <c:axId val="115534848"/>
        <c:axId val="115533312"/>
      </c:barChart>
      <c:lineChart>
        <c:grouping val="standard"/>
        <c:varyColors val="0"/>
        <c:ser>
          <c:idx val="2"/>
          <c:order val="1"/>
          <c:tx>
            <c:strRef>
              <c:f>'IRB ricerca'!$A$4</c:f>
              <c:strCache>
                <c:ptCount val="1"/>
                <c:pt idx="0">
                  <c:v>ETP ricercatori</c:v>
                </c:pt>
              </c:strCache>
            </c:strRef>
          </c:tx>
          <c:cat>
            <c:numRef>
              <c:f>'IRB ricerca'!$B$2:$G$2</c:f>
              <c:numCache>
                <c:formatCode>General</c:formatCode>
                <c:ptCount val="6"/>
                <c:pt idx="0">
                  <c:v>2013</c:v>
                </c:pt>
                <c:pt idx="1">
                  <c:v>2014</c:v>
                </c:pt>
                <c:pt idx="2">
                  <c:v>2015</c:v>
                </c:pt>
                <c:pt idx="3">
                  <c:v>2016</c:v>
                </c:pt>
                <c:pt idx="4">
                  <c:v>2017</c:v>
                </c:pt>
                <c:pt idx="5">
                  <c:v>2020</c:v>
                </c:pt>
              </c:numCache>
            </c:numRef>
          </c:cat>
          <c:val>
            <c:numRef>
              <c:f>'IRB ricerca'!$B$4:$G$4</c:f>
              <c:numCache>
                <c:formatCode>General</c:formatCode>
                <c:ptCount val="6"/>
                <c:pt idx="0">
                  <c:v>77.3</c:v>
                </c:pt>
                <c:pt idx="1">
                  <c:v>74.900000000000006</c:v>
                </c:pt>
                <c:pt idx="2">
                  <c:v>85.4</c:v>
                </c:pt>
                <c:pt idx="3">
                  <c:v>90.8</c:v>
                </c:pt>
                <c:pt idx="4">
                  <c:v>96.8</c:v>
                </c:pt>
                <c:pt idx="5">
                  <c:v>106</c:v>
                </c:pt>
              </c:numCache>
            </c:numRef>
          </c:val>
          <c:smooth val="0"/>
        </c:ser>
        <c:dLbls>
          <c:showLegendKey val="0"/>
          <c:showVal val="0"/>
          <c:showCatName val="0"/>
          <c:showSerName val="0"/>
          <c:showPercent val="0"/>
          <c:showBubbleSize val="0"/>
        </c:dLbls>
        <c:marker val="1"/>
        <c:smooth val="0"/>
        <c:axId val="115529984"/>
        <c:axId val="115531776"/>
      </c:lineChart>
      <c:catAx>
        <c:axId val="115529984"/>
        <c:scaling>
          <c:orientation val="minMax"/>
        </c:scaling>
        <c:delete val="0"/>
        <c:axPos val="b"/>
        <c:numFmt formatCode="General" sourceLinked="1"/>
        <c:majorTickMark val="out"/>
        <c:minorTickMark val="none"/>
        <c:tickLblPos val="nextTo"/>
        <c:crossAx val="115531776"/>
        <c:crosses val="autoZero"/>
        <c:auto val="1"/>
        <c:lblAlgn val="ctr"/>
        <c:lblOffset val="100"/>
        <c:noMultiLvlLbl val="0"/>
      </c:catAx>
      <c:valAx>
        <c:axId val="115531776"/>
        <c:scaling>
          <c:orientation val="minMax"/>
        </c:scaling>
        <c:delete val="0"/>
        <c:axPos val="l"/>
        <c:majorGridlines/>
        <c:numFmt formatCode="General" sourceLinked="1"/>
        <c:majorTickMark val="out"/>
        <c:minorTickMark val="none"/>
        <c:tickLblPos val="nextTo"/>
        <c:crossAx val="115529984"/>
        <c:crosses val="autoZero"/>
        <c:crossBetween val="between"/>
      </c:valAx>
      <c:valAx>
        <c:axId val="115533312"/>
        <c:scaling>
          <c:orientation val="minMax"/>
        </c:scaling>
        <c:delete val="0"/>
        <c:axPos val="r"/>
        <c:numFmt formatCode="General" sourceLinked="1"/>
        <c:majorTickMark val="out"/>
        <c:minorTickMark val="none"/>
        <c:tickLblPos val="nextTo"/>
        <c:crossAx val="115534848"/>
        <c:crosses val="max"/>
        <c:crossBetween val="between"/>
      </c:valAx>
      <c:catAx>
        <c:axId val="115534848"/>
        <c:scaling>
          <c:orientation val="minMax"/>
        </c:scaling>
        <c:delete val="1"/>
        <c:axPos val="b"/>
        <c:numFmt formatCode="General" sourceLinked="1"/>
        <c:majorTickMark val="out"/>
        <c:minorTickMark val="none"/>
        <c:tickLblPos val="nextTo"/>
        <c:crossAx val="115533312"/>
        <c:crosses val="autoZero"/>
        <c:auto val="1"/>
        <c:lblAlgn val="ctr"/>
        <c:lblOffset val="100"/>
        <c:noMultiLvlLbl val="0"/>
      </c:catAx>
      <c:spPr>
        <a:ln>
          <a:solidFill>
            <a:sysClr val="windowText" lastClr="000000"/>
          </a:solidFill>
        </a:ln>
      </c:spPr>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'IOR ricerca vs personale'!$A$3</c:f>
              <c:strCache>
                <c:ptCount val="1"/>
                <c:pt idx="0">
                  <c:v>Volume ricerca in mio</c:v>
                </c:pt>
              </c:strCache>
            </c:strRef>
          </c:tx>
          <c:invertIfNegative val="0"/>
          <c:cat>
            <c:numRef>
              <c:f>'IOR ricerca vs personale'!$B$2:$G$2</c:f>
              <c:numCache>
                <c:formatCode>General</c:formatCode>
                <c:ptCount val="6"/>
                <c:pt idx="0">
                  <c:v>2013</c:v>
                </c:pt>
                <c:pt idx="1">
                  <c:v>2014</c:v>
                </c:pt>
                <c:pt idx="2">
                  <c:v>2015</c:v>
                </c:pt>
                <c:pt idx="3">
                  <c:v>2016</c:v>
                </c:pt>
                <c:pt idx="4">
                  <c:v>2017</c:v>
                </c:pt>
                <c:pt idx="5">
                  <c:v>2020</c:v>
                </c:pt>
              </c:numCache>
            </c:numRef>
          </c:cat>
          <c:val>
            <c:numRef>
              <c:f>'IOR ricerca vs personale'!$B$3:$G$3</c:f>
              <c:numCache>
                <c:formatCode>General</c:formatCode>
                <c:ptCount val="6"/>
                <c:pt idx="0">
                  <c:v>2.2999999999999998</c:v>
                </c:pt>
                <c:pt idx="1">
                  <c:v>2.8</c:v>
                </c:pt>
                <c:pt idx="2">
                  <c:v>3.4</c:v>
                </c:pt>
                <c:pt idx="3">
                  <c:v>4.5</c:v>
                </c:pt>
                <c:pt idx="4">
                  <c:v>5</c:v>
                </c:pt>
                <c:pt idx="5">
                  <c:v>5.8</c:v>
                </c:pt>
              </c:numCache>
            </c:numRef>
          </c:val>
        </c:ser>
        <c:dLbls>
          <c:showLegendKey val="0"/>
          <c:showVal val="0"/>
          <c:showCatName val="0"/>
          <c:showSerName val="0"/>
          <c:showPercent val="0"/>
          <c:showBubbleSize val="0"/>
        </c:dLbls>
        <c:gapWidth val="150"/>
        <c:axId val="122312576"/>
        <c:axId val="122311040"/>
      </c:barChart>
      <c:lineChart>
        <c:grouping val="standard"/>
        <c:varyColors val="0"/>
        <c:ser>
          <c:idx val="2"/>
          <c:order val="1"/>
          <c:tx>
            <c:strRef>
              <c:f>'IOR ricerca vs personale'!$A$4</c:f>
              <c:strCache>
                <c:ptCount val="1"/>
                <c:pt idx="0">
                  <c:v>ETP ricercatori</c:v>
                </c:pt>
              </c:strCache>
            </c:strRef>
          </c:tx>
          <c:cat>
            <c:numRef>
              <c:f>'IOR ricerca vs personale'!$B$2:$G$2</c:f>
              <c:numCache>
                <c:formatCode>General</c:formatCode>
                <c:ptCount val="6"/>
                <c:pt idx="0">
                  <c:v>2013</c:v>
                </c:pt>
                <c:pt idx="1">
                  <c:v>2014</c:v>
                </c:pt>
                <c:pt idx="2">
                  <c:v>2015</c:v>
                </c:pt>
                <c:pt idx="3">
                  <c:v>2016</c:v>
                </c:pt>
                <c:pt idx="4">
                  <c:v>2017</c:v>
                </c:pt>
                <c:pt idx="5">
                  <c:v>2020</c:v>
                </c:pt>
              </c:numCache>
            </c:numRef>
          </c:cat>
          <c:val>
            <c:numRef>
              <c:f>'IOR ricerca vs personale'!$B$4:$G$4</c:f>
              <c:numCache>
                <c:formatCode>General</c:formatCode>
                <c:ptCount val="6"/>
                <c:pt idx="0">
                  <c:v>28.7</c:v>
                </c:pt>
                <c:pt idx="1">
                  <c:v>40.300000000000004</c:v>
                </c:pt>
                <c:pt idx="2">
                  <c:v>42.9</c:v>
                </c:pt>
                <c:pt idx="3">
                  <c:v>49.8</c:v>
                </c:pt>
                <c:pt idx="4">
                  <c:v>51.6</c:v>
                </c:pt>
                <c:pt idx="5">
                  <c:v>62</c:v>
                </c:pt>
              </c:numCache>
            </c:numRef>
          </c:val>
          <c:smooth val="0"/>
        </c:ser>
        <c:dLbls>
          <c:showLegendKey val="0"/>
          <c:showVal val="0"/>
          <c:showCatName val="0"/>
          <c:showSerName val="0"/>
          <c:showPercent val="0"/>
          <c:showBubbleSize val="0"/>
        </c:dLbls>
        <c:marker val="1"/>
        <c:smooth val="0"/>
        <c:axId val="122299520"/>
        <c:axId val="122301056"/>
      </c:lineChart>
      <c:catAx>
        <c:axId val="122299520"/>
        <c:scaling>
          <c:orientation val="minMax"/>
        </c:scaling>
        <c:delete val="0"/>
        <c:axPos val="b"/>
        <c:numFmt formatCode="General" sourceLinked="1"/>
        <c:majorTickMark val="out"/>
        <c:minorTickMark val="none"/>
        <c:tickLblPos val="nextTo"/>
        <c:crossAx val="122301056"/>
        <c:crosses val="autoZero"/>
        <c:auto val="1"/>
        <c:lblAlgn val="ctr"/>
        <c:lblOffset val="100"/>
        <c:noMultiLvlLbl val="0"/>
      </c:catAx>
      <c:valAx>
        <c:axId val="122301056"/>
        <c:scaling>
          <c:orientation val="minMax"/>
        </c:scaling>
        <c:delete val="0"/>
        <c:axPos val="l"/>
        <c:majorGridlines/>
        <c:numFmt formatCode="General" sourceLinked="1"/>
        <c:majorTickMark val="out"/>
        <c:minorTickMark val="none"/>
        <c:tickLblPos val="nextTo"/>
        <c:crossAx val="122299520"/>
        <c:crosses val="autoZero"/>
        <c:crossBetween val="between"/>
      </c:valAx>
      <c:valAx>
        <c:axId val="122311040"/>
        <c:scaling>
          <c:orientation val="minMax"/>
        </c:scaling>
        <c:delete val="0"/>
        <c:axPos val="r"/>
        <c:numFmt formatCode="General" sourceLinked="1"/>
        <c:majorTickMark val="out"/>
        <c:minorTickMark val="none"/>
        <c:tickLblPos val="nextTo"/>
        <c:crossAx val="122312576"/>
        <c:crosses val="max"/>
        <c:crossBetween val="between"/>
      </c:valAx>
      <c:catAx>
        <c:axId val="122312576"/>
        <c:scaling>
          <c:orientation val="minMax"/>
        </c:scaling>
        <c:delete val="1"/>
        <c:axPos val="b"/>
        <c:numFmt formatCode="General" sourceLinked="1"/>
        <c:majorTickMark val="out"/>
        <c:minorTickMark val="none"/>
        <c:tickLblPos val="nextTo"/>
        <c:crossAx val="122311040"/>
        <c:crosses val="autoZero"/>
        <c:auto val="1"/>
        <c:lblAlgn val="ctr"/>
        <c:lblOffset val="100"/>
        <c:noMultiLvlLbl val="0"/>
      </c:catAx>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0EE1D-885F-4EE1-B570-1A3DB91F9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2999</Words>
  <Characters>17100</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20059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10</cp:revision>
  <cp:lastPrinted>2017-01-10T14:35:00Z</cp:lastPrinted>
  <dcterms:created xsi:type="dcterms:W3CDTF">2017-01-10T13:04:00Z</dcterms:created>
  <dcterms:modified xsi:type="dcterms:W3CDTF">2017-01-11T09:54:00Z</dcterms:modified>
</cp:coreProperties>
</file>