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B23B27"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150BD" w:rsidRPr="00E85E82" w:rsidRDefault="005150BD" w:rsidP="005150BD">
      <w:pPr>
        <w:tabs>
          <w:tab w:val="left" w:pos="2098"/>
          <w:tab w:val="left" w:pos="4933"/>
        </w:tabs>
        <w:rPr>
          <w:rFonts w:cs="Arial"/>
        </w:rPr>
      </w:pPr>
      <w:r w:rsidRPr="00E85E82">
        <w:rPr>
          <w:rFonts w:cs="Arial"/>
        </w:rPr>
        <w:tab/>
      </w:r>
      <w:r>
        <w:rPr>
          <w:rFonts w:cs="Arial"/>
          <w:sz w:val="28"/>
          <w:szCs w:val="28"/>
        </w:rPr>
        <w:t>14</w:t>
      </w:r>
      <w:r w:rsidRPr="00E85E82">
        <w:rPr>
          <w:rFonts w:cs="Arial"/>
          <w:sz w:val="28"/>
          <w:szCs w:val="28"/>
        </w:rPr>
        <w:t xml:space="preserve"> </w:t>
      </w:r>
      <w:r>
        <w:rPr>
          <w:rFonts w:cs="Arial"/>
          <w:sz w:val="28"/>
          <w:szCs w:val="28"/>
        </w:rPr>
        <w:t>dicem</w:t>
      </w:r>
      <w:r w:rsidRPr="00E85E82">
        <w:rPr>
          <w:rFonts w:cs="Arial"/>
          <w:sz w:val="28"/>
          <w:szCs w:val="28"/>
        </w:rPr>
        <w:t>bre 2016</w:t>
      </w:r>
      <w:r w:rsidRPr="00E85E82">
        <w:rPr>
          <w:rFonts w:cs="Arial"/>
        </w:rPr>
        <w:tab/>
      </w:r>
      <w:r>
        <w:rPr>
          <w:rFonts w:cs="Arial"/>
          <w:sz w:val="28"/>
          <w:szCs w:val="28"/>
        </w:rPr>
        <w:t>GRAN CONSIGLIO</w:t>
      </w:r>
    </w:p>
    <w:p w:rsidR="005150BD" w:rsidRPr="005150BD" w:rsidRDefault="005150BD" w:rsidP="005150BD">
      <w:pPr>
        <w:rPr>
          <w:rFonts w:cs="Arial"/>
        </w:rPr>
      </w:pPr>
    </w:p>
    <w:p w:rsidR="005150BD" w:rsidRPr="005150BD" w:rsidRDefault="005150BD" w:rsidP="005150BD">
      <w:pPr>
        <w:rPr>
          <w:rFonts w:cs="Arial"/>
        </w:rPr>
      </w:pPr>
    </w:p>
    <w:p w:rsidR="005150BD" w:rsidRPr="005150BD" w:rsidRDefault="005150BD" w:rsidP="005150BD">
      <w:pPr>
        <w:rPr>
          <w:rFonts w:cs="Arial"/>
        </w:rPr>
      </w:pPr>
    </w:p>
    <w:p w:rsidR="005150BD" w:rsidRPr="00E85E82" w:rsidRDefault="005150BD" w:rsidP="005150BD">
      <w:pPr>
        <w:rPr>
          <w:rFonts w:cs="Arial"/>
          <w:b/>
          <w:sz w:val="28"/>
          <w:szCs w:val="28"/>
        </w:rPr>
      </w:pPr>
      <w:r w:rsidRPr="00E85E82">
        <w:rPr>
          <w:rFonts w:cs="Arial"/>
          <w:b/>
          <w:sz w:val="28"/>
          <w:szCs w:val="28"/>
        </w:rPr>
        <w:t>della Commissione speciale revisione della legge sul Gran Consiglio</w:t>
      </w:r>
    </w:p>
    <w:p w:rsidR="005150BD" w:rsidRPr="00E85E82" w:rsidRDefault="005150BD" w:rsidP="005150BD">
      <w:pPr>
        <w:pStyle w:val="Corpo"/>
        <w:jc w:val="both"/>
        <w:rPr>
          <w:rFonts w:ascii="Arial" w:hAnsi="Arial" w:cs="Arial"/>
          <w:b/>
          <w:sz w:val="28"/>
          <w:szCs w:val="28"/>
          <w:lang w:val="it-CH"/>
        </w:rPr>
      </w:pPr>
      <w:r w:rsidRPr="00E85E82">
        <w:rPr>
          <w:rFonts w:ascii="Arial" w:hAnsi="Arial" w:cs="Arial"/>
          <w:b/>
          <w:sz w:val="28"/>
          <w:szCs w:val="28"/>
          <w:lang w:val="it-CH"/>
        </w:rPr>
        <w:t xml:space="preserve">sull’iniziativa parlamentare </w:t>
      </w:r>
      <w:r w:rsidR="00952F3C" w:rsidRPr="00E85E82">
        <w:rPr>
          <w:rFonts w:ascii="Arial" w:hAnsi="Arial" w:cs="Arial"/>
          <w:b/>
          <w:sz w:val="28"/>
          <w:szCs w:val="28"/>
          <w:lang w:val="it-IT"/>
        </w:rPr>
        <w:t>22 febbraio 2016</w:t>
      </w:r>
      <w:r w:rsidR="00952F3C">
        <w:rPr>
          <w:rFonts w:ascii="Arial" w:hAnsi="Arial" w:cs="Arial"/>
          <w:b/>
          <w:sz w:val="28"/>
          <w:szCs w:val="28"/>
          <w:lang w:val="it-IT"/>
        </w:rPr>
        <w:t xml:space="preserve"> </w:t>
      </w:r>
      <w:r w:rsidR="00952F3C">
        <w:rPr>
          <w:rFonts w:ascii="Arial" w:hAnsi="Arial" w:cs="Arial"/>
          <w:b/>
          <w:sz w:val="28"/>
          <w:szCs w:val="28"/>
          <w:lang w:val="it-CH"/>
        </w:rPr>
        <w:t xml:space="preserve">presentata </w:t>
      </w:r>
      <w:r w:rsidRPr="00E85E82">
        <w:rPr>
          <w:rFonts w:ascii="Arial" w:hAnsi="Arial" w:cs="Arial"/>
          <w:b/>
          <w:sz w:val="28"/>
          <w:szCs w:val="28"/>
          <w:lang w:val="it-CH"/>
        </w:rPr>
        <w:t>n</w:t>
      </w:r>
      <w:r w:rsidR="00952F3C">
        <w:rPr>
          <w:rFonts w:ascii="Arial" w:hAnsi="Arial" w:cs="Arial"/>
          <w:b/>
          <w:sz w:val="28"/>
          <w:szCs w:val="28"/>
          <w:lang w:val="it-CH"/>
        </w:rPr>
        <w:t>ella</w:t>
      </w:r>
      <w:r w:rsidRPr="00E85E82">
        <w:rPr>
          <w:rFonts w:ascii="Arial" w:hAnsi="Arial" w:cs="Arial"/>
          <w:b/>
          <w:sz w:val="28"/>
          <w:szCs w:val="28"/>
          <w:lang w:val="it-CH"/>
        </w:rPr>
        <w:t xml:space="preserve"> forma elaborata da </w:t>
      </w:r>
      <w:r w:rsidRPr="00E85E82">
        <w:rPr>
          <w:rFonts w:ascii="Arial" w:hAnsi="Arial" w:cs="Arial"/>
          <w:b/>
          <w:sz w:val="28"/>
          <w:szCs w:val="28"/>
          <w:lang w:val="it-IT"/>
        </w:rPr>
        <w:t>Matteo Quadranti per la modifica degli arti. 51 e 52 della LGC per abolire l</w:t>
      </w:r>
      <w:r w:rsidRPr="00E85E82">
        <w:rPr>
          <w:rFonts w:ascii="Arial" w:hAnsi="Arial" w:cs="Arial"/>
          <w:b/>
          <w:sz w:val="28"/>
          <w:szCs w:val="28"/>
          <w:lang w:val="it-CH"/>
        </w:rPr>
        <w:t xml:space="preserve">’immunità̀ </w:t>
      </w:r>
      <w:r w:rsidRPr="00E85E82">
        <w:rPr>
          <w:rFonts w:ascii="Arial" w:hAnsi="Arial" w:cs="Arial"/>
          <w:b/>
          <w:sz w:val="28"/>
          <w:szCs w:val="28"/>
          <w:lang w:val="it-IT"/>
        </w:rPr>
        <w:t>parlamentare e, in parte, i provvedimenti d</w:t>
      </w:r>
      <w:r w:rsidRPr="00E85E82">
        <w:rPr>
          <w:rFonts w:ascii="Arial" w:hAnsi="Arial" w:cs="Arial"/>
          <w:b/>
          <w:sz w:val="28"/>
          <w:szCs w:val="28"/>
          <w:lang w:val="it-CH"/>
        </w:rPr>
        <w:t>’ordine</w:t>
      </w:r>
    </w:p>
    <w:p w:rsidR="005150BD" w:rsidRDefault="005150BD" w:rsidP="005150BD">
      <w:pPr>
        <w:rPr>
          <w:rFonts w:cs="Arial"/>
        </w:rPr>
      </w:pPr>
    </w:p>
    <w:p w:rsidR="005150BD" w:rsidRPr="00E85E82" w:rsidRDefault="005150BD" w:rsidP="005150BD">
      <w:pPr>
        <w:rPr>
          <w:rFonts w:cs="Arial"/>
        </w:rPr>
      </w:pPr>
    </w:p>
    <w:p w:rsidR="005150BD" w:rsidRPr="00E85E82" w:rsidRDefault="005150BD" w:rsidP="005150BD">
      <w:pPr>
        <w:rPr>
          <w:rFonts w:cs="Arial"/>
        </w:rPr>
      </w:pPr>
    </w:p>
    <w:p w:rsidR="005150BD" w:rsidRPr="00E85E82" w:rsidRDefault="005150BD" w:rsidP="005150BD">
      <w:pPr>
        <w:rPr>
          <w:rFonts w:cs="Arial"/>
        </w:rPr>
      </w:pPr>
      <w:r w:rsidRPr="00E85E82">
        <w:rPr>
          <w:rFonts w:cs="Arial"/>
          <w:b/>
          <w:bCs/>
        </w:rPr>
        <w:t>INDICE</w:t>
      </w:r>
    </w:p>
    <w:p w:rsidR="005150BD" w:rsidRPr="0027376D" w:rsidRDefault="005150BD" w:rsidP="005150BD">
      <w:pPr>
        <w:rPr>
          <w:rFonts w:cs="Arial"/>
          <w:sz w:val="12"/>
          <w:szCs w:val="12"/>
        </w:rPr>
      </w:pPr>
    </w:p>
    <w:p w:rsidR="0027376D" w:rsidRPr="0027376D" w:rsidRDefault="0027376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27376D">
        <w:rPr>
          <w:rFonts w:cs="Arial"/>
          <w:sz w:val="22"/>
          <w:szCs w:val="22"/>
          <w:lang w:val="it-CH"/>
        </w:rPr>
        <w:fldChar w:fldCharType="begin"/>
      </w:r>
      <w:r w:rsidRPr="0027376D">
        <w:rPr>
          <w:rFonts w:cs="Arial"/>
          <w:sz w:val="22"/>
          <w:szCs w:val="22"/>
          <w:lang w:val="it-CH"/>
        </w:rPr>
        <w:instrText xml:space="preserve"> TOC \o "1-1" \h \z \u </w:instrText>
      </w:r>
      <w:r w:rsidRPr="0027376D">
        <w:rPr>
          <w:rFonts w:cs="Arial"/>
          <w:sz w:val="22"/>
          <w:szCs w:val="22"/>
          <w:lang w:val="it-CH"/>
        </w:rPr>
        <w:fldChar w:fldCharType="separate"/>
      </w:r>
      <w:hyperlink w:anchor="_Toc470705135" w:history="1">
        <w:r w:rsidRPr="0027376D">
          <w:rPr>
            <w:rStyle w:val="Collegamentoipertestuale"/>
            <w:noProof/>
            <w:sz w:val="22"/>
            <w:szCs w:val="22"/>
          </w:rPr>
          <w:t>I.</w:t>
        </w:r>
        <w:r w:rsidRPr="0027376D">
          <w:rPr>
            <w:rFonts w:asciiTheme="minorHAnsi" w:eastAsiaTheme="minorEastAsia" w:hAnsiTheme="minorHAnsi" w:cstheme="minorBidi"/>
            <w:caps w:val="0"/>
            <w:noProof/>
            <w:sz w:val="22"/>
            <w:szCs w:val="22"/>
            <w:lang w:val="it-CH" w:eastAsia="it-CH"/>
          </w:rPr>
          <w:tab/>
        </w:r>
        <w:r w:rsidRPr="0027376D">
          <w:rPr>
            <w:rStyle w:val="Collegamentoipertestuale"/>
            <w:noProof/>
            <w:sz w:val="22"/>
            <w:szCs w:val="22"/>
          </w:rPr>
          <w:t>PREMESSA</w:t>
        </w:r>
        <w:r w:rsidRPr="0027376D">
          <w:rPr>
            <w:noProof/>
            <w:webHidden/>
            <w:sz w:val="22"/>
            <w:szCs w:val="22"/>
          </w:rPr>
          <w:tab/>
        </w:r>
        <w:r w:rsidRPr="0027376D">
          <w:rPr>
            <w:noProof/>
            <w:webHidden/>
            <w:sz w:val="22"/>
            <w:szCs w:val="22"/>
          </w:rPr>
          <w:fldChar w:fldCharType="begin"/>
        </w:r>
        <w:r w:rsidRPr="0027376D">
          <w:rPr>
            <w:noProof/>
            <w:webHidden/>
            <w:sz w:val="22"/>
            <w:szCs w:val="22"/>
          </w:rPr>
          <w:instrText xml:space="preserve"> PAGEREF _Toc470705135 \h </w:instrText>
        </w:r>
        <w:r w:rsidRPr="0027376D">
          <w:rPr>
            <w:noProof/>
            <w:webHidden/>
            <w:sz w:val="22"/>
            <w:szCs w:val="22"/>
          </w:rPr>
        </w:r>
        <w:r w:rsidRPr="0027376D">
          <w:rPr>
            <w:noProof/>
            <w:webHidden/>
            <w:sz w:val="22"/>
            <w:szCs w:val="22"/>
          </w:rPr>
          <w:fldChar w:fldCharType="separate"/>
        </w:r>
        <w:r w:rsidR="001B6091">
          <w:rPr>
            <w:noProof/>
            <w:webHidden/>
            <w:sz w:val="22"/>
            <w:szCs w:val="22"/>
          </w:rPr>
          <w:t>1</w:t>
        </w:r>
        <w:r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36" w:history="1">
        <w:r w:rsidR="0027376D" w:rsidRPr="0027376D">
          <w:rPr>
            <w:rStyle w:val="Collegamentoipertestuale"/>
            <w:noProof/>
            <w:sz w:val="22"/>
            <w:szCs w:val="22"/>
          </w:rPr>
          <w:t>II.</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DEFINIZIONE E SCOPO DELL’IMMUNITÀ PARLAMENTARE</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_Toc470705136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2</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37" w:history="1">
        <w:r w:rsidR="0027376D" w:rsidRPr="0027376D">
          <w:rPr>
            <w:rStyle w:val="Collegamentoipertestuale"/>
            <w:noProof/>
            <w:sz w:val="22"/>
            <w:szCs w:val="22"/>
          </w:rPr>
          <w:t>III.</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RICHIESTE DI MODIFICA DELLA LGC</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_Toc470705137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2</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38" w:history="1">
        <w:r w:rsidR="0027376D" w:rsidRPr="0027376D">
          <w:rPr>
            <w:rStyle w:val="Collegamentoipertestuale"/>
            <w:noProof/>
            <w:sz w:val="22"/>
            <w:szCs w:val="22"/>
          </w:rPr>
          <w:t>IV.</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REGOLAMENTAZIONE DELL’IMMUNITÀ A LIVELLO CANTONALE</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_Toc470705138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3</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39" w:history="1">
        <w:r w:rsidR="0027376D" w:rsidRPr="0027376D">
          <w:rPr>
            <w:rStyle w:val="Collegamentoipertestuale"/>
            <w:noProof/>
            <w:sz w:val="22"/>
            <w:szCs w:val="22"/>
          </w:rPr>
          <w:t>V.</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L’IMMUNITÀ PARLAMENTARE NEGLI ALTRI CANTONI</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_Toc470705139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4</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40" w:history="1">
        <w:r w:rsidR="0027376D" w:rsidRPr="0027376D">
          <w:rPr>
            <w:rStyle w:val="Collegamentoipertestuale"/>
            <w:noProof/>
            <w:sz w:val="22"/>
            <w:szCs w:val="22"/>
          </w:rPr>
          <w:t>VI.</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L’IMMUNITÀ NELL’ASSEMBLEA FEDERALE</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_Toc470705140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10</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41" w:history="1">
        <w:r w:rsidR="0027376D" w:rsidRPr="0027376D">
          <w:rPr>
            <w:rStyle w:val="Collegamentoipertestuale"/>
            <w:noProof/>
            <w:sz w:val="22"/>
            <w:szCs w:val="22"/>
          </w:rPr>
          <w:t>VII.</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L’IMMUNITÀ PARLAMENTARE A LIVELLO EUROPEO</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_Toc470705141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10</w:t>
        </w:r>
        <w:r w:rsidR="0027376D" w:rsidRPr="0027376D">
          <w:rPr>
            <w:noProof/>
            <w:webHidden/>
            <w:sz w:val="22"/>
            <w:szCs w:val="22"/>
          </w:rPr>
          <w:fldChar w:fldCharType="end"/>
        </w:r>
      </w:hyperlink>
    </w:p>
    <w:p w:rsidR="0027376D" w:rsidRPr="0027376D" w:rsidRDefault="000D28C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70705142" w:history="1">
        <w:r w:rsidR="0027376D" w:rsidRPr="0027376D">
          <w:rPr>
            <w:rStyle w:val="Collegamentoipertestuale"/>
            <w:noProof/>
            <w:sz w:val="22"/>
            <w:szCs w:val="22"/>
          </w:rPr>
          <w:t>VIII.</w:t>
        </w:r>
        <w:r w:rsidR="0027376D" w:rsidRPr="0027376D">
          <w:rPr>
            <w:rFonts w:asciiTheme="minorHAnsi" w:eastAsiaTheme="minorEastAsia" w:hAnsiTheme="minorHAnsi" w:cstheme="minorBidi"/>
            <w:caps w:val="0"/>
            <w:noProof/>
            <w:sz w:val="22"/>
            <w:szCs w:val="22"/>
            <w:lang w:val="it-CH" w:eastAsia="it-CH"/>
          </w:rPr>
          <w:tab/>
        </w:r>
        <w:r w:rsidR="0027376D" w:rsidRPr="0027376D">
          <w:rPr>
            <w:rStyle w:val="Collegamentoipertestuale"/>
            <w:noProof/>
            <w:sz w:val="22"/>
            <w:szCs w:val="22"/>
          </w:rPr>
          <w:t>DISCUSSIONE COMMISSIONALE E CONCLUSIONI</w:t>
        </w:r>
        <w:r w:rsidR="0027376D" w:rsidRPr="0027376D">
          <w:rPr>
            <w:noProof/>
            <w:webHidden/>
            <w:sz w:val="22"/>
            <w:szCs w:val="22"/>
          </w:rPr>
          <w:tab/>
        </w:r>
        <w:r w:rsidR="0027376D" w:rsidRPr="0027376D">
          <w:rPr>
            <w:noProof/>
            <w:webHidden/>
            <w:sz w:val="22"/>
            <w:szCs w:val="22"/>
          </w:rPr>
          <w:fldChar w:fldCharType="begin"/>
        </w:r>
        <w:r w:rsidR="0027376D" w:rsidRPr="0027376D">
          <w:rPr>
            <w:noProof/>
            <w:webHidden/>
            <w:sz w:val="22"/>
            <w:szCs w:val="22"/>
          </w:rPr>
          <w:instrText xml:space="preserve"> PAGEREF _Toc470705142 \h </w:instrText>
        </w:r>
        <w:r w:rsidR="0027376D" w:rsidRPr="0027376D">
          <w:rPr>
            <w:noProof/>
            <w:webHidden/>
            <w:sz w:val="22"/>
            <w:szCs w:val="22"/>
          </w:rPr>
        </w:r>
        <w:r w:rsidR="0027376D" w:rsidRPr="0027376D">
          <w:rPr>
            <w:noProof/>
            <w:webHidden/>
            <w:sz w:val="22"/>
            <w:szCs w:val="22"/>
          </w:rPr>
          <w:fldChar w:fldCharType="separate"/>
        </w:r>
        <w:r w:rsidR="001B6091">
          <w:rPr>
            <w:noProof/>
            <w:webHidden/>
            <w:sz w:val="22"/>
            <w:szCs w:val="22"/>
          </w:rPr>
          <w:t>11</w:t>
        </w:r>
        <w:r w:rsidR="0027376D" w:rsidRPr="0027376D">
          <w:rPr>
            <w:noProof/>
            <w:webHidden/>
            <w:sz w:val="22"/>
            <w:szCs w:val="22"/>
          </w:rPr>
          <w:fldChar w:fldCharType="end"/>
        </w:r>
      </w:hyperlink>
    </w:p>
    <w:p w:rsidR="005150BD" w:rsidRDefault="0027376D" w:rsidP="005150BD">
      <w:pPr>
        <w:pStyle w:val="Corpo"/>
        <w:jc w:val="both"/>
        <w:rPr>
          <w:rFonts w:ascii="Arial" w:hAnsi="Arial" w:cs="Arial"/>
          <w:sz w:val="24"/>
          <w:szCs w:val="24"/>
          <w:lang w:val="it-CH"/>
        </w:rPr>
      </w:pPr>
      <w:r w:rsidRPr="0027376D">
        <w:rPr>
          <w:rFonts w:ascii="Arial" w:hAnsi="Arial" w:cs="Arial"/>
          <w:lang w:val="it-CH"/>
        </w:rPr>
        <w:fldChar w:fldCharType="end"/>
      </w:r>
    </w:p>
    <w:p w:rsidR="005150BD" w:rsidRDefault="005150BD" w:rsidP="005150BD"/>
    <w:p w:rsidR="005150BD" w:rsidRDefault="005150BD" w:rsidP="005150BD">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5150BD" w:rsidRDefault="005150BD" w:rsidP="005150BD"/>
    <w:p w:rsidR="005150BD"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1" w:name="_Toc463535726"/>
      <w:bookmarkStart w:id="2" w:name="_Toc470705135"/>
      <w:r w:rsidRPr="003824D8">
        <w:t>I.</w:t>
      </w:r>
      <w:r w:rsidRPr="003824D8">
        <w:tab/>
        <w:t>PREMESSA</w:t>
      </w:r>
      <w:bookmarkEnd w:id="1"/>
      <w:bookmarkEnd w:id="2"/>
    </w:p>
    <w:p w:rsidR="005150BD"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w:t>
      </w:r>
      <w:proofErr w:type="spellStart"/>
      <w:r w:rsidRPr="003824D8">
        <w:rPr>
          <w:rFonts w:ascii="Arial" w:hAnsi="Arial" w:cs="Arial"/>
          <w:sz w:val="24"/>
          <w:szCs w:val="24"/>
          <w:lang w:val="it-CH"/>
        </w:rPr>
        <w:t>iniziativista</w:t>
      </w:r>
      <w:proofErr w:type="spellEnd"/>
      <w:r w:rsidRPr="003824D8">
        <w:rPr>
          <w:rFonts w:ascii="Arial" w:hAnsi="Arial" w:cs="Arial"/>
          <w:sz w:val="24"/>
          <w:szCs w:val="24"/>
          <w:lang w:val="it-CH"/>
        </w:rPr>
        <w:t xml:space="preserve">, riprendendo una sua precedente iniziativa che chiedeva l’introduzione nella legge sul Gran Consiglio (in seguito LGC) di provvedimenti d’ordine/disciplinari più incisivi circa il comportamento dei deputati anche fuori dalle sedute del Gran Consiglio, cerca di ripresentare sotto un’altra forma la problematica. </w:t>
      </w:r>
      <w:r w:rsidRPr="003824D8">
        <w:rPr>
          <w:rFonts w:ascii="Arial" w:hAnsi="Arial" w:cs="Arial"/>
          <w:sz w:val="24"/>
          <w:szCs w:val="24"/>
          <w:lang w:val="it-IT"/>
        </w:rPr>
        <w:t>La precedente iniziativa concerneva i comportamenti dei deputati fuori dall’aula parlamentare, mentre quella oggetto del presente rapporto concerne i comportamenti dei deputati in Parlamento</w:t>
      </w:r>
      <w:r w:rsidRPr="003824D8">
        <w:rPr>
          <w:rFonts w:ascii="Arial" w:hAnsi="Arial" w:cs="Arial"/>
          <w:sz w:val="24"/>
          <w:szCs w:val="24"/>
          <w:lang w:val="it-CH"/>
        </w:rPr>
        <w:t>.</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La relatrice condivide la preoccupazione dell’</w:t>
      </w:r>
      <w:proofErr w:type="spellStart"/>
      <w:r w:rsidRPr="003824D8">
        <w:rPr>
          <w:rFonts w:ascii="Arial" w:hAnsi="Arial" w:cs="Arial"/>
          <w:sz w:val="24"/>
          <w:szCs w:val="24"/>
          <w:lang w:val="it-CH"/>
        </w:rPr>
        <w:t>iniziativista</w:t>
      </w:r>
      <w:proofErr w:type="spellEnd"/>
      <w:r w:rsidRPr="003824D8">
        <w:rPr>
          <w:rFonts w:ascii="Arial" w:hAnsi="Arial" w:cs="Arial"/>
          <w:sz w:val="24"/>
          <w:szCs w:val="24"/>
          <w:lang w:val="it-CH"/>
        </w:rPr>
        <w:t xml:space="preserve"> riguardo il degrado del dibattito politico e l’utilizzo di un linguaggio inappropriato che sovente diventa denigratorio, diffamatorio ed ingiurioso. Ogni parlamentare dovrebbe sapersi comportare correttamente, come ogni cittadino, anzi, considerato il ruolo che riveste, dovrebbe dare il buon esempio. </w:t>
      </w:r>
      <w:r w:rsidRPr="003824D8">
        <w:rPr>
          <w:rFonts w:ascii="Arial" w:hAnsi="Arial" w:cs="Arial"/>
          <w:sz w:val="24"/>
          <w:szCs w:val="24"/>
          <w:lang w:val="it-CH"/>
        </w:rPr>
        <w:lastRenderedPageBreak/>
        <w:t>Se il parlamentare non si comporta correttamente fuori dall’aula è infatti punibile civilmente o penalmente, mentre per i comportamenti tenuti in aula è coperto dall’immunità parlamentare unicamente per le espressioni diffamatorie da lui utilizzate. Inoltre, l’immunità può essere revocata.</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3" w:name="_Toc463535727"/>
      <w:bookmarkStart w:id="4" w:name="_Toc470705136"/>
      <w:r w:rsidRPr="003824D8">
        <w:t>II.</w:t>
      </w:r>
      <w:r w:rsidRPr="003824D8">
        <w:tab/>
        <w:t>DEFINIZIONE E SCOPO DELL’IMMUNITÀ PARLAMENTARE</w:t>
      </w:r>
      <w:bookmarkEnd w:id="3"/>
      <w:bookmarkEnd w:id="4"/>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L’immunità parlamentare è un istituto finalizzato a consentire ai rappresentanti eletti dal popolo di adempiere pienamente il loro mandato, all’interno di un regime democratico, senza interferenze da parte di un altro potere o di avversari politici.</w:t>
      </w:r>
      <w:r w:rsidRPr="003824D8">
        <w:rPr>
          <w:rStyle w:val="Rimandonotaapidipagina"/>
          <w:rFonts w:ascii="Arial" w:hAnsi="Arial" w:cs="Arial"/>
          <w:sz w:val="24"/>
          <w:szCs w:val="24"/>
          <w:lang w:val="it-CH"/>
        </w:rPr>
        <w:footnoteReference w:id="1"/>
      </w:r>
    </w:p>
    <w:p w:rsidR="005150BD" w:rsidRPr="0027376D" w:rsidRDefault="005150BD" w:rsidP="005150BD">
      <w:pPr>
        <w:pStyle w:val="Corpo"/>
        <w:jc w:val="both"/>
        <w:rPr>
          <w:rFonts w:ascii="Arial" w:hAnsi="Arial" w:cs="Arial"/>
          <w:color w:val="auto"/>
          <w:sz w:val="18"/>
          <w:szCs w:val="18"/>
          <w:lang w:val="it-CH"/>
        </w:rPr>
      </w:pPr>
    </w:p>
    <w:p w:rsidR="005150BD" w:rsidRPr="003824D8" w:rsidRDefault="005150BD" w:rsidP="005150BD">
      <w:pPr>
        <w:ind w:right="-1"/>
        <w:rPr>
          <w:rFonts w:eastAsia="Times New Roman"/>
          <w:bCs/>
          <w:lang w:eastAsia="it-CH"/>
        </w:rPr>
      </w:pPr>
      <w:r w:rsidRPr="003824D8">
        <w:rPr>
          <w:rFonts w:cs="Arial"/>
        </w:rPr>
        <w:t xml:space="preserve">L’immunità può essere assoluta o relativa. </w:t>
      </w:r>
      <w:r w:rsidRPr="003824D8">
        <w:rPr>
          <w:rFonts w:eastAsia="Times New Roman" w:cs="Arial"/>
          <w:bCs/>
          <w:iCs/>
          <w:u w:val="single"/>
          <w:lang w:eastAsia="it-CH"/>
        </w:rPr>
        <w:t>L’immunità assoluta</w:t>
      </w:r>
      <w:r w:rsidRPr="003824D8">
        <w:rPr>
          <w:rFonts w:eastAsia="Times New Roman" w:cs="Arial"/>
          <w:bCs/>
          <w:iCs/>
          <w:lang w:eastAsia="it-CH"/>
        </w:rPr>
        <w:t xml:space="preserve"> significa che un parlamentare non può essere chiamato a rispondere in giudizio per quanto da lui espresso in Parlamento. L’immunità assoluta tutela la funzione. Il parlamentare non può dunque rinunciarvi e neppure può essergli soppressa.</w:t>
      </w:r>
      <w:r w:rsidRPr="003824D8">
        <w:rPr>
          <w:rFonts w:eastAsia="Times New Roman"/>
          <w:bCs/>
          <w:lang w:eastAsia="it-CH"/>
        </w:rPr>
        <w:t xml:space="preserve"> </w:t>
      </w:r>
      <w:r w:rsidRPr="003824D8">
        <w:rPr>
          <w:rFonts w:eastAsia="Times New Roman" w:cs="Arial"/>
          <w:bCs/>
          <w:iCs/>
          <w:u w:val="single"/>
          <w:lang w:eastAsia="it-CH"/>
        </w:rPr>
        <w:t>L’immunità relativa</w:t>
      </w:r>
      <w:r w:rsidRPr="003824D8">
        <w:rPr>
          <w:rFonts w:eastAsia="Times New Roman" w:cs="Arial"/>
          <w:bCs/>
          <w:iCs/>
          <w:lang w:eastAsia="it-CH"/>
        </w:rPr>
        <w:t xml:space="preserve"> tutela il parlamentare da procedimenti penali per reati direttamente connessi con la sua condizione o attività ufficiale. Anche l’immunità relativa tutela la funzione, pertanto il parlamentare non può rinunciarvi. Al contrario dell’immunità assoluta, l’immunità relativa può essere soppressa su richiesta dell’autorità penale</w:t>
      </w:r>
      <w:r w:rsidRPr="003824D8">
        <w:rPr>
          <w:rStyle w:val="Rimandonotaapidipagina"/>
          <w:rFonts w:cs="Arial"/>
        </w:rPr>
        <w:footnoteReference w:id="2"/>
      </w:r>
      <w:r w:rsidRPr="003824D8">
        <w:rPr>
          <w:rFonts w:cs="Arial"/>
        </w:rPr>
        <w:t>.</w:t>
      </w:r>
    </w:p>
    <w:p w:rsidR="005150BD" w:rsidRPr="0027376D" w:rsidRDefault="005150BD" w:rsidP="005150BD">
      <w:pPr>
        <w:rPr>
          <w:rFonts w:cs="Arial"/>
          <w:sz w:val="18"/>
          <w:szCs w:val="18"/>
          <w:lang w:eastAsia="it-CH"/>
        </w:rPr>
      </w:pPr>
    </w:p>
    <w:p w:rsidR="005150BD" w:rsidRPr="003824D8" w:rsidRDefault="005150BD" w:rsidP="005150BD">
      <w:pPr>
        <w:rPr>
          <w:rFonts w:eastAsia="Times New Roman" w:cs="Arial"/>
          <w:lang w:val="it-IT" w:eastAsia="it-CH"/>
        </w:rPr>
      </w:pPr>
      <w:r w:rsidRPr="003824D8">
        <w:rPr>
          <w:rFonts w:cs="Arial"/>
          <w:lang w:eastAsia="it-CH"/>
        </w:rPr>
        <w:t xml:space="preserve">L’art. 7 cpv. 2 del Codice di procedura penale svizzero prevede che </w:t>
      </w:r>
      <w:r w:rsidRPr="003824D8">
        <w:rPr>
          <w:rFonts w:cs="Arial"/>
          <w:u w:val="single"/>
          <w:lang w:eastAsia="it-CH"/>
        </w:rPr>
        <w:t>i</w:t>
      </w:r>
      <w:r w:rsidRPr="003824D8">
        <w:rPr>
          <w:rFonts w:eastAsia="Times New Roman" w:cs="Arial"/>
          <w:u w:val="single"/>
          <w:lang w:val="it-IT" w:eastAsia="it-CH"/>
        </w:rPr>
        <w:t xml:space="preserve"> Cantoni possono escludere o limitare la responsabilità penale dei membri delle loro autorità legislative e giudiziarie e dei membri del loro Governo per espressioni usate nel Parlamento cantonale</w:t>
      </w:r>
      <w:r w:rsidRPr="003824D8">
        <w:rPr>
          <w:rFonts w:eastAsia="Times New Roman" w:cs="Arial"/>
          <w:lang w:val="it-IT" w:eastAsia="it-CH"/>
        </w:rPr>
        <w:t>.</w:t>
      </w: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Va precisato che in Ticino attualmente, contrariamente alla maggioranza dei Cantoni, il Governo non gode dell’immunità per quanto dichiarato davanti al Gran Consiglio. </w:t>
      </w:r>
    </w:p>
    <w:p w:rsidR="005150BD" w:rsidRPr="0027376D" w:rsidRDefault="005150BD" w:rsidP="005150BD">
      <w:pPr>
        <w:pStyle w:val="Corpo"/>
        <w:jc w:val="both"/>
        <w:rPr>
          <w:rFonts w:ascii="Arial" w:hAnsi="Arial" w:cs="Arial"/>
          <w:color w:val="auto"/>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color w:val="auto"/>
          <w:sz w:val="24"/>
          <w:szCs w:val="24"/>
          <w:lang w:val="it-CH"/>
        </w:rPr>
        <w:t xml:space="preserve">L’art. 61 del Codice </w:t>
      </w:r>
      <w:r w:rsidRPr="003824D8">
        <w:rPr>
          <w:rFonts w:ascii="Arial" w:hAnsi="Arial" w:cs="Arial"/>
          <w:sz w:val="24"/>
          <w:szCs w:val="24"/>
          <w:lang w:val="it-CH"/>
        </w:rPr>
        <w:t>delle Obbligazioni regolamenta la responsabilità civile dei pubblici impiegati e funzionari, che si applica a tutti coloro che prestano dei servizi a favore dello Stato, compresi i membri del Parlamento.</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Lo scopo dell’immunità parlamentare è permettere al deputato di sentirsi libero di esprimere fatti e opinioni senza avere il timore di incorrere in sanzioni di ordine civile o penale. L’immunità è un privilegio che protegge il parlamentare, in quanto titolare di un mandato popolare, da pressioni esterne e agevola la sua libertà di espressione. Di riflesso, l’immunità favorisce il buon funzionamento del Parlamento</w:t>
      </w:r>
      <w:r w:rsidRPr="003824D8">
        <w:rPr>
          <w:rStyle w:val="Rimandonotaapidipagina"/>
          <w:rFonts w:ascii="Arial" w:hAnsi="Arial" w:cs="Arial"/>
          <w:sz w:val="24"/>
          <w:szCs w:val="24"/>
          <w:lang w:val="it-CH"/>
        </w:rPr>
        <w:footnoteReference w:id="3"/>
      </w:r>
      <w:r w:rsidRPr="003824D8">
        <w:rPr>
          <w:rFonts w:ascii="Arial" w:hAnsi="Arial" w:cs="Arial"/>
          <w:sz w:val="24"/>
          <w:szCs w:val="24"/>
          <w:lang w:val="it-CH"/>
        </w:rPr>
        <w:t xml:space="preserve">. </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5" w:name="_Toc463535728"/>
      <w:bookmarkStart w:id="6" w:name="_Toc470705137"/>
      <w:r w:rsidRPr="003824D8">
        <w:t>III.</w:t>
      </w:r>
      <w:r w:rsidRPr="003824D8">
        <w:tab/>
        <w:t>RICHIESTE DI MODIFICA DELLA LGC</w:t>
      </w:r>
      <w:bookmarkEnd w:id="5"/>
      <w:bookmarkEnd w:id="6"/>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L’iniziativa parlamentare oggetto del presente rapporto mira ad abolire l</w:t>
      </w:r>
      <w:r w:rsidR="0027376D">
        <w:rPr>
          <w:rFonts w:ascii="Arial" w:hAnsi="Arial" w:cs="Arial"/>
          <w:sz w:val="24"/>
          <w:szCs w:val="24"/>
          <w:lang w:val="it-CH"/>
        </w:rPr>
        <w:t>’</w:t>
      </w:r>
      <w:r w:rsidRPr="003824D8">
        <w:rPr>
          <w:rFonts w:ascii="Arial" w:hAnsi="Arial" w:cs="Arial"/>
          <w:sz w:val="24"/>
          <w:szCs w:val="24"/>
          <w:lang w:val="it-CH"/>
        </w:rPr>
        <w:t xml:space="preserve">art. 51 e </w:t>
      </w:r>
      <w:r w:rsidR="0027376D">
        <w:rPr>
          <w:rFonts w:ascii="Arial" w:hAnsi="Arial" w:cs="Arial"/>
          <w:sz w:val="24"/>
          <w:szCs w:val="24"/>
          <w:lang w:val="it-CH"/>
        </w:rPr>
        <w:t>i</w:t>
      </w:r>
      <w:r w:rsidRPr="003824D8">
        <w:rPr>
          <w:rFonts w:ascii="Arial" w:hAnsi="Arial" w:cs="Arial"/>
          <w:sz w:val="24"/>
          <w:szCs w:val="24"/>
          <w:lang w:val="it-CH"/>
        </w:rPr>
        <w:t xml:space="preserve"> </w:t>
      </w:r>
      <w:proofErr w:type="spellStart"/>
      <w:r w:rsidRPr="003824D8">
        <w:rPr>
          <w:rFonts w:ascii="Arial" w:hAnsi="Arial" w:cs="Arial"/>
          <w:sz w:val="24"/>
          <w:szCs w:val="24"/>
          <w:lang w:val="it-CH"/>
        </w:rPr>
        <w:t>cvp</w:t>
      </w:r>
      <w:proofErr w:type="spellEnd"/>
      <w:r w:rsidRPr="003824D8">
        <w:rPr>
          <w:rFonts w:ascii="Arial" w:hAnsi="Arial" w:cs="Arial"/>
          <w:sz w:val="24"/>
          <w:szCs w:val="24"/>
          <w:lang w:val="it-CH"/>
        </w:rPr>
        <w:t>. 1 e 2 dell’</w:t>
      </w:r>
      <w:r w:rsidR="0027376D">
        <w:rPr>
          <w:rFonts w:ascii="Arial" w:hAnsi="Arial" w:cs="Arial"/>
          <w:sz w:val="24"/>
          <w:szCs w:val="24"/>
          <w:lang w:val="it-CH"/>
        </w:rPr>
        <w:t xml:space="preserve">art. </w:t>
      </w:r>
      <w:r w:rsidRPr="003824D8">
        <w:rPr>
          <w:rFonts w:ascii="Arial" w:hAnsi="Arial" w:cs="Arial"/>
          <w:sz w:val="24"/>
          <w:szCs w:val="24"/>
          <w:lang w:val="it-CH"/>
        </w:rPr>
        <w:t>52 LGC, ossia ad abolire totalmente l’immunità parlamentare.</w:t>
      </w:r>
    </w:p>
    <w:p w:rsidR="005150BD" w:rsidRPr="003824D8" w:rsidRDefault="005150BD" w:rsidP="005150BD">
      <w:pPr>
        <w:pStyle w:val="Corpo"/>
        <w:jc w:val="both"/>
        <w:rPr>
          <w:rFonts w:ascii="Arial" w:hAnsi="Arial" w:cs="Arial"/>
          <w:sz w:val="24"/>
          <w:szCs w:val="24"/>
          <w:lang w:val="it-CH"/>
        </w:rPr>
      </w:pP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b/>
          <w:bCs/>
          <w:i/>
          <w:sz w:val="22"/>
          <w:lang w:eastAsia="it-CH"/>
        </w:rPr>
        <w:t>Art. 51</w:t>
      </w:r>
      <w:r w:rsidRPr="0027376D">
        <w:rPr>
          <w:rFonts w:eastAsia="Times New Roman" w:cs="Arial"/>
          <w:i/>
          <w:sz w:val="22"/>
          <w:lang w:eastAsia="it-CH"/>
        </w:rPr>
        <w:t xml:space="preserve"> </w:t>
      </w:r>
      <w:r w:rsidRPr="0027376D">
        <w:rPr>
          <w:rFonts w:eastAsia="Times New Roman" w:cs="Arial"/>
          <w:i/>
          <w:sz w:val="22"/>
          <w:vertAlign w:val="superscript"/>
          <w:lang w:eastAsia="it-CH"/>
        </w:rPr>
        <w:t>1</w:t>
      </w:r>
      <w:r w:rsidRPr="0027376D">
        <w:rPr>
          <w:rFonts w:eastAsia="Times New Roman" w:cs="Arial"/>
          <w:i/>
          <w:sz w:val="22"/>
          <w:lang w:eastAsia="it-CH"/>
        </w:rPr>
        <w:t xml:space="preserve">Contro un deputato non può essere promosso alcun procedimento penale per le espressioni presumibilmente diffamatorie da lui usate durante le deliberazioni del Gran Consiglio, delle sue Commissioni, nei rapporti commissionali e negli atti parlamentari, se non con l’autorizzazione del Gran Consiglio. </w:t>
      </w: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i/>
          <w:sz w:val="22"/>
          <w:vertAlign w:val="superscript"/>
          <w:lang w:eastAsia="it-CH"/>
        </w:rPr>
        <w:t>2</w:t>
      </w:r>
      <w:r w:rsidRPr="0027376D">
        <w:rPr>
          <w:rFonts w:eastAsia="Times New Roman" w:cs="Arial"/>
          <w:i/>
          <w:sz w:val="22"/>
          <w:lang w:eastAsia="it-CH"/>
        </w:rPr>
        <w:t xml:space="preserve">Il Gran Consiglio decide se togliere l’immunità su richiesta del Ministero pubblico, sentito il preavviso dell’Ufficio presidenziale. All’interessato è data la possibilità di esprimersi davanti all’Ufficio presidenziale. </w:t>
      </w: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i/>
          <w:sz w:val="22"/>
          <w:vertAlign w:val="superscript"/>
          <w:lang w:eastAsia="it-CH"/>
        </w:rPr>
        <w:lastRenderedPageBreak/>
        <w:t>3</w:t>
      </w:r>
      <w:r w:rsidRPr="0027376D">
        <w:rPr>
          <w:rFonts w:eastAsia="Times New Roman" w:cs="Arial"/>
          <w:i/>
          <w:sz w:val="22"/>
          <w:lang w:eastAsia="it-CH"/>
        </w:rPr>
        <w:t xml:space="preserve">La decisione di togliere l’immunità parlamentare deve avvenire a maggioranza assoluta. La votazione avviene a scrutinio segreto. </w:t>
      </w: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i/>
          <w:sz w:val="22"/>
          <w:vertAlign w:val="superscript"/>
          <w:lang w:eastAsia="it-CH"/>
        </w:rPr>
        <w:t>4</w:t>
      </w:r>
      <w:r w:rsidRPr="0027376D">
        <w:rPr>
          <w:rFonts w:eastAsia="Times New Roman" w:cs="Arial"/>
          <w:i/>
          <w:sz w:val="22"/>
          <w:lang w:eastAsia="it-CH"/>
        </w:rPr>
        <w:t xml:space="preserve">Un deputato può rinunciare volontariamente all’immunità parlamentare. </w:t>
      </w:r>
    </w:p>
    <w:p w:rsidR="005150BD" w:rsidRPr="0027376D" w:rsidRDefault="005150BD" w:rsidP="0027376D">
      <w:pPr>
        <w:rPr>
          <w:sz w:val="20"/>
          <w:szCs w:val="20"/>
          <w:lang w:eastAsia="it-CH"/>
        </w:rPr>
      </w:pP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b/>
          <w:bCs/>
          <w:i/>
          <w:sz w:val="22"/>
          <w:lang w:eastAsia="it-CH"/>
        </w:rPr>
        <w:t>Art. 52</w:t>
      </w:r>
      <w:r w:rsidRPr="0027376D">
        <w:rPr>
          <w:rFonts w:eastAsia="Times New Roman" w:cs="Arial"/>
          <w:i/>
          <w:sz w:val="22"/>
          <w:lang w:eastAsia="it-CH"/>
        </w:rPr>
        <w:t xml:space="preserve"> </w:t>
      </w:r>
      <w:r w:rsidRPr="0027376D">
        <w:rPr>
          <w:rFonts w:eastAsia="Times New Roman" w:cs="Arial"/>
          <w:i/>
          <w:sz w:val="22"/>
          <w:vertAlign w:val="superscript"/>
          <w:lang w:eastAsia="it-CH"/>
        </w:rPr>
        <w:t>1</w:t>
      </w:r>
      <w:r w:rsidRPr="0027376D">
        <w:rPr>
          <w:rFonts w:eastAsia="Times New Roman" w:cs="Arial"/>
          <w:i/>
          <w:sz w:val="22"/>
          <w:lang w:eastAsia="it-CH"/>
        </w:rPr>
        <w:t xml:space="preserve">Il Presidente richiama all’ordine il deputato che abusa dell’immunità parlamentare, in particolare mediante espressioni manifestamente offensive, oppure contravviene in altro modo alla legge. </w:t>
      </w:r>
    </w:p>
    <w:p w:rsidR="005150BD" w:rsidRPr="0027376D" w:rsidRDefault="005150BD" w:rsidP="005150BD">
      <w:pPr>
        <w:shd w:val="clear" w:color="auto" w:fill="FFFFFF"/>
        <w:spacing w:after="75"/>
        <w:rPr>
          <w:rFonts w:eastAsia="Times New Roman" w:cs="Arial"/>
          <w:i/>
          <w:sz w:val="22"/>
          <w:lang w:eastAsia="it-CH"/>
        </w:rPr>
      </w:pPr>
      <w:r w:rsidRPr="0027376D">
        <w:rPr>
          <w:rFonts w:eastAsia="Times New Roman" w:cs="Arial"/>
          <w:i/>
          <w:sz w:val="22"/>
          <w:vertAlign w:val="superscript"/>
          <w:lang w:eastAsia="it-CH"/>
        </w:rPr>
        <w:t>2</w:t>
      </w:r>
      <w:r w:rsidRPr="0027376D">
        <w:rPr>
          <w:rFonts w:eastAsia="Times New Roman" w:cs="Arial"/>
          <w:i/>
          <w:sz w:val="22"/>
          <w:lang w:eastAsia="it-CH"/>
        </w:rPr>
        <w:t xml:space="preserve">Se il richiamo non bastasse, il Presidente gli toglie la parola, rispettivamente stralcia o interseca il documento con il quale viene commesso l’abuso. </w:t>
      </w:r>
    </w:p>
    <w:p w:rsidR="005150BD" w:rsidRPr="0027376D" w:rsidRDefault="005150BD" w:rsidP="005150BD">
      <w:pPr>
        <w:pStyle w:val="Corpo"/>
        <w:jc w:val="both"/>
        <w:rPr>
          <w:rFonts w:ascii="Arial" w:hAnsi="Arial" w:cs="Arial"/>
          <w:sz w:val="20"/>
          <w:szCs w:val="20"/>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L’attuale immunità parlamentare non è un’immunità assoluta, bensì un’immunità relativa. Ciò significa che essa, su rinuncia del deputato implicato o su decisione del Gran Consiglio, può essere revocata. Inoltre, l’immunità non copre tutti i reati bensì unicamente la diffamazione, come indicato al cpv. 1 dell’art. 51 LGC.</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7" w:name="_Toc463535729"/>
      <w:bookmarkStart w:id="8" w:name="_Toc470705138"/>
      <w:r w:rsidRPr="003824D8">
        <w:t>IV.</w:t>
      </w:r>
      <w:r w:rsidRPr="003824D8">
        <w:tab/>
        <w:t>REGOLAMENTAZIONE DELL’IMMUNITÀ A LIVELLO CANTONALE</w:t>
      </w:r>
      <w:bookmarkEnd w:id="7"/>
      <w:bookmarkEnd w:id="8"/>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Per capire come si è arrivati alla regolamentazione attuale dell’immunità parlamentare, occorre fare un passo indietro.</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L’immunità parlamentare è stata introdotta per la prima volta nel regolamento del Gran Consiglio del maggio 1831. L’art. 105 prevedeva che </w:t>
      </w:r>
      <w:r w:rsidRPr="003824D8">
        <w:rPr>
          <w:rFonts w:ascii="Arial" w:hAnsi="Arial" w:cs="Arial"/>
          <w:i/>
          <w:sz w:val="24"/>
          <w:szCs w:val="24"/>
          <w:lang w:val="it-CH"/>
        </w:rPr>
        <w:t>“un deputato non potrà essere sottoposto a procedura criminale per le opinioni da lui espresse nel Gran Consiglio su oggetti d’interesse pubblico”</w:t>
      </w:r>
      <w:r w:rsidRPr="003824D8">
        <w:rPr>
          <w:rFonts w:ascii="Arial" w:hAnsi="Arial" w:cs="Arial"/>
          <w:sz w:val="24"/>
          <w:szCs w:val="24"/>
          <w:lang w:val="it-CH"/>
        </w:rPr>
        <w:t xml:space="preserve">. </w:t>
      </w:r>
      <w:r w:rsidRPr="003824D8">
        <w:rPr>
          <w:rFonts w:ascii="Arial" w:hAnsi="Arial" w:cs="Arial"/>
          <w:sz w:val="24"/>
          <w:szCs w:val="24"/>
          <w:u w:val="single"/>
          <w:lang w:val="it-CH"/>
        </w:rPr>
        <w:t>L’immunità concerneva unicamente la responsabilità penale ed era assoluta</w:t>
      </w:r>
      <w:r w:rsidRPr="003824D8">
        <w:rPr>
          <w:rFonts w:ascii="Arial" w:hAnsi="Arial" w:cs="Arial"/>
          <w:sz w:val="24"/>
          <w:szCs w:val="24"/>
          <w:lang w:val="it-CH"/>
        </w:rPr>
        <w:t>, ossia non revocabile. Nel corso degli anni la regolamentazione dell’immunità ha subito varie modifiche di poco conto</w:t>
      </w:r>
      <w:r w:rsidRPr="003824D8">
        <w:rPr>
          <w:rStyle w:val="Rimandonotaapidipagina"/>
          <w:rFonts w:ascii="Arial" w:hAnsi="Arial" w:cs="Arial"/>
          <w:sz w:val="24"/>
          <w:szCs w:val="24"/>
          <w:lang w:val="it-CH"/>
        </w:rPr>
        <w:footnoteReference w:id="4"/>
      </w:r>
      <w:r w:rsidRPr="003824D8">
        <w:rPr>
          <w:rFonts w:ascii="Arial" w:hAnsi="Arial" w:cs="Arial"/>
          <w:sz w:val="24"/>
          <w:szCs w:val="24"/>
          <w:lang w:val="it-CH"/>
        </w:rPr>
        <w:t xml:space="preserve">. </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A partire dal 1984 </w:t>
      </w:r>
      <w:r w:rsidRPr="003824D8">
        <w:rPr>
          <w:rFonts w:ascii="Arial" w:hAnsi="Arial" w:cs="Arial"/>
          <w:sz w:val="24"/>
          <w:szCs w:val="24"/>
          <w:u w:val="single"/>
          <w:lang w:val="it-CH"/>
        </w:rPr>
        <w:t>l’immunità parlamentare è stata estesa anche alla responsabilità civile</w:t>
      </w:r>
      <w:r w:rsidRPr="003824D8">
        <w:rPr>
          <w:rFonts w:ascii="Arial" w:hAnsi="Arial" w:cs="Arial"/>
          <w:sz w:val="24"/>
          <w:szCs w:val="24"/>
          <w:lang w:val="it-CH"/>
        </w:rPr>
        <w:t xml:space="preserve">. L’art. 34 della LGC prevedeva infatti che </w:t>
      </w:r>
      <w:r w:rsidRPr="003824D8">
        <w:rPr>
          <w:rFonts w:ascii="Arial" w:hAnsi="Arial" w:cs="Arial"/>
          <w:i/>
          <w:sz w:val="24"/>
          <w:szCs w:val="24"/>
          <w:lang w:val="it-CH"/>
        </w:rPr>
        <w:t>“non vi è responsabilità penale e civile del deputato per le espressioni da lui usate durante le deliberazioni del Gran Consiglio, delle sue commissioni e negli atti parlamentari”</w:t>
      </w:r>
      <w:r w:rsidRPr="003824D8">
        <w:rPr>
          <w:rFonts w:ascii="Arial" w:hAnsi="Arial" w:cs="Arial"/>
          <w:sz w:val="24"/>
          <w:szCs w:val="24"/>
          <w:lang w:val="it-CH"/>
        </w:rPr>
        <w:t>.</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Nel 2001 l’onorevole Bertoli aveva presentato l’iniziativa parlamentare generica “per una riforma dell’istituto dell’immunità parlamentare”, con la quale voleva eliminare l’immunità, rispettivamente limitarla, introdurre la possibilità di revoca per giusti motivi e introdurre sanzioni più adeguate per reprimere gli abusi. La commissione speciale per la riorganizzazione amministrativa del Gran Consiglio concernente un disegno di nuova LGC, nel suo rapporto del 14 maggio 2002 indicava che </w:t>
      </w:r>
      <w:r w:rsidRPr="003824D8">
        <w:rPr>
          <w:rFonts w:ascii="Arial" w:hAnsi="Arial" w:cs="Arial"/>
          <w:i/>
          <w:sz w:val="24"/>
          <w:szCs w:val="24"/>
          <w:lang w:val="it-CH"/>
        </w:rPr>
        <w:t xml:space="preserve">“la commissione, dopo approfondita discussione, a maggioranza, propone di </w:t>
      </w:r>
      <w:r w:rsidRPr="003824D8">
        <w:rPr>
          <w:rFonts w:ascii="Arial" w:hAnsi="Arial" w:cs="Arial"/>
          <w:i/>
          <w:sz w:val="24"/>
          <w:szCs w:val="24"/>
          <w:u w:val="single"/>
          <w:lang w:val="it-CH"/>
        </w:rPr>
        <w:t>non modificare l’attuale regolamentazione dell’immunità parlamentare</w:t>
      </w:r>
      <w:r w:rsidRPr="003824D8">
        <w:rPr>
          <w:rFonts w:ascii="Arial" w:hAnsi="Arial" w:cs="Arial"/>
          <w:i/>
          <w:sz w:val="24"/>
          <w:szCs w:val="24"/>
          <w:lang w:val="it-CH"/>
        </w:rPr>
        <w:t>, essa ritiene infatti che la libertà d’espressione in aula e nelle commissioni debba continuare a essere tutelata in modo assoluto, riservati i provvedimenti disciplinari per i casi di abuso, che vengono inaspriti”</w:t>
      </w:r>
      <w:r w:rsidRPr="003824D8">
        <w:rPr>
          <w:rFonts w:ascii="Arial" w:hAnsi="Arial" w:cs="Arial"/>
          <w:sz w:val="24"/>
          <w:szCs w:val="24"/>
          <w:lang w:val="it-CH"/>
        </w:rPr>
        <w:t xml:space="preserve">. </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Nel 2008 i deputati Duca Wilmer e Bertoli avevano presentato un’iniziativa parlamentare elaborata finalizzata a modificare l’art. 62 della LGC, e meglio a </w:t>
      </w:r>
      <w:r w:rsidRPr="003824D8">
        <w:rPr>
          <w:rFonts w:ascii="Arial" w:hAnsi="Arial" w:cs="Arial"/>
          <w:sz w:val="24"/>
          <w:szCs w:val="24"/>
          <w:u w:val="single"/>
          <w:lang w:val="it-CH"/>
        </w:rPr>
        <w:t>trasformare l’immunità parlamentare da assoluta a relativa</w:t>
      </w:r>
      <w:r w:rsidRPr="003824D8">
        <w:rPr>
          <w:rFonts w:ascii="Arial" w:hAnsi="Arial" w:cs="Arial"/>
          <w:sz w:val="24"/>
          <w:szCs w:val="24"/>
          <w:lang w:val="it-CH"/>
        </w:rPr>
        <w:t xml:space="preserve">. Il Gran Consiglio nel 2010 ha adottato il testo del controprogetto della commissione speciale Costituzione e diritti politici perché la modifica proposta dagli </w:t>
      </w:r>
      <w:proofErr w:type="spellStart"/>
      <w:r w:rsidRPr="003824D8">
        <w:rPr>
          <w:rFonts w:ascii="Arial" w:hAnsi="Arial" w:cs="Arial"/>
          <w:sz w:val="24"/>
          <w:szCs w:val="24"/>
          <w:lang w:val="it-CH"/>
        </w:rPr>
        <w:t>iniziativisti</w:t>
      </w:r>
      <w:proofErr w:type="spellEnd"/>
      <w:r w:rsidRPr="003824D8">
        <w:rPr>
          <w:rFonts w:ascii="Arial" w:hAnsi="Arial" w:cs="Arial"/>
          <w:sz w:val="24"/>
          <w:szCs w:val="24"/>
          <w:lang w:val="it-CH"/>
        </w:rPr>
        <w:t xml:space="preserve"> poneva altri quesiti (chi deve poter chiedere la levata dell’immunità, da chi deve essere trattata la questione, da chi deve essere sentito il </w:t>
      </w:r>
      <w:r w:rsidRPr="003824D8">
        <w:rPr>
          <w:rFonts w:ascii="Arial" w:hAnsi="Arial" w:cs="Arial"/>
          <w:sz w:val="24"/>
          <w:szCs w:val="24"/>
          <w:lang w:val="it-CH"/>
        </w:rPr>
        <w:lastRenderedPageBreak/>
        <w:t xml:space="preserve">deputato ecc.) a cui occorreva dare una risposta e inserirli nel testo di legge. </w:t>
      </w:r>
      <w:r w:rsidRPr="003824D8">
        <w:rPr>
          <w:rFonts w:ascii="Arial" w:hAnsi="Arial" w:cs="Arial"/>
          <w:sz w:val="24"/>
          <w:szCs w:val="24"/>
          <w:u w:val="single"/>
          <w:lang w:val="it-CH"/>
        </w:rPr>
        <w:t>L’immunità è dunque passata da assoluta a relativa e si limita all’ipotesi di utilizzo di espressioni diffamatorie, non comprendendo più i reati di calunnia e ingiuria</w:t>
      </w:r>
      <w:r w:rsidRPr="003824D8">
        <w:rPr>
          <w:rFonts w:ascii="Arial" w:hAnsi="Arial" w:cs="Arial"/>
          <w:sz w:val="24"/>
          <w:szCs w:val="24"/>
          <w:lang w:val="it-CH"/>
        </w:rPr>
        <w:t xml:space="preserve">. Le motivazioni che hanno indotto gli </w:t>
      </w:r>
      <w:proofErr w:type="spellStart"/>
      <w:r w:rsidRPr="003824D8">
        <w:rPr>
          <w:rFonts w:ascii="Arial" w:hAnsi="Arial" w:cs="Arial"/>
          <w:sz w:val="24"/>
          <w:szCs w:val="24"/>
          <w:lang w:val="it-CH"/>
        </w:rPr>
        <w:t>iniziativisti</w:t>
      </w:r>
      <w:proofErr w:type="spellEnd"/>
      <w:r w:rsidRPr="003824D8">
        <w:rPr>
          <w:rFonts w:ascii="Arial" w:hAnsi="Arial" w:cs="Arial"/>
          <w:sz w:val="24"/>
          <w:szCs w:val="24"/>
          <w:lang w:val="it-CH"/>
        </w:rPr>
        <w:t xml:space="preserve"> a proporre di mantenere l’immunità unicamente per la diffamazione, è che tale reato può essere commesso in buona fede, ossia il deputato può aver creduto </w:t>
      </w:r>
      <w:r w:rsidRPr="003824D8">
        <w:rPr>
          <w:rFonts w:ascii="Arial" w:eastAsiaTheme="minorHAnsi" w:hAnsi="Arial" w:cs="Arial"/>
          <w:sz w:val="24"/>
          <w:szCs w:val="24"/>
          <w:lang w:val="it-IT"/>
        </w:rPr>
        <w:t>in buona fede che ciò che ha espresso corrispondesse a verità. Nel corso del dibattito, inoltre, è stato approvato un emendamento del gruppo UDC, che ha portato a introdurre nella legge la facoltà per il deputato di rinunciare volontariamente all’immunità</w:t>
      </w:r>
      <w:r w:rsidRPr="003824D8">
        <w:rPr>
          <w:rStyle w:val="Rimandonotaapidipagina"/>
          <w:rFonts w:ascii="Arial" w:eastAsiaTheme="minorHAnsi" w:hAnsi="Arial" w:cs="Arial"/>
          <w:sz w:val="24"/>
          <w:szCs w:val="24"/>
          <w:lang w:val="it-IT"/>
        </w:rPr>
        <w:footnoteReference w:id="5"/>
      </w:r>
      <w:r w:rsidRPr="003824D8">
        <w:rPr>
          <w:rFonts w:ascii="Arial" w:eastAsiaTheme="minorHAnsi" w:hAnsi="Arial" w:cs="Arial"/>
          <w:sz w:val="24"/>
          <w:szCs w:val="24"/>
          <w:lang w:val="it-IT"/>
        </w:rPr>
        <w:t>.</w:t>
      </w:r>
    </w:p>
    <w:p w:rsidR="005150BD" w:rsidRPr="0027376D" w:rsidRDefault="005150BD" w:rsidP="005150BD">
      <w:pPr>
        <w:pStyle w:val="Corpo"/>
        <w:jc w:val="both"/>
        <w:rPr>
          <w:rFonts w:ascii="Arial" w:hAnsi="Arial" w:cs="Arial"/>
          <w:sz w:val="18"/>
          <w:szCs w:val="18"/>
          <w:lang w:val="it-CH"/>
        </w:rPr>
      </w:pPr>
    </w:p>
    <w:p w:rsidR="005150BD" w:rsidRPr="003824D8" w:rsidRDefault="005150BD" w:rsidP="005150BD">
      <w:pPr>
        <w:rPr>
          <w:rFonts w:cs="Arial"/>
          <w:lang w:val="it-IT"/>
        </w:rPr>
      </w:pPr>
      <w:r w:rsidRPr="003824D8">
        <w:rPr>
          <w:rFonts w:cs="Arial"/>
        </w:rPr>
        <w:t xml:space="preserve">In occasione dell’ultima revisione della LGC, la Commissione speciale nel suo rapporto dell’11 febbraio 2015 non ha previsto modifiche dell’art. 51 (ex art. 62), ma ha unicamente precisato che la maggioranza assoluta necessaria </w:t>
      </w:r>
      <w:r w:rsidRPr="003824D8">
        <w:rPr>
          <w:rFonts w:cs="Arial"/>
          <w:lang w:val="it-IT"/>
        </w:rPr>
        <w:t>per togliere l’immunità a un deputato equivale alla maggioranza assoluta dei membri del Gran Consiglio ai sensi dell’art. 146 cpv. 3.</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9" w:name="_Toc463535730"/>
      <w:bookmarkStart w:id="10" w:name="_Toc470705139"/>
      <w:r w:rsidRPr="003824D8">
        <w:t>V.</w:t>
      </w:r>
      <w:r w:rsidRPr="003824D8">
        <w:tab/>
        <w:t>L’IMMUNITÀ PARLAMENTARE NEGLI ALTRI CANTONI</w:t>
      </w:r>
      <w:bookmarkEnd w:id="9"/>
      <w:bookmarkEnd w:id="10"/>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Tutti i Cantoni prevedono una regolamentazione dell’immunità parlamentare. Alcuni la regolamentano nella Costituzione cantonale, altri solo o anche in una legge cantonale, come emerge dalle seguente tabella. </w:t>
      </w:r>
    </w:p>
    <w:p w:rsidR="005150BD" w:rsidRPr="003824D8" w:rsidRDefault="005150BD" w:rsidP="005150BD">
      <w:pPr>
        <w:pStyle w:val="Corpo"/>
        <w:jc w:val="both"/>
        <w:rPr>
          <w:rFonts w:ascii="Arial" w:hAnsi="Arial" w:cs="Arial"/>
          <w:sz w:val="24"/>
          <w:szCs w:val="24"/>
          <w:lang w:val="it-CH"/>
        </w:rPr>
      </w:pPr>
    </w:p>
    <w:tbl>
      <w:tblPr>
        <w:tblStyle w:val="Grigliatabella"/>
        <w:tblW w:w="10065" w:type="dxa"/>
        <w:tblInd w:w="-85" w:type="dxa"/>
        <w:tblCellMar>
          <w:left w:w="57" w:type="dxa"/>
          <w:right w:w="57" w:type="dxa"/>
        </w:tblCellMar>
        <w:tblLook w:val="04A0" w:firstRow="1" w:lastRow="0" w:firstColumn="1" w:lastColumn="0" w:noHBand="0" w:noVBand="1"/>
      </w:tblPr>
      <w:tblGrid>
        <w:gridCol w:w="1276"/>
        <w:gridCol w:w="4304"/>
        <w:gridCol w:w="4485"/>
      </w:tblGrid>
      <w:tr w:rsidR="005150BD" w:rsidTr="0027376D">
        <w:trPr>
          <w:cantSplit/>
          <w:tblHeader/>
        </w:trPr>
        <w:tc>
          <w:tcPr>
            <w:tcW w:w="1276" w:type="dxa"/>
            <w:shd w:val="clear" w:color="auto" w:fill="D9D9D9" w:themeFill="background1" w:themeFillShade="D9"/>
          </w:tcPr>
          <w:p w:rsidR="005150BD" w:rsidRPr="000F5140" w:rsidRDefault="005150BD" w:rsidP="001365C1">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it-CH"/>
              </w:rPr>
            </w:pPr>
            <w:r w:rsidRPr="000F5140">
              <w:rPr>
                <w:rFonts w:ascii="Arial" w:hAnsi="Arial" w:cs="Arial"/>
                <w:b/>
                <w:lang w:val="it-CH"/>
              </w:rPr>
              <w:t>Cantone</w:t>
            </w:r>
          </w:p>
        </w:tc>
        <w:tc>
          <w:tcPr>
            <w:tcW w:w="4304" w:type="dxa"/>
            <w:shd w:val="clear" w:color="auto" w:fill="D9D9D9" w:themeFill="background1" w:themeFillShade="D9"/>
          </w:tcPr>
          <w:p w:rsidR="005150BD" w:rsidRPr="000F5140" w:rsidRDefault="005150BD" w:rsidP="001365C1">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it-CH"/>
              </w:rPr>
            </w:pPr>
            <w:r w:rsidRPr="000F5140">
              <w:rPr>
                <w:rFonts w:ascii="Arial" w:hAnsi="Arial" w:cs="Arial"/>
                <w:b/>
                <w:lang w:val="it-CH"/>
              </w:rPr>
              <w:t>Costituzione cantonale</w:t>
            </w:r>
          </w:p>
        </w:tc>
        <w:tc>
          <w:tcPr>
            <w:tcW w:w="4485" w:type="dxa"/>
            <w:shd w:val="clear" w:color="auto" w:fill="D9D9D9" w:themeFill="background1" w:themeFillShade="D9"/>
          </w:tcPr>
          <w:p w:rsidR="005150BD" w:rsidRPr="000F5140" w:rsidRDefault="005150BD" w:rsidP="001365C1">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lang w:val="it-CH"/>
              </w:rPr>
            </w:pPr>
            <w:r w:rsidRPr="000F5140">
              <w:rPr>
                <w:rFonts w:ascii="Arial" w:hAnsi="Arial" w:cs="Arial"/>
                <w:b/>
                <w:lang w:val="it-CH"/>
              </w:rPr>
              <w:t>Legge cantonale</w:t>
            </w:r>
          </w:p>
        </w:tc>
      </w:tr>
      <w:tr w:rsidR="005150BD" w:rsidRPr="005150BD" w:rsidTr="0027376D">
        <w:trPr>
          <w:cantSplit/>
        </w:trPr>
        <w:tc>
          <w:tcPr>
            <w:tcW w:w="1276" w:type="dxa"/>
          </w:tcPr>
          <w:p w:rsidR="005150BD" w:rsidRPr="006F6F64"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it-CH"/>
              </w:rPr>
            </w:pPr>
            <w:proofErr w:type="spellStart"/>
            <w:r w:rsidRPr="006F6F64">
              <w:rPr>
                <w:rFonts w:ascii="Arial" w:hAnsi="Arial" w:cs="Arial"/>
                <w:b/>
                <w:lang w:val="it-CH"/>
              </w:rPr>
              <w:t>Argovia</w:t>
            </w:r>
            <w:proofErr w:type="spellEnd"/>
          </w:p>
        </w:tc>
        <w:tc>
          <w:tcPr>
            <w:tcW w:w="4304" w:type="dxa"/>
          </w:tcPr>
          <w:p w:rsidR="005150BD" w:rsidRPr="000F5140" w:rsidRDefault="005150BD" w:rsidP="00884967">
            <w:pPr>
              <w:spacing w:before="120" w:after="120"/>
              <w:jc w:val="both"/>
              <w:rPr>
                <w:rFonts w:eastAsiaTheme="minorHAnsi" w:cs="Arial"/>
                <w:sz w:val="22"/>
                <w:szCs w:val="22"/>
                <w:lang w:val="de-CH"/>
              </w:rPr>
            </w:pPr>
            <w:r w:rsidRPr="000F5140">
              <w:rPr>
                <w:rFonts w:eastAsiaTheme="minorHAnsi" w:cs="Arial"/>
                <w:sz w:val="20"/>
                <w:lang w:val="de-CH"/>
              </w:rPr>
              <w:t xml:space="preserve">Für Äusserungen im Grossen Rat und in seinen Kommissionen sind die Mitglieder des Grossen Rates </w:t>
            </w:r>
            <w:r w:rsidRPr="00AE0A0A">
              <w:rPr>
                <w:rFonts w:eastAsiaTheme="minorHAnsi" w:cs="Arial"/>
                <w:sz w:val="20"/>
                <w:u w:val="single"/>
                <w:lang w:val="de-CH"/>
              </w:rPr>
              <w:t>rechtlich nicht verantwortlich</w:t>
            </w:r>
            <w:r w:rsidRPr="000F5140">
              <w:rPr>
                <w:rFonts w:eastAsiaTheme="minorHAnsi" w:cs="Arial"/>
                <w:sz w:val="20"/>
                <w:lang w:val="de-CH"/>
              </w:rPr>
              <w:t>. Der Grosse Rat ist jedoch befugt, hinsichtlich einer Äusserung die Straffreiheit auf­zuheben, wenn diese offensichtlich missbraucht wird</w:t>
            </w:r>
            <w:r>
              <w:rPr>
                <w:rStyle w:val="Rimandonotaapidipagina"/>
                <w:rFonts w:eastAsiaTheme="minorHAnsi" w:cs="Arial"/>
                <w:sz w:val="20"/>
                <w:lang w:val="de-CH"/>
              </w:rPr>
              <w:footnoteReference w:id="6"/>
            </w:r>
            <w:r w:rsidRPr="000F5140">
              <w:rPr>
                <w:rFonts w:eastAsiaTheme="minorHAnsi" w:cs="Arial"/>
                <w:sz w:val="20"/>
                <w:lang w:val="de-CH"/>
              </w:rPr>
              <w:t>.</w:t>
            </w:r>
          </w:p>
        </w:tc>
        <w:tc>
          <w:tcPr>
            <w:tcW w:w="4485" w:type="dxa"/>
          </w:tcPr>
          <w:p w:rsidR="005150BD" w:rsidRPr="000F5140" w:rsidRDefault="005150BD" w:rsidP="00884967">
            <w:pPr>
              <w:spacing w:before="120" w:after="120"/>
              <w:jc w:val="both"/>
              <w:rPr>
                <w:rFonts w:eastAsiaTheme="minorHAnsi" w:cs="Arial"/>
                <w:sz w:val="20"/>
                <w:lang w:val="de-CH"/>
              </w:rPr>
            </w:pPr>
            <w:r w:rsidRPr="000F5140">
              <w:rPr>
                <w:rFonts w:eastAsiaTheme="minorHAnsi" w:cs="Arial"/>
                <w:sz w:val="20"/>
                <w:lang w:val="de-CH"/>
              </w:rPr>
              <w:t xml:space="preserve">Wegen Äusserungen in den Verhandlungen des Rates, des Büros oder einer Kommission </w:t>
            </w:r>
            <w:r w:rsidRPr="00AE0A0A">
              <w:rPr>
                <w:rFonts w:eastAsiaTheme="minorHAnsi" w:cs="Arial"/>
                <w:sz w:val="20"/>
                <w:u w:val="single"/>
                <w:lang w:val="de-CH"/>
              </w:rPr>
              <w:t>kann ein Strafverfahren oder ein Zivilprozess gegen Mitglieder des Grossen Rates nur eingeleitet werden, wenn der Grosse Rat mit einer Mehrheit von zwei Dritteln seiner Mitglieder die Immunität aufgehoben hat</w:t>
            </w:r>
            <w:r>
              <w:rPr>
                <w:rStyle w:val="Rimandonotaapidipagina"/>
                <w:rFonts w:eastAsiaTheme="minorHAnsi" w:cs="Arial"/>
                <w:sz w:val="20"/>
                <w:lang w:val="de-CH"/>
              </w:rPr>
              <w:footnoteReference w:id="7"/>
            </w:r>
            <w:r w:rsidRPr="000F5140">
              <w:rPr>
                <w:rFonts w:eastAsiaTheme="minorHAnsi" w:cs="Arial"/>
                <w:sz w:val="20"/>
                <w:lang w:val="de-CH"/>
              </w:rPr>
              <w:t>.</w:t>
            </w:r>
          </w:p>
        </w:tc>
      </w:tr>
      <w:tr w:rsidR="005150BD" w:rsidRPr="00295F54" w:rsidTr="0027376D">
        <w:trPr>
          <w:cantSplit/>
        </w:trPr>
        <w:tc>
          <w:tcPr>
            <w:tcW w:w="1276" w:type="dxa"/>
          </w:tcPr>
          <w:p w:rsidR="005150BD" w:rsidRPr="006F6F64"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6F6F64">
              <w:rPr>
                <w:rFonts w:ascii="Arial" w:hAnsi="Arial" w:cs="Arial"/>
                <w:b/>
                <w:lang w:val="de-CH"/>
              </w:rPr>
              <w:t>Appenzello</w:t>
            </w:r>
            <w:proofErr w:type="spellEnd"/>
            <w:r w:rsidR="00884967">
              <w:rPr>
                <w:rFonts w:ascii="Arial" w:hAnsi="Arial" w:cs="Arial"/>
                <w:b/>
                <w:lang w:val="de-CH"/>
              </w:rPr>
              <w:t xml:space="preserve"> </w:t>
            </w:r>
            <w:proofErr w:type="spellStart"/>
            <w:r w:rsidRPr="006F6F64">
              <w:rPr>
                <w:rFonts w:ascii="Arial" w:hAnsi="Arial" w:cs="Arial"/>
                <w:b/>
                <w:lang w:val="de-CH"/>
              </w:rPr>
              <w:t>Interno</w:t>
            </w:r>
            <w:proofErr w:type="spellEnd"/>
          </w:p>
        </w:tc>
        <w:tc>
          <w:tcPr>
            <w:tcW w:w="4304" w:type="dxa"/>
          </w:tcPr>
          <w:p w:rsidR="005150BD" w:rsidRPr="000F5140"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de-CH"/>
              </w:rPr>
            </w:pPr>
          </w:p>
        </w:tc>
        <w:tc>
          <w:tcPr>
            <w:tcW w:w="4485" w:type="dxa"/>
          </w:tcPr>
          <w:p w:rsidR="005150BD" w:rsidRPr="00022FFC" w:rsidRDefault="005150BD" w:rsidP="0027376D">
            <w:pPr>
              <w:spacing w:before="120" w:after="120"/>
              <w:jc w:val="both"/>
              <w:rPr>
                <w:rFonts w:eastAsiaTheme="minorHAnsi" w:cs="Arial"/>
                <w:sz w:val="20"/>
                <w:lang w:val="de-CH"/>
              </w:rPr>
            </w:pPr>
            <w:r w:rsidRPr="00AE0A0A">
              <w:rPr>
                <w:rFonts w:eastAsiaTheme="minorHAnsi" w:cs="Arial"/>
                <w:sz w:val="20"/>
                <w:lang w:val="de-CH"/>
              </w:rPr>
              <w:t xml:space="preserve">Mitglieder des Grossen Rates, der Standeskommission und der Gerichte können wegen Äusserungen im Grossen Rat </w:t>
            </w:r>
            <w:r w:rsidRPr="00AE0A0A">
              <w:rPr>
                <w:rFonts w:eastAsiaTheme="minorHAnsi" w:cs="Arial"/>
                <w:sz w:val="20"/>
                <w:u w:val="single"/>
                <w:lang w:val="de-CH"/>
              </w:rPr>
              <w:t>nur strafrechtlich verfolgt werden, wenn zwei Drittel seiner Mitglieder dazu die Ermächtigung erteilen</w:t>
            </w:r>
            <w:r w:rsidRPr="00AE0A0A">
              <w:rPr>
                <w:rFonts w:eastAsiaTheme="minorHAnsi" w:cs="Arial"/>
                <w:sz w:val="20"/>
                <w:lang w:val="de-CH"/>
              </w:rPr>
              <w:t>. Solche Entscheide sind endgültig</w:t>
            </w:r>
            <w:r>
              <w:rPr>
                <w:rStyle w:val="Rimandonotaapidipagina"/>
                <w:rFonts w:eastAsiaTheme="minorHAnsi" w:cs="Arial"/>
                <w:sz w:val="20"/>
                <w:lang w:val="de-CH"/>
              </w:rPr>
              <w:footnoteReference w:id="8"/>
            </w:r>
            <w:r w:rsidRPr="00AE0A0A">
              <w:rPr>
                <w:rFonts w:eastAsiaTheme="minorHAnsi" w:cs="Arial"/>
                <w:sz w:val="20"/>
                <w:lang w:val="de-CH"/>
              </w:rPr>
              <w:t>.</w:t>
            </w:r>
          </w:p>
        </w:tc>
      </w:tr>
      <w:tr w:rsidR="005150BD" w:rsidRPr="005150BD" w:rsidTr="0027376D">
        <w:trPr>
          <w:cantSplit/>
        </w:trPr>
        <w:tc>
          <w:tcPr>
            <w:tcW w:w="1276" w:type="dxa"/>
          </w:tcPr>
          <w:p w:rsidR="005150BD" w:rsidRPr="006F6F64"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6F6F64">
              <w:rPr>
                <w:rFonts w:ascii="Arial" w:hAnsi="Arial" w:cs="Arial"/>
                <w:b/>
                <w:lang w:val="de-CH"/>
              </w:rPr>
              <w:t>Appenzello</w:t>
            </w:r>
            <w:proofErr w:type="spellEnd"/>
            <w:r w:rsidR="00884967">
              <w:rPr>
                <w:rFonts w:ascii="Arial" w:hAnsi="Arial" w:cs="Arial"/>
                <w:b/>
                <w:lang w:val="de-CH"/>
              </w:rPr>
              <w:t xml:space="preserve"> </w:t>
            </w:r>
            <w:proofErr w:type="spellStart"/>
            <w:r w:rsidRPr="006F6F64">
              <w:rPr>
                <w:rFonts w:ascii="Arial" w:hAnsi="Arial" w:cs="Arial"/>
                <w:b/>
                <w:lang w:val="de-CH"/>
              </w:rPr>
              <w:t>esterno</w:t>
            </w:r>
            <w:proofErr w:type="spellEnd"/>
          </w:p>
        </w:tc>
        <w:tc>
          <w:tcPr>
            <w:tcW w:w="4304" w:type="dxa"/>
          </w:tcPr>
          <w:p w:rsidR="005150BD" w:rsidRPr="00CE57D1" w:rsidRDefault="005150BD" w:rsidP="0027376D">
            <w:pPr>
              <w:spacing w:before="120" w:after="120"/>
              <w:jc w:val="both"/>
              <w:rPr>
                <w:rFonts w:eastAsiaTheme="minorHAnsi" w:cs="Arial"/>
                <w:sz w:val="20"/>
                <w:lang w:val="de-CH"/>
              </w:rPr>
            </w:pPr>
            <w:r w:rsidRPr="00DF5C9F">
              <w:rPr>
                <w:rFonts w:eastAsiaTheme="minorHAnsi" w:cs="Arial"/>
                <w:sz w:val="20"/>
                <w:lang w:val="de-CH"/>
              </w:rPr>
              <w:t xml:space="preserve">Die Mitglieder des Kantonsrates und des Regierungsrates </w:t>
            </w:r>
            <w:r w:rsidRPr="00295F54">
              <w:rPr>
                <w:rFonts w:eastAsiaTheme="minorHAnsi" w:cs="Arial"/>
                <w:sz w:val="20"/>
                <w:lang w:val="de-CH"/>
              </w:rPr>
              <w:t xml:space="preserve">sind in ihren Äusserungen im Rat und in den Kommissionen frei und </w:t>
            </w:r>
            <w:r w:rsidRPr="00CE57D1">
              <w:rPr>
                <w:rFonts w:eastAsiaTheme="minorHAnsi" w:cs="Arial"/>
                <w:sz w:val="20"/>
                <w:u w:val="single"/>
                <w:lang w:val="de-CH"/>
              </w:rPr>
              <w:t>können dafür nur strafrechtlich verfolgt oder zivilrechtlich belangt werden, wenn zwei Drittel der anwesenden Ratsmitglieder dazu ihre Ermächtigung erteilen</w:t>
            </w:r>
            <w:r>
              <w:rPr>
                <w:rStyle w:val="Rimandonotaapidipagina"/>
                <w:rFonts w:eastAsiaTheme="minorHAnsi" w:cs="Arial"/>
                <w:sz w:val="20"/>
                <w:lang w:val="de-CH"/>
              </w:rPr>
              <w:footnoteReference w:id="9"/>
            </w:r>
            <w:r>
              <w:rPr>
                <w:rFonts w:eastAsiaTheme="minorHAnsi" w:cs="Arial"/>
                <w:sz w:val="20"/>
                <w:lang w:val="de-CH"/>
              </w:rPr>
              <w:t>.</w:t>
            </w:r>
          </w:p>
        </w:tc>
        <w:tc>
          <w:tcPr>
            <w:tcW w:w="4485" w:type="dxa"/>
          </w:tcPr>
          <w:p w:rsidR="005150BD" w:rsidRPr="00DF5C9F" w:rsidRDefault="005150BD" w:rsidP="0027376D">
            <w:pPr>
              <w:spacing w:before="120" w:after="120"/>
              <w:jc w:val="both"/>
              <w:rPr>
                <w:rFonts w:cs="Arial"/>
                <w:sz w:val="20"/>
                <w:lang w:val="de-CH"/>
              </w:rPr>
            </w:pPr>
            <w:r w:rsidRPr="00DF5C9F">
              <w:rPr>
                <w:rFonts w:eastAsiaTheme="minorHAnsi" w:cs="Arial"/>
                <w:sz w:val="20"/>
                <w:lang w:val="de-CH"/>
              </w:rPr>
              <w:t xml:space="preserve">Mitglieder des Kantonsrates und des Regierungsrates können wegen Äusserungen im Kantonsrat und in dessen Kommissionen </w:t>
            </w:r>
            <w:r w:rsidRPr="00CE57D1">
              <w:rPr>
                <w:rFonts w:eastAsiaTheme="minorHAnsi" w:cs="Arial"/>
                <w:sz w:val="20"/>
                <w:u w:val="single"/>
                <w:lang w:val="de-CH"/>
              </w:rPr>
              <w:t>nur strafrechtlich verfolgt werden, wenn zwei Drittel der anwesenden Mitglieder des Kantonsrates dazu die Ermächtigung erteilen</w:t>
            </w:r>
            <w:r>
              <w:rPr>
                <w:rStyle w:val="Rimandonotaapidipagina"/>
                <w:rFonts w:eastAsiaTheme="minorHAnsi" w:cs="Arial"/>
                <w:sz w:val="20"/>
                <w:lang w:val="de-CH"/>
              </w:rPr>
              <w:footnoteReference w:id="10"/>
            </w:r>
            <w:r w:rsidRPr="00DF5C9F">
              <w:rPr>
                <w:rFonts w:eastAsiaTheme="minorHAnsi" w:cs="Arial"/>
                <w:sz w:val="20"/>
                <w:lang w:val="de-CH"/>
              </w:rPr>
              <w:t>.</w:t>
            </w:r>
          </w:p>
        </w:tc>
      </w:tr>
      <w:tr w:rsidR="005150BD" w:rsidRPr="005150BD" w:rsidTr="0027376D">
        <w:trPr>
          <w:cantSplit/>
        </w:trPr>
        <w:tc>
          <w:tcPr>
            <w:tcW w:w="1276" w:type="dxa"/>
          </w:tcPr>
          <w:p w:rsidR="005150BD" w:rsidRPr="006F6F64"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r w:rsidRPr="006F6F64">
              <w:rPr>
                <w:rFonts w:ascii="Arial" w:hAnsi="Arial" w:cs="Arial"/>
                <w:b/>
                <w:lang w:val="de-CH"/>
              </w:rPr>
              <w:lastRenderedPageBreak/>
              <w:t>Berna</w:t>
            </w:r>
          </w:p>
        </w:tc>
        <w:tc>
          <w:tcPr>
            <w:tcW w:w="4304" w:type="dxa"/>
          </w:tcPr>
          <w:p w:rsidR="005150BD" w:rsidRPr="00CE57D1" w:rsidRDefault="005150BD" w:rsidP="0027376D">
            <w:pPr>
              <w:spacing w:before="120" w:after="120"/>
              <w:jc w:val="both"/>
              <w:rPr>
                <w:rFonts w:eastAsiaTheme="minorHAnsi" w:cs="Arial"/>
                <w:sz w:val="20"/>
                <w:lang w:val="fr-CH"/>
              </w:rPr>
            </w:pPr>
            <w:r>
              <w:rPr>
                <w:rFonts w:eastAsiaTheme="minorHAnsi" w:cs="Arial"/>
                <w:sz w:val="20"/>
                <w:lang w:val="fr-CH"/>
              </w:rPr>
              <w:t>Les membres du Grand Conseil</w:t>
            </w:r>
            <w:r w:rsidRPr="00CE57D1">
              <w:rPr>
                <w:rFonts w:eastAsiaTheme="minorHAnsi" w:cs="Arial"/>
                <w:sz w:val="20"/>
                <w:lang w:val="fr-CH"/>
              </w:rPr>
              <w:t xml:space="preserve"> s'expriment librement au parlement. </w:t>
            </w:r>
            <w:r w:rsidRPr="007B1BB7">
              <w:rPr>
                <w:rFonts w:eastAsiaTheme="minorHAnsi" w:cs="Arial"/>
                <w:sz w:val="20"/>
                <w:u w:val="single"/>
                <w:lang w:val="fr-CH"/>
              </w:rPr>
              <w:t>Ils ne peuvent être poursuivis que dans les cas prévus par la loi</w:t>
            </w:r>
            <w:r w:rsidRPr="00CE57D1">
              <w:rPr>
                <w:rFonts w:eastAsiaTheme="minorHAnsi" w:cs="Arial"/>
                <w:sz w:val="20"/>
                <w:lang w:val="fr-CH"/>
              </w:rPr>
              <w:t>.</w:t>
            </w:r>
            <w:r>
              <w:rPr>
                <w:rStyle w:val="Rimandonotaapidipagina"/>
                <w:rFonts w:eastAsiaTheme="minorHAnsi" w:cs="Arial"/>
                <w:sz w:val="20"/>
                <w:lang w:val="fr-CH"/>
              </w:rPr>
              <w:footnoteReference w:id="11"/>
            </w:r>
          </w:p>
        </w:tc>
        <w:tc>
          <w:tcPr>
            <w:tcW w:w="4485" w:type="dxa"/>
          </w:tcPr>
          <w:p w:rsidR="005150BD" w:rsidRPr="00CE57D1" w:rsidRDefault="005150BD" w:rsidP="0027376D">
            <w:pPr>
              <w:spacing w:before="120"/>
              <w:jc w:val="both"/>
              <w:rPr>
                <w:rFonts w:eastAsiaTheme="minorHAnsi" w:cs="Arial"/>
                <w:sz w:val="20"/>
                <w:lang w:val="fr-CH"/>
              </w:rPr>
            </w:pPr>
            <w:r w:rsidRPr="00CE57D1">
              <w:rPr>
                <w:rFonts w:eastAsiaTheme="minorHAnsi" w:cs="Arial"/>
                <w:sz w:val="20"/>
                <w:lang w:val="fr-CH"/>
              </w:rPr>
              <w:t xml:space="preserve">Les membres du Grand Conseil </w:t>
            </w:r>
            <w:r w:rsidRPr="00CE57D1">
              <w:rPr>
                <w:rFonts w:eastAsiaTheme="minorHAnsi" w:cs="Arial"/>
                <w:sz w:val="20"/>
                <w:u w:val="single"/>
                <w:lang w:val="fr-CH"/>
              </w:rPr>
              <w:t>n’encourent en principe aucune responsabilité juridique</w:t>
            </w:r>
            <w:r w:rsidRPr="00CE57D1">
              <w:rPr>
                <w:rFonts w:eastAsiaTheme="minorHAnsi" w:cs="Arial"/>
                <w:sz w:val="20"/>
                <w:lang w:val="fr-CH"/>
              </w:rPr>
              <w:t xml:space="preserve"> pour les propos qu’ils tiennent devant le Grand Conseil et ses organes.</w:t>
            </w:r>
          </w:p>
          <w:p w:rsidR="005150BD" w:rsidRPr="00CE57D1" w:rsidRDefault="005150BD" w:rsidP="0027376D">
            <w:pPr>
              <w:spacing w:before="120" w:after="120"/>
              <w:jc w:val="both"/>
              <w:rPr>
                <w:rFonts w:eastAsiaTheme="minorHAnsi" w:cs="Arial"/>
                <w:sz w:val="20"/>
                <w:lang w:val="fr-CH"/>
              </w:rPr>
            </w:pPr>
            <w:r w:rsidRPr="00CE57D1">
              <w:rPr>
                <w:rFonts w:eastAsiaTheme="minorHAnsi" w:cs="Arial"/>
                <w:sz w:val="20"/>
                <w:lang w:val="fr-CH"/>
              </w:rPr>
              <w:t xml:space="preserve">Le Grand Conseil </w:t>
            </w:r>
            <w:r w:rsidRPr="00CE57D1">
              <w:rPr>
                <w:rFonts w:eastAsiaTheme="minorHAnsi" w:cs="Arial"/>
                <w:sz w:val="20"/>
                <w:u w:val="single"/>
                <w:lang w:val="fr-CH"/>
              </w:rPr>
              <w:t>peut lever l’immunité en cas de présomption fondée de violation du secret de fonction</w:t>
            </w:r>
            <w:r w:rsidRPr="00CE57D1">
              <w:rPr>
                <w:rFonts w:eastAsiaTheme="minorHAnsi" w:cs="Arial"/>
                <w:sz w:val="20"/>
                <w:lang w:val="fr-CH"/>
              </w:rPr>
              <w:t>. La demande de levée de l’immunité est soumise au Grand Conseil accompagnée d’une proposition du Bureau</w:t>
            </w:r>
            <w:r>
              <w:rPr>
                <w:rStyle w:val="Rimandonotaapidipagina"/>
                <w:rFonts w:eastAsiaTheme="minorHAnsi" w:cs="Arial"/>
                <w:sz w:val="20"/>
                <w:lang w:val="fr-CH"/>
              </w:rPr>
              <w:footnoteReference w:id="12"/>
            </w:r>
            <w:r w:rsidRPr="00CE57D1">
              <w:rPr>
                <w:rFonts w:eastAsiaTheme="minorHAnsi" w:cs="Arial"/>
                <w:sz w:val="20"/>
                <w:lang w:val="fr-CH"/>
              </w:rPr>
              <w:t>.</w:t>
            </w:r>
          </w:p>
        </w:tc>
      </w:tr>
      <w:tr w:rsidR="005150BD" w:rsidRPr="005150BD" w:rsidTr="0027376D">
        <w:trPr>
          <w:cantSplit/>
        </w:trPr>
        <w:tc>
          <w:tcPr>
            <w:tcW w:w="1276" w:type="dxa"/>
          </w:tcPr>
          <w:p w:rsidR="005150BD" w:rsidRPr="006F6F64"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fr-CH"/>
              </w:rPr>
            </w:pPr>
            <w:proofErr w:type="spellStart"/>
            <w:r w:rsidRPr="006F6F64">
              <w:rPr>
                <w:rFonts w:ascii="Arial" w:hAnsi="Arial" w:cs="Arial"/>
                <w:b/>
                <w:lang w:val="fr-CH"/>
              </w:rPr>
              <w:t>Basilea</w:t>
            </w:r>
            <w:proofErr w:type="spellEnd"/>
            <w:r w:rsidR="00884967">
              <w:rPr>
                <w:rFonts w:ascii="Arial" w:hAnsi="Arial" w:cs="Arial"/>
                <w:b/>
                <w:lang w:val="fr-CH"/>
              </w:rPr>
              <w:t xml:space="preserve"> </w:t>
            </w:r>
            <w:proofErr w:type="spellStart"/>
            <w:r w:rsidRPr="006F6F64">
              <w:rPr>
                <w:rFonts w:ascii="Arial" w:hAnsi="Arial" w:cs="Arial"/>
                <w:b/>
                <w:lang w:val="fr-CH"/>
              </w:rPr>
              <w:t>Campagna</w:t>
            </w:r>
            <w:proofErr w:type="spellEnd"/>
          </w:p>
        </w:tc>
        <w:tc>
          <w:tcPr>
            <w:tcW w:w="4304" w:type="dxa"/>
          </w:tcPr>
          <w:p w:rsidR="005150BD"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eastAsiaTheme="minorHAnsi" w:hAnsi="Arial" w:cs="Arial"/>
                <w:lang w:val="de-CH"/>
              </w:rPr>
            </w:pPr>
            <w:r w:rsidRPr="007B1BB7">
              <w:rPr>
                <w:rFonts w:ascii="Arial" w:eastAsiaTheme="minorHAnsi" w:hAnsi="Arial" w:cs="Arial"/>
                <w:lang w:val="de-CH"/>
              </w:rPr>
              <w:t xml:space="preserve">Für Äusserungen im Landrat und in seinen Kommissionen </w:t>
            </w:r>
            <w:r w:rsidRPr="007B1BB7">
              <w:rPr>
                <w:rFonts w:ascii="Arial" w:eastAsiaTheme="minorHAnsi" w:hAnsi="Arial" w:cs="Arial"/>
                <w:u w:val="single"/>
                <w:lang w:val="de-CH"/>
              </w:rPr>
              <w:t>können die Mitglieder des Landrates rechtlich nicht belangt werden</w:t>
            </w:r>
            <w:r w:rsidRPr="007B1BB7">
              <w:rPr>
                <w:rFonts w:ascii="Arial" w:eastAsiaTheme="minorHAnsi" w:hAnsi="Arial" w:cs="Arial"/>
                <w:lang w:val="de-CH"/>
              </w:rPr>
              <w:t xml:space="preserve">. Der Landrat ist jedoch befugt, </w:t>
            </w:r>
            <w:r w:rsidRPr="00295F54">
              <w:rPr>
                <w:rFonts w:ascii="Arial" w:eastAsiaTheme="minorHAnsi" w:hAnsi="Arial" w:cs="Arial"/>
                <w:u w:val="single"/>
                <w:lang w:val="de-CH"/>
              </w:rPr>
              <w:t>mit der Mehrheit von zwei Dritteln der anwesenden Mitglieder die Straffreiheit aufzuheben</w:t>
            </w:r>
            <w:r w:rsidRPr="007B1BB7">
              <w:rPr>
                <w:rFonts w:ascii="Arial" w:eastAsiaTheme="minorHAnsi" w:hAnsi="Arial" w:cs="Arial"/>
                <w:lang w:val="de-CH"/>
              </w:rPr>
              <w:t>, wenn diese offensichtlich missbraucht wird</w:t>
            </w:r>
            <w:r>
              <w:rPr>
                <w:rFonts w:ascii="Arial" w:eastAsiaTheme="minorHAnsi" w:hAnsi="Arial" w:cs="Arial"/>
                <w:lang w:val="de-CH"/>
              </w:rPr>
              <w:t>.</w:t>
            </w:r>
          </w:p>
          <w:p w:rsidR="005150BD" w:rsidRPr="007B1BB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de-CH"/>
              </w:rPr>
            </w:pPr>
          </w:p>
        </w:tc>
        <w:tc>
          <w:tcPr>
            <w:tcW w:w="4485" w:type="dxa"/>
          </w:tcPr>
          <w:p w:rsidR="005150BD" w:rsidRPr="007B1BB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de-CH"/>
              </w:rPr>
            </w:pPr>
          </w:p>
        </w:tc>
      </w:tr>
      <w:tr w:rsidR="005150BD" w:rsidRPr="005150BD" w:rsidTr="0027376D">
        <w:trPr>
          <w:cantSplit/>
        </w:trPr>
        <w:tc>
          <w:tcPr>
            <w:tcW w:w="1276" w:type="dxa"/>
          </w:tcPr>
          <w:p w:rsidR="005150BD" w:rsidRPr="006F6F64"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de-CH"/>
              </w:rPr>
            </w:pPr>
            <w:proofErr w:type="spellStart"/>
            <w:r w:rsidRPr="006F6F64">
              <w:rPr>
                <w:rFonts w:ascii="Arial" w:hAnsi="Arial" w:cs="Arial"/>
                <w:b/>
                <w:lang w:val="de-CH"/>
              </w:rPr>
              <w:t>Basilea</w:t>
            </w:r>
            <w:proofErr w:type="spellEnd"/>
            <w:r w:rsidR="00884967">
              <w:rPr>
                <w:rFonts w:ascii="Arial" w:hAnsi="Arial" w:cs="Arial"/>
                <w:b/>
                <w:lang w:val="de-CH"/>
              </w:rPr>
              <w:t xml:space="preserve"> </w:t>
            </w:r>
            <w:proofErr w:type="spellStart"/>
            <w:r w:rsidRPr="006F6F64">
              <w:rPr>
                <w:rFonts w:ascii="Arial" w:hAnsi="Arial" w:cs="Arial"/>
                <w:b/>
                <w:lang w:val="de-CH"/>
              </w:rPr>
              <w:t>Città</w:t>
            </w:r>
            <w:proofErr w:type="spellEnd"/>
          </w:p>
        </w:tc>
        <w:tc>
          <w:tcPr>
            <w:tcW w:w="4304" w:type="dxa"/>
          </w:tcPr>
          <w:p w:rsidR="005150BD" w:rsidRPr="007B1BB7" w:rsidRDefault="005150BD" w:rsidP="0027376D">
            <w:pPr>
              <w:spacing w:before="120" w:after="120"/>
              <w:jc w:val="both"/>
              <w:rPr>
                <w:rFonts w:eastAsiaTheme="minorHAnsi" w:cs="Arial"/>
                <w:sz w:val="20"/>
                <w:lang w:val="de-CH"/>
              </w:rPr>
            </w:pPr>
            <w:r w:rsidRPr="007B1BB7">
              <w:rPr>
                <w:rFonts w:eastAsiaTheme="minorHAnsi" w:cs="Arial"/>
                <w:sz w:val="20"/>
                <w:lang w:val="de-CH"/>
              </w:rPr>
              <w:t xml:space="preserve">Wer von seinem Rederecht im Grossen Rat und in seinen Kommissionen Gebrauch macht, </w:t>
            </w:r>
            <w:r w:rsidRPr="00295F54">
              <w:rPr>
                <w:rFonts w:eastAsiaTheme="minorHAnsi" w:cs="Arial"/>
                <w:sz w:val="20"/>
                <w:u w:val="single"/>
                <w:lang w:val="de-CH"/>
              </w:rPr>
              <w:t>kann für seine Äusserungen rechtlich nicht verantwortlich gemacht werden</w:t>
            </w:r>
            <w:r w:rsidRPr="007B1BB7">
              <w:rPr>
                <w:rFonts w:eastAsiaTheme="minorHAnsi" w:cs="Arial"/>
                <w:sz w:val="20"/>
                <w:lang w:val="de-CH"/>
              </w:rPr>
              <w:t>.</w:t>
            </w:r>
          </w:p>
          <w:p w:rsidR="005150BD" w:rsidRPr="007B1BB7" w:rsidRDefault="005150BD" w:rsidP="0027376D">
            <w:pPr>
              <w:spacing w:before="120" w:after="120"/>
              <w:jc w:val="both"/>
              <w:rPr>
                <w:rFonts w:eastAsiaTheme="minorHAnsi" w:cs="Arial"/>
                <w:sz w:val="20"/>
                <w:lang w:val="de-CH"/>
              </w:rPr>
            </w:pPr>
            <w:r w:rsidRPr="007B1BB7">
              <w:rPr>
                <w:rFonts w:eastAsiaTheme="minorHAnsi" w:cs="Arial"/>
                <w:sz w:val="20"/>
                <w:lang w:val="de-CH"/>
              </w:rPr>
              <w:t xml:space="preserve">Der Grosse Rat kann jedoch </w:t>
            </w:r>
            <w:r w:rsidRPr="00295F54">
              <w:rPr>
                <w:rFonts w:eastAsiaTheme="minorHAnsi" w:cs="Arial"/>
                <w:sz w:val="20"/>
                <w:u w:val="single"/>
                <w:lang w:val="de-CH"/>
              </w:rPr>
              <w:t>mit der Zustimmung von zwei Dritteln der anwesenden Mitglieder die Immunität aufheben</w:t>
            </w:r>
            <w:r w:rsidRPr="007B1BB7">
              <w:rPr>
                <w:rFonts w:eastAsiaTheme="minorHAnsi" w:cs="Arial"/>
                <w:sz w:val="20"/>
                <w:lang w:val="de-CH"/>
              </w:rPr>
              <w:t>, wenn sie offensichtlich missbraucht wird</w:t>
            </w:r>
            <w:r>
              <w:rPr>
                <w:rStyle w:val="Rimandonotaapidipagina"/>
                <w:rFonts w:eastAsiaTheme="minorHAnsi" w:cs="Arial"/>
                <w:sz w:val="20"/>
                <w:lang w:val="de-CH"/>
              </w:rPr>
              <w:footnoteReference w:id="13"/>
            </w:r>
            <w:r w:rsidRPr="007B1BB7">
              <w:rPr>
                <w:rFonts w:eastAsiaTheme="minorHAnsi" w:cs="Arial"/>
                <w:sz w:val="20"/>
                <w:lang w:val="de-CH"/>
              </w:rPr>
              <w:t>.</w:t>
            </w:r>
          </w:p>
        </w:tc>
        <w:tc>
          <w:tcPr>
            <w:tcW w:w="4485" w:type="dxa"/>
          </w:tcPr>
          <w:p w:rsidR="005150BD" w:rsidRPr="007B1BB7" w:rsidRDefault="005150BD" w:rsidP="0027376D">
            <w:pPr>
              <w:spacing w:before="120" w:after="120"/>
              <w:jc w:val="both"/>
              <w:rPr>
                <w:rFonts w:eastAsiaTheme="minorHAnsi" w:cs="Arial"/>
                <w:sz w:val="20"/>
                <w:lang w:val="de-CH"/>
              </w:rPr>
            </w:pPr>
            <w:r w:rsidRPr="007B1BB7">
              <w:rPr>
                <w:rFonts w:eastAsiaTheme="minorHAnsi" w:cs="Arial"/>
                <w:sz w:val="20"/>
                <w:lang w:val="de-CH"/>
              </w:rPr>
              <w:t xml:space="preserve">Wer von seinem Rederecht im Grossen Rat oder in seinen Kommissionen Gebrauch macht, </w:t>
            </w:r>
            <w:r w:rsidRPr="00022FFC">
              <w:rPr>
                <w:rFonts w:eastAsiaTheme="minorHAnsi" w:cs="Arial"/>
                <w:sz w:val="20"/>
                <w:u w:val="single"/>
                <w:lang w:val="de-CH"/>
              </w:rPr>
              <w:t>kann für seine Äusserungen rechtlich nicht verantwortlich gemacht werden</w:t>
            </w:r>
            <w:r w:rsidRPr="007B1BB7">
              <w:rPr>
                <w:rFonts w:eastAsiaTheme="minorHAnsi" w:cs="Arial"/>
                <w:sz w:val="20"/>
                <w:lang w:val="de-CH"/>
              </w:rPr>
              <w:t>.</w:t>
            </w:r>
          </w:p>
          <w:p w:rsidR="005150BD" w:rsidRPr="00295F54" w:rsidRDefault="005150BD" w:rsidP="0027376D">
            <w:pPr>
              <w:spacing w:before="120" w:after="120"/>
              <w:jc w:val="both"/>
              <w:rPr>
                <w:rFonts w:eastAsiaTheme="minorHAnsi" w:cs="Arial"/>
                <w:sz w:val="20"/>
                <w:lang w:val="de-CH"/>
              </w:rPr>
            </w:pPr>
            <w:r w:rsidRPr="007B1BB7">
              <w:rPr>
                <w:rFonts w:eastAsiaTheme="minorHAnsi" w:cs="Arial"/>
                <w:sz w:val="20"/>
                <w:lang w:val="de-CH"/>
              </w:rPr>
              <w:t xml:space="preserve">Der Grosse Rat kann jedoch </w:t>
            </w:r>
            <w:r w:rsidRPr="00022FFC">
              <w:rPr>
                <w:rFonts w:eastAsiaTheme="minorHAnsi" w:cs="Arial"/>
                <w:sz w:val="20"/>
                <w:u w:val="single"/>
                <w:lang w:val="de-CH"/>
              </w:rPr>
              <w:t>mit der Zustimmung von zwei Dritteln der anwesenden Mitglieder die Immunität aufheben</w:t>
            </w:r>
            <w:r w:rsidRPr="007B1BB7">
              <w:rPr>
                <w:rFonts w:eastAsiaTheme="minorHAnsi" w:cs="Arial"/>
                <w:sz w:val="20"/>
                <w:lang w:val="de-CH"/>
              </w:rPr>
              <w:t>, wenn sie offensichtlich missbraucht wird</w:t>
            </w:r>
            <w:r>
              <w:rPr>
                <w:rStyle w:val="Rimandonotaapidipagina"/>
                <w:rFonts w:eastAsiaTheme="minorHAnsi" w:cs="Arial"/>
                <w:sz w:val="20"/>
                <w:lang w:val="de-CH"/>
              </w:rPr>
              <w:footnoteReference w:id="14"/>
            </w:r>
            <w:r w:rsidRPr="007B1BB7">
              <w:rPr>
                <w:rFonts w:eastAsiaTheme="minorHAnsi" w:cs="Arial"/>
                <w:sz w:val="20"/>
                <w:lang w:val="de-CH"/>
              </w:rPr>
              <w:t>.</w:t>
            </w:r>
          </w:p>
        </w:tc>
      </w:tr>
      <w:tr w:rsidR="005150BD" w:rsidRPr="00022FFC" w:rsidTr="0027376D">
        <w:trPr>
          <w:cantSplit/>
        </w:trPr>
        <w:tc>
          <w:tcPr>
            <w:tcW w:w="1276" w:type="dxa"/>
          </w:tcPr>
          <w:p w:rsidR="005150BD" w:rsidRPr="006F6F64"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6F6F64">
              <w:rPr>
                <w:rFonts w:ascii="Arial" w:hAnsi="Arial" w:cs="Arial"/>
                <w:b/>
                <w:lang w:val="de-CH"/>
              </w:rPr>
              <w:t>Friborgo</w:t>
            </w:r>
            <w:proofErr w:type="spellEnd"/>
          </w:p>
        </w:tc>
        <w:tc>
          <w:tcPr>
            <w:tcW w:w="4304" w:type="dxa"/>
          </w:tcPr>
          <w:p w:rsidR="005150BD" w:rsidRPr="00022FFC" w:rsidRDefault="005150BD" w:rsidP="0027376D">
            <w:pPr>
              <w:spacing w:before="120" w:after="120"/>
              <w:jc w:val="both"/>
              <w:rPr>
                <w:rFonts w:eastAsiaTheme="minorHAnsi" w:cs="Arial"/>
                <w:sz w:val="20"/>
                <w:lang w:val="fr-CH"/>
              </w:rPr>
            </w:pPr>
            <w:r w:rsidRPr="00022FFC">
              <w:rPr>
                <w:rFonts w:eastAsiaTheme="minorHAnsi" w:cs="Arial"/>
                <w:sz w:val="20"/>
                <w:lang w:val="fr-CH"/>
              </w:rPr>
              <w:t xml:space="preserve">Les membres du Grand Conseil et du Conseil d’Etat </w:t>
            </w:r>
            <w:r w:rsidRPr="00022FFC">
              <w:rPr>
                <w:rFonts w:eastAsiaTheme="minorHAnsi" w:cs="Arial"/>
                <w:sz w:val="20"/>
                <w:u w:val="single"/>
                <w:lang w:val="fr-CH"/>
              </w:rPr>
              <w:t>ne peuvent en principe être poursuivis</w:t>
            </w:r>
            <w:r w:rsidRPr="00022FFC">
              <w:rPr>
                <w:rFonts w:eastAsiaTheme="minorHAnsi" w:cs="Arial"/>
                <w:sz w:val="20"/>
                <w:lang w:val="fr-CH"/>
              </w:rPr>
              <w:t xml:space="preserve"> pour les propos qu’ils tiennent au Parlement et devant les organes de celui-ci</w:t>
            </w:r>
            <w:r>
              <w:rPr>
                <w:rStyle w:val="Rimandonotaapidipagina"/>
                <w:rFonts w:eastAsiaTheme="minorHAnsi" w:cs="Arial"/>
                <w:sz w:val="20"/>
                <w:lang w:val="fr-CH"/>
              </w:rPr>
              <w:footnoteReference w:id="15"/>
            </w:r>
            <w:r w:rsidRPr="00022FFC">
              <w:rPr>
                <w:rFonts w:eastAsiaTheme="minorHAnsi" w:cs="Arial"/>
                <w:sz w:val="20"/>
                <w:lang w:val="fr-CH"/>
              </w:rPr>
              <w:t>.</w:t>
            </w:r>
          </w:p>
          <w:p w:rsidR="005150BD" w:rsidRPr="00022FFC"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lang w:val="fr-CH"/>
              </w:rPr>
            </w:pPr>
          </w:p>
        </w:tc>
        <w:tc>
          <w:tcPr>
            <w:tcW w:w="4485" w:type="dxa"/>
          </w:tcPr>
          <w:p w:rsidR="005150BD" w:rsidRPr="00022FFC" w:rsidRDefault="005150BD" w:rsidP="00884967">
            <w:pPr>
              <w:spacing w:before="120"/>
              <w:jc w:val="both"/>
              <w:rPr>
                <w:rFonts w:eastAsiaTheme="minorHAnsi" w:cs="Arial"/>
                <w:sz w:val="20"/>
                <w:lang w:val="fr-CH"/>
              </w:rPr>
            </w:pPr>
            <w:r w:rsidRPr="00022FFC">
              <w:rPr>
                <w:rFonts w:eastAsiaTheme="minorHAnsi" w:cs="Arial"/>
                <w:sz w:val="20"/>
                <w:lang w:val="fr-CH"/>
              </w:rPr>
              <w:t>L’immunité des membres du Grand Conseil et du Conseil d’Etat ne peut être levée que si la personne qui en bénéficie:</w:t>
            </w:r>
          </w:p>
          <w:p w:rsidR="005150BD" w:rsidRPr="00022FFC" w:rsidRDefault="005150BD" w:rsidP="00884967">
            <w:pPr>
              <w:spacing w:before="120"/>
              <w:jc w:val="both"/>
              <w:rPr>
                <w:rFonts w:eastAsiaTheme="minorHAnsi" w:cs="Arial"/>
                <w:sz w:val="20"/>
                <w:lang w:val="fr-CH"/>
              </w:rPr>
            </w:pPr>
            <w:r w:rsidRPr="00022FFC">
              <w:rPr>
                <w:rFonts w:eastAsiaTheme="minorHAnsi" w:cs="Arial"/>
                <w:sz w:val="20"/>
                <w:lang w:val="fr-CH"/>
              </w:rPr>
              <w:t xml:space="preserve">a) </w:t>
            </w:r>
            <w:r w:rsidRPr="00022FFC">
              <w:rPr>
                <w:rFonts w:eastAsiaTheme="minorHAnsi" w:cs="Arial"/>
                <w:sz w:val="20"/>
                <w:u w:val="single"/>
                <w:lang w:val="fr-CH"/>
              </w:rPr>
              <w:t>abuse de sa fonction pour commettre une infraction</w:t>
            </w:r>
          </w:p>
          <w:p w:rsidR="005150BD" w:rsidRDefault="005150BD" w:rsidP="00884967">
            <w:pPr>
              <w:spacing w:before="120"/>
              <w:jc w:val="both"/>
              <w:rPr>
                <w:rFonts w:eastAsiaTheme="minorHAnsi" w:cs="Arial"/>
                <w:sz w:val="20"/>
                <w:lang w:val="fr-CH"/>
              </w:rPr>
            </w:pPr>
            <w:r w:rsidRPr="00022FFC">
              <w:rPr>
                <w:rFonts w:eastAsiaTheme="minorHAnsi" w:cs="Arial"/>
                <w:sz w:val="20"/>
                <w:lang w:val="fr-CH"/>
              </w:rPr>
              <w:t xml:space="preserve">b) ou </w:t>
            </w:r>
            <w:r w:rsidRPr="00022FFC">
              <w:rPr>
                <w:rFonts w:eastAsiaTheme="minorHAnsi" w:cs="Arial"/>
                <w:sz w:val="20"/>
                <w:u w:val="single"/>
                <w:lang w:val="fr-CH"/>
              </w:rPr>
              <w:t>viole gravement le secret</w:t>
            </w:r>
            <w:r w:rsidRPr="00022FFC">
              <w:rPr>
                <w:rFonts w:eastAsiaTheme="minorHAnsi" w:cs="Arial"/>
                <w:sz w:val="20"/>
                <w:lang w:val="fr-CH"/>
              </w:rPr>
              <w:t xml:space="preserve"> de fonction ou se rend complice d’une telle violation</w:t>
            </w:r>
            <w:r>
              <w:rPr>
                <w:rFonts w:eastAsiaTheme="minorHAnsi" w:cs="Arial"/>
                <w:sz w:val="20"/>
                <w:lang w:val="fr-CH"/>
              </w:rPr>
              <w:t>.</w:t>
            </w:r>
          </w:p>
          <w:p w:rsidR="005150BD" w:rsidRPr="009D4EEC" w:rsidRDefault="005150BD" w:rsidP="00884967">
            <w:pPr>
              <w:spacing w:before="240" w:after="120"/>
              <w:jc w:val="both"/>
              <w:rPr>
                <w:rFonts w:cs="Arial"/>
                <w:sz w:val="20"/>
                <w:lang w:val="fr-CH"/>
              </w:rPr>
            </w:pPr>
            <w:r w:rsidRPr="009D4EEC">
              <w:rPr>
                <w:rFonts w:eastAsiaTheme="minorHAnsi" w:cs="Arial"/>
                <w:sz w:val="20"/>
                <w:lang w:val="fr-CH"/>
              </w:rPr>
              <w:t>Après avoir délibéré sur la base du rapport de la commission, le Grand Conseil statue au bulletin secret. La décision de lever l’immunité nécessite la majorité</w:t>
            </w:r>
            <w:r>
              <w:rPr>
                <w:rStyle w:val="Rimandonotaapidipagina"/>
                <w:rFonts w:eastAsiaTheme="minorHAnsi" w:cs="Arial"/>
                <w:sz w:val="20"/>
                <w:lang w:val="fr-CH"/>
              </w:rPr>
              <w:footnoteReference w:id="16"/>
            </w:r>
            <w:r w:rsidRPr="00022FFC">
              <w:rPr>
                <w:rFonts w:eastAsiaTheme="minorHAnsi" w:cs="Arial"/>
                <w:sz w:val="20"/>
                <w:lang w:val="fr-CH"/>
              </w:rPr>
              <w:t>.</w:t>
            </w:r>
          </w:p>
        </w:tc>
      </w:tr>
      <w:tr w:rsidR="005150BD" w:rsidRPr="00522747" w:rsidTr="0027376D">
        <w:trPr>
          <w:cantSplit/>
        </w:trPr>
        <w:tc>
          <w:tcPr>
            <w:tcW w:w="1276" w:type="dxa"/>
          </w:tcPr>
          <w:p w:rsidR="005150BD" w:rsidRPr="006F6F64"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6F6F64">
              <w:rPr>
                <w:rFonts w:ascii="Arial" w:hAnsi="Arial" w:cs="Arial"/>
                <w:b/>
                <w:lang w:val="de-CH"/>
              </w:rPr>
              <w:lastRenderedPageBreak/>
              <w:t>Ginevra</w:t>
            </w:r>
            <w:proofErr w:type="spellEnd"/>
          </w:p>
        </w:tc>
        <w:tc>
          <w:tcPr>
            <w:tcW w:w="4304" w:type="dxa"/>
          </w:tcPr>
          <w:p w:rsidR="005150BD" w:rsidRPr="009D4EEC" w:rsidRDefault="005150BD" w:rsidP="0027376D">
            <w:pPr>
              <w:spacing w:before="120" w:after="120"/>
              <w:jc w:val="both"/>
              <w:rPr>
                <w:rFonts w:eastAsiaTheme="minorHAnsi" w:cs="Arial"/>
                <w:sz w:val="20"/>
                <w:lang w:val="fr-CH"/>
              </w:rPr>
            </w:pPr>
            <w:r w:rsidRPr="009D4EEC">
              <w:rPr>
                <w:rFonts w:eastAsiaTheme="minorHAnsi" w:cs="Arial"/>
                <w:sz w:val="20"/>
                <w:lang w:val="fr-CH"/>
              </w:rPr>
              <w:t xml:space="preserve">Les membres du Grand Conseil et du Conseil d’Etat </w:t>
            </w:r>
            <w:r w:rsidRPr="009D4EEC">
              <w:rPr>
                <w:rFonts w:eastAsiaTheme="minorHAnsi" w:cs="Arial"/>
                <w:sz w:val="20"/>
                <w:u w:val="single"/>
                <w:lang w:val="fr-CH"/>
              </w:rPr>
              <w:t>s’expriment librement</w:t>
            </w:r>
            <w:r w:rsidRPr="009D4EEC">
              <w:rPr>
                <w:rFonts w:eastAsiaTheme="minorHAnsi" w:cs="Arial"/>
                <w:sz w:val="20"/>
                <w:lang w:val="fr-CH"/>
              </w:rPr>
              <w:t xml:space="preserve"> devant le parlement. Ils n’encourent aucune responsabilité juridique pour les propos qu’ils y tiennent, sauf exceptions prévues par la loi</w:t>
            </w:r>
            <w:r>
              <w:rPr>
                <w:rStyle w:val="Rimandonotaapidipagina"/>
                <w:rFonts w:eastAsiaTheme="minorHAnsi" w:cs="Arial"/>
                <w:sz w:val="20"/>
                <w:lang w:val="fr-CH"/>
              </w:rPr>
              <w:footnoteReference w:id="17"/>
            </w:r>
            <w:r w:rsidRPr="009D4EEC">
              <w:rPr>
                <w:rFonts w:eastAsiaTheme="minorHAnsi" w:cs="Arial"/>
                <w:sz w:val="20"/>
                <w:lang w:val="fr-CH"/>
              </w:rPr>
              <w:t>.</w:t>
            </w:r>
          </w:p>
          <w:p w:rsidR="005150BD" w:rsidRPr="009D4EEC" w:rsidRDefault="005150BD" w:rsidP="0027376D">
            <w:pPr>
              <w:spacing w:before="120" w:after="120"/>
              <w:jc w:val="both"/>
              <w:rPr>
                <w:rFonts w:eastAsiaTheme="minorHAnsi" w:cs="Arial"/>
                <w:sz w:val="20"/>
                <w:lang w:val="fr-CH"/>
              </w:rPr>
            </w:pPr>
          </w:p>
        </w:tc>
        <w:tc>
          <w:tcPr>
            <w:tcW w:w="4485" w:type="dxa"/>
          </w:tcPr>
          <w:p w:rsidR="005150BD" w:rsidRPr="009D4EEC" w:rsidRDefault="005150BD" w:rsidP="0027376D">
            <w:pPr>
              <w:spacing w:before="120" w:after="120"/>
              <w:jc w:val="both"/>
              <w:rPr>
                <w:rFonts w:eastAsiaTheme="minorHAnsi" w:cs="Arial"/>
                <w:sz w:val="20"/>
                <w:lang w:val="fr-CH"/>
              </w:rPr>
            </w:pPr>
            <w:r w:rsidRPr="009D4EEC">
              <w:rPr>
                <w:rFonts w:eastAsiaTheme="minorHAnsi" w:cs="Arial"/>
                <w:sz w:val="20"/>
                <w:lang w:val="fr-CH"/>
              </w:rPr>
              <w:t xml:space="preserve">Les députés, les conseillers d’Etat et les magistrats du pouvoir judiciaire ne peuvent être poursuivis pénalement à raison des propos qu'ils tiennent ou des écrits qu'ils produisent devant le Grand Conseil ou l'une de ses commissions. </w:t>
            </w:r>
          </w:p>
          <w:p w:rsidR="005150BD" w:rsidRPr="009D4EEC" w:rsidRDefault="005150BD" w:rsidP="0027376D">
            <w:pPr>
              <w:spacing w:before="120" w:after="120"/>
              <w:jc w:val="both"/>
              <w:rPr>
                <w:rFonts w:eastAsiaTheme="minorHAnsi" w:cs="Arial"/>
                <w:sz w:val="20"/>
                <w:lang w:val="fr-CH"/>
              </w:rPr>
            </w:pPr>
            <w:r w:rsidRPr="000F6D0E">
              <w:rPr>
                <w:rFonts w:eastAsiaTheme="minorHAnsi" w:cs="Arial"/>
                <w:sz w:val="20"/>
                <w:u w:val="single"/>
                <w:lang w:val="fr-CH"/>
              </w:rPr>
              <w:t>A la demande du Ministère public, le Grand Conseil peut toutefois lever cette immunité</w:t>
            </w:r>
            <w:r w:rsidRPr="009D4EEC">
              <w:rPr>
                <w:rFonts w:eastAsiaTheme="minorHAnsi" w:cs="Arial"/>
                <w:sz w:val="20"/>
                <w:lang w:val="fr-CH"/>
              </w:rPr>
              <w:t>.</w:t>
            </w:r>
          </w:p>
          <w:p w:rsidR="005150BD" w:rsidRPr="009D4EEC" w:rsidRDefault="005150BD" w:rsidP="0027376D">
            <w:pPr>
              <w:spacing w:before="120" w:after="120"/>
              <w:jc w:val="both"/>
              <w:rPr>
                <w:rFonts w:eastAsiaTheme="minorHAnsi" w:cs="Arial"/>
                <w:sz w:val="20"/>
                <w:lang w:val="fr-CH"/>
              </w:rPr>
            </w:pPr>
            <w:r w:rsidRPr="009D4EEC">
              <w:rPr>
                <w:rFonts w:eastAsiaTheme="minorHAnsi" w:cs="Arial"/>
                <w:sz w:val="20"/>
                <w:lang w:val="fr-CH"/>
              </w:rPr>
              <w:t xml:space="preserve">La décision du Grand Conseil est prise </w:t>
            </w:r>
            <w:r w:rsidRPr="000F6D0E">
              <w:rPr>
                <w:rFonts w:eastAsiaTheme="minorHAnsi" w:cs="Arial"/>
                <w:sz w:val="20"/>
                <w:u w:val="single"/>
                <w:lang w:val="fr-CH"/>
              </w:rPr>
              <w:t>à la majorité absolue</w:t>
            </w:r>
            <w:r w:rsidRPr="009D4EEC">
              <w:rPr>
                <w:rFonts w:eastAsiaTheme="minorHAnsi" w:cs="Arial"/>
                <w:sz w:val="20"/>
                <w:lang w:val="fr-CH"/>
              </w:rPr>
              <w:t xml:space="preserve"> et sur présentation d'un rappo</w:t>
            </w:r>
            <w:r>
              <w:rPr>
                <w:rFonts w:eastAsiaTheme="minorHAnsi" w:cs="Arial"/>
                <w:sz w:val="20"/>
                <w:lang w:val="fr-CH"/>
              </w:rPr>
              <w:t>rt de la commission législative</w:t>
            </w:r>
            <w:r w:rsidRPr="009D4EEC">
              <w:rPr>
                <w:rFonts w:eastAsiaTheme="minorHAnsi" w:cs="Arial"/>
                <w:sz w:val="20"/>
                <w:lang w:val="fr-CH"/>
              </w:rPr>
              <w:t xml:space="preserve">. </w:t>
            </w:r>
          </w:p>
          <w:p w:rsidR="005150BD" w:rsidRPr="009D4EEC" w:rsidRDefault="005150BD" w:rsidP="0027376D">
            <w:pPr>
              <w:spacing w:before="120" w:after="120"/>
              <w:jc w:val="both"/>
              <w:rPr>
                <w:rFonts w:eastAsiaTheme="minorHAnsi" w:cs="Arial"/>
                <w:sz w:val="20"/>
                <w:lang w:val="fr-CH"/>
              </w:rPr>
            </w:pPr>
            <w:r w:rsidRPr="009D4EEC">
              <w:rPr>
                <w:rFonts w:eastAsiaTheme="minorHAnsi" w:cs="Arial"/>
                <w:sz w:val="20"/>
                <w:lang w:val="fr-CH"/>
              </w:rPr>
              <w:t>Le Grand Conseil délibère à huis clos</w:t>
            </w:r>
            <w:r>
              <w:rPr>
                <w:rStyle w:val="Rimandonotaapidipagina"/>
                <w:rFonts w:eastAsiaTheme="minorHAnsi" w:cs="Arial"/>
                <w:sz w:val="20"/>
                <w:lang w:val="fr-CH"/>
              </w:rPr>
              <w:footnoteReference w:id="18"/>
            </w:r>
            <w:r w:rsidRPr="009D4EEC">
              <w:rPr>
                <w:rFonts w:eastAsiaTheme="minorHAnsi" w:cs="Arial"/>
                <w:sz w:val="20"/>
                <w:lang w:val="fr-CH"/>
              </w:rPr>
              <w:t>.</w:t>
            </w:r>
          </w:p>
        </w:tc>
      </w:tr>
      <w:tr w:rsidR="005150BD" w:rsidRPr="005150BD" w:rsidTr="0027376D">
        <w:trPr>
          <w:cantSplit/>
        </w:trPr>
        <w:tc>
          <w:tcPr>
            <w:tcW w:w="1276" w:type="dxa"/>
          </w:tcPr>
          <w:p w:rsidR="005150BD" w:rsidRPr="006F6F64"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proofErr w:type="spellStart"/>
            <w:r w:rsidRPr="006F6F64">
              <w:rPr>
                <w:rFonts w:ascii="Arial" w:hAnsi="Arial" w:cs="Arial"/>
                <w:b/>
                <w:lang w:val="fr-CH"/>
              </w:rPr>
              <w:t>Glarona</w:t>
            </w:r>
            <w:proofErr w:type="spellEnd"/>
          </w:p>
        </w:tc>
        <w:tc>
          <w:tcPr>
            <w:tcW w:w="4304" w:type="dxa"/>
          </w:tcPr>
          <w:p w:rsidR="005150BD" w:rsidRPr="00022FFC" w:rsidRDefault="005150BD" w:rsidP="0027376D">
            <w:pPr>
              <w:spacing w:before="120" w:after="120"/>
              <w:jc w:val="both"/>
              <w:rPr>
                <w:rFonts w:eastAsiaTheme="minorHAnsi" w:cs="Arial"/>
                <w:sz w:val="20"/>
                <w:lang w:val="fr-CH"/>
              </w:rPr>
            </w:pPr>
          </w:p>
        </w:tc>
        <w:tc>
          <w:tcPr>
            <w:tcW w:w="4485" w:type="dxa"/>
          </w:tcPr>
          <w:p w:rsidR="005150BD" w:rsidRPr="000F6D0E" w:rsidRDefault="005150BD" w:rsidP="0027376D">
            <w:pPr>
              <w:spacing w:before="120" w:after="120"/>
              <w:jc w:val="both"/>
              <w:rPr>
                <w:rFonts w:eastAsiaTheme="minorHAnsi" w:cs="Arial"/>
                <w:sz w:val="20"/>
                <w:lang w:val="de-CH"/>
              </w:rPr>
            </w:pPr>
            <w:r w:rsidRPr="000F6D0E">
              <w:rPr>
                <w:rFonts w:eastAsiaTheme="minorHAnsi" w:cs="Arial"/>
                <w:sz w:val="20"/>
                <w:lang w:val="de-CH"/>
              </w:rPr>
              <w:t xml:space="preserve">Mitglieder des Regierungsrates, des Landrates und der Gerichte können wegen ihrer Äusserungen im Landrat oder in dessen Kommissionen </w:t>
            </w:r>
            <w:r w:rsidRPr="000F6D0E">
              <w:rPr>
                <w:rFonts w:eastAsiaTheme="minorHAnsi" w:cs="Arial"/>
                <w:sz w:val="20"/>
                <w:u w:val="single"/>
                <w:lang w:val="de-CH"/>
              </w:rPr>
              <w:t>strafrechtlich nur verfolgt werden, wenn der Landrat mit einer Mehrheit von zwei Dritteln der anwesenden Mitglieder die Immunität aufhebt</w:t>
            </w:r>
            <w:r>
              <w:rPr>
                <w:rStyle w:val="Rimandonotaapidipagina"/>
                <w:rFonts w:eastAsiaTheme="minorHAnsi" w:cs="Arial"/>
                <w:sz w:val="20"/>
                <w:u w:val="single"/>
                <w:lang w:val="de-CH"/>
              </w:rPr>
              <w:footnoteReference w:id="19"/>
            </w:r>
            <w:r w:rsidRPr="000F6D0E">
              <w:rPr>
                <w:rFonts w:eastAsiaTheme="minorHAnsi" w:cs="Arial"/>
                <w:sz w:val="20"/>
                <w:lang w:val="de-CH"/>
              </w:rPr>
              <w:t>.</w:t>
            </w:r>
          </w:p>
        </w:tc>
      </w:tr>
      <w:tr w:rsidR="005150BD" w:rsidRPr="00522747" w:rsidTr="0027376D">
        <w:trPr>
          <w:cantSplit/>
        </w:trPr>
        <w:tc>
          <w:tcPr>
            <w:tcW w:w="1276" w:type="dxa"/>
          </w:tcPr>
          <w:p w:rsidR="005150BD" w:rsidRPr="006F6F64"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color w:val="auto"/>
                <w:lang w:val="fr-CH"/>
              </w:rPr>
            </w:pPr>
            <w:r w:rsidRPr="006F6F64">
              <w:rPr>
                <w:rFonts w:ascii="Arial" w:hAnsi="Arial" w:cs="Arial"/>
                <w:b/>
                <w:color w:val="auto"/>
                <w:lang w:val="fr-CH"/>
              </w:rPr>
              <w:t>Grigioni</w:t>
            </w:r>
          </w:p>
        </w:tc>
        <w:tc>
          <w:tcPr>
            <w:tcW w:w="4304" w:type="dxa"/>
          </w:tcPr>
          <w:p w:rsidR="005150BD" w:rsidRPr="006F6F64" w:rsidRDefault="005150BD" w:rsidP="0027376D">
            <w:pPr>
              <w:spacing w:before="120" w:after="120"/>
              <w:jc w:val="both"/>
              <w:rPr>
                <w:rFonts w:eastAsiaTheme="minorHAnsi" w:cs="Arial"/>
                <w:sz w:val="20"/>
              </w:rPr>
            </w:pPr>
            <w:r w:rsidRPr="006F6F64">
              <w:rPr>
                <w:rFonts w:eastAsiaTheme="minorHAnsi" w:cs="Arial"/>
                <w:sz w:val="20"/>
              </w:rPr>
              <w:t xml:space="preserve">I membri del Gran Consiglio e del Governo </w:t>
            </w:r>
            <w:r w:rsidRPr="006F6F64">
              <w:rPr>
                <w:rFonts w:eastAsiaTheme="minorHAnsi" w:cs="Arial"/>
                <w:sz w:val="20"/>
                <w:u w:val="single"/>
              </w:rPr>
              <w:t>non incorrono giuridicamente in alcuna responsabilità</w:t>
            </w:r>
            <w:r w:rsidRPr="006F6F64">
              <w:rPr>
                <w:rFonts w:eastAsiaTheme="minorHAnsi" w:cs="Arial"/>
                <w:sz w:val="20"/>
              </w:rPr>
              <w:t xml:space="preserve"> per quanto da loro dichiarato in Gran Consiglio e nelle relative commission</w:t>
            </w:r>
            <w:r>
              <w:rPr>
                <w:rFonts w:eastAsiaTheme="minorHAnsi" w:cs="Arial"/>
                <w:sz w:val="20"/>
              </w:rPr>
              <w:t>i</w:t>
            </w:r>
            <w:r>
              <w:rPr>
                <w:rStyle w:val="Rimandonotaapidipagina"/>
                <w:rFonts w:eastAsiaTheme="minorHAnsi" w:cs="Arial"/>
                <w:sz w:val="20"/>
              </w:rPr>
              <w:footnoteReference w:id="20"/>
            </w:r>
            <w:r w:rsidRPr="006F6F64">
              <w:rPr>
                <w:rFonts w:eastAsiaTheme="minorHAnsi" w:cs="Arial"/>
                <w:sz w:val="20"/>
              </w:rPr>
              <w:t xml:space="preserve">. </w:t>
            </w:r>
          </w:p>
          <w:p w:rsidR="005150BD" w:rsidRPr="006F6F64" w:rsidRDefault="005150BD" w:rsidP="0027376D">
            <w:pPr>
              <w:spacing w:before="120" w:after="120"/>
              <w:jc w:val="both"/>
              <w:rPr>
                <w:rFonts w:eastAsiaTheme="minorHAnsi" w:cs="Arial"/>
                <w:sz w:val="20"/>
              </w:rPr>
            </w:pPr>
          </w:p>
        </w:tc>
        <w:tc>
          <w:tcPr>
            <w:tcW w:w="4485" w:type="dxa"/>
          </w:tcPr>
          <w:p w:rsidR="005150BD" w:rsidRPr="006F6F64" w:rsidRDefault="005150BD" w:rsidP="0027376D">
            <w:pPr>
              <w:spacing w:before="120" w:after="120"/>
              <w:jc w:val="both"/>
              <w:rPr>
                <w:rFonts w:eastAsiaTheme="minorHAnsi" w:cs="Arial"/>
                <w:sz w:val="20"/>
              </w:rPr>
            </w:pPr>
            <w:r w:rsidRPr="006F6F64">
              <w:rPr>
                <w:rFonts w:eastAsiaTheme="minorHAnsi" w:cs="Arial"/>
                <w:sz w:val="20"/>
              </w:rPr>
              <w:t xml:space="preserve">I membri del Gran Consiglio e del Governo, nonché del Tribunale cantonale e del Tribunale amministrativo </w:t>
            </w:r>
            <w:r w:rsidRPr="006F6F64">
              <w:rPr>
                <w:rFonts w:eastAsiaTheme="minorHAnsi" w:cs="Arial"/>
                <w:sz w:val="20"/>
                <w:u w:val="single"/>
              </w:rPr>
              <w:t>non sono perseguibili penalmente</w:t>
            </w:r>
            <w:r w:rsidRPr="006F6F64">
              <w:rPr>
                <w:rFonts w:eastAsiaTheme="minorHAnsi" w:cs="Arial"/>
                <w:sz w:val="20"/>
              </w:rPr>
              <w:t xml:space="preserve"> per le loro esternazioni in Gran Consiglio o nelle sue commissioni. </w:t>
            </w:r>
          </w:p>
          <w:p w:rsidR="005150BD" w:rsidRPr="006F6F64" w:rsidRDefault="005150BD" w:rsidP="0027376D">
            <w:pPr>
              <w:spacing w:before="120" w:after="120"/>
              <w:jc w:val="both"/>
              <w:rPr>
                <w:rFonts w:eastAsiaTheme="minorHAnsi" w:cs="Arial"/>
                <w:sz w:val="20"/>
              </w:rPr>
            </w:pPr>
            <w:r w:rsidRPr="006F6F64">
              <w:rPr>
                <w:rFonts w:eastAsiaTheme="minorHAnsi" w:cs="Arial"/>
                <w:sz w:val="20"/>
              </w:rPr>
              <w:t xml:space="preserve">Se i membri del Governo, i giudici e gli attuari del Tribunale cantonale e del Tribunale amministrativo </w:t>
            </w:r>
            <w:r w:rsidRPr="006F6F64">
              <w:rPr>
                <w:rFonts w:eastAsiaTheme="minorHAnsi" w:cs="Arial"/>
                <w:sz w:val="20"/>
                <w:u w:val="single"/>
              </w:rPr>
              <w:t>commettono crimini e delitti durante l'esercizio delle loro funzioni, essi possono essere perseguiti penalmente solo con l'autorizzazione della Commissione del Gran Consiglio</w:t>
            </w:r>
            <w:r w:rsidRPr="006F6F64">
              <w:rPr>
                <w:rFonts w:eastAsiaTheme="minorHAnsi" w:cs="Arial"/>
                <w:sz w:val="20"/>
              </w:rPr>
              <w:t xml:space="preserve"> competente per la giustizia</w:t>
            </w:r>
            <w:r>
              <w:rPr>
                <w:rStyle w:val="Rimandonotaapidipagina"/>
                <w:rFonts w:eastAsiaTheme="minorHAnsi" w:cs="Arial"/>
                <w:sz w:val="20"/>
              </w:rPr>
              <w:footnoteReference w:id="21"/>
            </w:r>
            <w:r w:rsidRPr="006F6F64">
              <w:rPr>
                <w:rFonts w:eastAsiaTheme="minorHAnsi" w:cs="Arial"/>
                <w:sz w:val="20"/>
              </w:rPr>
              <w:t>.</w:t>
            </w:r>
          </w:p>
        </w:tc>
      </w:tr>
      <w:tr w:rsidR="005150BD" w:rsidRPr="00522747"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it-CH"/>
              </w:rPr>
            </w:pPr>
            <w:r w:rsidRPr="00884967">
              <w:rPr>
                <w:rFonts w:ascii="Arial" w:hAnsi="Arial" w:cs="Arial"/>
                <w:b/>
                <w:lang w:val="it-CH"/>
              </w:rPr>
              <w:t>Giura</w:t>
            </w:r>
          </w:p>
        </w:tc>
        <w:tc>
          <w:tcPr>
            <w:tcW w:w="4304" w:type="dxa"/>
          </w:tcPr>
          <w:p w:rsidR="005150BD" w:rsidRPr="00D20881" w:rsidRDefault="005150BD" w:rsidP="0027376D">
            <w:pPr>
              <w:spacing w:before="120" w:after="120"/>
              <w:jc w:val="both"/>
              <w:rPr>
                <w:rFonts w:eastAsiaTheme="minorHAnsi" w:cs="Arial"/>
                <w:sz w:val="20"/>
                <w:lang w:val="fr-CH"/>
              </w:rPr>
            </w:pPr>
            <w:r w:rsidRPr="00D20881">
              <w:rPr>
                <w:rFonts w:eastAsiaTheme="minorHAnsi" w:cs="Arial"/>
                <w:sz w:val="20"/>
                <w:lang w:val="fr-CH"/>
              </w:rPr>
              <w:t>Les députés remplissent librement leur mandat.</w:t>
            </w:r>
          </w:p>
          <w:p w:rsidR="005150BD" w:rsidRPr="00D20881" w:rsidRDefault="005150BD" w:rsidP="0027376D">
            <w:pPr>
              <w:spacing w:before="120" w:after="120"/>
              <w:jc w:val="both"/>
              <w:rPr>
                <w:rFonts w:eastAsiaTheme="minorHAnsi" w:cs="Arial"/>
                <w:sz w:val="20"/>
                <w:lang w:val="fr-CH"/>
              </w:rPr>
            </w:pPr>
            <w:r w:rsidRPr="00D20881">
              <w:rPr>
                <w:rFonts w:eastAsiaTheme="minorHAnsi" w:cs="Arial"/>
                <w:sz w:val="20"/>
                <w:u w:val="single"/>
                <w:lang w:val="fr-CH"/>
              </w:rPr>
              <w:t>Ils ne peuvent être poursuivis</w:t>
            </w:r>
            <w:r w:rsidRPr="00D20881">
              <w:rPr>
                <w:rFonts w:eastAsiaTheme="minorHAnsi" w:cs="Arial"/>
                <w:sz w:val="20"/>
                <w:lang w:val="fr-CH"/>
              </w:rPr>
              <w:t xml:space="preserve"> pour les propos qu'ils tiennent dans l'exercice de leur mandat.</w:t>
            </w:r>
          </w:p>
          <w:p w:rsidR="005150BD" w:rsidRPr="00D20881" w:rsidRDefault="005150BD" w:rsidP="0027376D">
            <w:pPr>
              <w:spacing w:before="120" w:after="120"/>
              <w:jc w:val="both"/>
              <w:rPr>
                <w:rFonts w:eastAsiaTheme="minorHAnsi" w:cs="Arial"/>
                <w:sz w:val="20"/>
                <w:lang w:val="fr-CH"/>
              </w:rPr>
            </w:pPr>
            <w:r w:rsidRPr="00D20881">
              <w:rPr>
                <w:rFonts w:eastAsiaTheme="minorHAnsi" w:cs="Arial"/>
                <w:sz w:val="20"/>
                <w:lang w:val="fr-CH"/>
              </w:rPr>
              <w:t>Ils n'en sont responsables que devant le Parlement</w:t>
            </w:r>
            <w:r>
              <w:rPr>
                <w:rStyle w:val="Rimandonotaapidipagina"/>
                <w:rFonts w:eastAsiaTheme="minorHAnsi" w:cs="Arial"/>
                <w:sz w:val="20"/>
                <w:lang w:val="fr-CH"/>
              </w:rPr>
              <w:footnoteReference w:id="22"/>
            </w:r>
            <w:r w:rsidRPr="00D20881">
              <w:rPr>
                <w:rFonts w:eastAsiaTheme="minorHAnsi" w:cs="Arial"/>
                <w:sz w:val="20"/>
                <w:lang w:val="fr-CH"/>
              </w:rPr>
              <w:t>.</w:t>
            </w:r>
          </w:p>
        </w:tc>
        <w:tc>
          <w:tcPr>
            <w:tcW w:w="4485" w:type="dxa"/>
          </w:tcPr>
          <w:p w:rsidR="005150BD" w:rsidRPr="00D20881" w:rsidRDefault="005150BD" w:rsidP="0027376D">
            <w:pPr>
              <w:spacing w:before="120" w:after="120"/>
              <w:jc w:val="both"/>
              <w:rPr>
                <w:rFonts w:eastAsiaTheme="minorHAnsi" w:cs="Arial"/>
                <w:sz w:val="20"/>
                <w:lang w:val="fr-CH"/>
              </w:rPr>
            </w:pPr>
            <w:r w:rsidRPr="00D20881">
              <w:rPr>
                <w:rFonts w:eastAsiaTheme="minorHAnsi" w:cs="Arial"/>
                <w:sz w:val="20"/>
                <w:lang w:val="fr-CH"/>
              </w:rPr>
              <w:t xml:space="preserve">Le député </w:t>
            </w:r>
            <w:r w:rsidRPr="00D20881">
              <w:rPr>
                <w:rFonts w:eastAsiaTheme="minorHAnsi" w:cs="Arial"/>
                <w:sz w:val="20"/>
                <w:u w:val="single"/>
                <w:lang w:val="fr-CH"/>
              </w:rPr>
              <w:t>ne peut être poursuivi</w:t>
            </w:r>
            <w:r w:rsidRPr="00D20881">
              <w:rPr>
                <w:rFonts w:eastAsiaTheme="minorHAnsi" w:cs="Arial"/>
                <w:sz w:val="20"/>
                <w:lang w:val="fr-CH"/>
              </w:rPr>
              <w:t xml:space="preserve"> pour les propos tenus au sein du Parlement, du Bureau et des commissions ainsi qu’en délégation officielle.</w:t>
            </w:r>
          </w:p>
          <w:p w:rsidR="005150BD" w:rsidRPr="00D20881" w:rsidRDefault="005150BD" w:rsidP="0027376D">
            <w:pPr>
              <w:spacing w:before="120" w:after="120"/>
              <w:jc w:val="both"/>
              <w:rPr>
                <w:rFonts w:eastAsiaTheme="minorHAnsi" w:cs="Arial"/>
                <w:sz w:val="20"/>
                <w:lang w:val="fr-CH"/>
              </w:rPr>
            </w:pPr>
            <w:r w:rsidRPr="00D20881">
              <w:rPr>
                <w:rFonts w:eastAsiaTheme="minorHAnsi" w:cs="Arial"/>
                <w:sz w:val="20"/>
                <w:u w:val="single"/>
                <w:lang w:val="fr-CH"/>
              </w:rPr>
              <w:t>Il ne peut être poursuivi pour une infraction en rapport direct avec l’activité ou la situation officielle du député, à moins que le Parlement n’autorise la poursuite pénale, civile ou administrative de l’infraction</w:t>
            </w:r>
            <w:r>
              <w:rPr>
                <w:rStyle w:val="Rimandonotaapidipagina"/>
                <w:rFonts w:eastAsiaTheme="minorHAnsi" w:cs="Arial"/>
                <w:sz w:val="20"/>
                <w:lang w:val="fr-CH"/>
              </w:rPr>
              <w:footnoteReference w:id="23"/>
            </w:r>
            <w:r w:rsidRPr="00D20881">
              <w:rPr>
                <w:rFonts w:eastAsiaTheme="minorHAnsi" w:cs="Arial"/>
                <w:sz w:val="20"/>
                <w:lang w:val="fr-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proofErr w:type="spellStart"/>
            <w:r w:rsidRPr="00884967">
              <w:rPr>
                <w:rFonts w:ascii="Arial" w:hAnsi="Arial" w:cs="Arial"/>
                <w:b/>
                <w:lang w:val="fr-CH"/>
              </w:rPr>
              <w:lastRenderedPageBreak/>
              <w:t>Lucerna</w:t>
            </w:r>
            <w:proofErr w:type="spellEnd"/>
          </w:p>
        </w:tc>
        <w:tc>
          <w:tcPr>
            <w:tcW w:w="4304" w:type="dxa"/>
          </w:tcPr>
          <w:p w:rsidR="005150BD" w:rsidRPr="00D20881" w:rsidRDefault="005150BD" w:rsidP="0027376D">
            <w:pPr>
              <w:spacing w:before="120" w:after="120"/>
              <w:jc w:val="both"/>
              <w:rPr>
                <w:rFonts w:eastAsiaTheme="minorHAnsi" w:cs="Arial"/>
                <w:sz w:val="20"/>
                <w:lang w:val="de-DE"/>
              </w:rPr>
            </w:pPr>
            <w:r w:rsidRPr="00D20881">
              <w:rPr>
                <w:rFonts w:eastAsiaTheme="minorHAnsi" w:cs="Arial"/>
                <w:sz w:val="20"/>
                <w:lang w:val="de-DE"/>
              </w:rPr>
              <w:t xml:space="preserve">Wer von seinem Rederecht im Kantonsrat und in dessen Kommissionen Gebrauch macht, </w:t>
            </w:r>
            <w:r w:rsidRPr="00D20881">
              <w:rPr>
                <w:rFonts w:eastAsiaTheme="minorHAnsi" w:cs="Arial"/>
                <w:sz w:val="20"/>
                <w:u w:val="single"/>
                <w:lang w:val="de-DE"/>
              </w:rPr>
              <w:t xml:space="preserve">kann für seine </w:t>
            </w:r>
            <w:proofErr w:type="spellStart"/>
            <w:r w:rsidRPr="00D20881">
              <w:rPr>
                <w:rFonts w:eastAsiaTheme="minorHAnsi" w:cs="Arial"/>
                <w:sz w:val="20"/>
                <w:u w:val="single"/>
                <w:lang w:val="de-DE"/>
              </w:rPr>
              <w:t>Äusserungen</w:t>
            </w:r>
            <w:proofErr w:type="spellEnd"/>
            <w:r w:rsidRPr="00D20881">
              <w:rPr>
                <w:rFonts w:eastAsiaTheme="minorHAnsi" w:cs="Arial"/>
                <w:sz w:val="20"/>
                <w:u w:val="single"/>
                <w:lang w:val="de-DE"/>
              </w:rPr>
              <w:t xml:space="preserve"> rechtlich nicht verantwortlich gemacht werden</w:t>
            </w:r>
            <w:r>
              <w:rPr>
                <w:rStyle w:val="Rimandonotaapidipagina"/>
                <w:rFonts w:eastAsiaTheme="minorHAnsi" w:cs="Arial"/>
                <w:sz w:val="20"/>
                <w:u w:val="single"/>
                <w:lang w:val="de-DE"/>
              </w:rPr>
              <w:footnoteReference w:id="24"/>
            </w:r>
            <w:r w:rsidRPr="00D20881">
              <w:rPr>
                <w:rFonts w:eastAsiaTheme="minorHAnsi" w:cs="Arial"/>
                <w:sz w:val="20"/>
                <w:lang w:val="de-DE"/>
              </w:rPr>
              <w:t>.</w:t>
            </w:r>
          </w:p>
          <w:p w:rsidR="005150BD" w:rsidRPr="00D20881" w:rsidRDefault="005150BD" w:rsidP="0027376D">
            <w:pPr>
              <w:spacing w:before="120" w:after="120"/>
              <w:jc w:val="both"/>
              <w:rPr>
                <w:rFonts w:eastAsiaTheme="minorHAnsi" w:cs="Arial"/>
                <w:sz w:val="20"/>
                <w:lang w:val="de-DE"/>
              </w:rPr>
            </w:pPr>
          </w:p>
        </w:tc>
        <w:tc>
          <w:tcPr>
            <w:tcW w:w="4485" w:type="dxa"/>
          </w:tcPr>
          <w:p w:rsidR="005150BD" w:rsidRPr="00D20881" w:rsidRDefault="005150BD" w:rsidP="0027376D">
            <w:pPr>
              <w:spacing w:before="120" w:after="120"/>
              <w:jc w:val="both"/>
              <w:rPr>
                <w:rFonts w:eastAsiaTheme="minorHAnsi" w:cs="Arial"/>
                <w:sz w:val="20"/>
                <w:lang w:val="de-CH"/>
              </w:rPr>
            </w:pPr>
            <w:r w:rsidRPr="00D20881">
              <w:rPr>
                <w:rFonts w:eastAsiaTheme="minorHAnsi" w:cs="Arial"/>
                <w:sz w:val="20"/>
                <w:lang w:val="de-CH"/>
              </w:rPr>
              <w:t xml:space="preserve">Die Mitglieder des Kantonsrates und des Regierungsrates sowie der Präsident oder die Präsidentin des Kantonsgerichtes </w:t>
            </w:r>
            <w:r w:rsidRPr="00D20881">
              <w:rPr>
                <w:rFonts w:eastAsiaTheme="minorHAnsi" w:cs="Arial"/>
                <w:sz w:val="20"/>
                <w:u w:val="single"/>
                <w:lang w:val="de-CH"/>
              </w:rPr>
              <w:t>können wegen Äusserungen in den Verhandlungen des Kantonsrates und seiner Kommissionen strafrechtlich nicht zur Verantwortung gezogen werden</w:t>
            </w:r>
            <w:r>
              <w:rPr>
                <w:rStyle w:val="Rimandonotaapidipagina"/>
                <w:rFonts w:eastAsiaTheme="minorHAnsi" w:cs="Arial"/>
                <w:sz w:val="20"/>
                <w:u w:val="single"/>
                <w:lang w:val="de-CH"/>
              </w:rPr>
              <w:footnoteReference w:id="25"/>
            </w:r>
            <w:r w:rsidRPr="00D20881">
              <w:rPr>
                <w:rFonts w:eastAsiaTheme="minorHAnsi" w:cs="Arial"/>
                <w:sz w:val="20"/>
                <w:lang w:val="de-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r w:rsidRPr="00884967">
              <w:rPr>
                <w:rFonts w:ascii="Arial" w:hAnsi="Arial" w:cs="Arial"/>
                <w:b/>
                <w:lang w:val="fr-CH"/>
              </w:rPr>
              <w:t>Neuchâtel</w:t>
            </w:r>
          </w:p>
        </w:tc>
        <w:tc>
          <w:tcPr>
            <w:tcW w:w="4304" w:type="dxa"/>
          </w:tcPr>
          <w:p w:rsidR="005150BD" w:rsidRPr="00F52614" w:rsidRDefault="005150BD" w:rsidP="0027376D">
            <w:pPr>
              <w:spacing w:before="120" w:after="120"/>
              <w:jc w:val="both"/>
              <w:rPr>
                <w:rFonts w:eastAsiaTheme="minorHAnsi" w:cs="Arial"/>
                <w:sz w:val="20"/>
                <w:lang w:val="fr-CH"/>
              </w:rPr>
            </w:pPr>
            <w:r w:rsidRPr="00F52614">
              <w:rPr>
                <w:rFonts w:eastAsiaTheme="minorHAnsi" w:cs="Arial"/>
                <w:sz w:val="20"/>
                <w:lang w:val="fr-FR"/>
              </w:rPr>
              <w:t xml:space="preserve">Les membres du Grand Conseil et du Conseil d’Etat </w:t>
            </w:r>
            <w:r w:rsidRPr="00F52614">
              <w:rPr>
                <w:rFonts w:eastAsiaTheme="minorHAnsi" w:cs="Arial"/>
                <w:sz w:val="20"/>
                <w:u w:val="single"/>
                <w:lang w:val="fr-FR"/>
              </w:rPr>
              <w:t>ne peuvent être poursuivis</w:t>
            </w:r>
            <w:r w:rsidRPr="00F52614">
              <w:rPr>
                <w:rFonts w:eastAsiaTheme="minorHAnsi" w:cs="Arial"/>
                <w:sz w:val="20"/>
                <w:lang w:val="fr-FR"/>
              </w:rPr>
              <w:t xml:space="preserve"> pour les propos qu'ils tiennent devant le Grand Conseil ou l’un de ses organes</w:t>
            </w:r>
            <w:r>
              <w:rPr>
                <w:rStyle w:val="Rimandonotaapidipagina"/>
                <w:rFonts w:eastAsiaTheme="minorHAnsi" w:cs="Arial"/>
                <w:sz w:val="20"/>
                <w:lang w:val="fr-FR"/>
              </w:rPr>
              <w:footnoteReference w:id="26"/>
            </w:r>
            <w:r w:rsidRPr="00F52614">
              <w:rPr>
                <w:rFonts w:eastAsiaTheme="minorHAnsi" w:cs="Arial"/>
                <w:sz w:val="20"/>
                <w:lang w:val="fr-FR"/>
              </w:rPr>
              <w:t xml:space="preserve">. </w:t>
            </w:r>
          </w:p>
          <w:p w:rsidR="005150BD" w:rsidRPr="00F52614" w:rsidRDefault="005150BD" w:rsidP="0027376D">
            <w:pPr>
              <w:spacing w:before="120" w:after="120"/>
              <w:jc w:val="both"/>
              <w:rPr>
                <w:rFonts w:eastAsiaTheme="minorHAnsi" w:cs="Arial"/>
                <w:sz w:val="20"/>
                <w:lang w:val="fr-CH"/>
              </w:rPr>
            </w:pPr>
          </w:p>
        </w:tc>
        <w:tc>
          <w:tcPr>
            <w:tcW w:w="4485" w:type="dxa"/>
          </w:tcPr>
          <w:p w:rsidR="005150BD" w:rsidRPr="00F52614" w:rsidRDefault="005150BD" w:rsidP="0027376D">
            <w:pPr>
              <w:spacing w:before="120" w:after="120"/>
              <w:jc w:val="both"/>
              <w:rPr>
                <w:rFonts w:eastAsiaTheme="minorHAnsi" w:cs="Arial"/>
                <w:sz w:val="20"/>
                <w:lang w:val="fr-CH"/>
              </w:rPr>
            </w:pPr>
            <w:r w:rsidRPr="00F52614">
              <w:rPr>
                <w:rFonts w:eastAsiaTheme="minorHAnsi" w:cs="Arial"/>
                <w:sz w:val="20"/>
                <w:lang w:val="fr-CH"/>
              </w:rPr>
              <w:t xml:space="preserve">Les membres et membres suppléants du Grand Conseil </w:t>
            </w:r>
            <w:r w:rsidRPr="00F52614">
              <w:rPr>
                <w:rFonts w:eastAsiaTheme="minorHAnsi" w:cs="Arial"/>
                <w:sz w:val="20"/>
                <w:u w:val="single"/>
                <w:lang w:val="fr-CH"/>
              </w:rPr>
              <w:t>ne peuvent être poursuivis</w:t>
            </w:r>
            <w:r w:rsidRPr="00F52614">
              <w:rPr>
                <w:rFonts w:eastAsiaTheme="minorHAnsi" w:cs="Arial"/>
                <w:sz w:val="20"/>
                <w:lang w:val="fr-CH"/>
              </w:rPr>
              <w:t xml:space="preserve"> pour les propos qu'ils tiennent devant le Grand Conseil ou l'un de ses organes</w:t>
            </w:r>
            <w:r>
              <w:rPr>
                <w:rStyle w:val="Rimandonotaapidipagina"/>
                <w:rFonts w:eastAsiaTheme="minorHAnsi" w:cs="Arial"/>
                <w:sz w:val="20"/>
                <w:lang w:val="fr-CH"/>
              </w:rPr>
              <w:footnoteReference w:id="27"/>
            </w:r>
            <w:r w:rsidRPr="00F52614">
              <w:rPr>
                <w:rFonts w:eastAsiaTheme="minorHAnsi" w:cs="Arial"/>
                <w:sz w:val="20"/>
                <w:lang w:val="fr-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proofErr w:type="spellStart"/>
            <w:r w:rsidRPr="00884967">
              <w:rPr>
                <w:rFonts w:ascii="Arial" w:hAnsi="Arial" w:cs="Arial"/>
                <w:b/>
                <w:lang w:val="fr-CH"/>
              </w:rPr>
              <w:t>Nidvaldo</w:t>
            </w:r>
            <w:proofErr w:type="spellEnd"/>
          </w:p>
        </w:tc>
        <w:tc>
          <w:tcPr>
            <w:tcW w:w="4304" w:type="dxa"/>
          </w:tcPr>
          <w:p w:rsidR="005150BD" w:rsidRPr="00D20881" w:rsidRDefault="005150BD" w:rsidP="0027376D">
            <w:pPr>
              <w:spacing w:before="120" w:after="120"/>
              <w:jc w:val="both"/>
              <w:rPr>
                <w:rFonts w:eastAsiaTheme="minorHAnsi" w:cs="Arial"/>
                <w:sz w:val="20"/>
                <w:lang w:val="fr-CH"/>
              </w:rPr>
            </w:pPr>
          </w:p>
        </w:tc>
        <w:tc>
          <w:tcPr>
            <w:tcW w:w="4485" w:type="dxa"/>
          </w:tcPr>
          <w:p w:rsidR="005150BD" w:rsidRDefault="005150BD" w:rsidP="0027376D">
            <w:pPr>
              <w:spacing w:before="120" w:after="120"/>
              <w:jc w:val="both"/>
              <w:rPr>
                <w:rFonts w:eastAsiaTheme="minorHAnsi" w:cs="Arial"/>
                <w:sz w:val="20"/>
                <w:lang w:val="de-CH"/>
              </w:rPr>
            </w:pPr>
            <w:r w:rsidRPr="00F52614">
              <w:rPr>
                <w:rFonts w:eastAsiaTheme="minorHAnsi" w:cs="Arial"/>
                <w:sz w:val="20"/>
                <w:lang w:val="de-CH"/>
              </w:rPr>
              <w:t xml:space="preserve">Die Mitglieder des Landrates, des Regierungsrates, der Verwaltungsbehörden und der Gerichte können für ihre Äusserungen im Landrat oder in den Kommissionen </w:t>
            </w:r>
            <w:r w:rsidRPr="00F52614">
              <w:rPr>
                <w:rFonts w:eastAsiaTheme="minorHAnsi" w:cs="Arial"/>
                <w:sz w:val="20"/>
                <w:u w:val="single"/>
                <w:lang w:val="de-CH"/>
              </w:rPr>
              <w:t>weder strafrechtlich noch zivilrechtlich belangt werden</w:t>
            </w:r>
            <w:r w:rsidRPr="00F52614">
              <w:rPr>
                <w:rFonts w:eastAsiaTheme="minorHAnsi" w:cs="Arial"/>
                <w:sz w:val="20"/>
                <w:lang w:val="de-CH"/>
              </w:rPr>
              <w:t>; sie sind nur gegenüber dem Landrat verantwortlich</w:t>
            </w:r>
          </w:p>
          <w:p w:rsidR="005150BD" w:rsidRPr="00F52614" w:rsidRDefault="005150BD" w:rsidP="0027376D">
            <w:pPr>
              <w:spacing w:before="120" w:after="120"/>
              <w:jc w:val="both"/>
              <w:rPr>
                <w:rFonts w:eastAsiaTheme="minorHAnsi" w:cs="Arial"/>
                <w:sz w:val="20"/>
                <w:lang w:val="de-CH"/>
              </w:rPr>
            </w:pPr>
            <w:r w:rsidRPr="00F52614">
              <w:rPr>
                <w:rFonts w:eastAsiaTheme="minorHAnsi" w:cs="Arial"/>
                <w:sz w:val="20"/>
                <w:lang w:val="de-CH"/>
              </w:rPr>
              <w:t xml:space="preserve">Eine Strafuntersuchung, eine Ehrverletzungsklage oder ein Zivilprozess gegen Mitglieder des Landrates, des Regierungsrates, der Verwaltungsbehörden und der Gerichte </w:t>
            </w:r>
            <w:r w:rsidRPr="00F52614">
              <w:rPr>
                <w:rFonts w:eastAsiaTheme="minorHAnsi" w:cs="Arial"/>
                <w:sz w:val="20"/>
                <w:u w:val="single"/>
                <w:lang w:val="de-CH"/>
              </w:rPr>
              <w:t>kann erst eingeleitet werden, wenn der Landrat mit einer Mehrheit von zwei Dritteln der anwesenden Mitglieder die Immunität aufgehoben hat</w:t>
            </w:r>
            <w:r>
              <w:rPr>
                <w:rStyle w:val="Rimandonotaapidipagina"/>
                <w:rFonts w:eastAsiaTheme="minorHAnsi" w:cs="Arial"/>
                <w:sz w:val="20"/>
                <w:lang w:val="de-CH"/>
              </w:rPr>
              <w:footnoteReference w:id="28"/>
            </w:r>
            <w:r w:rsidRPr="00F52614">
              <w:rPr>
                <w:rFonts w:eastAsiaTheme="minorHAnsi" w:cs="Arial"/>
                <w:sz w:val="20"/>
                <w:lang w:val="de-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proofErr w:type="spellStart"/>
            <w:r w:rsidRPr="00884967">
              <w:rPr>
                <w:rFonts w:ascii="Arial" w:hAnsi="Arial" w:cs="Arial"/>
                <w:b/>
                <w:lang w:val="fr-CH"/>
              </w:rPr>
              <w:t>Obvaldo</w:t>
            </w:r>
            <w:proofErr w:type="spellEnd"/>
          </w:p>
        </w:tc>
        <w:tc>
          <w:tcPr>
            <w:tcW w:w="4304" w:type="dxa"/>
          </w:tcPr>
          <w:p w:rsidR="005150BD" w:rsidRPr="00AF7DC6" w:rsidRDefault="005150BD" w:rsidP="0027376D">
            <w:pPr>
              <w:spacing w:before="120" w:after="120"/>
              <w:jc w:val="both"/>
              <w:rPr>
                <w:rFonts w:eastAsiaTheme="minorHAnsi" w:cs="Arial"/>
                <w:sz w:val="20"/>
                <w:lang w:val="fr-CH"/>
              </w:rPr>
            </w:pPr>
          </w:p>
        </w:tc>
        <w:tc>
          <w:tcPr>
            <w:tcW w:w="4485" w:type="dxa"/>
          </w:tcPr>
          <w:p w:rsidR="005150BD" w:rsidRPr="00AF7DC6" w:rsidRDefault="005150BD" w:rsidP="0027376D">
            <w:pPr>
              <w:spacing w:before="120" w:after="120"/>
              <w:jc w:val="both"/>
              <w:rPr>
                <w:rFonts w:eastAsiaTheme="minorHAnsi" w:cs="Arial"/>
                <w:sz w:val="20"/>
                <w:lang w:val="de-CH"/>
              </w:rPr>
            </w:pPr>
            <w:r w:rsidRPr="00AF7DC6">
              <w:rPr>
                <w:rFonts w:eastAsiaTheme="minorHAnsi" w:cs="Arial"/>
                <w:sz w:val="20"/>
                <w:lang w:val="de-CH"/>
              </w:rPr>
              <w:t xml:space="preserve">Die Mitglieder des Kantonsrats, des Regierungsrats und der Gerichte können für ihre im Kantonsrat und seinen Organen gemachten Äusserungen </w:t>
            </w:r>
            <w:r w:rsidRPr="00AF7DC6">
              <w:rPr>
                <w:rFonts w:eastAsiaTheme="minorHAnsi" w:cs="Arial"/>
                <w:sz w:val="20"/>
                <w:u w:val="single"/>
                <w:lang w:val="de-CH"/>
              </w:rPr>
              <w:t>rechtlich nicht zur Verantwortung gezogen werden</w:t>
            </w:r>
            <w:r w:rsidRPr="00AF7DC6">
              <w:rPr>
                <w:rFonts w:eastAsiaTheme="minorHAnsi" w:cs="Arial"/>
                <w:sz w:val="20"/>
                <w:lang w:val="de-CH"/>
              </w:rPr>
              <w:t xml:space="preserve">. Sie sind dafür einzig dem Kantonsrat verantwortlich. </w:t>
            </w:r>
          </w:p>
          <w:p w:rsidR="005150BD" w:rsidRPr="00AF7DC6" w:rsidRDefault="005150BD" w:rsidP="0027376D">
            <w:pPr>
              <w:spacing w:before="120" w:after="120"/>
              <w:jc w:val="both"/>
              <w:rPr>
                <w:rFonts w:eastAsiaTheme="minorHAnsi" w:cs="Arial"/>
                <w:sz w:val="20"/>
                <w:lang w:val="de-CH"/>
              </w:rPr>
            </w:pPr>
            <w:r w:rsidRPr="00AF7DC6">
              <w:rPr>
                <w:rFonts w:eastAsiaTheme="minorHAnsi" w:cs="Arial"/>
                <w:sz w:val="20"/>
                <w:lang w:val="de-CH"/>
              </w:rPr>
              <w:t xml:space="preserve">Der Kantonsrat kann </w:t>
            </w:r>
            <w:r w:rsidRPr="00AF7DC6">
              <w:rPr>
                <w:rFonts w:eastAsiaTheme="minorHAnsi" w:cs="Arial"/>
                <w:sz w:val="20"/>
                <w:u w:val="single"/>
                <w:lang w:val="de-CH"/>
              </w:rPr>
              <w:t>mit Zustimmung von zwei Dritteln der anwesenden Ratsmitglieder die Immunität aufheben</w:t>
            </w:r>
            <w:r w:rsidRPr="00AF7DC6">
              <w:rPr>
                <w:rFonts w:eastAsiaTheme="minorHAnsi" w:cs="Arial"/>
                <w:sz w:val="20"/>
                <w:lang w:val="de-CH"/>
              </w:rPr>
              <w:t>, wenn sie offensichtlich missbraucht wird</w:t>
            </w:r>
            <w:r>
              <w:rPr>
                <w:rStyle w:val="Rimandonotaapidipagina"/>
                <w:rFonts w:eastAsiaTheme="minorHAnsi" w:cs="Arial"/>
                <w:sz w:val="20"/>
                <w:lang w:val="de-CH"/>
              </w:rPr>
              <w:footnoteReference w:id="29"/>
            </w:r>
            <w:r w:rsidRPr="00AF7DC6">
              <w:rPr>
                <w:rFonts w:eastAsiaTheme="minorHAnsi" w:cs="Arial"/>
                <w:sz w:val="20"/>
                <w:lang w:val="de-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r w:rsidRPr="00884967">
              <w:rPr>
                <w:rFonts w:ascii="Arial" w:hAnsi="Arial" w:cs="Arial"/>
                <w:b/>
                <w:lang w:val="fr-CH"/>
              </w:rPr>
              <w:t>San Gallo</w:t>
            </w:r>
          </w:p>
        </w:tc>
        <w:tc>
          <w:tcPr>
            <w:tcW w:w="4304" w:type="dxa"/>
          </w:tcPr>
          <w:p w:rsidR="005150BD" w:rsidRPr="00AF7DC6" w:rsidRDefault="005150BD" w:rsidP="0027376D">
            <w:pPr>
              <w:spacing w:before="120" w:after="120"/>
              <w:jc w:val="both"/>
              <w:rPr>
                <w:rFonts w:eastAsiaTheme="minorHAnsi" w:cs="Arial"/>
                <w:sz w:val="20"/>
                <w:lang w:val="de-CH"/>
              </w:rPr>
            </w:pPr>
            <w:r w:rsidRPr="00AF7DC6">
              <w:rPr>
                <w:rFonts w:eastAsiaTheme="minorHAnsi" w:cs="Arial"/>
                <w:sz w:val="20"/>
                <w:lang w:val="de-CH"/>
              </w:rPr>
              <w:t xml:space="preserve">Die Mitglieder des Kantonsrates und der Regierung können für Äusserungen in den Verhandlungen des Kantonsrates und seiner Organe </w:t>
            </w:r>
            <w:r w:rsidRPr="00AF7DC6">
              <w:rPr>
                <w:rFonts w:eastAsiaTheme="minorHAnsi" w:cs="Arial"/>
                <w:sz w:val="20"/>
                <w:u w:val="single"/>
                <w:lang w:val="de-CH"/>
              </w:rPr>
              <w:t>strafrechtlich nicht verfolgt werden</w:t>
            </w:r>
            <w:r w:rsidRPr="00AF7DC6">
              <w:rPr>
                <w:rFonts w:eastAsiaTheme="minorHAnsi" w:cs="Arial"/>
                <w:sz w:val="20"/>
                <w:lang w:val="de-CH"/>
              </w:rPr>
              <w:t>.</w:t>
            </w:r>
          </w:p>
          <w:p w:rsidR="005150BD" w:rsidRPr="00AF7DC6" w:rsidRDefault="005150BD" w:rsidP="0027376D">
            <w:pPr>
              <w:spacing w:before="120" w:after="120"/>
              <w:jc w:val="both"/>
              <w:rPr>
                <w:rFonts w:eastAsiaTheme="minorHAnsi" w:cs="Arial"/>
                <w:sz w:val="20"/>
                <w:lang w:val="de-CH"/>
              </w:rPr>
            </w:pPr>
            <w:r w:rsidRPr="00AF7DC6">
              <w:rPr>
                <w:rFonts w:eastAsiaTheme="minorHAnsi" w:cs="Arial"/>
                <w:sz w:val="20"/>
                <w:lang w:val="de-CH"/>
              </w:rPr>
              <w:t xml:space="preserve">Der Kantonsrat </w:t>
            </w:r>
            <w:r w:rsidRPr="00AF7DC6">
              <w:rPr>
                <w:rFonts w:eastAsiaTheme="minorHAnsi" w:cs="Arial"/>
                <w:sz w:val="20"/>
                <w:u w:val="single"/>
                <w:lang w:val="de-CH"/>
              </w:rPr>
              <w:t>kann die Immunität im Einzelfall aufheben, wenn sie offensichtlich missbraucht wird</w:t>
            </w:r>
            <w:r>
              <w:rPr>
                <w:rStyle w:val="Rimandonotaapidipagina"/>
                <w:rFonts w:eastAsiaTheme="minorHAnsi" w:cs="Arial"/>
                <w:sz w:val="20"/>
                <w:u w:val="single"/>
                <w:lang w:val="de-CH"/>
              </w:rPr>
              <w:footnoteReference w:id="30"/>
            </w:r>
            <w:r w:rsidRPr="00AF7DC6">
              <w:rPr>
                <w:rFonts w:eastAsiaTheme="minorHAnsi" w:cs="Arial"/>
                <w:sz w:val="20"/>
                <w:lang w:val="de-CH"/>
              </w:rPr>
              <w:t>.</w:t>
            </w:r>
          </w:p>
          <w:p w:rsidR="005150BD" w:rsidRPr="00AF7DC6" w:rsidRDefault="005150BD" w:rsidP="0027376D">
            <w:pPr>
              <w:spacing w:before="120" w:after="120"/>
              <w:jc w:val="both"/>
              <w:rPr>
                <w:rFonts w:eastAsiaTheme="minorHAnsi" w:cs="Arial"/>
                <w:sz w:val="20"/>
                <w:lang w:val="de-CH"/>
              </w:rPr>
            </w:pPr>
          </w:p>
        </w:tc>
        <w:tc>
          <w:tcPr>
            <w:tcW w:w="4485" w:type="dxa"/>
          </w:tcPr>
          <w:p w:rsidR="005150BD" w:rsidRPr="00AF7DC6" w:rsidRDefault="005150BD" w:rsidP="0027376D">
            <w:pPr>
              <w:spacing w:before="120" w:after="120"/>
              <w:jc w:val="both"/>
              <w:rPr>
                <w:rFonts w:eastAsiaTheme="minorHAnsi" w:cs="Arial"/>
                <w:sz w:val="20"/>
                <w:lang w:val="de-CH"/>
              </w:rPr>
            </w:pP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fr-CH"/>
              </w:rPr>
            </w:pPr>
            <w:proofErr w:type="spellStart"/>
            <w:r w:rsidRPr="00884967">
              <w:rPr>
                <w:rFonts w:ascii="Arial" w:hAnsi="Arial" w:cs="Arial"/>
                <w:b/>
                <w:lang w:val="fr-CH"/>
              </w:rPr>
              <w:lastRenderedPageBreak/>
              <w:t>Sciaffusa</w:t>
            </w:r>
            <w:proofErr w:type="spellEnd"/>
          </w:p>
        </w:tc>
        <w:tc>
          <w:tcPr>
            <w:tcW w:w="4304" w:type="dxa"/>
          </w:tcPr>
          <w:p w:rsidR="005150BD" w:rsidRPr="00423E97" w:rsidRDefault="005150BD" w:rsidP="00884967">
            <w:pPr>
              <w:spacing w:before="120" w:after="120"/>
              <w:jc w:val="both"/>
              <w:rPr>
                <w:rFonts w:eastAsiaTheme="minorHAnsi" w:cs="Arial"/>
                <w:sz w:val="20"/>
                <w:lang w:val="de-CH"/>
              </w:rPr>
            </w:pPr>
            <w:r w:rsidRPr="00423E97">
              <w:rPr>
                <w:rFonts w:eastAsiaTheme="minorHAnsi" w:cs="Arial"/>
                <w:sz w:val="20"/>
                <w:lang w:val="de-CH"/>
              </w:rPr>
              <w:t xml:space="preserve">Die Mitglieder des Kantonsrates sind in ihren parlamentarischen Äusserungen frei und können dafür </w:t>
            </w:r>
            <w:r w:rsidRPr="00423E97">
              <w:rPr>
                <w:rFonts w:eastAsiaTheme="minorHAnsi" w:cs="Arial"/>
                <w:sz w:val="20"/>
                <w:u w:val="single"/>
                <w:lang w:val="de-CH"/>
              </w:rPr>
              <w:t>nur in den gesetzlich vorgesehenen Fällen zur Verantwortung gezogen werden</w:t>
            </w:r>
            <w:r w:rsidRPr="00423E97">
              <w:rPr>
                <w:rFonts w:eastAsiaTheme="minorHAnsi" w:cs="Arial"/>
                <w:sz w:val="20"/>
                <w:lang w:val="de-CH"/>
              </w:rPr>
              <w:t xml:space="preserve">. </w:t>
            </w:r>
            <w:r w:rsidRPr="00423E97">
              <w:rPr>
                <w:rFonts w:eastAsiaTheme="minorHAnsi" w:cs="Arial"/>
                <w:sz w:val="20"/>
                <w:u w:val="single"/>
                <w:lang w:val="de-CH"/>
              </w:rPr>
              <w:t>Der Aufhebung der parlamentarischen Immunität müssen zwei Drittel der anwesenden Ratsmitglieder zustimmen</w:t>
            </w:r>
            <w:r>
              <w:rPr>
                <w:rStyle w:val="Rimandonotaapidipagina"/>
                <w:rFonts w:eastAsiaTheme="minorHAnsi" w:cs="Arial"/>
                <w:sz w:val="20"/>
                <w:u w:val="single"/>
                <w:lang w:val="de-CH"/>
              </w:rPr>
              <w:footnoteReference w:id="31"/>
            </w:r>
            <w:r w:rsidRPr="00423E97">
              <w:rPr>
                <w:rFonts w:eastAsiaTheme="minorHAnsi" w:cs="Arial"/>
                <w:sz w:val="20"/>
                <w:lang w:val="de-CH"/>
              </w:rPr>
              <w:t>.</w:t>
            </w:r>
          </w:p>
          <w:p w:rsidR="005150BD" w:rsidRPr="00423E97" w:rsidRDefault="005150BD" w:rsidP="00884967">
            <w:pPr>
              <w:spacing w:before="120" w:after="120"/>
              <w:jc w:val="both"/>
              <w:rPr>
                <w:rFonts w:eastAsiaTheme="minorHAnsi" w:cs="Arial"/>
                <w:sz w:val="20"/>
                <w:lang w:val="de-CH"/>
              </w:rPr>
            </w:pPr>
          </w:p>
        </w:tc>
        <w:tc>
          <w:tcPr>
            <w:tcW w:w="4485" w:type="dxa"/>
          </w:tcPr>
          <w:p w:rsidR="005150BD" w:rsidRPr="00423E97" w:rsidRDefault="005150BD" w:rsidP="00884967">
            <w:pPr>
              <w:spacing w:before="120" w:after="120"/>
              <w:jc w:val="both"/>
              <w:rPr>
                <w:rFonts w:eastAsiaTheme="minorHAnsi" w:cs="Arial"/>
                <w:sz w:val="20"/>
                <w:lang w:val="de-CH"/>
              </w:rPr>
            </w:pPr>
            <w:r w:rsidRPr="00423E97">
              <w:rPr>
                <w:rFonts w:eastAsiaTheme="minorHAnsi" w:cs="Arial"/>
                <w:sz w:val="20"/>
                <w:lang w:val="de-CH"/>
              </w:rPr>
              <w:t xml:space="preserve">Die Ratsmitglieder, die Mitglieder des Regierungsrates und des Obergerichtes sowie die Staatsschreiberin oder der Staatsschreiber sind für ihre Äusserungen im Kantonsrat und in dessen Kommissionen nur dem Kantonsrat verantwortlich. </w:t>
            </w:r>
            <w:r w:rsidRPr="00423E97">
              <w:rPr>
                <w:rFonts w:eastAsiaTheme="minorHAnsi" w:cs="Arial"/>
                <w:sz w:val="20"/>
                <w:u w:val="single"/>
                <w:lang w:val="de-CH"/>
              </w:rPr>
              <w:t>Sie dürfen für solche Äusserungen nur dann strafrechtlich verfolgt oder zivilrechtlich belangt werden, wenn der Kantonsrat mit Zweidrittelmehrheit der anwesenden Ratsmitglieder dazu die Bewilligung erteilt</w:t>
            </w:r>
            <w:r>
              <w:rPr>
                <w:rStyle w:val="Rimandonotaapidipagina"/>
                <w:rFonts w:eastAsiaTheme="minorHAnsi" w:cs="Arial"/>
                <w:sz w:val="20"/>
                <w:u w:val="single"/>
                <w:lang w:val="de-CH"/>
              </w:rPr>
              <w:footnoteReference w:id="32"/>
            </w:r>
            <w:r w:rsidRPr="00423E97">
              <w:rPr>
                <w:rFonts w:eastAsiaTheme="minorHAnsi" w:cs="Arial"/>
                <w:sz w:val="20"/>
                <w:lang w:val="de-CH"/>
              </w:rPr>
              <w:t>.</w:t>
            </w: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884967">
              <w:rPr>
                <w:rFonts w:ascii="Arial" w:hAnsi="Arial" w:cs="Arial"/>
                <w:b/>
                <w:lang w:val="de-CH"/>
              </w:rPr>
              <w:t>Soletta</w:t>
            </w:r>
            <w:proofErr w:type="spellEnd"/>
          </w:p>
        </w:tc>
        <w:tc>
          <w:tcPr>
            <w:tcW w:w="4304" w:type="dxa"/>
          </w:tcPr>
          <w:p w:rsidR="005150BD" w:rsidRPr="00423E97" w:rsidRDefault="005150BD" w:rsidP="00884967">
            <w:pPr>
              <w:spacing w:before="120" w:after="120"/>
              <w:jc w:val="both"/>
              <w:rPr>
                <w:rFonts w:eastAsiaTheme="minorHAnsi" w:cs="Arial"/>
                <w:sz w:val="20"/>
                <w:lang w:val="de-CH"/>
              </w:rPr>
            </w:pPr>
            <w:r w:rsidRPr="00423E97">
              <w:rPr>
                <w:rFonts w:eastAsiaTheme="minorHAnsi" w:cs="Arial"/>
                <w:sz w:val="20"/>
                <w:lang w:val="de-CH"/>
              </w:rPr>
              <w:t xml:space="preserve">Für Äusserungen im Kantonsrat und in seinen Kommissionen können die Mitglieder des Kantonsrates und des Regierungsrates </w:t>
            </w:r>
            <w:r w:rsidRPr="00423E97">
              <w:rPr>
                <w:rFonts w:eastAsiaTheme="minorHAnsi" w:cs="Arial"/>
                <w:sz w:val="20"/>
                <w:u w:val="single"/>
                <w:lang w:val="de-CH"/>
              </w:rPr>
              <w:t>rechtlich nicht verantwortlich gemacht werden</w:t>
            </w:r>
            <w:r w:rsidRPr="00423E97">
              <w:rPr>
                <w:rFonts w:eastAsiaTheme="minorHAnsi" w:cs="Arial"/>
                <w:sz w:val="20"/>
                <w:lang w:val="de-CH"/>
              </w:rPr>
              <w:t xml:space="preserve">. Der Kantonsrat kann jedoch </w:t>
            </w:r>
            <w:r w:rsidRPr="00423E97">
              <w:rPr>
                <w:rFonts w:eastAsiaTheme="minorHAnsi" w:cs="Arial"/>
                <w:sz w:val="20"/>
                <w:u w:val="single"/>
                <w:lang w:val="de-CH"/>
              </w:rPr>
              <w:t>mit der Zustimmung von zwei Dritteln der anwesenden Mitglieder die Immunität aufheben</w:t>
            </w:r>
            <w:r w:rsidRPr="00423E97">
              <w:rPr>
                <w:rFonts w:eastAsiaTheme="minorHAnsi" w:cs="Arial"/>
                <w:sz w:val="20"/>
                <w:lang w:val="de-CH"/>
              </w:rPr>
              <w:t>, wenn sie offensichtlich missbraucht wird</w:t>
            </w:r>
            <w:r w:rsidRPr="00423E97">
              <w:rPr>
                <w:rStyle w:val="Rimandonotaapidipagina"/>
                <w:rFonts w:eastAsiaTheme="minorHAnsi" w:cs="Arial"/>
                <w:sz w:val="20"/>
                <w:lang w:val="de-CH"/>
              </w:rPr>
              <w:footnoteReference w:id="33"/>
            </w:r>
            <w:r w:rsidRPr="00423E97">
              <w:rPr>
                <w:rFonts w:eastAsiaTheme="minorHAnsi" w:cs="Arial"/>
                <w:sz w:val="20"/>
                <w:lang w:val="de-CH"/>
              </w:rPr>
              <w:t>.</w:t>
            </w:r>
          </w:p>
          <w:p w:rsidR="005150BD" w:rsidRPr="00423E97" w:rsidRDefault="005150BD" w:rsidP="00884967">
            <w:pPr>
              <w:spacing w:before="120" w:after="120"/>
              <w:jc w:val="both"/>
              <w:rPr>
                <w:rFonts w:eastAsiaTheme="minorHAnsi" w:cs="Arial"/>
                <w:sz w:val="20"/>
                <w:lang w:val="de-CH"/>
              </w:rPr>
            </w:pPr>
          </w:p>
        </w:tc>
        <w:tc>
          <w:tcPr>
            <w:tcW w:w="4485" w:type="dxa"/>
          </w:tcPr>
          <w:p w:rsidR="005150BD" w:rsidRPr="00423E97" w:rsidRDefault="005150BD" w:rsidP="00884967">
            <w:pPr>
              <w:spacing w:before="120" w:after="120"/>
              <w:jc w:val="both"/>
              <w:rPr>
                <w:rFonts w:eastAsiaTheme="minorHAnsi" w:cs="Arial"/>
                <w:sz w:val="20"/>
                <w:lang w:val="de-CH"/>
              </w:rPr>
            </w:pP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884967">
              <w:rPr>
                <w:rFonts w:ascii="Arial" w:hAnsi="Arial" w:cs="Arial"/>
                <w:b/>
                <w:lang w:val="de-CH"/>
              </w:rPr>
              <w:t>Svitto</w:t>
            </w:r>
            <w:proofErr w:type="spellEnd"/>
          </w:p>
        </w:tc>
        <w:tc>
          <w:tcPr>
            <w:tcW w:w="4304" w:type="dxa"/>
          </w:tcPr>
          <w:p w:rsidR="005150BD" w:rsidRPr="00423E97" w:rsidRDefault="005150BD" w:rsidP="00884967">
            <w:pPr>
              <w:spacing w:before="120" w:after="120"/>
              <w:jc w:val="both"/>
              <w:rPr>
                <w:rFonts w:eastAsiaTheme="minorHAnsi" w:cs="Arial"/>
                <w:sz w:val="20"/>
                <w:lang w:val="de-CH"/>
              </w:rPr>
            </w:pPr>
          </w:p>
        </w:tc>
        <w:tc>
          <w:tcPr>
            <w:tcW w:w="4485" w:type="dxa"/>
          </w:tcPr>
          <w:p w:rsidR="005150BD" w:rsidRPr="00423E97" w:rsidRDefault="005150BD" w:rsidP="00884967">
            <w:pPr>
              <w:spacing w:before="120" w:after="120"/>
              <w:jc w:val="both"/>
              <w:rPr>
                <w:rFonts w:eastAsiaTheme="minorHAnsi" w:cs="Arial"/>
                <w:sz w:val="20"/>
                <w:lang w:val="de-CH"/>
              </w:rPr>
            </w:pPr>
            <w:r w:rsidRPr="00423E97">
              <w:rPr>
                <w:rFonts w:eastAsiaTheme="minorHAnsi" w:cs="Arial"/>
                <w:sz w:val="20"/>
                <w:lang w:val="de-CH"/>
              </w:rPr>
              <w:t xml:space="preserve">Die Mitglieder des Kantonsrates, des Regierungsrates und des Kantons- und des Verwaltungsgerichts </w:t>
            </w:r>
            <w:r w:rsidRPr="00423E97">
              <w:rPr>
                <w:rFonts w:eastAsiaTheme="minorHAnsi" w:cs="Arial"/>
                <w:sz w:val="20"/>
                <w:u w:val="single"/>
                <w:lang w:val="de-CH"/>
              </w:rPr>
              <w:t>können wegen mündlicher oder schriftlicher Äusserungen in den Verhandlungen des Kantonsrates und seiner Kommissionen rechtlich nicht zur Verantwortung gezogen werden</w:t>
            </w:r>
            <w:r w:rsidRPr="00423E97">
              <w:rPr>
                <w:rFonts w:eastAsiaTheme="minorHAnsi" w:cs="Arial"/>
                <w:sz w:val="20"/>
                <w:lang w:val="de-CH"/>
              </w:rPr>
              <w:t xml:space="preserve">. Der Kantonsrat </w:t>
            </w:r>
            <w:r w:rsidRPr="00423E97">
              <w:rPr>
                <w:rFonts w:eastAsiaTheme="minorHAnsi" w:cs="Arial"/>
                <w:sz w:val="20"/>
                <w:u w:val="single"/>
                <w:lang w:val="de-CH"/>
              </w:rPr>
              <w:t>kann die Immunität aufheben</w:t>
            </w:r>
            <w:r w:rsidRPr="00423E97">
              <w:rPr>
                <w:rFonts w:eastAsiaTheme="minorHAnsi" w:cs="Arial"/>
                <w:sz w:val="20"/>
                <w:lang w:val="de-CH"/>
              </w:rPr>
              <w:t>, wenn sie missbraucht wird</w:t>
            </w:r>
            <w:r>
              <w:rPr>
                <w:rStyle w:val="Rimandonotaapidipagina"/>
                <w:rFonts w:eastAsiaTheme="minorHAnsi" w:cs="Arial"/>
                <w:sz w:val="20"/>
                <w:lang w:val="de-CH"/>
              </w:rPr>
              <w:footnoteReference w:id="34"/>
            </w:r>
            <w:r w:rsidRPr="00423E97">
              <w:rPr>
                <w:rFonts w:eastAsiaTheme="minorHAnsi" w:cs="Arial"/>
                <w:sz w:val="20"/>
                <w:lang w:val="de-CH"/>
              </w:rPr>
              <w:t>.</w:t>
            </w: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color w:val="auto"/>
                <w:lang w:val="de-CH"/>
              </w:rPr>
            </w:pPr>
            <w:proofErr w:type="spellStart"/>
            <w:r w:rsidRPr="00884967">
              <w:rPr>
                <w:rFonts w:ascii="Arial" w:hAnsi="Arial" w:cs="Arial"/>
                <w:b/>
                <w:color w:val="auto"/>
                <w:lang w:val="de-CH"/>
              </w:rPr>
              <w:t>Turgovia</w:t>
            </w:r>
            <w:proofErr w:type="spellEnd"/>
          </w:p>
        </w:tc>
        <w:tc>
          <w:tcPr>
            <w:tcW w:w="4304" w:type="dxa"/>
          </w:tcPr>
          <w:p w:rsidR="005150BD" w:rsidRPr="001E2A6B" w:rsidRDefault="005150BD" w:rsidP="00884967">
            <w:pPr>
              <w:spacing w:before="120" w:after="120"/>
              <w:jc w:val="both"/>
              <w:rPr>
                <w:rFonts w:eastAsiaTheme="minorHAnsi" w:cs="Arial"/>
                <w:sz w:val="20"/>
                <w:lang w:val="de-CH"/>
              </w:rPr>
            </w:pPr>
            <w:r w:rsidRPr="001E2A6B">
              <w:rPr>
                <w:rFonts w:eastAsiaTheme="minorHAnsi" w:cs="Arial"/>
                <w:sz w:val="20"/>
                <w:lang w:val="de-CH"/>
              </w:rPr>
              <w:t xml:space="preserve">Die Mitglieder üben ihr Mandat frei aus. </w:t>
            </w:r>
            <w:r w:rsidRPr="001E2A6B">
              <w:rPr>
                <w:rFonts w:eastAsiaTheme="minorHAnsi" w:cs="Arial"/>
                <w:sz w:val="20"/>
                <w:u w:val="single"/>
                <w:lang w:val="de-CH"/>
              </w:rPr>
              <w:t>Sie können für Äusserungen im Rat und in dessen Kommissionen nicht belangt werden</w:t>
            </w:r>
            <w:r>
              <w:rPr>
                <w:rStyle w:val="Rimandonotaapidipagina"/>
                <w:rFonts w:eastAsiaTheme="minorHAnsi" w:cs="Arial"/>
                <w:sz w:val="20"/>
                <w:lang w:val="de-CH"/>
              </w:rPr>
              <w:footnoteReference w:id="35"/>
            </w:r>
            <w:r w:rsidRPr="001E2A6B">
              <w:rPr>
                <w:rFonts w:eastAsiaTheme="minorHAnsi" w:cs="Arial"/>
                <w:sz w:val="20"/>
                <w:lang w:val="de-CH"/>
              </w:rPr>
              <w:t>.</w:t>
            </w:r>
          </w:p>
          <w:p w:rsidR="005150BD" w:rsidRPr="001E2A6B" w:rsidRDefault="005150BD" w:rsidP="00884967">
            <w:pPr>
              <w:spacing w:before="120" w:after="120"/>
              <w:jc w:val="both"/>
              <w:rPr>
                <w:rFonts w:eastAsiaTheme="minorHAnsi" w:cs="Arial"/>
                <w:sz w:val="20"/>
                <w:lang w:val="de-CH"/>
              </w:rPr>
            </w:pPr>
          </w:p>
        </w:tc>
        <w:tc>
          <w:tcPr>
            <w:tcW w:w="4485" w:type="dxa"/>
          </w:tcPr>
          <w:p w:rsidR="005150BD" w:rsidRPr="001E2A6B" w:rsidRDefault="005150BD" w:rsidP="00884967">
            <w:pPr>
              <w:spacing w:before="120" w:after="120"/>
              <w:jc w:val="both"/>
              <w:rPr>
                <w:rFonts w:eastAsiaTheme="minorHAnsi" w:cs="Arial"/>
                <w:sz w:val="20"/>
                <w:lang w:val="de-CH"/>
              </w:rPr>
            </w:pP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color w:val="auto"/>
                <w:lang w:val="de-CH"/>
              </w:rPr>
            </w:pPr>
            <w:r w:rsidRPr="00884967">
              <w:rPr>
                <w:rFonts w:ascii="Arial" w:hAnsi="Arial" w:cs="Arial"/>
                <w:b/>
                <w:color w:val="auto"/>
                <w:lang w:val="de-CH"/>
              </w:rPr>
              <w:t>Uri</w:t>
            </w:r>
          </w:p>
        </w:tc>
        <w:tc>
          <w:tcPr>
            <w:tcW w:w="4304" w:type="dxa"/>
          </w:tcPr>
          <w:p w:rsidR="005150BD" w:rsidRPr="001E2A6B" w:rsidRDefault="005150BD" w:rsidP="00884967">
            <w:pPr>
              <w:spacing w:before="120" w:after="120"/>
              <w:jc w:val="both"/>
              <w:rPr>
                <w:rFonts w:eastAsiaTheme="minorHAnsi" w:cs="Arial"/>
                <w:sz w:val="20"/>
                <w:lang w:val="de-CH"/>
              </w:rPr>
            </w:pPr>
          </w:p>
        </w:tc>
        <w:tc>
          <w:tcPr>
            <w:tcW w:w="4485" w:type="dxa"/>
          </w:tcPr>
          <w:p w:rsidR="005150BD" w:rsidRPr="001E2A6B" w:rsidRDefault="005150BD" w:rsidP="00884967">
            <w:pPr>
              <w:spacing w:before="120" w:after="120"/>
              <w:jc w:val="both"/>
              <w:rPr>
                <w:rFonts w:eastAsiaTheme="minorHAnsi" w:cs="Arial"/>
                <w:sz w:val="20"/>
                <w:lang w:val="de-CH"/>
              </w:rPr>
            </w:pPr>
            <w:r w:rsidRPr="001E2A6B">
              <w:rPr>
                <w:rFonts w:eastAsiaTheme="minorHAnsi" w:cs="Arial"/>
                <w:sz w:val="20"/>
                <w:lang w:val="de-CH"/>
              </w:rPr>
              <w:t xml:space="preserve">Die Mitglieder des Landrats und des Regierungsrats sind für ihre Äusserungen bei den Ratssitzungen niemandem verantwortlich als dem Landrat selbst. </w:t>
            </w:r>
          </w:p>
          <w:p w:rsidR="005150BD" w:rsidRPr="001E2A6B" w:rsidRDefault="005150BD" w:rsidP="00884967">
            <w:pPr>
              <w:spacing w:before="120" w:after="120"/>
              <w:jc w:val="both"/>
              <w:rPr>
                <w:rFonts w:eastAsiaTheme="minorHAnsi" w:cs="Arial"/>
                <w:sz w:val="20"/>
                <w:lang w:val="de-CH"/>
              </w:rPr>
            </w:pPr>
            <w:r w:rsidRPr="00462A5C">
              <w:rPr>
                <w:rFonts w:eastAsiaTheme="minorHAnsi" w:cs="Arial"/>
                <w:sz w:val="20"/>
                <w:u w:val="single"/>
                <w:lang w:val="de-CH"/>
              </w:rPr>
              <w:t>Sie dürfen wegen solchen Äusserungen nur dann gerichtlich verfolgt werden, wenn der Rat die Ermächtigung hierzu erteilt</w:t>
            </w:r>
            <w:r>
              <w:rPr>
                <w:rStyle w:val="Rimandonotaapidipagina"/>
                <w:rFonts w:eastAsiaTheme="minorHAnsi" w:cs="Arial"/>
                <w:sz w:val="20"/>
                <w:lang w:val="de-CH"/>
              </w:rPr>
              <w:footnoteReference w:id="36"/>
            </w:r>
            <w:r w:rsidRPr="001E2A6B">
              <w:rPr>
                <w:rFonts w:eastAsiaTheme="minorHAnsi" w:cs="Arial"/>
                <w:sz w:val="20"/>
                <w:lang w:val="de-CH"/>
              </w:rPr>
              <w:t>.</w:t>
            </w:r>
          </w:p>
        </w:tc>
      </w:tr>
      <w:tr w:rsidR="005150BD" w:rsidRPr="005150BD" w:rsidTr="0027376D">
        <w:trPr>
          <w:cantSplit/>
        </w:trPr>
        <w:tc>
          <w:tcPr>
            <w:tcW w:w="1276" w:type="dxa"/>
          </w:tcPr>
          <w:p w:rsidR="005150BD" w:rsidRPr="00884967" w:rsidRDefault="005150BD" w:rsidP="00884967">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lang w:val="de-CH"/>
              </w:rPr>
            </w:pPr>
            <w:proofErr w:type="spellStart"/>
            <w:r w:rsidRPr="00884967">
              <w:rPr>
                <w:rFonts w:ascii="Arial" w:hAnsi="Arial" w:cs="Arial"/>
                <w:b/>
                <w:lang w:val="de-CH"/>
              </w:rPr>
              <w:lastRenderedPageBreak/>
              <w:t>Vaud</w:t>
            </w:r>
            <w:proofErr w:type="spellEnd"/>
          </w:p>
        </w:tc>
        <w:tc>
          <w:tcPr>
            <w:tcW w:w="4304" w:type="dxa"/>
          </w:tcPr>
          <w:p w:rsidR="005150BD" w:rsidRPr="001E2A6B" w:rsidRDefault="005150BD" w:rsidP="00884967">
            <w:pPr>
              <w:spacing w:before="120" w:after="120"/>
              <w:jc w:val="both"/>
              <w:rPr>
                <w:rFonts w:eastAsiaTheme="minorHAnsi" w:cs="Arial"/>
                <w:sz w:val="20"/>
                <w:lang w:val="fr-CH"/>
              </w:rPr>
            </w:pPr>
            <w:r w:rsidRPr="001E2A6B">
              <w:rPr>
                <w:rFonts w:eastAsiaTheme="minorHAnsi" w:cs="Arial"/>
                <w:sz w:val="20"/>
                <w:lang w:val="fr-CH"/>
              </w:rPr>
              <w:t xml:space="preserve">Les membres du Grand Conseil </w:t>
            </w:r>
            <w:r w:rsidRPr="001E2A6B">
              <w:rPr>
                <w:rFonts w:eastAsiaTheme="minorHAnsi" w:cs="Arial"/>
                <w:sz w:val="20"/>
                <w:u w:val="single"/>
                <w:lang w:val="fr-CH"/>
              </w:rPr>
              <w:t>s'expriment librement</w:t>
            </w:r>
            <w:r w:rsidRPr="001E2A6B">
              <w:rPr>
                <w:rFonts w:eastAsiaTheme="minorHAnsi" w:cs="Arial"/>
                <w:sz w:val="20"/>
                <w:lang w:val="fr-CH"/>
              </w:rPr>
              <w:t xml:space="preserve"> au sein de celui-ci ou devant ses organes. Ils ne peuvent être poursuivis pour leurs déclarations que dans les formes prévues par la loi</w:t>
            </w:r>
            <w:r>
              <w:rPr>
                <w:rStyle w:val="Rimandonotaapidipagina"/>
                <w:rFonts w:eastAsiaTheme="minorHAnsi" w:cs="Arial"/>
                <w:sz w:val="20"/>
                <w:lang w:val="fr-CH"/>
              </w:rPr>
              <w:footnoteReference w:id="37"/>
            </w:r>
            <w:r w:rsidRPr="001E2A6B">
              <w:rPr>
                <w:rFonts w:eastAsiaTheme="minorHAnsi" w:cs="Arial"/>
                <w:sz w:val="20"/>
                <w:lang w:val="fr-CH"/>
              </w:rPr>
              <w:t>.</w:t>
            </w:r>
          </w:p>
          <w:p w:rsidR="005150BD" w:rsidRPr="001E2A6B" w:rsidRDefault="005150BD" w:rsidP="00884967">
            <w:pPr>
              <w:spacing w:before="120" w:after="120"/>
              <w:jc w:val="both"/>
              <w:rPr>
                <w:rFonts w:eastAsiaTheme="minorHAnsi" w:cs="Arial"/>
                <w:sz w:val="20"/>
                <w:lang w:val="fr-CH"/>
              </w:rPr>
            </w:pPr>
          </w:p>
        </w:tc>
        <w:tc>
          <w:tcPr>
            <w:tcW w:w="4485" w:type="dxa"/>
          </w:tcPr>
          <w:p w:rsidR="005150BD" w:rsidRPr="001E2A6B" w:rsidRDefault="005150BD" w:rsidP="00884967">
            <w:pPr>
              <w:spacing w:before="120" w:after="120"/>
              <w:jc w:val="both"/>
              <w:rPr>
                <w:rFonts w:eastAsiaTheme="minorHAnsi" w:cs="Arial"/>
                <w:sz w:val="20"/>
                <w:lang w:val="fr-CH"/>
              </w:rPr>
            </w:pPr>
            <w:r w:rsidRPr="001E2A6B">
              <w:rPr>
                <w:rFonts w:eastAsiaTheme="minorHAnsi" w:cs="Arial"/>
                <w:sz w:val="20"/>
                <w:lang w:val="fr-CH"/>
              </w:rPr>
              <w:t>Les conseillers d'Etat et les députés du Grand Conseil ne peuvent être traduits devant les tribunaux à raison des déclarations qu'ils font ou des opinions qu'ils manifestent devant le Grand Conseil, son Bureau ou l'une de ses commissions.</w:t>
            </w:r>
          </w:p>
          <w:p w:rsidR="005150BD" w:rsidRPr="001E2A6B" w:rsidRDefault="005150BD" w:rsidP="00884967">
            <w:pPr>
              <w:spacing w:before="120" w:after="120"/>
              <w:jc w:val="both"/>
              <w:rPr>
                <w:rFonts w:eastAsiaTheme="minorHAnsi" w:cs="Arial"/>
                <w:sz w:val="20"/>
                <w:lang w:val="fr-CH"/>
              </w:rPr>
            </w:pPr>
            <w:r w:rsidRPr="001E2A6B">
              <w:rPr>
                <w:rFonts w:eastAsiaTheme="minorHAnsi" w:cs="Arial"/>
                <w:sz w:val="20"/>
                <w:lang w:val="fr-CH"/>
              </w:rPr>
              <w:t xml:space="preserve">Le conseiller d'Etat ou le député concerné peut </w:t>
            </w:r>
            <w:r w:rsidRPr="00547F6B">
              <w:rPr>
                <w:rFonts w:eastAsiaTheme="minorHAnsi" w:cs="Arial"/>
                <w:sz w:val="20"/>
                <w:u w:val="single"/>
                <w:lang w:val="fr-CH"/>
              </w:rPr>
              <w:t>renoncer en tout temps à son immunité</w:t>
            </w:r>
            <w:r w:rsidRPr="001E2A6B">
              <w:rPr>
                <w:rFonts w:eastAsiaTheme="minorHAnsi" w:cs="Arial"/>
                <w:sz w:val="20"/>
                <w:lang w:val="fr-CH"/>
              </w:rPr>
              <w:t>.</w:t>
            </w:r>
          </w:p>
          <w:p w:rsidR="005150BD" w:rsidRPr="001E2A6B" w:rsidRDefault="005150BD" w:rsidP="00884967">
            <w:pPr>
              <w:spacing w:before="120" w:after="120"/>
              <w:jc w:val="both"/>
              <w:rPr>
                <w:rFonts w:eastAsiaTheme="minorHAnsi" w:cs="Arial"/>
                <w:sz w:val="20"/>
                <w:lang w:val="fr-CH"/>
              </w:rPr>
            </w:pPr>
            <w:r w:rsidRPr="001E2A6B">
              <w:rPr>
                <w:rFonts w:eastAsiaTheme="minorHAnsi" w:cs="Arial"/>
                <w:sz w:val="20"/>
                <w:lang w:val="fr-CH"/>
              </w:rPr>
              <w:t xml:space="preserve">A la demande du procureur général, </w:t>
            </w:r>
            <w:r w:rsidRPr="00547F6B">
              <w:rPr>
                <w:rFonts w:eastAsiaTheme="minorHAnsi" w:cs="Arial"/>
                <w:sz w:val="20"/>
                <w:u w:val="single"/>
                <w:lang w:val="fr-CH"/>
              </w:rPr>
              <w:t>l'immunité des membres du Conseil d'Etat ou des députés du Grand Conseil peut aussi être levée par une décision du Grand Conseil</w:t>
            </w:r>
            <w:r>
              <w:rPr>
                <w:rFonts w:eastAsiaTheme="minorHAnsi" w:cs="Arial"/>
                <w:sz w:val="20"/>
                <w:lang w:val="fr-CH"/>
              </w:rPr>
              <w:t>, sur préavis du Bureau</w:t>
            </w:r>
            <w:r>
              <w:rPr>
                <w:rStyle w:val="Rimandonotaapidipagina"/>
                <w:rFonts w:eastAsiaTheme="minorHAnsi" w:cs="Arial"/>
                <w:sz w:val="20"/>
                <w:lang w:val="fr-CH"/>
              </w:rPr>
              <w:footnoteReference w:id="38"/>
            </w:r>
            <w:r w:rsidRPr="001E2A6B">
              <w:rPr>
                <w:rFonts w:eastAsiaTheme="minorHAnsi" w:cs="Arial"/>
                <w:sz w:val="20"/>
                <w:lang w:val="fr-CH"/>
              </w:rPr>
              <w:t>.</w:t>
            </w: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fr-CH"/>
              </w:rPr>
            </w:pPr>
            <w:proofErr w:type="spellStart"/>
            <w:r w:rsidRPr="00884967">
              <w:rPr>
                <w:rFonts w:ascii="Arial" w:hAnsi="Arial" w:cs="Arial"/>
                <w:b/>
                <w:lang w:val="fr-CH"/>
              </w:rPr>
              <w:t>Vallese</w:t>
            </w:r>
            <w:proofErr w:type="spellEnd"/>
          </w:p>
        </w:tc>
        <w:tc>
          <w:tcPr>
            <w:tcW w:w="4304" w:type="dxa"/>
          </w:tcPr>
          <w:p w:rsidR="005150BD" w:rsidRPr="00547F6B" w:rsidRDefault="005150BD" w:rsidP="0027376D">
            <w:pPr>
              <w:jc w:val="both"/>
              <w:rPr>
                <w:rFonts w:eastAsiaTheme="minorHAnsi" w:cs="Arial"/>
                <w:sz w:val="20"/>
                <w:lang w:val="fr-CH"/>
              </w:rPr>
            </w:pPr>
            <w:r w:rsidRPr="00547F6B">
              <w:rPr>
                <w:rFonts w:eastAsiaTheme="minorHAnsi" w:cs="Arial"/>
                <w:sz w:val="20"/>
                <w:lang w:val="fr-CH"/>
              </w:rPr>
              <w:t xml:space="preserve">Les députés </w:t>
            </w:r>
            <w:r w:rsidRPr="00547F6B">
              <w:rPr>
                <w:rFonts w:eastAsiaTheme="minorHAnsi" w:cs="Arial"/>
                <w:sz w:val="20"/>
                <w:u w:val="single"/>
                <w:lang w:val="fr-CH"/>
              </w:rPr>
              <w:t>ne peuvent être poursuivis pénalement sans autorisation de l'assemblée</w:t>
            </w:r>
            <w:r w:rsidRPr="00547F6B">
              <w:rPr>
                <w:rFonts w:eastAsiaTheme="minorHAnsi" w:cs="Arial"/>
                <w:sz w:val="20"/>
                <w:lang w:val="fr-CH"/>
              </w:rPr>
              <w:t xml:space="preserve"> pour les propos qu'ils tiennent devant elle ou en commission.</w:t>
            </w:r>
          </w:p>
          <w:p w:rsidR="005150BD" w:rsidRPr="00547F6B" w:rsidRDefault="005150BD" w:rsidP="0027376D">
            <w:pPr>
              <w:jc w:val="both"/>
              <w:rPr>
                <w:rFonts w:eastAsiaTheme="minorHAnsi" w:cs="Arial"/>
                <w:sz w:val="20"/>
                <w:lang w:val="fr-CH"/>
              </w:rPr>
            </w:pPr>
            <w:r w:rsidRPr="00547F6B">
              <w:rPr>
                <w:rFonts w:eastAsiaTheme="minorHAnsi" w:cs="Arial"/>
                <w:sz w:val="20"/>
                <w:lang w:val="fr-CH"/>
              </w:rPr>
              <w:t>Sauf en cas de flagrant délit, ils ne peuvent être arrêtés pendant les sessions sans autorisation de l'assemblée</w:t>
            </w:r>
            <w:r>
              <w:rPr>
                <w:rStyle w:val="Rimandonotaapidipagina"/>
                <w:rFonts w:eastAsiaTheme="minorHAnsi" w:cs="Arial"/>
                <w:sz w:val="20"/>
                <w:lang w:val="fr-CH"/>
              </w:rPr>
              <w:footnoteReference w:id="39"/>
            </w:r>
            <w:r w:rsidRPr="00547F6B">
              <w:rPr>
                <w:rFonts w:eastAsiaTheme="minorHAnsi" w:cs="Arial"/>
                <w:sz w:val="20"/>
                <w:lang w:val="fr-CH"/>
              </w:rPr>
              <w:t>.</w:t>
            </w:r>
          </w:p>
          <w:p w:rsidR="005150BD" w:rsidRPr="00547F6B" w:rsidRDefault="005150BD" w:rsidP="0027376D">
            <w:pPr>
              <w:jc w:val="both"/>
              <w:rPr>
                <w:rFonts w:eastAsiaTheme="minorHAnsi" w:cs="Arial"/>
                <w:sz w:val="20"/>
                <w:lang w:val="fr-CH"/>
              </w:rPr>
            </w:pPr>
          </w:p>
        </w:tc>
        <w:tc>
          <w:tcPr>
            <w:tcW w:w="4485" w:type="dxa"/>
          </w:tcPr>
          <w:p w:rsidR="005150BD" w:rsidRPr="00547F6B" w:rsidRDefault="005150BD" w:rsidP="0027376D">
            <w:pPr>
              <w:jc w:val="both"/>
              <w:rPr>
                <w:rFonts w:eastAsiaTheme="minorHAnsi" w:cs="Arial"/>
                <w:sz w:val="20"/>
                <w:lang w:val="fr-CH"/>
              </w:rPr>
            </w:pPr>
            <w:r w:rsidRPr="00547F6B">
              <w:rPr>
                <w:rFonts w:eastAsiaTheme="minorHAnsi" w:cs="Arial"/>
                <w:sz w:val="20"/>
                <w:lang w:val="fr-CH"/>
              </w:rPr>
              <w:t xml:space="preserve">La </w:t>
            </w:r>
            <w:r w:rsidRPr="00547F6B">
              <w:rPr>
                <w:rFonts w:eastAsiaTheme="minorHAnsi" w:cs="Arial"/>
                <w:sz w:val="20"/>
                <w:u w:val="single"/>
                <w:lang w:val="fr-CH"/>
              </w:rPr>
              <w:t>levée de l'immunité</w:t>
            </w:r>
            <w:r w:rsidRPr="00547F6B">
              <w:rPr>
                <w:rFonts w:eastAsiaTheme="minorHAnsi" w:cs="Arial"/>
                <w:sz w:val="20"/>
                <w:lang w:val="fr-CH"/>
              </w:rPr>
              <w:t xml:space="preserve"> est régie comme il suit:</w:t>
            </w:r>
          </w:p>
          <w:p w:rsidR="005150BD" w:rsidRPr="00547F6B" w:rsidRDefault="005150BD" w:rsidP="0027376D">
            <w:pPr>
              <w:jc w:val="both"/>
              <w:rPr>
                <w:rFonts w:eastAsiaTheme="minorHAnsi" w:cs="Arial"/>
                <w:sz w:val="20"/>
                <w:lang w:val="fr-CH"/>
              </w:rPr>
            </w:pPr>
            <w:r w:rsidRPr="00547F6B">
              <w:rPr>
                <w:rFonts w:eastAsiaTheme="minorHAnsi" w:cs="Arial"/>
                <w:sz w:val="20"/>
                <w:lang w:val="fr-CH"/>
              </w:rPr>
              <w:t>a) seule l'autorité saisie de la plainte ou de l'affaire peut demander au Grand Conseil la levée de l'immunité;</w:t>
            </w:r>
          </w:p>
          <w:p w:rsidR="005150BD" w:rsidRPr="00547F6B" w:rsidRDefault="005150BD" w:rsidP="0027376D">
            <w:pPr>
              <w:jc w:val="both"/>
              <w:rPr>
                <w:rFonts w:eastAsiaTheme="minorHAnsi" w:cs="Arial"/>
                <w:sz w:val="20"/>
                <w:lang w:val="fr-CH"/>
              </w:rPr>
            </w:pPr>
            <w:r w:rsidRPr="00547F6B">
              <w:rPr>
                <w:rFonts w:eastAsiaTheme="minorHAnsi" w:cs="Arial"/>
                <w:sz w:val="20"/>
                <w:lang w:val="fr-CH"/>
              </w:rPr>
              <w:t>b) la décision du Grand Conseil est précédée d'un rapport de la commission de justice; celle-ci entend l'intéressé et, le cas échéant, le plaignant;</w:t>
            </w:r>
          </w:p>
          <w:p w:rsidR="005150BD" w:rsidRPr="00547F6B" w:rsidRDefault="005150BD" w:rsidP="0027376D">
            <w:pPr>
              <w:jc w:val="both"/>
              <w:rPr>
                <w:rFonts w:eastAsiaTheme="minorHAnsi" w:cs="Arial"/>
                <w:sz w:val="20"/>
                <w:lang w:val="fr-CH"/>
              </w:rPr>
            </w:pPr>
            <w:r w:rsidRPr="00547F6B">
              <w:rPr>
                <w:rFonts w:eastAsiaTheme="minorHAnsi" w:cs="Arial"/>
                <w:sz w:val="20"/>
                <w:lang w:val="fr-CH"/>
              </w:rPr>
              <w:t xml:space="preserve">c) le Grand Conseil prend la décision de levée de l'immunité </w:t>
            </w:r>
            <w:r w:rsidRPr="00547F6B">
              <w:rPr>
                <w:rFonts w:eastAsiaTheme="minorHAnsi" w:cs="Arial"/>
                <w:sz w:val="20"/>
                <w:u w:val="single"/>
                <w:lang w:val="fr-CH"/>
              </w:rPr>
              <w:t>à la majorité des deux tiers des bulletins valables</w:t>
            </w:r>
            <w:r>
              <w:rPr>
                <w:rStyle w:val="Rimandonotaapidipagina"/>
                <w:rFonts w:eastAsiaTheme="minorHAnsi" w:cs="Arial"/>
                <w:sz w:val="20"/>
                <w:lang w:val="fr-CH"/>
              </w:rPr>
              <w:footnoteReference w:id="40"/>
            </w:r>
            <w:r w:rsidRPr="00547F6B">
              <w:rPr>
                <w:rFonts w:eastAsiaTheme="minorHAnsi" w:cs="Arial"/>
                <w:sz w:val="20"/>
                <w:lang w:val="fr-CH"/>
              </w:rPr>
              <w:t>.</w:t>
            </w:r>
          </w:p>
          <w:p w:rsidR="005150BD" w:rsidRPr="00547F6B" w:rsidRDefault="005150BD" w:rsidP="0027376D">
            <w:pPr>
              <w:jc w:val="both"/>
              <w:rPr>
                <w:rFonts w:eastAsiaTheme="minorHAnsi" w:cs="Arial"/>
                <w:sz w:val="20"/>
                <w:lang w:val="fr-CH"/>
              </w:rPr>
            </w:pP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fr-CH"/>
              </w:rPr>
            </w:pPr>
            <w:proofErr w:type="spellStart"/>
            <w:r w:rsidRPr="00884967">
              <w:rPr>
                <w:rFonts w:ascii="Arial" w:hAnsi="Arial" w:cs="Arial"/>
                <w:b/>
                <w:lang w:val="fr-CH"/>
              </w:rPr>
              <w:t>Zugo</w:t>
            </w:r>
            <w:proofErr w:type="spellEnd"/>
          </w:p>
        </w:tc>
        <w:tc>
          <w:tcPr>
            <w:tcW w:w="4304" w:type="dxa"/>
          </w:tcPr>
          <w:p w:rsidR="005150BD" w:rsidRPr="00315FB3" w:rsidRDefault="005150BD" w:rsidP="0027376D">
            <w:pPr>
              <w:jc w:val="both"/>
              <w:rPr>
                <w:rFonts w:eastAsiaTheme="minorHAnsi" w:cs="Arial"/>
                <w:sz w:val="20"/>
                <w:lang w:val="de-CH"/>
              </w:rPr>
            </w:pPr>
            <w:r w:rsidRPr="00315FB3">
              <w:rPr>
                <w:rFonts w:eastAsiaTheme="minorHAnsi" w:cs="Arial"/>
                <w:sz w:val="20"/>
                <w:lang w:val="de-CH"/>
              </w:rPr>
              <w:t xml:space="preserve">Die Mitglieder des Kantonsrates, des Regierungsrates, des Obergerichtes und des Verwaltungsgerichtes können wegen mündlicher oder schriftlicher Äusserungen in den Verhandlungen des Kantonsrates und seiner Kommissionen rechtlich nicht zur Verantwortung gezogen werden. </w:t>
            </w:r>
          </w:p>
          <w:p w:rsidR="005150BD" w:rsidRPr="00315FB3" w:rsidRDefault="005150BD" w:rsidP="0027376D">
            <w:pPr>
              <w:jc w:val="both"/>
              <w:rPr>
                <w:rFonts w:eastAsiaTheme="minorHAnsi" w:cs="Arial"/>
                <w:sz w:val="20"/>
                <w:lang w:val="de-CH"/>
              </w:rPr>
            </w:pPr>
            <w:r w:rsidRPr="00315FB3">
              <w:rPr>
                <w:rFonts w:eastAsiaTheme="minorHAnsi" w:cs="Arial"/>
                <w:sz w:val="20"/>
                <w:lang w:val="de-CH"/>
              </w:rPr>
              <w:t>Der Kantonsrat kann die Immunität aufheben, wenn sie missbraucht wird</w:t>
            </w:r>
            <w:r>
              <w:rPr>
                <w:rStyle w:val="Rimandonotaapidipagina"/>
                <w:rFonts w:eastAsiaTheme="minorHAnsi" w:cs="Arial"/>
                <w:sz w:val="20"/>
                <w:lang w:val="de-CH"/>
              </w:rPr>
              <w:footnoteReference w:id="41"/>
            </w:r>
            <w:r w:rsidRPr="00315FB3">
              <w:rPr>
                <w:rFonts w:eastAsiaTheme="minorHAnsi" w:cs="Arial"/>
                <w:sz w:val="20"/>
                <w:lang w:val="de-CH"/>
              </w:rPr>
              <w:t>.</w:t>
            </w:r>
          </w:p>
          <w:p w:rsidR="005150BD" w:rsidRPr="00315FB3" w:rsidRDefault="005150BD" w:rsidP="0027376D">
            <w:pPr>
              <w:jc w:val="both"/>
              <w:rPr>
                <w:rFonts w:eastAsiaTheme="minorHAnsi" w:cs="Arial"/>
                <w:sz w:val="20"/>
                <w:lang w:val="de-CH"/>
              </w:rPr>
            </w:pPr>
          </w:p>
        </w:tc>
        <w:tc>
          <w:tcPr>
            <w:tcW w:w="4485" w:type="dxa"/>
          </w:tcPr>
          <w:p w:rsidR="005150BD" w:rsidRPr="00315FB3" w:rsidRDefault="005150BD" w:rsidP="0027376D">
            <w:pPr>
              <w:jc w:val="both"/>
              <w:rPr>
                <w:rFonts w:eastAsiaTheme="minorHAnsi" w:cs="Arial"/>
                <w:sz w:val="20"/>
                <w:lang w:val="de-CH"/>
              </w:rPr>
            </w:pPr>
            <w:r w:rsidRPr="00315FB3">
              <w:rPr>
                <w:rFonts w:eastAsiaTheme="minorHAnsi" w:cs="Arial"/>
                <w:sz w:val="20"/>
                <w:lang w:val="de-CH"/>
              </w:rPr>
              <w:t>Die Mitglieder des Kantonsrates können wegen mündlicher oder schriftlicher Äusserungen in den Verhandlungen des Kantonsrates und seiner Kommissionen rechtlich nicht zur Verantwortung gezogen werden. Den selben Schutz geniessen die Mitglieder des Regierungsrates für Äusserungen in Ausübung ihres Amtes. Der Kantonsrat kann die Immunität aufheben, wenn sie missbraucht wird</w:t>
            </w:r>
            <w:r>
              <w:rPr>
                <w:rStyle w:val="Rimandonotaapidipagina"/>
                <w:rFonts w:eastAsiaTheme="minorHAnsi" w:cs="Arial"/>
                <w:sz w:val="20"/>
                <w:lang w:val="de-CH"/>
              </w:rPr>
              <w:footnoteReference w:id="42"/>
            </w:r>
            <w:r w:rsidRPr="00315FB3">
              <w:rPr>
                <w:rFonts w:eastAsiaTheme="minorHAnsi" w:cs="Arial"/>
                <w:sz w:val="20"/>
                <w:lang w:val="de-CH"/>
              </w:rPr>
              <w:t>.</w:t>
            </w:r>
          </w:p>
          <w:p w:rsidR="005150BD" w:rsidRPr="00315FB3" w:rsidRDefault="005150BD" w:rsidP="0027376D">
            <w:pPr>
              <w:jc w:val="both"/>
              <w:rPr>
                <w:rFonts w:eastAsiaTheme="minorHAnsi" w:cs="Arial"/>
                <w:sz w:val="20"/>
                <w:lang w:val="de-CH"/>
              </w:rPr>
            </w:pPr>
          </w:p>
        </w:tc>
      </w:tr>
      <w:tr w:rsidR="005150BD" w:rsidRPr="005150BD" w:rsidTr="0027376D">
        <w:trPr>
          <w:cantSplit/>
        </w:trPr>
        <w:tc>
          <w:tcPr>
            <w:tcW w:w="1276" w:type="dxa"/>
          </w:tcPr>
          <w:p w:rsidR="005150BD" w:rsidRPr="00884967" w:rsidRDefault="005150BD" w:rsidP="0027376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fr-CH"/>
              </w:rPr>
            </w:pPr>
            <w:proofErr w:type="spellStart"/>
            <w:r w:rsidRPr="00884967">
              <w:rPr>
                <w:rFonts w:ascii="Arial" w:hAnsi="Arial" w:cs="Arial"/>
                <w:b/>
                <w:lang w:val="fr-CH"/>
              </w:rPr>
              <w:t>Zurigo</w:t>
            </w:r>
            <w:proofErr w:type="spellEnd"/>
          </w:p>
        </w:tc>
        <w:tc>
          <w:tcPr>
            <w:tcW w:w="4304" w:type="dxa"/>
          </w:tcPr>
          <w:p w:rsidR="005150BD" w:rsidRPr="00315FB3" w:rsidRDefault="005150BD" w:rsidP="0027376D">
            <w:pPr>
              <w:jc w:val="both"/>
              <w:rPr>
                <w:rFonts w:eastAsiaTheme="minorHAnsi" w:cs="Arial"/>
                <w:sz w:val="20"/>
                <w:lang w:val="de-CH"/>
              </w:rPr>
            </w:pPr>
            <w:r w:rsidRPr="00315FB3">
              <w:rPr>
                <w:rFonts w:eastAsiaTheme="minorHAnsi" w:cs="Arial"/>
                <w:sz w:val="20"/>
                <w:lang w:val="de-CH"/>
              </w:rPr>
              <w:t xml:space="preserve">Die Mitglieder des Kantonsrates und des Regierungsrates äussern sich im Kantonsrat frei und </w:t>
            </w:r>
            <w:r w:rsidRPr="00462A5C">
              <w:rPr>
                <w:rFonts w:eastAsiaTheme="minorHAnsi" w:cs="Arial"/>
                <w:sz w:val="20"/>
                <w:u w:val="single"/>
                <w:lang w:val="de-CH"/>
              </w:rPr>
              <w:t>können dafür nicht belangt werden</w:t>
            </w:r>
            <w:r w:rsidRPr="00315FB3">
              <w:rPr>
                <w:rFonts w:eastAsiaTheme="minorHAnsi" w:cs="Arial"/>
                <w:sz w:val="20"/>
                <w:lang w:val="de-CH"/>
              </w:rPr>
              <w:t>.</w:t>
            </w:r>
          </w:p>
          <w:p w:rsidR="005150BD" w:rsidRPr="00315FB3" w:rsidRDefault="005150BD" w:rsidP="0027376D">
            <w:pPr>
              <w:jc w:val="both"/>
              <w:rPr>
                <w:rFonts w:eastAsiaTheme="minorHAnsi" w:cs="Arial"/>
                <w:sz w:val="20"/>
                <w:lang w:val="de-CH"/>
              </w:rPr>
            </w:pPr>
            <w:r w:rsidRPr="00315FB3">
              <w:rPr>
                <w:rFonts w:eastAsiaTheme="minorHAnsi" w:cs="Arial"/>
                <w:sz w:val="20"/>
                <w:lang w:val="de-CH"/>
              </w:rPr>
              <w:t xml:space="preserve">Der Kantonsrat </w:t>
            </w:r>
            <w:r w:rsidRPr="00462A5C">
              <w:rPr>
                <w:rFonts w:eastAsiaTheme="minorHAnsi" w:cs="Arial"/>
                <w:sz w:val="20"/>
                <w:u w:val="single"/>
                <w:lang w:val="de-CH"/>
              </w:rPr>
              <w:t>kann die Immunität mit Zustimmung von zwei Dritteln der anwesenden Mitglieder aufheben</w:t>
            </w:r>
            <w:r>
              <w:rPr>
                <w:rStyle w:val="Rimandonotaapidipagina"/>
                <w:rFonts w:eastAsiaTheme="minorHAnsi" w:cs="Arial"/>
                <w:sz w:val="20"/>
                <w:lang w:val="de-CH"/>
              </w:rPr>
              <w:footnoteReference w:id="43"/>
            </w:r>
            <w:r w:rsidRPr="00315FB3">
              <w:rPr>
                <w:rFonts w:eastAsiaTheme="minorHAnsi" w:cs="Arial"/>
                <w:sz w:val="20"/>
                <w:lang w:val="de-CH"/>
              </w:rPr>
              <w:t>.</w:t>
            </w:r>
          </w:p>
          <w:p w:rsidR="005150BD" w:rsidRPr="00315FB3" w:rsidRDefault="005150BD" w:rsidP="0027376D">
            <w:pPr>
              <w:jc w:val="both"/>
              <w:rPr>
                <w:rFonts w:eastAsiaTheme="minorHAnsi" w:cs="Arial"/>
                <w:sz w:val="20"/>
                <w:lang w:val="de-CH"/>
              </w:rPr>
            </w:pPr>
          </w:p>
        </w:tc>
        <w:tc>
          <w:tcPr>
            <w:tcW w:w="4485" w:type="dxa"/>
          </w:tcPr>
          <w:p w:rsidR="005150BD" w:rsidRPr="00315FB3" w:rsidRDefault="005150BD" w:rsidP="0027376D">
            <w:pPr>
              <w:jc w:val="both"/>
              <w:rPr>
                <w:rFonts w:eastAsiaTheme="minorHAnsi" w:cs="Arial"/>
                <w:sz w:val="20"/>
                <w:lang w:val="de-CH"/>
              </w:rPr>
            </w:pPr>
            <w:r w:rsidRPr="00315FB3">
              <w:rPr>
                <w:rFonts w:eastAsiaTheme="minorHAnsi" w:cs="Arial"/>
                <w:sz w:val="20"/>
                <w:lang w:val="de-CH"/>
              </w:rPr>
              <w:t xml:space="preserve">1 Wegen Äusserungen in den Verhandlungen des Rates, der Geschäftsleitung oder einer Kommission kann eine Strafuntersuchung gegen Mitglieder des Kantonsrates oder des Regierungsrates </w:t>
            </w:r>
            <w:r w:rsidRPr="00462A5C">
              <w:rPr>
                <w:rFonts w:eastAsiaTheme="minorHAnsi" w:cs="Arial"/>
                <w:sz w:val="20"/>
                <w:u w:val="single"/>
                <w:lang w:val="de-CH"/>
              </w:rPr>
              <w:t>nur eröffnet werden, wenn der Kantonsrat mit einer Mehrheit von zwei Dritteln der anwesenden Mitglieder die Immunität aufgehoben hat</w:t>
            </w:r>
            <w:r>
              <w:rPr>
                <w:rStyle w:val="Rimandonotaapidipagina"/>
                <w:rFonts w:eastAsiaTheme="minorHAnsi" w:cs="Arial"/>
                <w:sz w:val="20"/>
                <w:lang w:val="de-CH"/>
              </w:rPr>
              <w:footnoteReference w:id="44"/>
            </w:r>
            <w:r w:rsidRPr="00315FB3">
              <w:rPr>
                <w:rFonts w:eastAsiaTheme="minorHAnsi" w:cs="Arial"/>
                <w:sz w:val="20"/>
                <w:lang w:val="de-CH"/>
              </w:rPr>
              <w:t>.</w:t>
            </w:r>
          </w:p>
          <w:p w:rsidR="005150BD" w:rsidRPr="00315FB3" w:rsidRDefault="005150BD" w:rsidP="0027376D">
            <w:pPr>
              <w:jc w:val="both"/>
              <w:rPr>
                <w:rFonts w:eastAsiaTheme="minorHAnsi" w:cs="Arial"/>
                <w:sz w:val="20"/>
                <w:lang w:val="de-CH"/>
              </w:rPr>
            </w:pPr>
          </w:p>
        </w:tc>
      </w:tr>
    </w:tbl>
    <w:p w:rsidR="005150BD" w:rsidRPr="003824D8" w:rsidRDefault="005150BD" w:rsidP="005150BD">
      <w:pPr>
        <w:pStyle w:val="Corpo"/>
        <w:jc w:val="both"/>
        <w:rPr>
          <w:rFonts w:ascii="Arial" w:hAnsi="Arial" w:cs="Arial"/>
          <w:sz w:val="24"/>
          <w:szCs w:val="24"/>
          <w:lang w:val="de-CH"/>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Dalla lettura delle regolamentazioni cantonali dell’immunità, emerge come </w:t>
      </w:r>
      <w:r w:rsidRPr="003824D8">
        <w:rPr>
          <w:rFonts w:ascii="Arial" w:hAnsi="Arial" w:cs="Arial"/>
          <w:sz w:val="24"/>
          <w:szCs w:val="24"/>
          <w:u w:val="single"/>
          <w:lang w:val="it-CH"/>
        </w:rPr>
        <w:t>gli altri Cantoni prevedono un’immunità più ampia di quella prevista nel nostro Cantone</w:t>
      </w:r>
      <w:r w:rsidRPr="003824D8">
        <w:rPr>
          <w:rFonts w:ascii="Arial" w:hAnsi="Arial" w:cs="Arial"/>
          <w:sz w:val="24"/>
          <w:szCs w:val="24"/>
          <w:lang w:val="it-CH"/>
        </w:rPr>
        <w:t>. Infatti, l’immunità copre qualsiasi tipo di espressione. Unicamente il nostro Cantone limita l’immunità alle espressioni diffamatorie. La procedura di revoca è simile in tutti i Cantoni.</w:t>
      </w:r>
    </w:p>
    <w:p w:rsidR="005150BD" w:rsidRPr="003824D8" w:rsidRDefault="005150BD" w:rsidP="005150BD">
      <w:pPr>
        <w:pStyle w:val="Titolo1"/>
        <w:numPr>
          <w:ilvl w:val="0"/>
          <w:numId w:val="0"/>
        </w:numPr>
        <w:ind w:left="567" w:hanging="567"/>
      </w:pPr>
      <w:bookmarkStart w:id="11" w:name="_Toc463535731"/>
      <w:bookmarkStart w:id="12" w:name="_Toc470705140"/>
      <w:r w:rsidRPr="003824D8">
        <w:lastRenderedPageBreak/>
        <w:t>VI.</w:t>
      </w:r>
      <w:r w:rsidRPr="003824D8">
        <w:tab/>
        <w:t>L’IMMUNITÀ NELL’ASSEMBLEA FEDERALE</w:t>
      </w:r>
      <w:bookmarkEnd w:id="11"/>
      <w:bookmarkEnd w:id="12"/>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I membri dell’Assemblea federale godono di un’immunità quasi assoluta (art. 162 </w:t>
      </w:r>
      <w:proofErr w:type="spellStart"/>
      <w:r w:rsidRPr="003824D8">
        <w:rPr>
          <w:rFonts w:ascii="Arial" w:hAnsi="Arial" w:cs="Arial"/>
          <w:sz w:val="24"/>
          <w:szCs w:val="24"/>
          <w:lang w:val="it-CH"/>
        </w:rPr>
        <w:t>Cost</w:t>
      </w:r>
      <w:proofErr w:type="spellEnd"/>
      <w:r w:rsidRPr="003824D8">
        <w:rPr>
          <w:rFonts w:ascii="Arial" w:hAnsi="Arial" w:cs="Arial"/>
          <w:sz w:val="24"/>
          <w:szCs w:val="24"/>
          <w:lang w:val="it-CH"/>
        </w:rPr>
        <w:t xml:space="preserve">. federale e art. 16 </w:t>
      </w:r>
      <w:proofErr w:type="spellStart"/>
      <w:r w:rsidRPr="003824D8">
        <w:rPr>
          <w:rFonts w:ascii="Arial" w:hAnsi="Arial" w:cs="Arial"/>
          <w:sz w:val="24"/>
          <w:szCs w:val="24"/>
          <w:lang w:val="it-CH"/>
        </w:rPr>
        <w:t>LParl</w:t>
      </w:r>
      <w:proofErr w:type="spellEnd"/>
      <w:r w:rsidRPr="003824D8">
        <w:rPr>
          <w:rFonts w:ascii="Arial" w:hAnsi="Arial" w:cs="Arial"/>
          <w:sz w:val="24"/>
          <w:szCs w:val="24"/>
          <w:lang w:val="it-CH"/>
        </w:rPr>
        <w:t xml:space="preserve">). I deputati possono essere sottoposti a procedimento penale per delle espressioni usate nelle Camere e negli organi del Parlamento solo seguendo una procedura piuttosto complessa di revoca dell’immunità </w:t>
      </w:r>
      <w:r>
        <w:rPr>
          <w:rFonts w:ascii="Arial" w:hAnsi="Arial" w:cs="Arial"/>
          <w:sz w:val="24"/>
          <w:szCs w:val="24"/>
          <w:lang w:val="it-CH"/>
        </w:rPr>
        <w:t xml:space="preserve">(art. 17 </w:t>
      </w:r>
      <w:proofErr w:type="spellStart"/>
      <w:r>
        <w:rPr>
          <w:rFonts w:ascii="Arial" w:hAnsi="Arial" w:cs="Arial"/>
          <w:sz w:val="24"/>
          <w:szCs w:val="24"/>
          <w:lang w:val="it-CH"/>
        </w:rPr>
        <w:t>LParl</w:t>
      </w:r>
      <w:proofErr w:type="spellEnd"/>
      <w:r>
        <w:rPr>
          <w:rFonts w:ascii="Arial" w:hAnsi="Arial" w:cs="Arial"/>
          <w:sz w:val="24"/>
          <w:szCs w:val="24"/>
          <w:lang w:val="it-CH"/>
        </w:rPr>
        <w:t>).</w:t>
      </w:r>
    </w:p>
    <w:p w:rsidR="005150BD" w:rsidRPr="003824D8" w:rsidRDefault="005150BD" w:rsidP="005150BD">
      <w:pPr>
        <w:pStyle w:val="Corpo"/>
        <w:jc w:val="both"/>
        <w:rPr>
          <w:rFonts w:ascii="Arial" w:hAnsi="Arial" w:cs="Arial"/>
          <w:color w:val="auto"/>
          <w:sz w:val="24"/>
          <w:szCs w:val="24"/>
          <w:lang w:val="it-CH"/>
        </w:rPr>
      </w:pPr>
    </w:p>
    <w:p w:rsidR="005150BD" w:rsidRPr="0027376D" w:rsidRDefault="005150BD" w:rsidP="005150BD">
      <w:pPr>
        <w:pStyle w:val="NormaleWeb"/>
        <w:spacing w:after="0"/>
        <w:jc w:val="both"/>
        <w:rPr>
          <w:rFonts w:ascii="Arial" w:hAnsi="Arial" w:cs="Arial"/>
          <w:i/>
          <w:sz w:val="22"/>
          <w:szCs w:val="22"/>
          <w:lang w:val="it-IT"/>
        </w:rPr>
      </w:pPr>
      <w:r w:rsidRPr="0027376D">
        <w:rPr>
          <w:rFonts w:ascii="Arial" w:hAnsi="Arial" w:cs="Arial"/>
          <w:i/>
          <w:sz w:val="22"/>
          <w:szCs w:val="22"/>
          <w:vertAlign w:val="superscript"/>
          <w:lang w:val="it-IT"/>
        </w:rPr>
        <w:t>1</w:t>
      </w:r>
      <w:r w:rsidRPr="0027376D">
        <w:rPr>
          <w:rFonts w:ascii="Arial" w:hAnsi="Arial" w:cs="Arial"/>
          <w:i/>
          <w:sz w:val="22"/>
          <w:szCs w:val="22"/>
          <w:lang w:val="it-IT"/>
        </w:rPr>
        <w:t xml:space="preserve">I membri dell'Assemblea federale e del Consiglio federale nonché il cancelliere della Confederazione </w:t>
      </w:r>
      <w:r w:rsidRPr="0027376D">
        <w:rPr>
          <w:rFonts w:ascii="Arial" w:hAnsi="Arial" w:cs="Arial"/>
          <w:i/>
          <w:sz w:val="22"/>
          <w:szCs w:val="22"/>
          <w:u w:val="single"/>
          <w:lang w:val="it-IT"/>
        </w:rPr>
        <w:t>non incorrono giuridicamente in alcuna responsabilità</w:t>
      </w:r>
      <w:r w:rsidRPr="0027376D">
        <w:rPr>
          <w:rFonts w:ascii="Arial" w:hAnsi="Arial" w:cs="Arial"/>
          <w:i/>
          <w:sz w:val="22"/>
          <w:szCs w:val="22"/>
          <w:lang w:val="it-IT"/>
        </w:rPr>
        <w:t xml:space="preserve"> per quanto da loro espresso nelle Camere e negli organi parlamentari.</w:t>
      </w:r>
      <w:bookmarkStart w:id="13" w:name="2"/>
    </w:p>
    <w:p w:rsidR="005150BD" w:rsidRPr="0027376D" w:rsidRDefault="005150BD" w:rsidP="00952F3C">
      <w:pPr>
        <w:pStyle w:val="NormaleWeb"/>
        <w:spacing w:before="60" w:after="0"/>
        <w:jc w:val="both"/>
        <w:rPr>
          <w:rFonts w:ascii="Arial" w:hAnsi="Arial" w:cs="Arial"/>
          <w:i/>
          <w:sz w:val="22"/>
          <w:szCs w:val="22"/>
          <w:lang w:val="it-IT"/>
        </w:rPr>
      </w:pPr>
      <w:r w:rsidRPr="0027376D">
        <w:rPr>
          <w:rFonts w:ascii="Arial" w:hAnsi="Arial" w:cs="Arial"/>
          <w:i/>
          <w:sz w:val="22"/>
          <w:szCs w:val="22"/>
          <w:vertAlign w:val="superscript"/>
          <w:lang w:val="it-IT"/>
        </w:rPr>
        <w:t>2</w:t>
      </w:r>
      <w:bookmarkEnd w:id="13"/>
      <w:r w:rsidRPr="0027376D">
        <w:rPr>
          <w:rFonts w:ascii="Arial" w:hAnsi="Arial" w:cs="Arial"/>
          <w:i/>
          <w:sz w:val="22"/>
          <w:szCs w:val="22"/>
          <w:lang w:val="it-IT"/>
        </w:rPr>
        <w:t xml:space="preserve">La legge può prevedere altri tipi d'immunità ed estenderla ad altre persone (art. 162 </w:t>
      </w:r>
      <w:proofErr w:type="spellStart"/>
      <w:r w:rsidRPr="0027376D">
        <w:rPr>
          <w:rFonts w:ascii="Arial" w:hAnsi="Arial" w:cs="Arial"/>
          <w:i/>
          <w:sz w:val="22"/>
          <w:szCs w:val="22"/>
          <w:lang w:val="it-IT"/>
        </w:rPr>
        <w:t>Cost</w:t>
      </w:r>
      <w:proofErr w:type="spellEnd"/>
      <w:r w:rsidRPr="0027376D">
        <w:rPr>
          <w:rFonts w:ascii="Arial" w:hAnsi="Arial" w:cs="Arial"/>
          <w:i/>
          <w:sz w:val="22"/>
          <w:szCs w:val="22"/>
          <w:lang w:val="it-IT"/>
        </w:rPr>
        <w:t>.)</w:t>
      </w:r>
    </w:p>
    <w:p w:rsidR="005150BD" w:rsidRPr="0027376D" w:rsidRDefault="005150BD" w:rsidP="005150BD">
      <w:pPr>
        <w:pStyle w:val="Corpo"/>
        <w:jc w:val="both"/>
        <w:rPr>
          <w:rFonts w:ascii="Arial" w:hAnsi="Arial" w:cs="Arial"/>
          <w:i/>
          <w:color w:val="auto"/>
          <w:lang w:val="it-IT"/>
        </w:rPr>
      </w:pPr>
    </w:p>
    <w:p w:rsidR="005150BD" w:rsidRPr="0027376D" w:rsidRDefault="005150BD" w:rsidP="005150BD">
      <w:pPr>
        <w:rPr>
          <w:rFonts w:eastAsia="Times New Roman" w:cs="Arial"/>
          <w:i/>
          <w:sz w:val="22"/>
          <w:lang w:val="it-IT" w:eastAsia="it-CH"/>
        </w:rPr>
      </w:pPr>
      <w:r w:rsidRPr="0027376D">
        <w:rPr>
          <w:rFonts w:eastAsia="Times New Roman" w:cs="Arial"/>
          <w:i/>
          <w:sz w:val="22"/>
          <w:lang w:val="it-IT" w:eastAsia="it-CH"/>
        </w:rPr>
        <w:t xml:space="preserve">I parlamentari </w:t>
      </w:r>
      <w:r w:rsidRPr="0027376D">
        <w:rPr>
          <w:rFonts w:eastAsia="Times New Roman" w:cs="Arial"/>
          <w:i/>
          <w:sz w:val="22"/>
          <w:u w:val="single"/>
          <w:lang w:val="it-IT" w:eastAsia="it-CH"/>
        </w:rPr>
        <w:t>non possono essere chiamati a rispondere in giudizio</w:t>
      </w:r>
      <w:r w:rsidRPr="0027376D">
        <w:rPr>
          <w:rFonts w:eastAsia="Times New Roman" w:cs="Arial"/>
          <w:i/>
          <w:sz w:val="22"/>
          <w:lang w:val="it-IT" w:eastAsia="it-CH"/>
        </w:rPr>
        <w:t xml:space="preserve"> per quanto da loro espresso nelle Camere e negli organi del Parlamento (art. 16 </w:t>
      </w:r>
      <w:proofErr w:type="spellStart"/>
      <w:r w:rsidRPr="0027376D">
        <w:rPr>
          <w:rFonts w:eastAsia="Times New Roman" w:cs="Arial"/>
          <w:i/>
          <w:sz w:val="22"/>
          <w:lang w:val="it-IT" w:eastAsia="it-CH"/>
        </w:rPr>
        <w:t>LParl</w:t>
      </w:r>
      <w:proofErr w:type="spellEnd"/>
      <w:r w:rsidRPr="0027376D">
        <w:rPr>
          <w:rFonts w:eastAsia="Times New Roman" w:cs="Arial"/>
          <w:i/>
          <w:sz w:val="22"/>
          <w:lang w:val="it-IT" w:eastAsia="it-CH"/>
        </w:rPr>
        <w:t>).</w:t>
      </w:r>
    </w:p>
    <w:p w:rsidR="005150BD" w:rsidRPr="0027376D" w:rsidRDefault="005150BD" w:rsidP="005150BD">
      <w:pPr>
        <w:rPr>
          <w:rFonts w:eastAsia="Times New Roman" w:cs="Arial"/>
          <w:i/>
          <w:sz w:val="22"/>
          <w:lang w:val="it-IT" w:eastAsia="it-CH"/>
        </w:rPr>
      </w:pPr>
    </w:p>
    <w:p w:rsidR="005150BD" w:rsidRPr="0027376D" w:rsidRDefault="005150BD" w:rsidP="005150BD">
      <w:pPr>
        <w:rPr>
          <w:rFonts w:eastAsia="Times New Roman" w:cs="Arial"/>
          <w:i/>
          <w:sz w:val="22"/>
          <w:lang w:val="it-IT" w:eastAsia="it-CH"/>
        </w:rPr>
      </w:pPr>
      <w:bookmarkStart w:id="14" w:name="a17"/>
      <w:bookmarkEnd w:id="14"/>
      <w:r w:rsidRPr="0027376D">
        <w:rPr>
          <w:rFonts w:eastAsia="Times New Roman" w:cs="Arial"/>
          <w:i/>
          <w:sz w:val="22"/>
          <w:vertAlign w:val="superscript"/>
          <w:lang w:val="it-IT" w:eastAsia="it-CH"/>
        </w:rPr>
        <w:t>1</w:t>
      </w:r>
      <w:r w:rsidRPr="0027376D">
        <w:rPr>
          <w:rFonts w:eastAsia="Times New Roman" w:cs="Arial"/>
          <w:i/>
          <w:sz w:val="22"/>
          <w:lang w:val="it-IT" w:eastAsia="it-CH"/>
        </w:rPr>
        <w:t xml:space="preserve">Contro un parlamentare </w:t>
      </w:r>
      <w:r w:rsidRPr="0027376D">
        <w:rPr>
          <w:rFonts w:eastAsia="Times New Roman" w:cs="Arial"/>
          <w:i/>
          <w:sz w:val="22"/>
          <w:u w:val="single"/>
          <w:lang w:val="it-IT" w:eastAsia="it-CH"/>
        </w:rPr>
        <w:t>non può essere promosso alcun procedimento penale</w:t>
      </w:r>
      <w:r w:rsidRPr="0027376D">
        <w:rPr>
          <w:rFonts w:eastAsia="Times New Roman" w:cs="Arial"/>
          <w:i/>
          <w:sz w:val="22"/>
          <w:lang w:val="it-IT" w:eastAsia="it-CH"/>
        </w:rPr>
        <w:t xml:space="preserve"> per un reato direttamente connesso con la sua condizione o attività ufficiale, se non con </w:t>
      </w:r>
      <w:r w:rsidRPr="0027376D">
        <w:rPr>
          <w:rFonts w:eastAsia="Times New Roman" w:cs="Arial"/>
          <w:i/>
          <w:sz w:val="22"/>
          <w:u w:val="single"/>
          <w:lang w:val="it-IT" w:eastAsia="it-CH"/>
        </w:rPr>
        <w:t>l'autorizzazione delle commissioni competenti di ambo le Camere</w:t>
      </w:r>
      <w:r w:rsidRPr="0027376D">
        <w:rPr>
          <w:rFonts w:eastAsia="Times New Roman" w:cs="Arial"/>
          <w:i/>
          <w:sz w:val="22"/>
          <w:lang w:val="it-IT" w:eastAsia="it-CH"/>
        </w:rPr>
        <w:t>. Il regolamento di ciascuna Camera designa la commissione competente.</w:t>
      </w:r>
    </w:p>
    <w:p w:rsidR="005150BD" w:rsidRPr="00952F3C" w:rsidRDefault="005150BD" w:rsidP="00952F3C">
      <w:pPr>
        <w:pStyle w:val="NormaleWeb"/>
        <w:spacing w:before="60" w:after="0"/>
        <w:jc w:val="both"/>
        <w:rPr>
          <w:rFonts w:ascii="Arial" w:hAnsi="Arial" w:cs="Arial"/>
          <w:i/>
          <w:sz w:val="22"/>
          <w:szCs w:val="22"/>
          <w:lang w:val="it-IT"/>
        </w:rPr>
      </w:pPr>
      <w:r w:rsidRPr="00952F3C">
        <w:rPr>
          <w:rFonts w:ascii="Arial" w:hAnsi="Arial" w:cs="Arial"/>
          <w:i/>
          <w:sz w:val="22"/>
          <w:szCs w:val="22"/>
          <w:vertAlign w:val="superscript"/>
          <w:lang w:val="it-IT"/>
        </w:rPr>
        <w:t>2</w:t>
      </w:r>
      <w:r w:rsidRPr="00952F3C">
        <w:rPr>
          <w:rFonts w:ascii="Arial" w:hAnsi="Arial" w:cs="Arial"/>
          <w:i/>
          <w:sz w:val="22"/>
          <w:szCs w:val="22"/>
          <w:lang w:val="it-IT"/>
        </w:rPr>
        <w:t>Se sembra giustificato dalle circostanze del caso, le commissioni competenti possono affidare alle autorità penali della Confederazione il perseguimento e il giudizio di un reato sottostante alla giurisdizione cantonale.</w:t>
      </w:r>
    </w:p>
    <w:p w:rsidR="005150BD" w:rsidRPr="00952F3C" w:rsidRDefault="005150BD" w:rsidP="00952F3C">
      <w:pPr>
        <w:pStyle w:val="NormaleWeb"/>
        <w:spacing w:before="60" w:after="0"/>
        <w:jc w:val="both"/>
        <w:rPr>
          <w:rFonts w:ascii="Arial" w:hAnsi="Arial" w:cs="Arial"/>
          <w:i/>
          <w:sz w:val="22"/>
          <w:szCs w:val="22"/>
          <w:lang w:val="it-IT"/>
        </w:rPr>
      </w:pPr>
      <w:r w:rsidRPr="00952F3C">
        <w:rPr>
          <w:rFonts w:ascii="Arial" w:hAnsi="Arial" w:cs="Arial"/>
          <w:i/>
          <w:sz w:val="22"/>
          <w:szCs w:val="22"/>
          <w:vertAlign w:val="superscript"/>
          <w:lang w:val="it-IT"/>
        </w:rPr>
        <w:t>3</w:t>
      </w:r>
      <w:r w:rsidRPr="00952F3C">
        <w:rPr>
          <w:rFonts w:ascii="Arial" w:hAnsi="Arial" w:cs="Arial"/>
          <w:i/>
          <w:sz w:val="22"/>
          <w:szCs w:val="22"/>
          <w:lang w:val="it-IT"/>
        </w:rPr>
        <w:t>L'Assemblea federale plenaria può eleggere un procuratore generale straordinario della Confederazione.</w:t>
      </w:r>
    </w:p>
    <w:p w:rsidR="005150BD" w:rsidRPr="00952F3C" w:rsidRDefault="005150BD" w:rsidP="00952F3C">
      <w:pPr>
        <w:pStyle w:val="NormaleWeb"/>
        <w:spacing w:before="60" w:after="0"/>
        <w:jc w:val="both"/>
        <w:rPr>
          <w:rFonts w:ascii="Arial" w:hAnsi="Arial" w:cs="Arial"/>
          <w:i/>
          <w:sz w:val="22"/>
          <w:szCs w:val="22"/>
          <w:lang w:val="it-IT"/>
        </w:rPr>
      </w:pPr>
      <w:r w:rsidRPr="00952F3C">
        <w:rPr>
          <w:rFonts w:ascii="Arial" w:hAnsi="Arial" w:cs="Arial"/>
          <w:i/>
          <w:sz w:val="22"/>
          <w:szCs w:val="22"/>
          <w:vertAlign w:val="superscript"/>
          <w:lang w:val="it-IT"/>
        </w:rPr>
        <w:t>4</w:t>
      </w:r>
      <w:r w:rsidRPr="00952F3C">
        <w:rPr>
          <w:rFonts w:ascii="Arial" w:hAnsi="Arial" w:cs="Arial"/>
          <w:i/>
          <w:sz w:val="22"/>
          <w:szCs w:val="22"/>
          <w:lang w:val="it-IT"/>
        </w:rPr>
        <w:t xml:space="preserve">Le richieste manifestamente insostenibili possono essere direttamente liquidate, di comune intesa, dai presidenti delle commissioni competenti (art. 17 </w:t>
      </w:r>
      <w:proofErr w:type="spellStart"/>
      <w:r w:rsidRPr="00952F3C">
        <w:rPr>
          <w:rFonts w:ascii="Arial" w:hAnsi="Arial" w:cs="Arial"/>
          <w:i/>
          <w:sz w:val="22"/>
          <w:szCs w:val="22"/>
          <w:lang w:val="it-IT"/>
        </w:rPr>
        <w:t>LParl</w:t>
      </w:r>
      <w:proofErr w:type="spellEnd"/>
      <w:r w:rsidRPr="00952F3C">
        <w:rPr>
          <w:rFonts w:ascii="Arial" w:hAnsi="Arial" w:cs="Arial"/>
          <w:i/>
          <w:sz w:val="22"/>
          <w:szCs w:val="22"/>
          <w:lang w:val="it-IT"/>
        </w:rPr>
        <w:t>).</w:t>
      </w:r>
    </w:p>
    <w:p w:rsidR="005150BD" w:rsidRPr="0027376D" w:rsidRDefault="005150BD" w:rsidP="005150BD">
      <w:pPr>
        <w:outlineLvl w:val="4"/>
        <w:rPr>
          <w:rFonts w:eastAsia="Times New Roman" w:cs="Arial"/>
          <w:i/>
          <w:sz w:val="22"/>
          <w:lang w:val="it-IT" w:eastAsia="it-CH"/>
        </w:rPr>
      </w:pPr>
      <w:bookmarkStart w:id="15" w:name="a17a"/>
      <w:bookmarkEnd w:id="15"/>
    </w:p>
    <w:p w:rsidR="005150BD" w:rsidRPr="0027376D" w:rsidRDefault="005150BD" w:rsidP="005150BD">
      <w:pPr>
        <w:rPr>
          <w:rFonts w:eastAsia="Times New Roman" w:cs="Arial"/>
          <w:i/>
          <w:sz w:val="22"/>
          <w:lang w:val="it-IT" w:eastAsia="it-CH"/>
        </w:rPr>
      </w:pPr>
      <w:bookmarkStart w:id="16" w:name="1"/>
      <w:r w:rsidRPr="0027376D">
        <w:rPr>
          <w:rFonts w:eastAsia="Times New Roman" w:cs="Arial"/>
          <w:i/>
          <w:sz w:val="22"/>
          <w:vertAlign w:val="superscript"/>
          <w:lang w:val="it-IT" w:eastAsia="it-CH"/>
        </w:rPr>
        <w:t>1</w:t>
      </w:r>
      <w:bookmarkEnd w:id="16"/>
      <w:r w:rsidRPr="0027376D">
        <w:rPr>
          <w:rFonts w:eastAsia="Times New Roman" w:cs="Arial"/>
          <w:i/>
          <w:sz w:val="22"/>
          <w:lang w:val="it-IT" w:eastAsia="it-CH"/>
        </w:rPr>
        <w:t>La richiesta di soppressione dell'immunità è trattata dapprima dalla commissione competente della Camera cui appartiene il parlamentare indagato.</w:t>
      </w:r>
    </w:p>
    <w:p w:rsidR="005150BD" w:rsidRPr="0027376D" w:rsidRDefault="005150BD" w:rsidP="00952F3C">
      <w:pPr>
        <w:spacing w:before="60"/>
        <w:rPr>
          <w:rFonts w:eastAsia="Times New Roman" w:cs="Arial"/>
          <w:i/>
          <w:sz w:val="22"/>
          <w:lang w:val="it-IT" w:eastAsia="it-CH"/>
        </w:rPr>
      </w:pPr>
      <w:r w:rsidRPr="0027376D">
        <w:rPr>
          <w:rFonts w:eastAsia="Times New Roman" w:cs="Arial"/>
          <w:i/>
          <w:sz w:val="22"/>
          <w:vertAlign w:val="superscript"/>
          <w:lang w:val="it-IT" w:eastAsia="it-CH"/>
        </w:rPr>
        <w:t>2</w:t>
      </w:r>
      <w:r w:rsidRPr="0027376D">
        <w:rPr>
          <w:rFonts w:eastAsia="Times New Roman" w:cs="Arial"/>
          <w:i/>
          <w:sz w:val="22"/>
          <w:lang w:val="it-IT" w:eastAsia="it-CH"/>
        </w:rPr>
        <w:t>Se le decisioni delle due commissioni circa l'entrata nel merito della richiesta o la soppressione dell'immunità divergono, si svolge una procedura di appianamento delle divergenze tra le commissioni. La seconda decisione di reiezione da parte di una commissione è definitiva.</w:t>
      </w:r>
    </w:p>
    <w:p w:rsidR="005150BD" w:rsidRPr="0027376D" w:rsidRDefault="005150BD" w:rsidP="00952F3C">
      <w:pPr>
        <w:spacing w:before="60"/>
        <w:rPr>
          <w:rFonts w:eastAsia="Times New Roman" w:cs="Arial"/>
          <w:i/>
          <w:sz w:val="22"/>
          <w:lang w:val="it-IT" w:eastAsia="it-CH"/>
        </w:rPr>
      </w:pPr>
      <w:bookmarkStart w:id="17" w:name="3"/>
      <w:r w:rsidRPr="0027376D">
        <w:rPr>
          <w:rFonts w:eastAsia="Times New Roman" w:cs="Arial"/>
          <w:i/>
          <w:sz w:val="22"/>
          <w:vertAlign w:val="superscript"/>
          <w:lang w:val="it-IT" w:eastAsia="it-CH"/>
        </w:rPr>
        <w:t>3</w:t>
      </w:r>
      <w:bookmarkEnd w:id="17"/>
      <w:r w:rsidRPr="0027376D">
        <w:rPr>
          <w:rFonts w:eastAsia="Times New Roman" w:cs="Arial"/>
          <w:i/>
          <w:sz w:val="22"/>
          <w:lang w:val="it-IT" w:eastAsia="it-CH"/>
        </w:rPr>
        <w:t>Le commissioni deliberano validamente alla presenza della maggioranza dei rispettivi membri. Il quorum deve essere espressamente accertato.</w:t>
      </w:r>
    </w:p>
    <w:p w:rsidR="005150BD" w:rsidRPr="0027376D" w:rsidRDefault="005150BD" w:rsidP="00952F3C">
      <w:pPr>
        <w:spacing w:before="60"/>
        <w:rPr>
          <w:rFonts w:eastAsia="Times New Roman" w:cs="Arial"/>
          <w:i/>
          <w:sz w:val="22"/>
          <w:lang w:val="it-IT" w:eastAsia="it-CH"/>
        </w:rPr>
      </w:pPr>
      <w:bookmarkStart w:id="18" w:name="4"/>
      <w:r w:rsidRPr="0027376D">
        <w:rPr>
          <w:rFonts w:eastAsia="Times New Roman" w:cs="Arial"/>
          <w:i/>
          <w:sz w:val="22"/>
          <w:vertAlign w:val="superscript"/>
          <w:lang w:val="it-IT" w:eastAsia="it-CH"/>
        </w:rPr>
        <w:t>4</w:t>
      </w:r>
      <w:bookmarkEnd w:id="18"/>
      <w:r w:rsidRPr="0027376D">
        <w:rPr>
          <w:rFonts w:eastAsia="Times New Roman" w:cs="Arial"/>
          <w:i/>
          <w:sz w:val="22"/>
          <w:lang w:val="it-IT" w:eastAsia="it-CH"/>
        </w:rPr>
        <w:t>Le commissioni sentono il parlamentare indagato. Questi non può farsi né rappresentare né accompagnare.</w:t>
      </w:r>
    </w:p>
    <w:p w:rsidR="005150BD" w:rsidRPr="0027376D" w:rsidRDefault="005150BD" w:rsidP="00952F3C">
      <w:pPr>
        <w:spacing w:before="60"/>
        <w:rPr>
          <w:rFonts w:eastAsia="Times New Roman" w:cs="Arial"/>
          <w:i/>
          <w:sz w:val="22"/>
          <w:lang w:val="it-IT" w:eastAsia="it-CH"/>
        </w:rPr>
      </w:pPr>
      <w:bookmarkStart w:id="19" w:name="5"/>
      <w:r w:rsidRPr="0027376D">
        <w:rPr>
          <w:rFonts w:eastAsia="Times New Roman" w:cs="Arial"/>
          <w:i/>
          <w:sz w:val="22"/>
          <w:vertAlign w:val="superscript"/>
          <w:lang w:val="it-IT" w:eastAsia="it-CH"/>
        </w:rPr>
        <w:t>5</w:t>
      </w:r>
      <w:bookmarkEnd w:id="19"/>
      <w:r w:rsidRPr="0027376D">
        <w:rPr>
          <w:rFonts w:eastAsia="Times New Roman" w:cs="Arial"/>
          <w:i/>
          <w:sz w:val="22"/>
          <w:lang w:val="it-IT" w:eastAsia="it-CH"/>
        </w:rPr>
        <w:t>La decisione delle commissioni è definitiva.</w:t>
      </w:r>
    </w:p>
    <w:p w:rsidR="005150BD" w:rsidRPr="0027376D" w:rsidRDefault="005150BD" w:rsidP="00952F3C">
      <w:pPr>
        <w:spacing w:before="60"/>
        <w:rPr>
          <w:rFonts w:eastAsia="Times New Roman" w:cs="Arial"/>
          <w:i/>
          <w:sz w:val="22"/>
          <w:lang w:val="it-IT" w:eastAsia="it-CH"/>
        </w:rPr>
      </w:pPr>
      <w:bookmarkStart w:id="20" w:name="6"/>
      <w:r w:rsidRPr="0027376D">
        <w:rPr>
          <w:rFonts w:eastAsia="Times New Roman" w:cs="Arial"/>
          <w:i/>
          <w:sz w:val="22"/>
          <w:vertAlign w:val="superscript"/>
          <w:lang w:val="it-IT" w:eastAsia="it-CH"/>
        </w:rPr>
        <w:t>6</w:t>
      </w:r>
      <w:bookmarkEnd w:id="20"/>
      <w:r w:rsidRPr="0027376D">
        <w:rPr>
          <w:rFonts w:eastAsia="Times New Roman" w:cs="Arial"/>
          <w:i/>
          <w:sz w:val="22"/>
          <w:lang w:val="it-IT" w:eastAsia="it-CH"/>
        </w:rPr>
        <w:t>Comunicata la sua decisione al parlamentare interessato, ciascuna commissione informa senza indugio l'opinione pubblica. Informa nel contempo per scritto i membri delle due Camere.</w:t>
      </w:r>
    </w:p>
    <w:p w:rsidR="005150BD" w:rsidRPr="0027376D" w:rsidRDefault="005150BD" w:rsidP="00952F3C">
      <w:pPr>
        <w:spacing w:before="60"/>
        <w:rPr>
          <w:rFonts w:eastAsia="Times New Roman" w:cs="Arial"/>
          <w:i/>
          <w:sz w:val="22"/>
          <w:lang w:val="it-IT" w:eastAsia="it-CH"/>
        </w:rPr>
      </w:pPr>
      <w:bookmarkStart w:id="21" w:name="7"/>
      <w:r w:rsidRPr="0027376D">
        <w:rPr>
          <w:rFonts w:eastAsia="Times New Roman" w:cs="Arial"/>
          <w:i/>
          <w:sz w:val="22"/>
          <w:vertAlign w:val="superscript"/>
          <w:lang w:val="it-IT" w:eastAsia="it-CH"/>
        </w:rPr>
        <w:t>7</w:t>
      </w:r>
      <w:bookmarkEnd w:id="21"/>
      <w:r w:rsidRPr="0027376D">
        <w:rPr>
          <w:rFonts w:eastAsia="Times New Roman" w:cs="Arial"/>
          <w:i/>
          <w:sz w:val="22"/>
          <w:lang w:val="it-IT" w:eastAsia="it-CH"/>
        </w:rPr>
        <w:t xml:space="preserve">Se è membro di una delle commissioni competenti, il parlamentare indagato si ricusa (art. 17a </w:t>
      </w:r>
      <w:proofErr w:type="spellStart"/>
      <w:r w:rsidRPr="0027376D">
        <w:rPr>
          <w:rFonts w:eastAsia="Times New Roman" w:cs="Arial"/>
          <w:i/>
          <w:sz w:val="22"/>
          <w:lang w:val="it-IT" w:eastAsia="it-CH"/>
        </w:rPr>
        <w:t>LParl</w:t>
      </w:r>
      <w:proofErr w:type="spellEnd"/>
      <w:r w:rsidRPr="0027376D">
        <w:rPr>
          <w:rFonts w:eastAsia="Times New Roman" w:cs="Arial"/>
          <w:i/>
          <w:sz w:val="22"/>
          <w:lang w:val="it-IT" w:eastAsia="it-CH"/>
        </w:rPr>
        <w:t>).</w:t>
      </w:r>
    </w:p>
    <w:p w:rsidR="005150BD" w:rsidRPr="003824D8" w:rsidRDefault="005150BD" w:rsidP="005150BD">
      <w:pPr>
        <w:pStyle w:val="Corpo"/>
        <w:jc w:val="both"/>
        <w:rPr>
          <w:rFonts w:ascii="Arial" w:hAnsi="Arial" w:cs="Arial"/>
          <w:color w:val="auto"/>
          <w:sz w:val="24"/>
          <w:szCs w:val="24"/>
          <w:lang w:val="it-IT"/>
        </w:rPr>
      </w:pP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Contrariamente al Parlamento federale, i membri dei legislativi cantonali possono essere perseguiti per violazione del segreto d’ufficio sulla base dell’art. 320 del Codice Penale senza godere di alcuna immunità. </w:t>
      </w:r>
    </w:p>
    <w:p w:rsidR="005150BD" w:rsidRPr="003824D8" w:rsidRDefault="005150BD" w:rsidP="005150BD">
      <w:pPr>
        <w:pStyle w:val="Corpo"/>
        <w:jc w:val="both"/>
        <w:rPr>
          <w:rFonts w:ascii="Arial" w:hAnsi="Arial" w:cs="Arial"/>
          <w:color w:val="auto"/>
          <w:sz w:val="24"/>
          <w:szCs w:val="24"/>
          <w:lang w:val="it-CH"/>
        </w:rPr>
      </w:pPr>
    </w:p>
    <w:p w:rsidR="005150BD" w:rsidRPr="003824D8" w:rsidRDefault="005150BD" w:rsidP="005150BD">
      <w:pPr>
        <w:pStyle w:val="Corpo"/>
        <w:jc w:val="both"/>
        <w:rPr>
          <w:rFonts w:ascii="Arial" w:hAnsi="Arial" w:cs="Arial"/>
          <w:color w:val="auto"/>
          <w:sz w:val="24"/>
          <w:szCs w:val="24"/>
          <w:lang w:val="it-CH"/>
        </w:rPr>
      </w:pPr>
    </w:p>
    <w:p w:rsidR="005150BD" w:rsidRPr="003824D8" w:rsidRDefault="005150BD" w:rsidP="005150BD">
      <w:pPr>
        <w:pStyle w:val="Titolo1"/>
        <w:numPr>
          <w:ilvl w:val="0"/>
          <w:numId w:val="0"/>
        </w:numPr>
        <w:ind w:left="567" w:hanging="567"/>
      </w:pPr>
      <w:bookmarkStart w:id="22" w:name="_Toc463535732"/>
      <w:bookmarkStart w:id="23" w:name="_Toc470705141"/>
      <w:r w:rsidRPr="003824D8">
        <w:t>VII.</w:t>
      </w:r>
      <w:r w:rsidRPr="003824D8">
        <w:tab/>
        <w:t>L’IMMUNITÀ PARLAMENTARE A LIVELLO EUROPEO</w:t>
      </w:r>
      <w:bookmarkEnd w:id="22"/>
      <w:bookmarkEnd w:id="23"/>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 xml:space="preserve">Premesso che non esistono delle regole internazionali o europee esplicite riguardo all’immunità parlamentare, la Commissione di Venezia, su incarico del Consiglio d’Europa, ha elaborato un rapporto riguardante l’estensione e la soppressione delle immunità parlamentari, che è stato adottato nel marzo 2014. La Commissione è giunta alla conclusione che nella maggior parte degli Stati europei l’immunità parlamentare è </w:t>
      </w:r>
      <w:r w:rsidRPr="003824D8">
        <w:rPr>
          <w:rFonts w:ascii="Arial" w:hAnsi="Arial" w:cs="Arial"/>
          <w:sz w:val="24"/>
          <w:szCs w:val="24"/>
          <w:lang w:val="it-CH"/>
        </w:rPr>
        <w:lastRenderedPageBreak/>
        <w:t>solidamente fondata e non vi è motivo di riformarla. L’immunità deve comunque concernere unicamente le espressioni ed i voti emessi nell’esercizio delle funzioni parlamentari</w:t>
      </w:r>
      <w:r w:rsidRPr="003824D8">
        <w:rPr>
          <w:rStyle w:val="Rimandonotaapidipagina"/>
          <w:rFonts w:ascii="Arial" w:hAnsi="Arial" w:cs="Arial"/>
          <w:sz w:val="24"/>
          <w:szCs w:val="24"/>
          <w:lang w:val="it-CH"/>
        </w:rPr>
        <w:footnoteReference w:id="45"/>
      </w:r>
      <w:r w:rsidRPr="003824D8">
        <w:rPr>
          <w:rFonts w:ascii="Arial" w:hAnsi="Arial" w:cs="Arial"/>
          <w:sz w:val="24"/>
          <w:szCs w:val="24"/>
          <w:lang w:val="it-CH"/>
        </w:rPr>
        <w:t xml:space="preserve">. </w:t>
      </w: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Titolo1"/>
        <w:numPr>
          <w:ilvl w:val="0"/>
          <w:numId w:val="0"/>
        </w:numPr>
        <w:ind w:left="567" w:hanging="567"/>
      </w:pPr>
      <w:bookmarkStart w:id="24" w:name="_Toc463535733"/>
      <w:bookmarkStart w:id="25" w:name="_Toc470705142"/>
      <w:r w:rsidRPr="003824D8">
        <w:t>VIII.</w:t>
      </w:r>
      <w:r w:rsidRPr="003824D8">
        <w:tab/>
        <w:t>DISCUSSIONE COMMISSIONALE E CONCLUSIONI</w:t>
      </w:r>
      <w:bookmarkEnd w:id="24"/>
      <w:bookmarkEnd w:id="25"/>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I membri della commissione si sono da subito espressi piuttosto contrari all’abolizione dell’immunità parlamentare. Hanno comunque dato incarico alla relatrice di effettuare i dovuti approfondimenti per poi decidere. A seguito degli approfondimenti contenuti nel presente rapporto, i membri della commissione, a maggioranza, hanno deciso di respingere l’iniziativa del Collega Quadranti poiché l’immunità parlamentare attuale, oltre ad essere relativa e dunque revocabile, copre unicamente le espressioni diffamatorie e non altri reati e dunque è da considerarsi adeguata.</w:t>
      </w:r>
    </w:p>
    <w:p w:rsidR="005150BD"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spacing w:after="120"/>
        <w:rPr>
          <w:rFonts w:cs="Arial"/>
        </w:rPr>
      </w:pPr>
      <w:r w:rsidRPr="003824D8">
        <w:rPr>
          <w:rFonts w:cs="Arial"/>
        </w:rPr>
        <w:t xml:space="preserve">Per la </w:t>
      </w:r>
      <w:r w:rsidR="002B6375">
        <w:rPr>
          <w:rFonts w:cs="Arial"/>
        </w:rPr>
        <w:t>maggioranza della C</w:t>
      </w:r>
      <w:r w:rsidRPr="003824D8">
        <w:rPr>
          <w:rFonts w:cs="Arial"/>
        </w:rPr>
        <w:t xml:space="preserve">ommissione speciale revisione </w:t>
      </w:r>
      <w:r>
        <w:rPr>
          <w:rFonts w:cs="Arial"/>
        </w:rPr>
        <w:t>LGC:</w:t>
      </w:r>
    </w:p>
    <w:p w:rsidR="005150BD" w:rsidRPr="003824D8" w:rsidRDefault="005150BD" w:rsidP="005150BD">
      <w:pPr>
        <w:pStyle w:val="Corpo"/>
        <w:jc w:val="both"/>
        <w:rPr>
          <w:rFonts w:ascii="Arial" w:hAnsi="Arial" w:cs="Arial"/>
          <w:sz w:val="24"/>
          <w:szCs w:val="24"/>
          <w:lang w:val="it-CH"/>
        </w:rPr>
      </w:pPr>
      <w:r w:rsidRPr="003824D8">
        <w:rPr>
          <w:rFonts w:ascii="Arial" w:hAnsi="Arial" w:cs="Arial"/>
          <w:sz w:val="24"/>
          <w:szCs w:val="24"/>
          <w:lang w:val="it-CH"/>
        </w:rPr>
        <w:t>Sabrina Gendotti, relatrice</w:t>
      </w:r>
    </w:p>
    <w:p w:rsidR="00952F3C" w:rsidRDefault="00952F3C" w:rsidP="00952F3C">
      <w:pPr>
        <w:rPr>
          <w:rFonts w:cs="Arial"/>
        </w:rPr>
      </w:pPr>
      <w:r>
        <w:rPr>
          <w:rFonts w:cs="Arial"/>
        </w:rPr>
        <w:t xml:space="preserve">Bacchetta-Cattori - Balli - Celio - </w:t>
      </w:r>
    </w:p>
    <w:p w:rsidR="00952F3C" w:rsidRDefault="00952F3C" w:rsidP="00952F3C">
      <w:pPr>
        <w:rPr>
          <w:rFonts w:cs="Arial"/>
        </w:rPr>
      </w:pPr>
      <w:r>
        <w:rPr>
          <w:rFonts w:cs="Arial"/>
        </w:rPr>
        <w:t xml:space="preserve">Corti - Crivelli Barella - Farinelli - </w:t>
      </w:r>
    </w:p>
    <w:p w:rsidR="00952F3C" w:rsidRDefault="00952F3C" w:rsidP="00952F3C">
      <w:pPr>
        <w:rPr>
          <w:rFonts w:cs="Arial"/>
        </w:rPr>
      </w:pPr>
      <w:r>
        <w:rPr>
          <w:rFonts w:cs="Arial"/>
        </w:rPr>
        <w:t>Jelmini - Käppeli - La Mantia -</w:t>
      </w:r>
    </w:p>
    <w:p w:rsidR="00952F3C" w:rsidRPr="005E5056" w:rsidRDefault="00952F3C" w:rsidP="00952F3C">
      <w:pPr>
        <w:rPr>
          <w:rFonts w:cs="Arial"/>
        </w:rPr>
      </w:pPr>
      <w:r>
        <w:rPr>
          <w:rFonts w:cs="Arial"/>
        </w:rPr>
        <w:t>Lurati - Minotti - Morisoli - Rückert</w:t>
      </w:r>
    </w:p>
    <w:p w:rsidR="005150BD" w:rsidRPr="003824D8" w:rsidRDefault="005150BD" w:rsidP="005150BD">
      <w:pPr>
        <w:pStyle w:val="Corpo"/>
        <w:jc w:val="both"/>
        <w:rPr>
          <w:rFonts w:ascii="Arial" w:hAnsi="Arial" w:cs="Arial"/>
          <w:sz w:val="24"/>
          <w:szCs w:val="24"/>
          <w:lang w:val="it-CH"/>
        </w:rPr>
      </w:pPr>
    </w:p>
    <w:sectPr w:rsidR="005150BD" w:rsidRPr="003824D8"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CA" w:rsidRDefault="000D28CA" w:rsidP="008E77C6">
      <w:r>
        <w:separator/>
      </w:r>
    </w:p>
  </w:endnote>
  <w:endnote w:type="continuationSeparator" w:id="0">
    <w:p w:rsidR="000D28CA" w:rsidRDefault="000D28C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23B27" w:rsidRPr="00B23B27">
          <w:rPr>
            <w:noProof/>
            <w:sz w:val="20"/>
            <w:szCs w:val="20"/>
            <w:lang w:val="it-IT"/>
          </w:rPr>
          <w:t>11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CA" w:rsidRDefault="000D28CA" w:rsidP="008E77C6">
      <w:r>
        <w:separator/>
      </w:r>
    </w:p>
  </w:footnote>
  <w:footnote w:type="continuationSeparator" w:id="0">
    <w:p w:rsidR="000D28CA" w:rsidRDefault="000D28CA" w:rsidP="008E77C6">
      <w:r>
        <w:continuationSeparator/>
      </w:r>
    </w:p>
  </w:footnote>
  <w:footnote w:id="1">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w:t>
      </w:r>
      <w:r w:rsidRPr="005150BD">
        <w:rPr>
          <w:rFonts w:ascii="Arial" w:eastAsia="Times New Roman" w:hAnsi="Arial" w:cs="Arial"/>
          <w:bCs/>
          <w:sz w:val="18"/>
          <w:szCs w:val="18"/>
          <w:lang w:eastAsia="it-CH"/>
        </w:rPr>
        <w:t>dal rapporto della Commissione di Venezia del 14.05.’14.</w:t>
      </w:r>
    </w:p>
  </w:footnote>
  <w:footnote w:id="2">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w:t>
      </w:r>
      <w:hyperlink r:id="rId1" w:tgtFrame="_blank" w:history="1">
        <w:r w:rsidRPr="005150BD">
          <w:rPr>
            <w:rFonts w:ascii="Arial" w:eastAsia="Times New Roman" w:hAnsi="Arial" w:cs="Arial"/>
            <w:bCs/>
            <w:sz w:val="18"/>
            <w:szCs w:val="18"/>
            <w:lang w:eastAsia="it-CH"/>
          </w:rPr>
          <w:t>Glossario del Parlamento</w:t>
        </w:r>
      </w:hyperlink>
      <w:r w:rsidRPr="005150BD">
        <w:rPr>
          <w:rFonts w:ascii="Arial" w:eastAsia="Times New Roman" w:hAnsi="Arial" w:cs="Arial"/>
          <w:bCs/>
          <w:sz w:val="18"/>
          <w:szCs w:val="18"/>
          <w:lang w:eastAsia="it-CH"/>
        </w:rPr>
        <w:t>.</w:t>
      </w:r>
    </w:p>
  </w:footnote>
  <w:footnote w:id="3">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Dal rapporto della Commissione speciale Costituzione e diritti politici sull’iniziativa parlamentare 26.06.’08 presentata da Duca </w:t>
      </w:r>
      <w:proofErr w:type="spellStart"/>
      <w:r w:rsidRPr="005150BD">
        <w:rPr>
          <w:rFonts w:ascii="Arial" w:hAnsi="Arial" w:cs="Arial"/>
          <w:sz w:val="18"/>
          <w:szCs w:val="18"/>
        </w:rPr>
        <w:t>Widmer</w:t>
      </w:r>
      <w:proofErr w:type="spellEnd"/>
      <w:r w:rsidRPr="005150BD">
        <w:rPr>
          <w:rFonts w:ascii="Arial" w:hAnsi="Arial" w:cs="Arial"/>
          <w:sz w:val="18"/>
          <w:szCs w:val="18"/>
        </w:rPr>
        <w:t>, Bertoli e Ducry per la modifica dell’art. 62 LGC.</w:t>
      </w:r>
    </w:p>
  </w:footnote>
  <w:footnote w:id="4">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Art. 71 del regolamento per le sedute del Gran Consiglio del 6 giugno 1864;</w:t>
      </w:r>
    </w:p>
    <w:p w:rsidR="005150BD" w:rsidRPr="005150BD" w:rsidRDefault="005150BD" w:rsidP="005150BD">
      <w:pPr>
        <w:pStyle w:val="Testonotaapidipagina"/>
        <w:jc w:val="both"/>
        <w:rPr>
          <w:rFonts w:ascii="Arial" w:hAnsi="Arial" w:cs="Arial"/>
          <w:sz w:val="18"/>
          <w:szCs w:val="18"/>
        </w:rPr>
      </w:pPr>
      <w:r w:rsidRPr="005150BD">
        <w:rPr>
          <w:rFonts w:ascii="Arial" w:hAnsi="Arial" w:cs="Arial"/>
          <w:sz w:val="18"/>
          <w:szCs w:val="18"/>
        </w:rPr>
        <w:t xml:space="preserve">  Art. 91 del regolamento del Gran Consiglio del 19 marzo 1893;</w:t>
      </w:r>
    </w:p>
    <w:p w:rsidR="005150BD" w:rsidRPr="005150BD" w:rsidRDefault="005150BD" w:rsidP="005150BD">
      <w:pPr>
        <w:pStyle w:val="Testonotaapidipagina"/>
        <w:jc w:val="both"/>
        <w:rPr>
          <w:rFonts w:ascii="Arial" w:hAnsi="Arial" w:cs="Arial"/>
          <w:sz w:val="18"/>
          <w:szCs w:val="18"/>
        </w:rPr>
      </w:pPr>
      <w:r w:rsidRPr="005150BD">
        <w:rPr>
          <w:rFonts w:ascii="Arial" w:hAnsi="Arial" w:cs="Arial"/>
          <w:sz w:val="18"/>
          <w:szCs w:val="18"/>
        </w:rPr>
        <w:t xml:space="preserve">  Art. 89 del regolamento del Gran Consiglio del 7 giugno 1921;</w:t>
      </w:r>
    </w:p>
    <w:p w:rsidR="005150BD" w:rsidRPr="005150BD" w:rsidRDefault="005150BD" w:rsidP="005150BD">
      <w:pPr>
        <w:pStyle w:val="Testonotaapidipagina"/>
        <w:jc w:val="both"/>
        <w:rPr>
          <w:rFonts w:ascii="Arial" w:hAnsi="Arial" w:cs="Arial"/>
          <w:sz w:val="18"/>
          <w:szCs w:val="18"/>
        </w:rPr>
      </w:pPr>
      <w:r w:rsidRPr="005150BD">
        <w:rPr>
          <w:rFonts w:ascii="Arial" w:hAnsi="Arial" w:cs="Arial"/>
          <w:sz w:val="18"/>
          <w:szCs w:val="18"/>
        </w:rPr>
        <w:t xml:space="preserve">  Art. 41 del regolamento del Gran Consiglio del 22 febbraio 1968.</w:t>
      </w:r>
    </w:p>
  </w:footnote>
  <w:footnote w:id="5">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Dal rapporto della Commissione speciale Costituzione e diritti politici sull’iniziativa parlamentare 26.06.’08 presentata da Duca </w:t>
      </w:r>
      <w:proofErr w:type="spellStart"/>
      <w:r w:rsidRPr="005150BD">
        <w:rPr>
          <w:rFonts w:ascii="Arial" w:hAnsi="Arial" w:cs="Arial"/>
          <w:sz w:val="18"/>
          <w:szCs w:val="18"/>
        </w:rPr>
        <w:t>Widmer</w:t>
      </w:r>
      <w:proofErr w:type="spellEnd"/>
      <w:r w:rsidRPr="005150BD">
        <w:rPr>
          <w:rFonts w:ascii="Arial" w:hAnsi="Arial" w:cs="Arial"/>
          <w:sz w:val="18"/>
          <w:szCs w:val="18"/>
        </w:rPr>
        <w:t>, Bertoli e Ducry per la modifica dell’art. 62 LGC.</w:t>
      </w:r>
    </w:p>
  </w:footnote>
  <w:footnote w:id="6">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75 </w:t>
      </w:r>
      <w:proofErr w:type="spellStart"/>
      <w:r w:rsidRPr="005150BD">
        <w:rPr>
          <w:rFonts w:ascii="Arial" w:hAnsi="Arial" w:cs="Arial"/>
          <w:sz w:val="18"/>
          <w:szCs w:val="18"/>
          <w:lang w:val="de-CH"/>
        </w:rPr>
        <w:t>cpv</w:t>
      </w:r>
      <w:proofErr w:type="spellEnd"/>
      <w:r w:rsidRPr="005150BD">
        <w:rPr>
          <w:rFonts w:ascii="Arial" w:hAnsi="Arial" w:cs="Arial"/>
          <w:sz w:val="18"/>
          <w:szCs w:val="18"/>
          <w:lang w:val="de-CH"/>
        </w:rPr>
        <w:t xml:space="preserve">. 4 Verfassung des </w:t>
      </w:r>
      <w:proofErr w:type="spellStart"/>
      <w:r w:rsidRPr="005150BD">
        <w:rPr>
          <w:rFonts w:ascii="Arial" w:hAnsi="Arial" w:cs="Arial"/>
          <w:sz w:val="18"/>
          <w:szCs w:val="18"/>
          <w:lang w:val="de-CH"/>
        </w:rPr>
        <w:t>Kantones</w:t>
      </w:r>
      <w:proofErr w:type="spellEnd"/>
      <w:r w:rsidRPr="005150BD">
        <w:rPr>
          <w:rFonts w:ascii="Arial" w:hAnsi="Arial" w:cs="Arial"/>
          <w:sz w:val="18"/>
          <w:szCs w:val="18"/>
          <w:lang w:val="de-CH"/>
        </w:rPr>
        <w:t xml:space="preserve"> Aargau (110.100).</w:t>
      </w:r>
    </w:p>
  </w:footnote>
  <w:footnote w:id="7">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 </w:t>
      </w:r>
      <w:proofErr w:type="spellStart"/>
      <w:r w:rsidRPr="005150BD">
        <w:rPr>
          <w:rFonts w:ascii="Arial" w:hAnsi="Arial" w:cs="Arial"/>
          <w:sz w:val="18"/>
          <w:szCs w:val="18"/>
          <w:lang w:val="de-CH"/>
        </w:rPr>
        <w:t>cpv</w:t>
      </w:r>
      <w:proofErr w:type="spellEnd"/>
      <w:r w:rsidRPr="005150BD">
        <w:rPr>
          <w:rFonts w:ascii="Arial" w:hAnsi="Arial" w:cs="Arial"/>
          <w:sz w:val="18"/>
          <w:szCs w:val="18"/>
          <w:lang w:val="de-CH"/>
        </w:rPr>
        <w:t>. 1 Gesetz über die Organisation des Grossen Rates und den Verkehr zwischen dem Grossen Rat, dem Regierungsrat und der Justizleistung (152.200).</w:t>
      </w:r>
    </w:p>
  </w:footnote>
  <w:footnote w:id="8">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 Gesetz zur Schweizerischen Strafprozessordnung (312.000).</w:t>
      </w:r>
    </w:p>
  </w:footnote>
  <w:footnote w:id="9">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81 Verfassung des Kantons Appenzell A.Rh. (111.1).</w:t>
      </w:r>
    </w:p>
  </w:footnote>
  <w:footnote w:id="10">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7 Gesetz über das kantonale Strafrecht (311).</w:t>
      </w:r>
    </w:p>
  </w:footnote>
  <w:footnote w:id="11">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82 </w:t>
      </w:r>
      <w:proofErr w:type="spellStart"/>
      <w:r w:rsidRPr="005150BD">
        <w:rPr>
          <w:rFonts w:ascii="Arial" w:hAnsi="Arial" w:cs="Arial"/>
          <w:sz w:val="18"/>
          <w:szCs w:val="18"/>
          <w:lang w:val="fr-CH"/>
        </w:rPr>
        <w:t>cpv</w:t>
      </w:r>
      <w:proofErr w:type="spellEnd"/>
      <w:r w:rsidRPr="005150BD">
        <w:rPr>
          <w:rFonts w:ascii="Arial" w:hAnsi="Arial" w:cs="Arial"/>
          <w:sz w:val="18"/>
          <w:szCs w:val="18"/>
          <w:lang w:val="fr-CH"/>
        </w:rPr>
        <w:t>. 2 Constitution du Canton de Berne (101.1).</w:t>
      </w:r>
    </w:p>
  </w:footnote>
  <w:footnote w:id="12">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18 loi sur le Grand Conseil (151.21)/Art. 27.3 e Art. 32.8 règlement du Grand Conseil (151.211).</w:t>
      </w:r>
    </w:p>
  </w:footnote>
  <w:footnote w:id="13">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79 Verfassung des Kantons Basel-Stadt (111.100).</w:t>
      </w:r>
    </w:p>
  </w:footnote>
  <w:footnote w:id="14">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 Gesetz über die </w:t>
      </w:r>
      <w:proofErr w:type="spellStart"/>
      <w:r w:rsidRPr="005150BD">
        <w:rPr>
          <w:rFonts w:ascii="Arial" w:hAnsi="Arial" w:cs="Arial"/>
          <w:sz w:val="18"/>
          <w:szCs w:val="18"/>
          <w:lang w:val="de-CH"/>
        </w:rPr>
        <w:t>Geschäftsordnug</w:t>
      </w:r>
      <w:proofErr w:type="spellEnd"/>
      <w:r w:rsidRPr="005150BD">
        <w:rPr>
          <w:rFonts w:ascii="Arial" w:hAnsi="Arial" w:cs="Arial"/>
          <w:sz w:val="18"/>
          <w:szCs w:val="18"/>
          <w:lang w:val="de-CH"/>
        </w:rPr>
        <w:t xml:space="preserve"> des Grossen Rates (152.100).</w:t>
      </w:r>
    </w:p>
  </w:footnote>
  <w:footnote w:id="15">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89 </w:t>
      </w:r>
      <w:proofErr w:type="spellStart"/>
      <w:r w:rsidRPr="005150BD">
        <w:rPr>
          <w:rFonts w:ascii="Arial" w:hAnsi="Arial" w:cs="Arial"/>
          <w:sz w:val="18"/>
          <w:szCs w:val="18"/>
          <w:lang w:val="fr-CH"/>
        </w:rPr>
        <w:t>Consitution</w:t>
      </w:r>
      <w:proofErr w:type="spellEnd"/>
      <w:r w:rsidRPr="005150BD">
        <w:rPr>
          <w:rFonts w:ascii="Arial" w:hAnsi="Arial" w:cs="Arial"/>
          <w:sz w:val="18"/>
          <w:szCs w:val="18"/>
          <w:lang w:val="fr-CH"/>
        </w:rPr>
        <w:t xml:space="preserve"> du canton Fribourg (10.1).</w:t>
      </w:r>
    </w:p>
  </w:footnote>
  <w:footnote w:id="16">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172 e 173 </w:t>
      </w:r>
      <w:proofErr w:type="spellStart"/>
      <w:r w:rsidRPr="005150BD">
        <w:rPr>
          <w:rFonts w:ascii="Arial" w:hAnsi="Arial" w:cs="Arial"/>
          <w:sz w:val="18"/>
          <w:szCs w:val="18"/>
          <w:lang w:val="fr-CH"/>
        </w:rPr>
        <w:t>cpv</w:t>
      </w:r>
      <w:proofErr w:type="spellEnd"/>
      <w:r w:rsidRPr="005150BD">
        <w:rPr>
          <w:rFonts w:ascii="Arial" w:hAnsi="Arial" w:cs="Arial"/>
          <w:sz w:val="18"/>
          <w:szCs w:val="18"/>
          <w:lang w:val="fr-CH"/>
        </w:rPr>
        <w:t>. 4 loi sur le Grand Conseil (121.1).</w:t>
      </w:r>
    </w:p>
  </w:footnote>
  <w:footnote w:id="17">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85 </w:t>
      </w:r>
      <w:proofErr w:type="spellStart"/>
      <w:r w:rsidRPr="005150BD">
        <w:rPr>
          <w:rFonts w:ascii="Arial" w:hAnsi="Arial" w:cs="Arial"/>
          <w:sz w:val="18"/>
          <w:szCs w:val="18"/>
          <w:lang w:val="fr-CH"/>
        </w:rPr>
        <w:t>Constiution</w:t>
      </w:r>
      <w:proofErr w:type="spellEnd"/>
      <w:r w:rsidRPr="005150BD">
        <w:rPr>
          <w:rFonts w:ascii="Arial" w:hAnsi="Arial" w:cs="Arial"/>
          <w:sz w:val="18"/>
          <w:szCs w:val="18"/>
          <w:lang w:val="fr-CH"/>
        </w:rPr>
        <w:t xml:space="preserve"> de la République et canton de Genève (A 200).</w:t>
      </w:r>
    </w:p>
  </w:footnote>
  <w:footnote w:id="18">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9 Loi d’application du code pénal suisse et d’autres lis fédérales en matière pénale (E 4 10).</w:t>
      </w:r>
    </w:p>
  </w:footnote>
  <w:footnote w:id="19">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26 Einführungsgesetz zur Schweizerischen StPO und zur Schweizerischen </w:t>
      </w:r>
      <w:proofErr w:type="spellStart"/>
      <w:r w:rsidRPr="005150BD">
        <w:rPr>
          <w:rFonts w:ascii="Arial" w:hAnsi="Arial" w:cs="Arial"/>
          <w:sz w:val="18"/>
          <w:szCs w:val="18"/>
          <w:lang w:val="de-CH"/>
        </w:rPr>
        <w:t>JugendStPO</w:t>
      </w:r>
      <w:proofErr w:type="spellEnd"/>
      <w:r w:rsidRPr="005150BD">
        <w:rPr>
          <w:rFonts w:ascii="Arial" w:hAnsi="Arial" w:cs="Arial"/>
          <w:sz w:val="18"/>
          <w:szCs w:val="18"/>
          <w:lang w:val="de-CH"/>
        </w:rPr>
        <w:t xml:space="preserve"> (III F/1) e Art. 112a </w:t>
      </w:r>
      <w:proofErr w:type="spellStart"/>
      <w:r w:rsidRPr="005150BD">
        <w:rPr>
          <w:rFonts w:ascii="Arial" w:hAnsi="Arial" w:cs="Arial"/>
          <w:sz w:val="18"/>
          <w:szCs w:val="18"/>
          <w:lang w:val="de-CH"/>
        </w:rPr>
        <w:t>Landsratsverordnung</w:t>
      </w:r>
      <w:proofErr w:type="spellEnd"/>
      <w:r w:rsidRPr="005150BD">
        <w:rPr>
          <w:rFonts w:ascii="Arial" w:hAnsi="Arial" w:cs="Arial"/>
          <w:sz w:val="18"/>
          <w:szCs w:val="18"/>
          <w:lang w:val="de-CH"/>
        </w:rPr>
        <w:t xml:space="preserve"> (II A/2/3).</w:t>
      </w:r>
    </w:p>
  </w:footnote>
  <w:footnote w:id="20">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Art. 24 Costituzione del Canton dei Grigioni (110.100).</w:t>
      </w:r>
    </w:p>
  </w:footnote>
  <w:footnote w:id="21">
    <w:p w:rsidR="005150BD" w:rsidRPr="005150BD" w:rsidRDefault="005150BD" w:rsidP="005150BD">
      <w:pPr>
        <w:pStyle w:val="Testonotaapidipagina"/>
        <w:jc w:val="both"/>
        <w:rPr>
          <w:rFonts w:ascii="Arial" w:hAnsi="Arial" w:cs="Arial"/>
          <w:sz w:val="18"/>
          <w:szCs w:val="18"/>
        </w:rPr>
      </w:pPr>
      <w:r w:rsidRPr="005150BD">
        <w:rPr>
          <w:rStyle w:val="Rimandonotaapidipagina"/>
          <w:rFonts w:ascii="Arial" w:hAnsi="Arial" w:cs="Arial"/>
          <w:sz w:val="18"/>
          <w:szCs w:val="18"/>
        </w:rPr>
        <w:footnoteRef/>
      </w:r>
      <w:r w:rsidRPr="005150BD">
        <w:rPr>
          <w:rFonts w:ascii="Arial" w:hAnsi="Arial" w:cs="Arial"/>
          <w:sz w:val="18"/>
          <w:szCs w:val="18"/>
        </w:rPr>
        <w:t xml:space="preserve"> Art. 30 Legge d’applicazione del Codice di diritto processuale penale svizzero (350.100).</w:t>
      </w:r>
    </w:p>
  </w:footnote>
  <w:footnote w:id="22">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88 Constitution de la République et Canton du Jura (100).</w:t>
      </w:r>
    </w:p>
  </w:footnote>
  <w:footnote w:id="23">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13 Lois sur l’organisation du Parlement de la République et Canton du Jura (8171.211).</w:t>
      </w:r>
    </w:p>
  </w:footnote>
  <w:footnote w:id="24">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34 Verfassung des Kantons Luzern (1).</w:t>
      </w:r>
    </w:p>
  </w:footnote>
  <w:footnote w:id="25">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39b </w:t>
      </w:r>
      <w:proofErr w:type="spellStart"/>
      <w:r w:rsidRPr="005150BD">
        <w:rPr>
          <w:rFonts w:ascii="Arial" w:hAnsi="Arial" w:cs="Arial"/>
          <w:sz w:val="18"/>
          <w:szCs w:val="18"/>
          <w:lang w:val="de-CH"/>
        </w:rPr>
        <w:t>cpv</w:t>
      </w:r>
      <w:proofErr w:type="spellEnd"/>
      <w:r w:rsidRPr="005150BD">
        <w:rPr>
          <w:rFonts w:ascii="Arial" w:hAnsi="Arial" w:cs="Arial"/>
          <w:sz w:val="18"/>
          <w:szCs w:val="18"/>
          <w:lang w:val="de-CH"/>
        </w:rPr>
        <w:t>. 1 Gesetz über die Organisation und Geschäftsführung des Kantonsrates (30).</w:t>
      </w:r>
    </w:p>
  </w:footnote>
  <w:footnote w:id="26">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50 Constitution de la République de Neuchâtel (101).</w:t>
      </w:r>
    </w:p>
  </w:footnote>
  <w:footnote w:id="27">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41 Loi d’organisation du Grand Conseil (151.19).</w:t>
      </w:r>
    </w:p>
  </w:footnote>
  <w:footnote w:id="28">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8 e Art. 9.2 </w:t>
      </w:r>
      <w:proofErr w:type="spellStart"/>
      <w:r w:rsidRPr="005150BD">
        <w:rPr>
          <w:rFonts w:ascii="Arial" w:hAnsi="Arial" w:cs="Arial"/>
          <w:sz w:val="18"/>
          <w:szCs w:val="18"/>
          <w:lang w:val="de-CH"/>
        </w:rPr>
        <w:t>cpv</w:t>
      </w:r>
      <w:proofErr w:type="spellEnd"/>
      <w:r w:rsidRPr="005150BD">
        <w:rPr>
          <w:rFonts w:ascii="Arial" w:hAnsi="Arial" w:cs="Arial"/>
          <w:sz w:val="18"/>
          <w:szCs w:val="18"/>
          <w:lang w:val="de-CH"/>
        </w:rPr>
        <w:t>. 2 Gesetz über die Organisation und die Geschäftsführung des Landrates (151.1).</w:t>
      </w:r>
    </w:p>
  </w:footnote>
  <w:footnote w:id="29">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 Gesetz über den </w:t>
      </w:r>
      <w:proofErr w:type="spellStart"/>
      <w:r w:rsidRPr="005150BD">
        <w:rPr>
          <w:rFonts w:ascii="Arial" w:hAnsi="Arial" w:cs="Arial"/>
          <w:sz w:val="18"/>
          <w:szCs w:val="18"/>
          <w:lang w:val="de-CH"/>
        </w:rPr>
        <w:t>Ksntonsrat</w:t>
      </w:r>
      <w:proofErr w:type="spellEnd"/>
      <w:r w:rsidRPr="005150BD">
        <w:rPr>
          <w:rFonts w:ascii="Arial" w:hAnsi="Arial" w:cs="Arial"/>
          <w:sz w:val="18"/>
          <w:szCs w:val="18"/>
          <w:lang w:val="de-CH"/>
        </w:rPr>
        <w:t xml:space="preserve"> (132.1).</w:t>
      </w:r>
    </w:p>
  </w:footnote>
  <w:footnote w:id="30">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61 Verfassung des Kantons St. Gallen (111.1).</w:t>
      </w:r>
    </w:p>
  </w:footnote>
  <w:footnote w:id="31">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59 Verfassung des Kantons </w:t>
      </w:r>
      <w:proofErr w:type="spellStart"/>
      <w:r w:rsidRPr="005150BD">
        <w:rPr>
          <w:rFonts w:ascii="Arial" w:hAnsi="Arial" w:cs="Arial"/>
          <w:sz w:val="18"/>
          <w:szCs w:val="18"/>
          <w:lang w:val="de-CH"/>
        </w:rPr>
        <w:t>Schaffausen</w:t>
      </w:r>
      <w:proofErr w:type="spellEnd"/>
      <w:r w:rsidRPr="005150BD">
        <w:rPr>
          <w:rFonts w:ascii="Arial" w:hAnsi="Arial" w:cs="Arial"/>
          <w:sz w:val="18"/>
          <w:szCs w:val="18"/>
          <w:lang w:val="de-CH"/>
        </w:rPr>
        <w:t xml:space="preserve"> (101.100).</w:t>
      </w:r>
    </w:p>
  </w:footnote>
  <w:footnote w:id="32">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5 </w:t>
      </w:r>
      <w:proofErr w:type="spellStart"/>
      <w:r w:rsidRPr="005150BD">
        <w:rPr>
          <w:rFonts w:ascii="Arial" w:hAnsi="Arial" w:cs="Arial"/>
          <w:sz w:val="18"/>
          <w:szCs w:val="18"/>
          <w:lang w:val="de-CH"/>
        </w:rPr>
        <w:t>cpv</w:t>
      </w:r>
      <w:proofErr w:type="spellEnd"/>
      <w:r w:rsidRPr="005150BD">
        <w:rPr>
          <w:rFonts w:ascii="Arial" w:hAnsi="Arial" w:cs="Arial"/>
          <w:sz w:val="18"/>
          <w:szCs w:val="18"/>
          <w:lang w:val="de-CH"/>
        </w:rPr>
        <w:t>. 2 Gesetz über den Kantonsrat (171.100).</w:t>
      </w:r>
    </w:p>
  </w:footnote>
  <w:footnote w:id="33">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65 Verfassung des Kantons Solothurn (111.1).</w:t>
      </w:r>
    </w:p>
  </w:footnote>
  <w:footnote w:id="34">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39 Geschäftsordnung für den Kantonsrat des Kantons Schwyz (142.110) e Art. 104 Justizgesetz (231.110).</w:t>
      </w:r>
    </w:p>
  </w:footnote>
  <w:footnote w:id="35">
    <w:p w:rsidR="005150BD" w:rsidRPr="005150BD" w:rsidRDefault="005150BD" w:rsidP="005150BD">
      <w:pPr>
        <w:pStyle w:val="Testonotaapidipagina"/>
        <w:tabs>
          <w:tab w:val="left" w:pos="5265"/>
        </w:tabs>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34 Verfassung des Kantons Thurgau (101).</w:t>
      </w:r>
    </w:p>
  </w:footnote>
  <w:footnote w:id="36">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10 </w:t>
      </w:r>
      <w:proofErr w:type="spellStart"/>
      <w:r w:rsidRPr="005150BD">
        <w:rPr>
          <w:rFonts w:ascii="Arial" w:hAnsi="Arial" w:cs="Arial"/>
          <w:sz w:val="18"/>
          <w:szCs w:val="18"/>
          <w:lang w:val="fr-CH"/>
        </w:rPr>
        <w:t>Geschäftsordnung</w:t>
      </w:r>
      <w:proofErr w:type="spellEnd"/>
      <w:r w:rsidRPr="005150BD">
        <w:rPr>
          <w:rFonts w:ascii="Arial" w:hAnsi="Arial" w:cs="Arial"/>
          <w:sz w:val="18"/>
          <w:szCs w:val="18"/>
          <w:lang w:val="fr-CH"/>
        </w:rPr>
        <w:t xml:space="preserve"> des </w:t>
      </w:r>
      <w:proofErr w:type="spellStart"/>
      <w:r w:rsidRPr="005150BD">
        <w:rPr>
          <w:rFonts w:ascii="Arial" w:hAnsi="Arial" w:cs="Arial"/>
          <w:sz w:val="18"/>
          <w:szCs w:val="18"/>
          <w:lang w:val="fr-CH"/>
        </w:rPr>
        <w:t>Landrates</w:t>
      </w:r>
      <w:proofErr w:type="spellEnd"/>
      <w:r w:rsidRPr="005150BD">
        <w:rPr>
          <w:rFonts w:ascii="Arial" w:hAnsi="Arial" w:cs="Arial"/>
          <w:sz w:val="18"/>
          <w:szCs w:val="18"/>
          <w:lang w:val="fr-CH"/>
        </w:rPr>
        <w:t xml:space="preserve"> (2.2131).</w:t>
      </w:r>
    </w:p>
  </w:footnote>
  <w:footnote w:id="37">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100 Constitution du Canton de Vaud (101.01).</w:t>
      </w:r>
    </w:p>
  </w:footnote>
  <w:footnote w:id="38">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17 Loi sur l’introduction du code de procédure pénale suisse (312.01) e Art. 14/23 loi sur le Grand Conseil (171.01).</w:t>
      </w:r>
    </w:p>
  </w:footnote>
  <w:footnote w:id="39">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50 Constitution du canton du Valais (101.019).</w:t>
      </w:r>
    </w:p>
  </w:footnote>
  <w:footnote w:id="40">
    <w:p w:rsidR="005150BD" w:rsidRPr="005150BD" w:rsidRDefault="005150BD" w:rsidP="005150BD">
      <w:pPr>
        <w:pStyle w:val="Testonotaapidipagina"/>
        <w:jc w:val="both"/>
        <w:rPr>
          <w:rFonts w:ascii="Arial" w:hAnsi="Arial" w:cs="Arial"/>
          <w:sz w:val="18"/>
          <w:szCs w:val="18"/>
          <w:lang w:val="fr-CH"/>
        </w:rPr>
      </w:pPr>
      <w:r w:rsidRPr="005150BD">
        <w:rPr>
          <w:rStyle w:val="Rimandonotaapidipagina"/>
          <w:rFonts w:ascii="Arial" w:hAnsi="Arial" w:cs="Arial"/>
          <w:sz w:val="18"/>
          <w:szCs w:val="18"/>
        </w:rPr>
        <w:footnoteRef/>
      </w:r>
      <w:r w:rsidRPr="005150BD">
        <w:rPr>
          <w:rFonts w:ascii="Arial" w:hAnsi="Arial" w:cs="Arial"/>
          <w:sz w:val="18"/>
          <w:szCs w:val="18"/>
          <w:lang w:val="fr-CH"/>
        </w:rPr>
        <w:t xml:space="preserve"> Art. 21 Loi d’application du code de procédure pénale suisse (312.0).</w:t>
      </w:r>
    </w:p>
  </w:footnote>
  <w:footnote w:id="41">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19bis Verfassung des Kantons Zug (111.1).</w:t>
      </w:r>
    </w:p>
  </w:footnote>
  <w:footnote w:id="42">
    <w:p w:rsidR="005150BD" w:rsidRPr="005150BD" w:rsidRDefault="005150BD" w:rsidP="005150BD">
      <w:pPr>
        <w:pStyle w:val="Testonotaapidipagina"/>
        <w:jc w:val="both"/>
        <w:rPr>
          <w:rFonts w:ascii="Arial" w:hAnsi="Arial" w:cs="Arial"/>
          <w:sz w:val="18"/>
          <w:szCs w:val="18"/>
          <w:lang w:val="de-CH"/>
        </w:rPr>
      </w:pPr>
      <w:r w:rsidRPr="005150BD">
        <w:rPr>
          <w:rStyle w:val="Rimandonotaapidipagina"/>
          <w:rFonts w:ascii="Arial" w:hAnsi="Arial" w:cs="Arial"/>
          <w:sz w:val="18"/>
          <w:szCs w:val="18"/>
        </w:rPr>
        <w:footnoteRef/>
      </w:r>
      <w:r w:rsidRPr="005150BD">
        <w:rPr>
          <w:rFonts w:ascii="Arial" w:hAnsi="Arial" w:cs="Arial"/>
          <w:sz w:val="18"/>
          <w:szCs w:val="18"/>
          <w:lang w:val="de-CH"/>
        </w:rPr>
        <w:t xml:space="preserve"> Art. 4 Gesetz über die Verantwortlichkeit der Gemeinwesen, </w:t>
      </w:r>
      <w:proofErr w:type="spellStart"/>
      <w:r w:rsidRPr="005150BD">
        <w:rPr>
          <w:rFonts w:ascii="Arial" w:hAnsi="Arial" w:cs="Arial"/>
          <w:sz w:val="18"/>
          <w:szCs w:val="18"/>
          <w:lang w:val="de-CH"/>
        </w:rPr>
        <w:t>Behördemitglieder</w:t>
      </w:r>
      <w:proofErr w:type="spellEnd"/>
      <w:r w:rsidRPr="005150BD">
        <w:rPr>
          <w:rFonts w:ascii="Arial" w:hAnsi="Arial" w:cs="Arial"/>
          <w:sz w:val="18"/>
          <w:szCs w:val="18"/>
          <w:lang w:val="de-CH"/>
        </w:rPr>
        <w:t xml:space="preserve"> und Beamten (154.11).</w:t>
      </w:r>
    </w:p>
  </w:footnote>
  <w:footnote w:id="43">
    <w:p w:rsidR="005150BD" w:rsidRPr="002B6375" w:rsidRDefault="005150BD" w:rsidP="005150BD">
      <w:pPr>
        <w:pStyle w:val="Testonotaapidipagina"/>
        <w:jc w:val="both"/>
        <w:rPr>
          <w:rFonts w:ascii="Arial" w:hAnsi="Arial" w:cs="Arial"/>
          <w:sz w:val="18"/>
          <w:szCs w:val="18"/>
          <w:lang w:val="de-CH"/>
        </w:rPr>
      </w:pPr>
      <w:r w:rsidRPr="002B6375">
        <w:rPr>
          <w:rStyle w:val="Rimandonotaapidipagina"/>
          <w:rFonts w:ascii="Arial" w:hAnsi="Arial" w:cs="Arial"/>
          <w:sz w:val="18"/>
          <w:szCs w:val="18"/>
        </w:rPr>
        <w:footnoteRef/>
      </w:r>
      <w:r w:rsidRPr="002B6375">
        <w:rPr>
          <w:rFonts w:ascii="Arial" w:hAnsi="Arial" w:cs="Arial"/>
          <w:sz w:val="18"/>
          <w:szCs w:val="18"/>
          <w:lang w:val="de-CH"/>
        </w:rPr>
        <w:t xml:space="preserve"> Art. 44 Verfassung des Kantons Zürich (101).</w:t>
      </w:r>
    </w:p>
  </w:footnote>
  <w:footnote w:id="44">
    <w:p w:rsidR="005150BD" w:rsidRPr="002B6375" w:rsidRDefault="005150BD" w:rsidP="005150BD">
      <w:pPr>
        <w:pStyle w:val="Testonotaapidipagina"/>
        <w:jc w:val="both"/>
        <w:rPr>
          <w:rFonts w:ascii="Arial" w:hAnsi="Arial" w:cs="Arial"/>
          <w:sz w:val="18"/>
          <w:szCs w:val="18"/>
        </w:rPr>
      </w:pPr>
      <w:r w:rsidRPr="002B6375">
        <w:rPr>
          <w:rStyle w:val="Rimandonotaapidipagina"/>
          <w:rFonts w:ascii="Arial" w:hAnsi="Arial" w:cs="Arial"/>
          <w:sz w:val="18"/>
          <w:szCs w:val="18"/>
        </w:rPr>
        <w:footnoteRef/>
      </w:r>
      <w:r w:rsidRPr="002B6375">
        <w:rPr>
          <w:rFonts w:ascii="Arial" w:hAnsi="Arial" w:cs="Arial"/>
          <w:sz w:val="18"/>
          <w:szCs w:val="18"/>
        </w:rPr>
        <w:t xml:space="preserve"> Art. 10/37 </w:t>
      </w:r>
      <w:proofErr w:type="spellStart"/>
      <w:r w:rsidRPr="002B6375">
        <w:rPr>
          <w:rFonts w:ascii="Arial" w:hAnsi="Arial" w:cs="Arial"/>
          <w:sz w:val="18"/>
          <w:szCs w:val="18"/>
        </w:rPr>
        <w:t>Kantonsratgesetz</w:t>
      </w:r>
      <w:proofErr w:type="spellEnd"/>
      <w:r w:rsidRPr="002B6375">
        <w:rPr>
          <w:rFonts w:ascii="Arial" w:hAnsi="Arial" w:cs="Arial"/>
          <w:sz w:val="18"/>
          <w:szCs w:val="18"/>
        </w:rPr>
        <w:t xml:space="preserve"> (171.1).</w:t>
      </w:r>
    </w:p>
  </w:footnote>
  <w:footnote w:id="45">
    <w:p w:rsidR="005150BD" w:rsidRPr="003824D8" w:rsidRDefault="005150BD" w:rsidP="005150BD">
      <w:pPr>
        <w:pStyle w:val="Testonotaapidipagina"/>
        <w:rPr>
          <w:rFonts w:ascii="Arial" w:hAnsi="Arial" w:cs="Arial"/>
          <w:sz w:val="22"/>
          <w:szCs w:val="22"/>
        </w:rPr>
      </w:pPr>
      <w:r w:rsidRPr="003824D8">
        <w:rPr>
          <w:rStyle w:val="Rimandonotaapidipagina"/>
          <w:rFonts w:ascii="Arial" w:hAnsi="Arial" w:cs="Arial"/>
          <w:sz w:val="22"/>
          <w:szCs w:val="22"/>
        </w:rPr>
        <w:footnoteRef/>
      </w:r>
      <w:r w:rsidRPr="003824D8">
        <w:rPr>
          <w:rFonts w:ascii="Arial" w:hAnsi="Arial" w:cs="Arial"/>
          <w:sz w:val="22"/>
          <w:szCs w:val="22"/>
        </w:rPr>
        <w:t xml:space="preserve"> Rapporto della commissione di Venezia del 14.05.’14.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28CA"/>
    <w:rsid w:val="001B6091"/>
    <w:rsid w:val="0027376D"/>
    <w:rsid w:val="002B6375"/>
    <w:rsid w:val="002E5E40"/>
    <w:rsid w:val="005150BD"/>
    <w:rsid w:val="0052425A"/>
    <w:rsid w:val="00586A8D"/>
    <w:rsid w:val="006D7A3B"/>
    <w:rsid w:val="007B5462"/>
    <w:rsid w:val="008034BD"/>
    <w:rsid w:val="00876352"/>
    <w:rsid w:val="00884967"/>
    <w:rsid w:val="008B4137"/>
    <w:rsid w:val="008C767A"/>
    <w:rsid w:val="008E77C6"/>
    <w:rsid w:val="00952F3C"/>
    <w:rsid w:val="009770BB"/>
    <w:rsid w:val="009E008D"/>
    <w:rsid w:val="00A5465F"/>
    <w:rsid w:val="00A77678"/>
    <w:rsid w:val="00B23B27"/>
    <w:rsid w:val="00BC4C95"/>
    <w:rsid w:val="00BD5944"/>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5150BD"/>
    <w:rPr>
      <w:u w:val="single"/>
    </w:rPr>
  </w:style>
  <w:style w:type="paragraph" w:customStyle="1" w:styleId="Corpo">
    <w:name w:val="Corpo"/>
    <w:rsid w:val="005150BD"/>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 w:type="paragraph" w:styleId="NormaleWeb">
    <w:name w:val="Normal (Web)"/>
    <w:basedOn w:val="Normale"/>
    <w:uiPriority w:val="99"/>
    <w:semiHidden/>
    <w:unhideWhenUsed/>
    <w:rsid w:val="005150BD"/>
    <w:pPr>
      <w:spacing w:after="165"/>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uiPriority w:val="99"/>
    <w:semiHidden/>
    <w:unhideWhenUsed/>
    <w:rsid w:val="005150BD"/>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150BD"/>
    <w:rPr>
      <w:sz w:val="20"/>
      <w:szCs w:val="20"/>
    </w:rPr>
  </w:style>
  <w:style w:type="character" w:styleId="Rimandonotaapidipagina">
    <w:name w:val="footnote reference"/>
    <w:basedOn w:val="Carpredefinitoparagrafo"/>
    <w:uiPriority w:val="99"/>
    <w:semiHidden/>
    <w:unhideWhenUsed/>
    <w:rsid w:val="005150BD"/>
    <w:rPr>
      <w:vertAlign w:val="superscript"/>
    </w:rPr>
  </w:style>
  <w:style w:type="table" w:styleId="Grigliatabella">
    <w:name w:val="Table Grid"/>
    <w:basedOn w:val="Tabellanormale"/>
    <w:uiPriority w:val="59"/>
    <w:rsid w:val="005150BD"/>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27376D"/>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2737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5150BD"/>
    <w:rPr>
      <w:u w:val="single"/>
    </w:rPr>
  </w:style>
  <w:style w:type="paragraph" w:customStyle="1" w:styleId="Corpo">
    <w:name w:val="Corpo"/>
    <w:rsid w:val="005150BD"/>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 w:type="paragraph" w:styleId="NormaleWeb">
    <w:name w:val="Normal (Web)"/>
    <w:basedOn w:val="Normale"/>
    <w:uiPriority w:val="99"/>
    <w:semiHidden/>
    <w:unhideWhenUsed/>
    <w:rsid w:val="005150BD"/>
    <w:pPr>
      <w:spacing w:after="165"/>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uiPriority w:val="99"/>
    <w:semiHidden/>
    <w:unhideWhenUsed/>
    <w:rsid w:val="005150BD"/>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150BD"/>
    <w:rPr>
      <w:sz w:val="20"/>
      <w:szCs w:val="20"/>
    </w:rPr>
  </w:style>
  <w:style w:type="character" w:styleId="Rimandonotaapidipagina">
    <w:name w:val="footnote reference"/>
    <w:basedOn w:val="Carpredefinitoparagrafo"/>
    <w:uiPriority w:val="99"/>
    <w:semiHidden/>
    <w:unhideWhenUsed/>
    <w:rsid w:val="005150BD"/>
    <w:rPr>
      <w:vertAlign w:val="superscript"/>
    </w:rPr>
  </w:style>
  <w:style w:type="table" w:styleId="Grigliatabella">
    <w:name w:val="Table Grid"/>
    <w:basedOn w:val="Tabellanormale"/>
    <w:uiPriority w:val="59"/>
    <w:rsid w:val="005150BD"/>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27376D"/>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2737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ch/it/%C3%BCber-das-parlament/parlamentsw%c3%b6rterbuch/parlamentsw%c3%b6rterbuch-detail?WordId=1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01E8-AAAD-4A5B-B6A2-B1D2A227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4020</Words>
  <Characters>22918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2016-12-28T15:37:00Z</cp:lastPrinted>
  <dcterms:created xsi:type="dcterms:W3CDTF">2016-12-28T15:14:00Z</dcterms:created>
  <dcterms:modified xsi:type="dcterms:W3CDTF">2017-01-11T09:42:00Z</dcterms:modified>
</cp:coreProperties>
</file>