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55153B">
      <w:pPr>
        <w:rPr>
          <w:rFonts w:cs="Arial"/>
          <w:szCs w:val="24"/>
        </w:rPr>
      </w:pPr>
      <w:r>
        <w:rPr>
          <w:rFonts w:ascii="Gill Sans MT" w:hAnsi="Gill Sans MT"/>
          <w:b/>
          <w:sz w:val="56"/>
          <w:szCs w:val="56"/>
        </w:rPr>
        <w:t>Rapporto</w:t>
      </w:r>
      <w:bookmarkStart w:id="0" w:name="_GoBack"/>
      <w:bookmarkEnd w:id="0"/>
    </w:p>
    <w:p w:rsidR="00C40FF7" w:rsidRDefault="00C40FF7">
      <w:pPr>
        <w:rPr>
          <w:rFonts w:cs="Arial"/>
          <w:szCs w:val="24"/>
        </w:rPr>
      </w:pPr>
    </w:p>
    <w:p w:rsidR="00076E70" w:rsidRDefault="00076E70">
      <w:pPr>
        <w:rPr>
          <w:rFonts w:cs="Arial"/>
          <w:szCs w:val="24"/>
        </w:rPr>
      </w:pPr>
    </w:p>
    <w:p w:rsidR="008B4137" w:rsidRDefault="008B4137" w:rsidP="006D7A3B">
      <w:pPr>
        <w:tabs>
          <w:tab w:val="left" w:pos="2098"/>
          <w:tab w:val="left" w:pos="4933"/>
        </w:tabs>
        <w:rPr>
          <w:rFonts w:cs="Arial"/>
          <w:szCs w:val="24"/>
        </w:rPr>
      </w:pPr>
      <w:r w:rsidRPr="008B4137">
        <w:rPr>
          <w:rFonts w:cs="Arial"/>
          <w:sz w:val="28"/>
          <w:szCs w:val="28"/>
        </w:rPr>
        <w:tab/>
      </w:r>
      <w:r w:rsidR="00442D80">
        <w:rPr>
          <w:rFonts w:cs="Arial"/>
          <w:sz w:val="28"/>
          <w:szCs w:val="28"/>
        </w:rPr>
        <w:t>5 dicembre 2016</w:t>
      </w:r>
      <w:r w:rsidRPr="008B4137">
        <w:rPr>
          <w:rFonts w:cs="Arial"/>
          <w:sz w:val="28"/>
          <w:szCs w:val="28"/>
        </w:rPr>
        <w:tab/>
      </w:r>
      <w:r w:rsidR="00442D80">
        <w:rPr>
          <w:rFonts w:cs="Arial"/>
          <w:sz w:val="28"/>
          <w:szCs w:val="28"/>
        </w:rPr>
        <w:t>GRAN CONSIGLIO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442D80" w:rsidRPr="00442D80" w:rsidRDefault="00442D80" w:rsidP="00442D80">
      <w:pPr>
        <w:rPr>
          <w:rFonts w:cs="Arial"/>
          <w:b/>
          <w:snapToGrid w:val="0"/>
          <w:sz w:val="28"/>
          <w:szCs w:val="28"/>
        </w:rPr>
      </w:pPr>
      <w:r w:rsidRPr="00442D80">
        <w:rPr>
          <w:rFonts w:cs="Arial"/>
          <w:b/>
          <w:snapToGrid w:val="0"/>
          <w:sz w:val="28"/>
          <w:szCs w:val="28"/>
        </w:rPr>
        <w:t xml:space="preserve">della Commissione speciale </w:t>
      </w:r>
      <w:r>
        <w:rPr>
          <w:rFonts w:cs="Arial"/>
          <w:b/>
          <w:snapToGrid w:val="0"/>
          <w:sz w:val="28"/>
          <w:szCs w:val="28"/>
        </w:rPr>
        <w:t>r</w:t>
      </w:r>
      <w:r w:rsidRPr="00442D80">
        <w:rPr>
          <w:rFonts w:cs="Arial"/>
          <w:b/>
          <w:snapToGrid w:val="0"/>
          <w:sz w:val="28"/>
          <w:szCs w:val="28"/>
        </w:rPr>
        <w:t>evisione Legge sul Gran Consiglio</w:t>
      </w:r>
    </w:p>
    <w:p w:rsidR="00442D80" w:rsidRPr="00442D80" w:rsidRDefault="00442D80" w:rsidP="00234AAF">
      <w:pPr>
        <w:pStyle w:val="Paragrafoelenco"/>
        <w:numPr>
          <w:ilvl w:val="0"/>
          <w:numId w:val="6"/>
        </w:numPr>
        <w:spacing w:before="80"/>
        <w:ind w:left="284" w:hanging="284"/>
        <w:rPr>
          <w:rFonts w:cs="Arial"/>
        </w:rPr>
      </w:pPr>
      <w:r w:rsidRPr="00442D80">
        <w:rPr>
          <w:rFonts w:cs="Arial"/>
          <w:b/>
          <w:sz w:val="28"/>
          <w:szCs w:val="28"/>
        </w:rPr>
        <w:t>sull’iniziativa parlamentare 25 settembre 2012 presentata nella forma elaborata da Michele Guerra, Sergio Morisoli e cofirmatari, per l'</w:t>
      </w:r>
      <w:proofErr w:type="spellStart"/>
      <w:r w:rsidRPr="00442D80">
        <w:rPr>
          <w:rFonts w:cs="Arial"/>
          <w:b/>
          <w:sz w:val="28"/>
          <w:szCs w:val="28"/>
        </w:rPr>
        <w:t>intergruppo</w:t>
      </w:r>
      <w:proofErr w:type="spellEnd"/>
      <w:r w:rsidRPr="00442D80">
        <w:rPr>
          <w:rFonts w:cs="Arial"/>
          <w:b/>
          <w:sz w:val="28"/>
          <w:szCs w:val="28"/>
        </w:rPr>
        <w:t xml:space="preserve"> parlamentare promozione economica, per una modifica della LGC/CdS intesa a "Velocizzare i tempi di evasione degli atti parlamentari"</w:t>
      </w:r>
    </w:p>
    <w:p w:rsidR="00442D80" w:rsidRPr="00442D80" w:rsidRDefault="00442D80" w:rsidP="00234AAF">
      <w:pPr>
        <w:numPr>
          <w:ilvl w:val="0"/>
          <w:numId w:val="6"/>
        </w:numPr>
        <w:spacing w:before="80"/>
        <w:ind w:left="284" w:hanging="284"/>
        <w:rPr>
          <w:rFonts w:cs="Arial"/>
          <w:b/>
          <w:sz w:val="28"/>
          <w:szCs w:val="28"/>
        </w:rPr>
      </w:pPr>
      <w:r w:rsidRPr="00442D80">
        <w:rPr>
          <w:rFonts w:cs="Arial"/>
          <w:b/>
          <w:sz w:val="28"/>
          <w:szCs w:val="28"/>
        </w:rPr>
        <w:t>sull’iniziativa parlamentare 19 settembre 2016 presentata nella forma generica da Patrizia Ramsauer “Gli atti parlamentari DEVONO essere risolti in termini brevi”</w:t>
      </w:r>
    </w:p>
    <w:p w:rsidR="00442D80" w:rsidRDefault="00442D80" w:rsidP="00442D80">
      <w:pPr>
        <w:rPr>
          <w:sz w:val="28"/>
        </w:rPr>
      </w:pPr>
    </w:p>
    <w:p w:rsidR="00442D80" w:rsidRPr="004C26CD" w:rsidRDefault="00442D80" w:rsidP="00442D80">
      <w:pPr>
        <w:rPr>
          <w:sz w:val="28"/>
        </w:rPr>
      </w:pPr>
    </w:p>
    <w:p w:rsidR="00442D80" w:rsidRPr="004C26CD" w:rsidRDefault="00442D80" w:rsidP="00442D80">
      <w:pPr>
        <w:rPr>
          <w:sz w:val="28"/>
        </w:rPr>
      </w:pPr>
    </w:p>
    <w:p w:rsidR="00442D80" w:rsidRPr="001A509E" w:rsidRDefault="00442D80" w:rsidP="00442D80">
      <w:pPr>
        <w:pStyle w:val="Titolo1"/>
      </w:pPr>
      <w:r>
        <w:t>L’INIZIATIVA PARLAMENTARE ELABORATA</w:t>
      </w:r>
    </w:p>
    <w:p w:rsidR="00442D80" w:rsidRPr="00442D80" w:rsidRDefault="00442D80" w:rsidP="00442D80">
      <w:pPr>
        <w:rPr>
          <w:rFonts w:cs="Arial"/>
        </w:rPr>
      </w:pPr>
      <w:r w:rsidRPr="00442D80">
        <w:rPr>
          <w:rFonts w:cs="Arial"/>
          <w:color w:val="000000" w:themeColor="text1"/>
        </w:rPr>
        <w:t xml:space="preserve">La prima iniziativa </w:t>
      </w:r>
      <w:r w:rsidRPr="00442D80">
        <w:rPr>
          <w:rFonts w:cs="Arial"/>
        </w:rPr>
        <w:t>parlamentare in oggetto, presentata da Michele Guerra, Sergio Morisoli e cofirmatari, vede le sue origini nell'</w:t>
      </w:r>
      <w:proofErr w:type="spellStart"/>
      <w:r w:rsidRPr="00442D80">
        <w:rPr>
          <w:rFonts w:cs="Arial"/>
        </w:rPr>
        <w:t>intergruppo</w:t>
      </w:r>
      <w:proofErr w:type="spellEnd"/>
      <w:r w:rsidR="00234AAF">
        <w:rPr>
          <w:rFonts w:cs="Arial"/>
        </w:rPr>
        <w:t xml:space="preserve"> parlamentare “</w:t>
      </w:r>
      <w:r w:rsidRPr="00442D80">
        <w:rPr>
          <w:rFonts w:cs="Arial"/>
        </w:rPr>
        <w:t>Per la politica estera e la promozione economica</w:t>
      </w:r>
      <w:r w:rsidR="00234AAF">
        <w:rPr>
          <w:rFonts w:cs="Arial"/>
        </w:rPr>
        <w:t>”</w:t>
      </w:r>
      <w:r w:rsidRPr="00442D80">
        <w:rPr>
          <w:rFonts w:cs="Arial"/>
        </w:rPr>
        <w:t xml:space="preserve"> (IPEPE). Questo </w:t>
      </w:r>
      <w:proofErr w:type="spellStart"/>
      <w:r w:rsidRPr="00442D80">
        <w:rPr>
          <w:rFonts w:cs="Arial"/>
        </w:rPr>
        <w:t>Intergruppo</w:t>
      </w:r>
      <w:proofErr w:type="spellEnd"/>
      <w:r w:rsidRPr="00442D80">
        <w:rPr>
          <w:rFonts w:cs="Arial"/>
        </w:rPr>
        <w:t xml:space="preserve"> si prefigge di proporre al Gran Consiglio delle misure, tramite mozioni ed iniziative puntuali concertate tra i membri, volte a modificare quelle leggi che costituiscono un impedimento allo sviluppo economico del Cantone. Invece di limitarsi ad aspettare passivamente i messaggi governativi, si vuole dunque far diventare prima i deputati dell’</w:t>
      </w:r>
      <w:proofErr w:type="spellStart"/>
      <w:r w:rsidRPr="00442D80">
        <w:rPr>
          <w:rFonts w:cs="Arial"/>
        </w:rPr>
        <w:t>Intergruppo</w:t>
      </w:r>
      <w:proofErr w:type="spellEnd"/>
      <w:r w:rsidRPr="00442D80">
        <w:rPr>
          <w:rFonts w:cs="Arial"/>
        </w:rPr>
        <w:t xml:space="preserve"> e quindi il Gran Consiglio più propositivi nel rilancio economico e del lavoro in Ticino.</w:t>
      </w:r>
    </w:p>
    <w:p w:rsidR="00442D80" w:rsidRPr="00442D80" w:rsidRDefault="00442D80" w:rsidP="00442D80">
      <w:pPr>
        <w:rPr>
          <w:rFonts w:cs="Arial"/>
        </w:rPr>
      </w:pPr>
    </w:p>
    <w:p w:rsidR="00442D80" w:rsidRPr="00442D80" w:rsidRDefault="00442D80" w:rsidP="00442D80">
      <w:pPr>
        <w:rPr>
          <w:rFonts w:cs="Arial"/>
        </w:rPr>
      </w:pPr>
      <w:r w:rsidRPr="00442D80">
        <w:rPr>
          <w:rFonts w:cs="Arial"/>
        </w:rPr>
        <w:t>Queste buone intenzioni si sono però scontrate con tempi di risposta biblici in barba ai termini già attualmente in vigore. Inutile quindi, a detta dei proponenti, fare altre proposte se bisogna attendere anche ben oltre la durata di una legislatura per avere risposta, quando la mozione dev’essere lo strumento per suggerire e fare proposte anche con una certa urgenza. Il trascorrere del tempo porta infatti molto spesso le mozioni a perdere la loro ragione d’essere.</w:t>
      </w:r>
    </w:p>
    <w:p w:rsidR="00442D80" w:rsidRPr="00442D80" w:rsidRDefault="00442D80" w:rsidP="00442D80">
      <w:pPr>
        <w:rPr>
          <w:rFonts w:cs="Arial"/>
        </w:rPr>
      </w:pPr>
    </w:p>
    <w:p w:rsidR="00442D80" w:rsidRPr="00442D80" w:rsidRDefault="00442D80" w:rsidP="00442D80">
      <w:pPr>
        <w:rPr>
          <w:rFonts w:cs="Arial"/>
        </w:rPr>
      </w:pPr>
      <w:r w:rsidRPr="00442D80">
        <w:rPr>
          <w:rFonts w:cs="Arial"/>
        </w:rPr>
        <w:t>Prendendo spunto dall’</w:t>
      </w:r>
      <w:proofErr w:type="spellStart"/>
      <w:r w:rsidRPr="00442D80">
        <w:rPr>
          <w:rFonts w:cs="Arial"/>
        </w:rPr>
        <w:t>inizativa</w:t>
      </w:r>
      <w:proofErr w:type="spellEnd"/>
      <w:r w:rsidRPr="00442D80">
        <w:rPr>
          <w:rFonts w:cs="Arial"/>
        </w:rPr>
        <w:t xml:space="preserve"> parlamentare in esame, oltre ad accettare parzialmente le proposte dell’Iniziativa, la Commissione - con l’aiuto del Segretario generale e del Consulente giuridico, che si ringraziano - ha colto l’occasione per rivedere integralmente la procedura riguardante la Mozione (</w:t>
      </w:r>
      <w:r w:rsidR="00234AAF">
        <w:rPr>
          <w:rFonts w:cs="Arial"/>
        </w:rPr>
        <w:t>a</w:t>
      </w:r>
      <w:r w:rsidRPr="00442D80">
        <w:rPr>
          <w:rFonts w:cs="Arial"/>
        </w:rPr>
        <w:t>rt. 105) a beneficio dei lavori del Gran Consiglio e delle sue Commissioni come pure del Consiglio di Stato. Infatti, come si evince dalla tabella sottostante, negli anni il numero delle mozioni è aumentato notevolmente e di riflesso anche il numero di rapporti elaborati dal Consiglio di Stato e quelli poi trasmessi alle Commissioni e trattati in Gran Consiglio.</w:t>
      </w:r>
    </w:p>
    <w:p w:rsidR="00442D80" w:rsidRPr="00442D80" w:rsidRDefault="00442D80" w:rsidP="00442D80">
      <w:pPr>
        <w:rPr>
          <w:rFonts w:cs="Arial"/>
        </w:rPr>
      </w:pPr>
    </w:p>
    <w:p w:rsidR="00442D80" w:rsidRPr="00442D80" w:rsidRDefault="00442D80" w:rsidP="00442D80">
      <w:pPr>
        <w:rPr>
          <w:rFonts w:cs="Arial"/>
        </w:rPr>
      </w:pPr>
    </w:p>
    <w:p w:rsidR="00442D80" w:rsidRPr="00442D80" w:rsidRDefault="00442D80" w:rsidP="00442D80">
      <w:pPr>
        <w:rPr>
          <w:rFonts w:cs="Arial"/>
        </w:rPr>
      </w:pPr>
    </w:p>
    <w:tbl>
      <w:tblPr>
        <w:tblStyle w:val="Grigliatabella"/>
        <w:tblW w:w="9639" w:type="dxa"/>
        <w:jc w:val="center"/>
        <w:tblLayout w:type="fixed"/>
        <w:tblLook w:val="04A0" w:firstRow="1" w:lastRow="0" w:firstColumn="1" w:lastColumn="0" w:noHBand="0" w:noVBand="1"/>
      </w:tblPr>
      <w:tblGrid>
        <w:gridCol w:w="1644"/>
        <w:gridCol w:w="2665"/>
        <w:gridCol w:w="2665"/>
        <w:gridCol w:w="2665"/>
      </w:tblGrid>
      <w:tr w:rsidR="00442D80" w:rsidRPr="007600FD" w:rsidTr="002C1375">
        <w:trPr>
          <w:jc w:val="center"/>
        </w:trPr>
        <w:tc>
          <w:tcPr>
            <w:tcW w:w="1644" w:type="dxa"/>
          </w:tcPr>
          <w:p w:rsidR="00442D80" w:rsidRPr="007600FD" w:rsidRDefault="00442D80" w:rsidP="002C1375">
            <w:pPr>
              <w:spacing w:before="40" w:after="40"/>
              <w:jc w:val="center"/>
              <w:rPr>
                <w:b/>
                <w:sz w:val="22"/>
              </w:rPr>
            </w:pPr>
            <w:r w:rsidRPr="007600FD">
              <w:rPr>
                <w:b/>
                <w:sz w:val="22"/>
              </w:rPr>
              <w:lastRenderedPageBreak/>
              <w:t>Anno</w:t>
            </w:r>
          </w:p>
        </w:tc>
        <w:tc>
          <w:tcPr>
            <w:tcW w:w="2665" w:type="dxa"/>
          </w:tcPr>
          <w:p w:rsidR="00442D80" w:rsidRPr="007600FD" w:rsidRDefault="00442D80" w:rsidP="002C1375">
            <w:pPr>
              <w:spacing w:before="40" w:after="40"/>
              <w:jc w:val="center"/>
              <w:rPr>
                <w:b/>
                <w:sz w:val="22"/>
              </w:rPr>
            </w:pPr>
            <w:r w:rsidRPr="007600FD">
              <w:rPr>
                <w:b/>
                <w:sz w:val="22"/>
              </w:rPr>
              <w:t>Mozioni depositate</w:t>
            </w:r>
          </w:p>
        </w:tc>
        <w:tc>
          <w:tcPr>
            <w:tcW w:w="2665" w:type="dxa"/>
          </w:tcPr>
          <w:p w:rsidR="00442D80" w:rsidRPr="007600FD" w:rsidRDefault="00442D80" w:rsidP="002C1375">
            <w:pPr>
              <w:spacing w:before="40" w:after="40"/>
              <w:jc w:val="center"/>
              <w:rPr>
                <w:b/>
                <w:sz w:val="22"/>
              </w:rPr>
            </w:pPr>
            <w:r w:rsidRPr="007600FD">
              <w:rPr>
                <w:b/>
                <w:sz w:val="22"/>
              </w:rPr>
              <w:t>Rapporti del CdS</w:t>
            </w:r>
          </w:p>
        </w:tc>
        <w:tc>
          <w:tcPr>
            <w:tcW w:w="2665" w:type="dxa"/>
          </w:tcPr>
          <w:p w:rsidR="00442D80" w:rsidRPr="007600FD" w:rsidRDefault="00442D80" w:rsidP="002C1375">
            <w:pPr>
              <w:spacing w:before="40" w:after="40"/>
              <w:jc w:val="center"/>
              <w:rPr>
                <w:b/>
                <w:sz w:val="22"/>
              </w:rPr>
            </w:pPr>
            <w:r w:rsidRPr="007600FD">
              <w:rPr>
                <w:b/>
                <w:sz w:val="22"/>
              </w:rPr>
              <w:t>Trasmessi a Commissioni</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2003</w:t>
            </w:r>
          </w:p>
        </w:tc>
        <w:tc>
          <w:tcPr>
            <w:tcW w:w="2665" w:type="dxa"/>
          </w:tcPr>
          <w:p w:rsidR="00442D80" w:rsidRPr="007600FD" w:rsidRDefault="00442D80" w:rsidP="002C1375">
            <w:pPr>
              <w:spacing w:before="40" w:after="40"/>
              <w:jc w:val="center"/>
              <w:rPr>
                <w:sz w:val="22"/>
              </w:rPr>
            </w:pPr>
            <w:r w:rsidRPr="007600FD">
              <w:rPr>
                <w:sz w:val="22"/>
              </w:rPr>
              <w:t>41</w:t>
            </w:r>
          </w:p>
        </w:tc>
        <w:tc>
          <w:tcPr>
            <w:tcW w:w="2665" w:type="dxa"/>
          </w:tcPr>
          <w:p w:rsidR="00442D80" w:rsidRPr="007600FD" w:rsidRDefault="00442D80" w:rsidP="002C1375">
            <w:pPr>
              <w:spacing w:before="40" w:after="40"/>
              <w:jc w:val="center"/>
              <w:rPr>
                <w:sz w:val="22"/>
              </w:rPr>
            </w:pPr>
            <w:r w:rsidRPr="007600FD">
              <w:rPr>
                <w:sz w:val="22"/>
              </w:rPr>
              <w:t>11</w:t>
            </w:r>
          </w:p>
        </w:tc>
        <w:tc>
          <w:tcPr>
            <w:tcW w:w="2665" w:type="dxa"/>
          </w:tcPr>
          <w:p w:rsidR="00442D80" w:rsidRPr="007600FD" w:rsidRDefault="00442D80" w:rsidP="002C1375">
            <w:pPr>
              <w:spacing w:before="40" w:after="40"/>
              <w:jc w:val="center"/>
              <w:rPr>
                <w:sz w:val="22"/>
              </w:rPr>
            </w:pPr>
            <w:r w:rsidRPr="007600FD">
              <w:rPr>
                <w:sz w:val="22"/>
              </w:rPr>
              <w:t>10</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2004</w:t>
            </w:r>
          </w:p>
        </w:tc>
        <w:tc>
          <w:tcPr>
            <w:tcW w:w="2665" w:type="dxa"/>
          </w:tcPr>
          <w:p w:rsidR="00442D80" w:rsidRPr="007600FD" w:rsidRDefault="00442D80" w:rsidP="002C1375">
            <w:pPr>
              <w:spacing w:before="40" w:after="40"/>
              <w:jc w:val="center"/>
              <w:rPr>
                <w:sz w:val="22"/>
              </w:rPr>
            </w:pPr>
            <w:r w:rsidRPr="007600FD">
              <w:rPr>
                <w:sz w:val="22"/>
              </w:rPr>
              <w:t>31</w:t>
            </w:r>
          </w:p>
        </w:tc>
        <w:tc>
          <w:tcPr>
            <w:tcW w:w="2665" w:type="dxa"/>
          </w:tcPr>
          <w:p w:rsidR="00442D80" w:rsidRPr="007600FD" w:rsidRDefault="00442D80" w:rsidP="002C1375">
            <w:pPr>
              <w:spacing w:before="40" w:after="40"/>
              <w:jc w:val="center"/>
              <w:rPr>
                <w:sz w:val="22"/>
              </w:rPr>
            </w:pPr>
            <w:r w:rsidRPr="007600FD">
              <w:rPr>
                <w:sz w:val="22"/>
              </w:rPr>
              <w:t>29</w:t>
            </w:r>
          </w:p>
        </w:tc>
        <w:tc>
          <w:tcPr>
            <w:tcW w:w="2665" w:type="dxa"/>
          </w:tcPr>
          <w:p w:rsidR="00442D80" w:rsidRPr="007600FD" w:rsidRDefault="00442D80" w:rsidP="002C1375">
            <w:pPr>
              <w:spacing w:before="40" w:after="40"/>
              <w:jc w:val="center"/>
              <w:rPr>
                <w:sz w:val="22"/>
              </w:rPr>
            </w:pPr>
            <w:r w:rsidRPr="007600FD">
              <w:rPr>
                <w:sz w:val="22"/>
              </w:rPr>
              <w:t>19</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2005</w:t>
            </w:r>
          </w:p>
        </w:tc>
        <w:tc>
          <w:tcPr>
            <w:tcW w:w="2665" w:type="dxa"/>
          </w:tcPr>
          <w:p w:rsidR="00442D80" w:rsidRPr="007600FD" w:rsidRDefault="00442D80" w:rsidP="002C1375">
            <w:pPr>
              <w:spacing w:before="40" w:after="40"/>
              <w:jc w:val="center"/>
              <w:rPr>
                <w:sz w:val="22"/>
              </w:rPr>
            </w:pPr>
            <w:r w:rsidRPr="007600FD">
              <w:rPr>
                <w:sz w:val="22"/>
              </w:rPr>
              <w:t>56</w:t>
            </w:r>
          </w:p>
        </w:tc>
        <w:tc>
          <w:tcPr>
            <w:tcW w:w="2665" w:type="dxa"/>
          </w:tcPr>
          <w:p w:rsidR="00442D80" w:rsidRPr="007600FD" w:rsidRDefault="00442D80" w:rsidP="002C1375">
            <w:pPr>
              <w:spacing w:before="40" w:after="40"/>
              <w:jc w:val="center"/>
              <w:rPr>
                <w:sz w:val="22"/>
              </w:rPr>
            </w:pPr>
            <w:r w:rsidRPr="007600FD">
              <w:rPr>
                <w:sz w:val="22"/>
              </w:rPr>
              <w:t>39</w:t>
            </w:r>
          </w:p>
        </w:tc>
        <w:tc>
          <w:tcPr>
            <w:tcW w:w="2665" w:type="dxa"/>
          </w:tcPr>
          <w:p w:rsidR="00442D80" w:rsidRPr="007600FD" w:rsidRDefault="00442D80" w:rsidP="002C1375">
            <w:pPr>
              <w:spacing w:before="40" w:after="40"/>
              <w:jc w:val="center"/>
              <w:rPr>
                <w:sz w:val="22"/>
              </w:rPr>
            </w:pPr>
            <w:r w:rsidRPr="007600FD">
              <w:rPr>
                <w:sz w:val="22"/>
              </w:rPr>
              <w:t>25</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2006</w:t>
            </w:r>
          </w:p>
        </w:tc>
        <w:tc>
          <w:tcPr>
            <w:tcW w:w="2665" w:type="dxa"/>
          </w:tcPr>
          <w:p w:rsidR="00442D80" w:rsidRPr="007600FD" w:rsidRDefault="00442D80" w:rsidP="002C1375">
            <w:pPr>
              <w:spacing w:before="40" w:after="40"/>
              <w:jc w:val="center"/>
              <w:rPr>
                <w:sz w:val="22"/>
              </w:rPr>
            </w:pPr>
            <w:r w:rsidRPr="007600FD">
              <w:rPr>
                <w:sz w:val="22"/>
              </w:rPr>
              <w:t>65</w:t>
            </w:r>
          </w:p>
        </w:tc>
        <w:tc>
          <w:tcPr>
            <w:tcW w:w="2665" w:type="dxa"/>
          </w:tcPr>
          <w:p w:rsidR="00442D80" w:rsidRPr="007600FD" w:rsidRDefault="00442D80" w:rsidP="002C1375">
            <w:pPr>
              <w:spacing w:before="40" w:after="40"/>
              <w:jc w:val="center"/>
              <w:rPr>
                <w:sz w:val="22"/>
              </w:rPr>
            </w:pPr>
            <w:r w:rsidRPr="007600FD">
              <w:rPr>
                <w:sz w:val="22"/>
              </w:rPr>
              <w:t>31</w:t>
            </w:r>
          </w:p>
        </w:tc>
        <w:tc>
          <w:tcPr>
            <w:tcW w:w="2665" w:type="dxa"/>
          </w:tcPr>
          <w:p w:rsidR="00442D80" w:rsidRPr="007600FD" w:rsidRDefault="00442D80" w:rsidP="002C1375">
            <w:pPr>
              <w:spacing w:before="40" w:after="40"/>
              <w:jc w:val="center"/>
              <w:rPr>
                <w:sz w:val="22"/>
              </w:rPr>
            </w:pPr>
            <w:r w:rsidRPr="007600FD">
              <w:rPr>
                <w:sz w:val="22"/>
              </w:rPr>
              <w:t>12</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2007</w:t>
            </w:r>
          </w:p>
        </w:tc>
        <w:tc>
          <w:tcPr>
            <w:tcW w:w="2665" w:type="dxa"/>
          </w:tcPr>
          <w:p w:rsidR="00442D80" w:rsidRPr="007600FD" w:rsidRDefault="00442D80" w:rsidP="002C1375">
            <w:pPr>
              <w:spacing w:before="40" w:after="40"/>
              <w:jc w:val="center"/>
              <w:rPr>
                <w:sz w:val="22"/>
              </w:rPr>
            </w:pPr>
            <w:r w:rsidRPr="007600FD">
              <w:rPr>
                <w:sz w:val="22"/>
              </w:rPr>
              <w:t>73</w:t>
            </w:r>
          </w:p>
        </w:tc>
        <w:tc>
          <w:tcPr>
            <w:tcW w:w="2665" w:type="dxa"/>
          </w:tcPr>
          <w:p w:rsidR="00442D80" w:rsidRPr="007600FD" w:rsidRDefault="00442D80" w:rsidP="002C1375">
            <w:pPr>
              <w:spacing w:before="40" w:after="40"/>
              <w:jc w:val="center"/>
              <w:rPr>
                <w:sz w:val="22"/>
              </w:rPr>
            </w:pPr>
            <w:r w:rsidRPr="007600FD">
              <w:rPr>
                <w:sz w:val="22"/>
              </w:rPr>
              <w:t>38</w:t>
            </w:r>
          </w:p>
        </w:tc>
        <w:tc>
          <w:tcPr>
            <w:tcW w:w="2665" w:type="dxa"/>
          </w:tcPr>
          <w:p w:rsidR="00442D80" w:rsidRPr="007600FD" w:rsidRDefault="00442D80" w:rsidP="002C1375">
            <w:pPr>
              <w:spacing w:before="40" w:after="40"/>
              <w:jc w:val="center"/>
              <w:rPr>
                <w:sz w:val="22"/>
              </w:rPr>
            </w:pPr>
            <w:r w:rsidRPr="007600FD">
              <w:rPr>
                <w:sz w:val="22"/>
              </w:rPr>
              <w:t>23</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2008</w:t>
            </w:r>
          </w:p>
        </w:tc>
        <w:tc>
          <w:tcPr>
            <w:tcW w:w="2665" w:type="dxa"/>
          </w:tcPr>
          <w:p w:rsidR="00442D80" w:rsidRPr="007600FD" w:rsidRDefault="00442D80" w:rsidP="002C1375">
            <w:pPr>
              <w:spacing w:before="40" w:after="40"/>
              <w:jc w:val="center"/>
              <w:rPr>
                <w:sz w:val="22"/>
              </w:rPr>
            </w:pPr>
            <w:r w:rsidRPr="007600FD">
              <w:rPr>
                <w:sz w:val="22"/>
              </w:rPr>
              <w:t>62</w:t>
            </w:r>
          </w:p>
        </w:tc>
        <w:tc>
          <w:tcPr>
            <w:tcW w:w="2665" w:type="dxa"/>
          </w:tcPr>
          <w:p w:rsidR="00442D80" w:rsidRPr="007600FD" w:rsidRDefault="00442D80" w:rsidP="002C1375">
            <w:pPr>
              <w:spacing w:before="40" w:after="40"/>
              <w:jc w:val="center"/>
              <w:rPr>
                <w:sz w:val="22"/>
              </w:rPr>
            </w:pPr>
            <w:r w:rsidRPr="007600FD">
              <w:rPr>
                <w:sz w:val="22"/>
              </w:rPr>
              <w:t>40</w:t>
            </w:r>
          </w:p>
        </w:tc>
        <w:tc>
          <w:tcPr>
            <w:tcW w:w="2665" w:type="dxa"/>
          </w:tcPr>
          <w:p w:rsidR="00442D80" w:rsidRPr="007600FD" w:rsidRDefault="00442D80" w:rsidP="002C1375">
            <w:pPr>
              <w:spacing w:before="40" w:after="40"/>
              <w:jc w:val="center"/>
              <w:rPr>
                <w:sz w:val="22"/>
              </w:rPr>
            </w:pPr>
            <w:r w:rsidRPr="007600FD">
              <w:rPr>
                <w:sz w:val="22"/>
              </w:rPr>
              <w:t>28</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2009</w:t>
            </w:r>
          </w:p>
        </w:tc>
        <w:tc>
          <w:tcPr>
            <w:tcW w:w="2665" w:type="dxa"/>
          </w:tcPr>
          <w:p w:rsidR="00442D80" w:rsidRPr="007600FD" w:rsidRDefault="00442D80" w:rsidP="002C1375">
            <w:pPr>
              <w:spacing w:before="40" w:after="40"/>
              <w:jc w:val="center"/>
              <w:rPr>
                <w:sz w:val="22"/>
              </w:rPr>
            </w:pPr>
            <w:r w:rsidRPr="007600FD">
              <w:rPr>
                <w:sz w:val="22"/>
              </w:rPr>
              <w:t>58</w:t>
            </w:r>
          </w:p>
        </w:tc>
        <w:tc>
          <w:tcPr>
            <w:tcW w:w="2665" w:type="dxa"/>
          </w:tcPr>
          <w:p w:rsidR="00442D80" w:rsidRPr="007600FD" w:rsidRDefault="00442D80" w:rsidP="002C1375">
            <w:pPr>
              <w:spacing w:before="40" w:after="40"/>
              <w:jc w:val="center"/>
              <w:rPr>
                <w:sz w:val="22"/>
              </w:rPr>
            </w:pPr>
            <w:r w:rsidRPr="007600FD">
              <w:rPr>
                <w:sz w:val="22"/>
              </w:rPr>
              <w:t>40</w:t>
            </w:r>
          </w:p>
        </w:tc>
        <w:tc>
          <w:tcPr>
            <w:tcW w:w="2665" w:type="dxa"/>
          </w:tcPr>
          <w:p w:rsidR="00442D80" w:rsidRPr="007600FD" w:rsidRDefault="00442D80" w:rsidP="002C1375">
            <w:pPr>
              <w:spacing w:before="40" w:after="40"/>
              <w:jc w:val="center"/>
              <w:rPr>
                <w:sz w:val="22"/>
              </w:rPr>
            </w:pPr>
            <w:r w:rsidRPr="007600FD">
              <w:rPr>
                <w:sz w:val="22"/>
              </w:rPr>
              <w:t>27</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2010</w:t>
            </w:r>
          </w:p>
        </w:tc>
        <w:tc>
          <w:tcPr>
            <w:tcW w:w="2665" w:type="dxa"/>
          </w:tcPr>
          <w:p w:rsidR="00442D80" w:rsidRPr="007600FD" w:rsidRDefault="00442D80" w:rsidP="002C1375">
            <w:pPr>
              <w:spacing w:before="40" w:after="40"/>
              <w:jc w:val="center"/>
              <w:rPr>
                <w:sz w:val="22"/>
              </w:rPr>
            </w:pPr>
            <w:r w:rsidRPr="007600FD">
              <w:rPr>
                <w:sz w:val="22"/>
              </w:rPr>
              <w:t>65</w:t>
            </w:r>
          </w:p>
        </w:tc>
        <w:tc>
          <w:tcPr>
            <w:tcW w:w="2665" w:type="dxa"/>
          </w:tcPr>
          <w:p w:rsidR="00442D80" w:rsidRPr="007600FD" w:rsidRDefault="00442D80" w:rsidP="002C1375">
            <w:pPr>
              <w:spacing w:before="40" w:after="40"/>
              <w:jc w:val="center"/>
              <w:rPr>
                <w:sz w:val="22"/>
              </w:rPr>
            </w:pPr>
            <w:r w:rsidRPr="007600FD">
              <w:rPr>
                <w:sz w:val="22"/>
              </w:rPr>
              <w:t>33</w:t>
            </w:r>
          </w:p>
        </w:tc>
        <w:tc>
          <w:tcPr>
            <w:tcW w:w="2665" w:type="dxa"/>
          </w:tcPr>
          <w:p w:rsidR="00442D80" w:rsidRPr="007600FD" w:rsidRDefault="00442D80" w:rsidP="002C1375">
            <w:pPr>
              <w:spacing w:before="40" w:after="40"/>
              <w:jc w:val="center"/>
              <w:rPr>
                <w:sz w:val="22"/>
              </w:rPr>
            </w:pPr>
            <w:r w:rsidRPr="007600FD">
              <w:rPr>
                <w:sz w:val="22"/>
              </w:rPr>
              <w:t>18</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2011</w:t>
            </w:r>
          </w:p>
        </w:tc>
        <w:tc>
          <w:tcPr>
            <w:tcW w:w="2665" w:type="dxa"/>
          </w:tcPr>
          <w:p w:rsidR="00442D80" w:rsidRPr="007600FD" w:rsidRDefault="00442D80" w:rsidP="002C1375">
            <w:pPr>
              <w:spacing w:before="40" w:after="40"/>
              <w:jc w:val="center"/>
              <w:rPr>
                <w:sz w:val="22"/>
              </w:rPr>
            </w:pPr>
            <w:r w:rsidRPr="007600FD">
              <w:rPr>
                <w:sz w:val="22"/>
              </w:rPr>
              <w:t>77</w:t>
            </w:r>
          </w:p>
        </w:tc>
        <w:tc>
          <w:tcPr>
            <w:tcW w:w="2665" w:type="dxa"/>
          </w:tcPr>
          <w:p w:rsidR="00442D80" w:rsidRPr="007600FD" w:rsidRDefault="00442D80" w:rsidP="002C1375">
            <w:pPr>
              <w:spacing w:before="40" w:after="40"/>
              <w:jc w:val="center"/>
              <w:rPr>
                <w:sz w:val="22"/>
              </w:rPr>
            </w:pPr>
            <w:r w:rsidRPr="007600FD">
              <w:rPr>
                <w:sz w:val="22"/>
              </w:rPr>
              <w:t>33</w:t>
            </w:r>
          </w:p>
        </w:tc>
        <w:tc>
          <w:tcPr>
            <w:tcW w:w="2665" w:type="dxa"/>
          </w:tcPr>
          <w:p w:rsidR="00442D80" w:rsidRPr="007600FD" w:rsidRDefault="00442D80" w:rsidP="002C1375">
            <w:pPr>
              <w:spacing w:before="40" w:after="40"/>
              <w:jc w:val="center"/>
              <w:rPr>
                <w:sz w:val="22"/>
              </w:rPr>
            </w:pPr>
            <w:r w:rsidRPr="007600FD">
              <w:rPr>
                <w:sz w:val="22"/>
              </w:rPr>
              <w:t>17</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2012</w:t>
            </w:r>
          </w:p>
        </w:tc>
        <w:tc>
          <w:tcPr>
            <w:tcW w:w="2665" w:type="dxa"/>
          </w:tcPr>
          <w:p w:rsidR="00442D80" w:rsidRPr="007600FD" w:rsidRDefault="00442D80" w:rsidP="002C1375">
            <w:pPr>
              <w:spacing w:before="40" w:after="40"/>
              <w:jc w:val="center"/>
              <w:rPr>
                <w:sz w:val="22"/>
              </w:rPr>
            </w:pPr>
            <w:r w:rsidRPr="007600FD">
              <w:rPr>
                <w:sz w:val="22"/>
              </w:rPr>
              <w:t>73</w:t>
            </w:r>
          </w:p>
        </w:tc>
        <w:tc>
          <w:tcPr>
            <w:tcW w:w="2665" w:type="dxa"/>
          </w:tcPr>
          <w:p w:rsidR="00442D80" w:rsidRPr="007600FD" w:rsidRDefault="00442D80" w:rsidP="002C1375">
            <w:pPr>
              <w:spacing w:before="40" w:after="40"/>
              <w:jc w:val="center"/>
              <w:rPr>
                <w:sz w:val="22"/>
              </w:rPr>
            </w:pPr>
            <w:r w:rsidRPr="007600FD">
              <w:rPr>
                <w:sz w:val="22"/>
              </w:rPr>
              <w:t>45</w:t>
            </w:r>
          </w:p>
        </w:tc>
        <w:tc>
          <w:tcPr>
            <w:tcW w:w="2665" w:type="dxa"/>
          </w:tcPr>
          <w:p w:rsidR="00442D80" w:rsidRPr="007600FD" w:rsidRDefault="00442D80" w:rsidP="002C1375">
            <w:pPr>
              <w:spacing w:before="40" w:after="40"/>
              <w:jc w:val="center"/>
              <w:rPr>
                <w:sz w:val="22"/>
              </w:rPr>
            </w:pPr>
            <w:r w:rsidRPr="007600FD">
              <w:rPr>
                <w:sz w:val="22"/>
              </w:rPr>
              <w:t>28</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2013</w:t>
            </w:r>
          </w:p>
        </w:tc>
        <w:tc>
          <w:tcPr>
            <w:tcW w:w="2665" w:type="dxa"/>
          </w:tcPr>
          <w:p w:rsidR="00442D80" w:rsidRPr="007600FD" w:rsidRDefault="00442D80" w:rsidP="002C1375">
            <w:pPr>
              <w:spacing w:before="40" w:after="40"/>
              <w:jc w:val="center"/>
              <w:rPr>
                <w:sz w:val="22"/>
              </w:rPr>
            </w:pPr>
            <w:r w:rsidRPr="007600FD">
              <w:rPr>
                <w:sz w:val="22"/>
              </w:rPr>
              <w:t>68</w:t>
            </w:r>
          </w:p>
        </w:tc>
        <w:tc>
          <w:tcPr>
            <w:tcW w:w="2665" w:type="dxa"/>
          </w:tcPr>
          <w:p w:rsidR="00442D80" w:rsidRPr="007600FD" w:rsidRDefault="00442D80" w:rsidP="002C1375">
            <w:pPr>
              <w:spacing w:before="40" w:after="40"/>
              <w:jc w:val="center"/>
              <w:rPr>
                <w:sz w:val="22"/>
              </w:rPr>
            </w:pPr>
            <w:r w:rsidRPr="007600FD">
              <w:rPr>
                <w:sz w:val="22"/>
              </w:rPr>
              <w:t>55</w:t>
            </w:r>
          </w:p>
        </w:tc>
        <w:tc>
          <w:tcPr>
            <w:tcW w:w="2665" w:type="dxa"/>
          </w:tcPr>
          <w:p w:rsidR="00442D80" w:rsidRPr="007600FD" w:rsidRDefault="00442D80" w:rsidP="002C1375">
            <w:pPr>
              <w:spacing w:before="40" w:after="40"/>
              <w:jc w:val="center"/>
              <w:rPr>
                <w:sz w:val="22"/>
              </w:rPr>
            </w:pPr>
            <w:r w:rsidRPr="007600FD">
              <w:rPr>
                <w:sz w:val="22"/>
              </w:rPr>
              <w:t>40</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2014</w:t>
            </w:r>
          </w:p>
        </w:tc>
        <w:tc>
          <w:tcPr>
            <w:tcW w:w="2665" w:type="dxa"/>
          </w:tcPr>
          <w:p w:rsidR="00442D80" w:rsidRPr="007600FD" w:rsidRDefault="00442D80" w:rsidP="002C1375">
            <w:pPr>
              <w:spacing w:before="40" w:after="40"/>
              <w:jc w:val="center"/>
              <w:rPr>
                <w:sz w:val="22"/>
              </w:rPr>
            </w:pPr>
            <w:r w:rsidRPr="007600FD">
              <w:rPr>
                <w:sz w:val="22"/>
              </w:rPr>
              <w:t>62</w:t>
            </w:r>
          </w:p>
        </w:tc>
        <w:tc>
          <w:tcPr>
            <w:tcW w:w="2665" w:type="dxa"/>
          </w:tcPr>
          <w:p w:rsidR="00442D80" w:rsidRPr="007600FD" w:rsidRDefault="00442D80" w:rsidP="002C1375">
            <w:pPr>
              <w:spacing w:before="40" w:after="40"/>
              <w:jc w:val="center"/>
              <w:rPr>
                <w:sz w:val="22"/>
              </w:rPr>
            </w:pPr>
            <w:r w:rsidRPr="007600FD">
              <w:rPr>
                <w:sz w:val="22"/>
              </w:rPr>
              <w:t>51</w:t>
            </w:r>
          </w:p>
        </w:tc>
        <w:tc>
          <w:tcPr>
            <w:tcW w:w="2665" w:type="dxa"/>
          </w:tcPr>
          <w:p w:rsidR="00442D80" w:rsidRPr="007600FD" w:rsidRDefault="00442D80" w:rsidP="002C1375">
            <w:pPr>
              <w:spacing w:before="40" w:after="40"/>
              <w:jc w:val="center"/>
              <w:rPr>
                <w:sz w:val="22"/>
              </w:rPr>
            </w:pPr>
            <w:r w:rsidRPr="007600FD">
              <w:rPr>
                <w:sz w:val="22"/>
              </w:rPr>
              <w:t>36</w:t>
            </w:r>
          </w:p>
        </w:tc>
      </w:tr>
      <w:tr w:rsidR="00442D80" w:rsidRPr="007600FD" w:rsidTr="002C1375">
        <w:trPr>
          <w:jc w:val="center"/>
        </w:trPr>
        <w:tc>
          <w:tcPr>
            <w:tcW w:w="1644" w:type="dxa"/>
          </w:tcPr>
          <w:p w:rsidR="00442D80" w:rsidRPr="007600FD" w:rsidRDefault="00442D80" w:rsidP="002C1375">
            <w:pPr>
              <w:spacing w:before="40" w:after="40"/>
              <w:jc w:val="center"/>
              <w:rPr>
                <w:sz w:val="22"/>
              </w:rPr>
            </w:pPr>
            <w:r w:rsidRPr="007600FD">
              <w:rPr>
                <w:sz w:val="22"/>
              </w:rPr>
              <w:t>2015</w:t>
            </w:r>
          </w:p>
        </w:tc>
        <w:tc>
          <w:tcPr>
            <w:tcW w:w="2665" w:type="dxa"/>
          </w:tcPr>
          <w:p w:rsidR="00442D80" w:rsidRPr="007600FD" w:rsidRDefault="00442D80" w:rsidP="002C1375">
            <w:pPr>
              <w:spacing w:before="40" w:after="40"/>
              <w:jc w:val="center"/>
              <w:rPr>
                <w:sz w:val="22"/>
              </w:rPr>
            </w:pPr>
            <w:r w:rsidRPr="007600FD">
              <w:rPr>
                <w:sz w:val="22"/>
              </w:rPr>
              <w:t>58</w:t>
            </w:r>
          </w:p>
        </w:tc>
        <w:tc>
          <w:tcPr>
            <w:tcW w:w="2665" w:type="dxa"/>
          </w:tcPr>
          <w:p w:rsidR="00442D80" w:rsidRPr="007600FD" w:rsidRDefault="00442D80" w:rsidP="002C1375">
            <w:pPr>
              <w:spacing w:before="40" w:after="40"/>
              <w:jc w:val="center"/>
              <w:rPr>
                <w:sz w:val="22"/>
              </w:rPr>
            </w:pPr>
            <w:r w:rsidRPr="007600FD">
              <w:rPr>
                <w:sz w:val="22"/>
              </w:rPr>
              <w:t>31</w:t>
            </w:r>
          </w:p>
        </w:tc>
        <w:tc>
          <w:tcPr>
            <w:tcW w:w="2665" w:type="dxa"/>
          </w:tcPr>
          <w:p w:rsidR="00442D80" w:rsidRPr="007600FD" w:rsidRDefault="00442D80" w:rsidP="002C1375">
            <w:pPr>
              <w:spacing w:before="40" w:after="40"/>
              <w:jc w:val="center"/>
              <w:rPr>
                <w:sz w:val="22"/>
              </w:rPr>
            </w:pPr>
            <w:r w:rsidRPr="007600FD">
              <w:rPr>
                <w:sz w:val="22"/>
              </w:rPr>
              <w:t>18</w:t>
            </w:r>
          </w:p>
        </w:tc>
      </w:tr>
    </w:tbl>
    <w:p w:rsidR="00442D80" w:rsidRPr="00234AAF" w:rsidRDefault="00442D80" w:rsidP="00442D80">
      <w:pPr>
        <w:rPr>
          <w:sz w:val="18"/>
          <w:szCs w:val="18"/>
          <w:lang w:val="de-CH"/>
        </w:rPr>
      </w:pPr>
    </w:p>
    <w:p w:rsidR="00442D80" w:rsidRPr="00234AAF" w:rsidRDefault="00442D80" w:rsidP="00442D80">
      <w:pPr>
        <w:rPr>
          <w:sz w:val="18"/>
          <w:szCs w:val="18"/>
          <w:lang w:val="de-CH"/>
        </w:rPr>
      </w:pPr>
    </w:p>
    <w:p w:rsidR="00442D80" w:rsidRPr="00442D80" w:rsidRDefault="00442D80" w:rsidP="00442D80">
      <w:pPr>
        <w:rPr>
          <w:rFonts w:cs="Arial"/>
        </w:rPr>
      </w:pPr>
      <w:r w:rsidRPr="00442D80">
        <w:rPr>
          <w:rFonts w:cs="Arial"/>
        </w:rPr>
        <w:t>Inoltre, al fine di scongiurare o perlomeno porre un freno all’accumulo di atti parlamentari nei cassetti, si è deciso di inserire una disposizione affinché il Consiglio di Stato elabori annualmente un rendiconto sugli atti parlamentari non ancora evasi.</w:t>
      </w:r>
    </w:p>
    <w:p w:rsidR="00442D80" w:rsidRDefault="00442D80" w:rsidP="00442D80">
      <w:pPr>
        <w:rPr>
          <w:rFonts w:cs="Arial"/>
          <w:szCs w:val="24"/>
        </w:rPr>
      </w:pPr>
    </w:p>
    <w:p w:rsidR="007600FD" w:rsidRPr="007600FD" w:rsidRDefault="007600FD" w:rsidP="00442D80">
      <w:pPr>
        <w:rPr>
          <w:rFonts w:cs="Arial"/>
          <w:szCs w:val="24"/>
        </w:rPr>
      </w:pPr>
    </w:p>
    <w:p w:rsidR="00442D80" w:rsidRPr="007600FD" w:rsidRDefault="00442D80" w:rsidP="00442D80">
      <w:pPr>
        <w:rPr>
          <w:rFonts w:cs="Arial"/>
          <w:szCs w:val="24"/>
        </w:rPr>
      </w:pPr>
    </w:p>
    <w:p w:rsidR="00442D80" w:rsidRPr="004C26CD" w:rsidRDefault="00442D80" w:rsidP="00442D80">
      <w:pPr>
        <w:pStyle w:val="Titolo1"/>
        <w:rPr>
          <w:rFonts w:cs="Arial"/>
        </w:rPr>
      </w:pPr>
      <w:r w:rsidRPr="004C26CD">
        <w:rPr>
          <w:rFonts w:cs="Arial"/>
        </w:rPr>
        <w:t>LE MODIFICHE NEL DETTAGLIO</w:t>
      </w:r>
    </w:p>
    <w:p w:rsidR="00442D80" w:rsidRPr="004C26CD" w:rsidRDefault="00442D80" w:rsidP="00442D80">
      <w:pPr>
        <w:rPr>
          <w:rFonts w:cs="Arial"/>
        </w:rPr>
      </w:pPr>
      <w:r w:rsidRPr="004C26CD">
        <w:rPr>
          <w:rFonts w:cs="Arial"/>
        </w:rPr>
        <w:t>Procedendo nell’ordine delle modifiche intervenute, per questo commento si rimanda all’annesso disegno di Legge.</w:t>
      </w:r>
    </w:p>
    <w:p w:rsidR="00442D80" w:rsidRDefault="00442D80" w:rsidP="00442D80">
      <w:pPr>
        <w:rPr>
          <w:rFonts w:cs="Arial"/>
        </w:rPr>
      </w:pPr>
    </w:p>
    <w:p w:rsidR="007600FD" w:rsidRPr="004C26CD" w:rsidRDefault="007600FD" w:rsidP="00442D80">
      <w:pPr>
        <w:rPr>
          <w:rFonts w:cs="Arial"/>
        </w:rPr>
      </w:pPr>
    </w:p>
    <w:p w:rsidR="00442D80" w:rsidRPr="004C26CD" w:rsidRDefault="00234AAF" w:rsidP="00234AAF">
      <w:pPr>
        <w:tabs>
          <w:tab w:val="left" w:pos="567"/>
        </w:tabs>
        <w:spacing w:after="100"/>
        <w:rPr>
          <w:rFonts w:cs="Arial"/>
          <w:b/>
        </w:rPr>
      </w:pPr>
      <w:r>
        <w:rPr>
          <w:rFonts w:cs="Arial"/>
          <w:b/>
        </w:rPr>
        <w:t>2.1</w:t>
      </w:r>
      <w:r>
        <w:rPr>
          <w:rFonts w:cs="Arial"/>
          <w:b/>
        </w:rPr>
        <w:tab/>
        <w:t xml:space="preserve">Art. 102 cpv. 5 (nuovo) - </w:t>
      </w:r>
      <w:r w:rsidR="00442D80" w:rsidRPr="004C26CD">
        <w:rPr>
          <w:rFonts w:cs="Arial"/>
          <w:b/>
        </w:rPr>
        <w:t>Iniziativa in forma elaborata</w:t>
      </w:r>
    </w:p>
    <w:p w:rsidR="00442D80" w:rsidRPr="004C26CD" w:rsidRDefault="00442D80" w:rsidP="00442D80">
      <w:pPr>
        <w:rPr>
          <w:rFonts w:cs="Arial"/>
        </w:rPr>
      </w:pPr>
      <w:r w:rsidRPr="004C26CD">
        <w:rPr>
          <w:rFonts w:cs="Arial"/>
        </w:rPr>
        <w:t>Questo capoverso va ad aggiungersi ai quattro già esistenti nei termini proposti dall’iniziativa in esame, ma rivisto nella forma. Se la Commissione non riferisce al Gran Consiglio con un rapporto entro il termine di 18 mesi già oggi previsto al cpv. 4, l'iniziativa viene direttamente discussa dal plenum.</w:t>
      </w:r>
    </w:p>
    <w:p w:rsidR="00442D80" w:rsidRDefault="00442D80" w:rsidP="00442D80">
      <w:pPr>
        <w:rPr>
          <w:rFonts w:cs="Arial"/>
        </w:rPr>
      </w:pPr>
    </w:p>
    <w:p w:rsidR="007600FD" w:rsidRPr="004C26CD" w:rsidRDefault="007600FD" w:rsidP="00442D80">
      <w:pPr>
        <w:rPr>
          <w:rFonts w:cs="Arial"/>
        </w:rPr>
      </w:pPr>
    </w:p>
    <w:p w:rsidR="00442D80" w:rsidRPr="004C26CD" w:rsidRDefault="00442D80" w:rsidP="00234AAF">
      <w:pPr>
        <w:tabs>
          <w:tab w:val="left" w:pos="567"/>
        </w:tabs>
        <w:spacing w:after="100"/>
        <w:rPr>
          <w:rFonts w:cs="Arial"/>
          <w:b/>
        </w:rPr>
      </w:pPr>
      <w:r w:rsidRPr="004C26CD">
        <w:rPr>
          <w:rFonts w:cs="Arial"/>
          <w:b/>
        </w:rPr>
        <w:t>2.2</w:t>
      </w:r>
      <w:r w:rsidRPr="004C26CD">
        <w:rPr>
          <w:rFonts w:cs="Arial"/>
          <w:b/>
        </w:rPr>
        <w:tab/>
        <w:t>Art. 105 (modificato)</w:t>
      </w:r>
      <w:r w:rsidR="00234AAF">
        <w:rPr>
          <w:rFonts w:cs="Arial"/>
          <w:b/>
        </w:rPr>
        <w:t xml:space="preserve"> -</w:t>
      </w:r>
      <w:r w:rsidRPr="004C26CD">
        <w:rPr>
          <w:rFonts w:cs="Arial"/>
          <w:b/>
        </w:rPr>
        <w:t xml:space="preserve"> Mozione</w:t>
      </w:r>
    </w:p>
    <w:p w:rsidR="00442D80" w:rsidRPr="004C26CD" w:rsidRDefault="00442D80" w:rsidP="00442D80">
      <w:pPr>
        <w:rPr>
          <w:rFonts w:cs="Arial"/>
        </w:rPr>
      </w:pPr>
      <w:r w:rsidRPr="004C26CD">
        <w:rPr>
          <w:rFonts w:cs="Arial"/>
        </w:rPr>
        <w:t>Ad eccezione del cpv. 1, tutti gli altri sono stati modificati o aggiunti, passando dai 4 attuali ai 9 del disegno di Legge, ma a tutto beneficio della chiarezza e della comprensione di una nuova procedura che presenta molte più variabili.</w:t>
      </w:r>
    </w:p>
    <w:p w:rsidR="00442D80" w:rsidRPr="004C26CD" w:rsidRDefault="00442D80" w:rsidP="00442D80">
      <w:pPr>
        <w:rPr>
          <w:rFonts w:cs="Arial"/>
        </w:rPr>
      </w:pPr>
    </w:p>
    <w:p w:rsidR="00442D80" w:rsidRPr="004C26CD" w:rsidRDefault="00442D80" w:rsidP="007600FD">
      <w:r w:rsidRPr="004C26CD">
        <w:t>Di seguito la struttura dell’articolo emendato con una spiegazione delle modifiche più significative.</w:t>
      </w:r>
    </w:p>
    <w:p w:rsidR="00442D80" w:rsidRPr="004C26CD" w:rsidRDefault="00234AAF" w:rsidP="00234AAF">
      <w:pPr>
        <w:pStyle w:val="Paragrafoelenco"/>
        <w:numPr>
          <w:ilvl w:val="0"/>
          <w:numId w:val="5"/>
        </w:numPr>
        <w:tabs>
          <w:tab w:val="left" w:pos="1276"/>
        </w:tabs>
        <w:spacing w:before="100"/>
        <w:ind w:left="284" w:hanging="284"/>
        <w:rPr>
          <w:rFonts w:cs="Arial"/>
        </w:rPr>
      </w:pPr>
      <w:r>
        <w:rPr>
          <w:rFonts w:cs="Arial"/>
          <w:b/>
        </w:rPr>
        <w:t>c</w:t>
      </w:r>
      <w:r w:rsidR="00442D80" w:rsidRPr="004C26CD">
        <w:rPr>
          <w:rFonts w:cs="Arial"/>
          <w:b/>
        </w:rPr>
        <w:t>pv. 1:</w:t>
      </w:r>
      <w:r w:rsidR="00442D80" w:rsidRPr="004C26CD">
        <w:rPr>
          <w:rFonts w:cs="Arial"/>
        </w:rPr>
        <w:t xml:space="preserve"> </w:t>
      </w:r>
      <w:r>
        <w:rPr>
          <w:rFonts w:cs="Arial"/>
        </w:rPr>
        <w:tab/>
        <w:t>definizione della mozione;</w:t>
      </w:r>
    </w:p>
    <w:p w:rsidR="00442D80" w:rsidRPr="004C26CD" w:rsidRDefault="00234AAF" w:rsidP="00234AAF">
      <w:pPr>
        <w:pStyle w:val="Paragrafoelenco"/>
        <w:numPr>
          <w:ilvl w:val="0"/>
          <w:numId w:val="5"/>
        </w:numPr>
        <w:tabs>
          <w:tab w:val="left" w:pos="1276"/>
        </w:tabs>
        <w:spacing w:before="100"/>
        <w:ind w:left="284" w:hanging="284"/>
        <w:rPr>
          <w:rFonts w:cs="Arial"/>
        </w:rPr>
      </w:pPr>
      <w:r>
        <w:rPr>
          <w:rFonts w:cs="Arial"/>
          <w:b/>
        </w:rPr>
        <w:t>c</w:t>
      </w:r>
      <w:r w:rsidR="00442D80" w:rsidRPr="004C26CD">
        <w:rPr>
          <w:rFonts w:cs="Arial"/>
          <w:b/>
        </w:rPr>
        <w:t>pv. 2:</w:t>
      </w:r>
      <w:r w:rsidR="00442D80" w:rsidRPr="004C26CD">
        <w:rPr>
          <w:rFonts w:cs="Arial"/>
        </w:rPr>
        <w:t xml:space="preserve"> </w:t>
      </w:r>
      <w:r>
        <w:rPr>
          <w:rFonts w:cs="Arial"/>
        </w:rPr>
        <w:tab/>
        <w:t>p</w:t>
      </w:r>
      <w:r w:rsidR="00442D80" w:rsidRPr="004C26CD">
        <w:rPr>
          <w:rFonts w:cs="Arial"/>
        </w:rPr>
        <w:t>rincipio della tra</w:t>
      </w:r>
      <w:r>
        <w:rPr>
          <w:rFonts w:cs="Arial"/>
        </w:rPr>
        <w:t>smissione al Consiglio di Stato;</w:t>
      </w:r>
    </w:p>
    <w:p w:rsidR="00442D80" w:rsidRDefault="00234AAF" w:rsidP="00234AAF">
      <w:pPr>
        <w:pStyle w:val="Paragrafoelenco"/>
        <w:numPr>
          <w:ilvl w:val="0"/>
          <w:numId w:val="5"/>
        </w:numPr>
        <w:tabs>
          <w:tab w:val="left" w:pos="1276"/>
        </w:tabs>
        <w:spacing w:before="100"/>
        <w:ind w:left="284" w:hanging="284"/>
      </w:pPr>
      <w:r>
        <w:rPr>
          <w:rFonts w:cs="Arial"/>
          <w:b/>
        </w:rPr>
        <w:t>c</w:t>
      </w:r>
      <w:r w:rsidR="00442D80" w:rsidRPr="004C26CD">
        <w:rPr>
          <w:rFonts w:cs="Arial"/>
          <w:b/>
        </w:rPr>
        <w:t>pv. 3:</w:t>
      </w:r>
      <w:r w:rsidR="00442D80" w:rsidRPr="004C26CD">
        <w:rPr>
          <w:rFonts w:cs="Arial"/>
        </w:rPr>
        <w:t xml:space="preserve"> </w:t>
      </w:r>
      <w:r>
        <w:rPr>
          <w:rFonts w:cs="Arial"/>
        </w:rPr>
        <w:tab/>
        <w:t>i</w:t>
      </w:r>
      <w:r w:rsidR="00442D80" w:rsidRPr="004C26CD">
        <w:rPr>
          <w:rFonts w:cs="Arial"/>
        </w:rPr>
        <w:t xml:space="preserve">l Consiglio di Stato può accettare la mozione integralmente, comunicando all’Ufficio presidenziale del Gran Consiglio e al </w:t>
      </w:r>
      <w:proofErr w:type="spellStart"/>
      <w:r w:rsidR="00442D80" w:rsidRPr="004C26CD">
        <w:rPr>
          <w:rFonts w:cs="Arial"/>
        </w:rPr>
        <w:t>mozionante</w:t>
      </w:r>
      <w:proofErr w:type="spellEnd"/>
      <w:r w:rsidR="00442D80" w:rsidRPr="004C26CD">
        <w:rPr>
          <w:rFonts w:cs="Arial"/>
        </w:rPr>
        <w:t xml:space="preserve"> i tempi</w:t>
      </w:r>
      <w:r w:rsidR="00442D80">
        <w:t xml:space="preserve"> d’esecuzione. In questo caso la procedura può già terminare a questo stadio: n</w:t>
      </w:r>
      <w:r w:rsidR="00442D80" w:rsidRPr="00B3131D">
        <w:t xml:space="preserve">on si ritiene infatti </w:t>
      </w:r>
      <w:r w:rsidR="00442D80" w:rsidRPr="00B3131D">
        <w:lastRenderedPageBreak/>
        <w:t>neces</w:t>
      </w:r>
      <w:r w:rsidR="00442D80">
        <w:t>s</w:t>
      </w:r>
      <w:r w:rsidR="00442D80" w:rsidRPr="00B3131D">
        <w:t xml:space="preserve">ario </w:t>
      </w:r>
      <w:r w:rsidR="00442D80">
        <w:t>che venga</w:t>
      </w:r>
      <w:r w:rsidR="00442D80" w:rsidRPr="00B3131D">
        <w:t xml:space="preserve"> sempre </w:t>
      </w:r>
      <w:r w:rsidR="00442D80">
        <w:t xml:space="preserve">presentato </w:t>
      </w:r>
      <w:r w:rsidR="00442D80" w:rsidRPr="00B3131D">
        <w:t>un messaggio</w:t>
      </w:r>
      <w:r w:rsidR="00442D80">
        <w:t xml:space="preserve">, anche su questioni di competenza del Consiglio di Stato per le quali </w:t>
      </w:r>
      <w:r w:rsidR="00442D80" w:rsidRPr="00B3131D">
        <w:t>non servono cambiamenti</w:t>
      </w:r>
      <w:r w:rsidR="00442D80">
        <w:t xml:space="preserve"> che richiedano l’intervento del Gran Consiglio</w:t>
      </w:r>
      <w:r w:rsidR="00442D80" w:rsidRPr="00B3131D">
        <w:t>.</w:t>
      </w:r>
      <w:r w:rsidR="00442D80">
        <w:t xml:space="preserve"> In caso di accettazione integrale della mozione da parte del Consiglio di Stato, u</w:t>
      </w:r>
      <w:r w:rsidR="00442D80" w:rsidRPr="00B3131D">
        <w:t xml:space="preserve">nicamente le richieste di crediti o la necessità di una </w:t>
      </w:r>
      <w:r w:rsidR="00442D80">
        <w:t xml:space="preserve">nuova o </w:t>
      </w:r>
      <w:r w:rsidR="00442D80" w:rsidRPr="00B3131D">
        <w:t xml:space="preserve">diversa base legale verrebbero ancora evase </w:t>
      </w:r>
      <w:r w:rsidR="00442D80">
        <w:t>tramite un messaggio</w:t>
      </w:r>
      <w:r>
        <w:t>;</w:t>
      </w:r>
    </w:p>
    <w:p w:rsidR="00442D80" w:rsidRDefault="00234AAF" w:rsidP="00234AAF">
      <w:pPr>
        <w:pStyle w:val="Paragrafoelenco"/>
        <w:numPr>
          <w:ilvl w:val="0"/>
          <w:numId w:val="5"/>
        </w:numPr>
        <w:tabs>
          <w:tab w:val="left" w:pos="1276"/>
        </w:tabs>
        <w:spacing w:before="100"/>
        <w:ind w:left="284" w:hanging="284"/>
      </w:pPr>
      <w:r>
        <w:rPr>
          <w:b/>
        </w:rPr>
        <w:t>c</w:t>
      </w:r>
      <w:r w:rsidR="00442D80" w:rsidRPr="00397E72">
        <w:rPr>
          <w:b/>
        </w:rPr>
        <w:t>pv. 4:</w:t>
      </w:r>
      <w:r w:rsidR="00442D80">
        <w:t xml:space="preserve"> </w:t>
      </w:r>
      <w:r>
        <w:tab/>
        <w:t>s</w:t>
      </w:r>
      <w:r w:rsidR="00442D80">
        <w:t>e la mozione non viene accettata integralmente dal Consiglio di Stato, permane il termine di 6 mesi già oggi in vi</w:t>
      </w:r>
      <w:r>
        <w:t>gore per elaborare un messaggio;</w:t>
      </w:r>
    </w:p>
    <w:p w:rsidR="00442D80" w:rsidRDefault="00234AAF" w:rsidP="00234AAF">
      <w:pPr>
        <w:pStyle w:val="Paragrafoelenco"/>
        <w:numPr>
          <w:ilvl w:val="0"/>
          <w:numId w:val="5"/>
        </w:numPr>
        <w:tabs>
          <w:tab w:val="left" w:pos="1276"/>
        </w:tabs>
        <w:spacing w:before="100"/>
        <w:ind w:left="284" w:hanging="284"/>
      </w:pPr>
      <w:r>
        <w:rPr>
          <w:b/>
        </w:rPr>
        <w:t>c</w:t>
      </w:r>
      <w:r w:rsidR="00442D80" w:rsidRPr="00397E72">
        <w:rPr>
          <w:b/>
        </w:rPr>
        <w:t>pv. 5:</w:t>
      </w:r>
      <w:r w:rsidR="00442D80">
        <w:t xml:space="preserve"> </w:t>
      </w:r>
      <w:r>
        <w:tab/>
        <w:t>i</w:t>
      </w:r>
      <w:r w:rsidR="00442D80">
        <w:t xml:space="preserve">l </w:t>
      </w:r>
      <w:proofErr w:type="spellStart"/>
      <w:r w:rsidR="00442D80">
        <w:t>mozionante</w:t>
      </w:r>
      <w:proofErr w:type="spellEnd"/>
      <w:r w:rsidR="00442D80">
        <w:t xml:space="preserve"> mantiene la facoltà di far trasmettere a una Commissione la mozione e il messaggio (contrario o parz</w:t>
      </w:r>
      <w:r>
        <w:t>ialmente contrario alla stessa);</w:t>
      </w:r>
    </w:p>
    <w:p w:rsidR="00442D80" w:rsidRDefault="00234AAF" w:rsidP="00234AAF">
      <w:pPr>
        <w:pStyle w:val="Paragrafoelenco"/>
        <w:numPr>
          <w:ilvl w:val="0"/>
          <w:numId w:val="5"/>
        </w:numPr>
        <w:tabs>
          <w:tab w:val="left" w:pos="1276"/>
        </w:tabs>
        <w:spacing w:before="100"/>
        <w:ind w:left="284" w:hanging="284"/>
      </w:pPr>
      <w:r>
        <w:rPr>
          <w:b/>
        </w:rPr>
        <w:t>c</w:t>
      </w:r>
      <w:r w:rsidR="00442D80" w:rsidRPr="00397E72">
        <w:rPr>
          <w:b/>
        </w:rPr>
        <w:t>pv. 6:</w:t>
      </w:r>
      <w:r w:rsidR="00442D80">
        <w:t xml:space="preserve"> </w:t>
      </w:r>
      <w:r>
        <w:tab/>
        <w:t>c</w:t>
      </w:r>
      <w:r w:rsidR="00442D80">
        <w:t>ome richiesto originariamente dall’iniziativa, se il termine già in vigore non viene rispettato la mozione è trasmessa automaticamente a una Commissione. L’Ufficio presidenziale del Gran Consiglio può tuttavia concedere una proroga per la presentazione del messaggio, dietro richiesta motivata del Consiglio di Stato formulat</w:t>
      </w:r>
      <w:r>
        <w:t>a entro la scadenza del termine;</w:t>
      </w:r>
    </w:p>
    <w:p w:rsidR="00442D80" w:rsidRDefault="00234AAF" w:rsidP="00234AAF">
      <w:pPr>
        <w:pStyle w:val="Paragrafoelenco"/>
        <w:numPr>
          <w:ilvl w:val="0"/>
          <w:numId w:val="5"/>
        </w:numPr>
        <w:tabs>
          <w:tab w:val="left" w:pos="1276"/>
        </w:tabs>
        <w:spacing w:before="100"/>
        <w:ind w:left="284" w:hanging="284"/>
      </w:pPr>
      <w:r>
        <w:rPr>
          <w:b/>
        </w:rPr>
        <w:t>c</w:t>
      </w:r>
      <w:r w:rsidR="00442D80" w:rsidRPr="00397E72">
        <w:rPr>
          <w:b/>
        </w:rPr>
        <w:t>pv. 7:</w:t>
      </w:r>
      <w:r w:rsidR="00442D80">
        <w:t xml:space="preserve"> </w:t>
      </w:r>
      <w:r>
        <w:tab/>
        <w:t>r</w:t>
      </w:r>
      <w:r w:rsidR="00442D80">
        <w:t xml:space="preserve">imane immutato il termine di 1 anno a disposizione della Commissione per riferire al Gran </w:t>
      </w:r>
      <w:r w:rsidR="00442D80" w:rsidRPr="00676AE5">
        <w:rPr>
          <w:color w:val="000000" w:themeColor="text1"/>
        </w:rPr>
        <w:t xml:space="preserve">Consiglio. A ciò si aggiunge la possibilità per il Consiglio di Stato di accettarne entro </w:t>
      </w:r>
      <w:r w:rsidR="00442D80" w:rsidRPr="00676AE5">
        <w:rPr>
          <w:color w:val="000000" w:themeColor="text1"/>
          <w:u w:val="single"/>
        </w:rPr>
        <w:t>30</w:t>
      </w:r>
      <w:r w:rsidR="00442D80" w:rsidRPr="00676AE5">
        <w:rPr>
          <w:color w:val="000000" w:themeColor="text1"/>
        </w:rPr>
        <w:t xml:space="preserve"> giorni le conclusioni del rapporto commissionale, le quali diventerebbero in tal modo vincolanti. Tuttavia si lascia al </w:t>
      </w:r>
      <w:proofErr w:type="spellStart"/>
      <w:r w:rsidR="00442D80" w:rsidRPr="00676AE5">
        <w:rPr>
          <w:color w:val="000000" w:themeColor="text1"/>
        </w:rPr>
        <w:t>mozionante</w:t>
      </w:r>
      <w:proofErr w:type="spellEnd"/>
      <w:r w:rsidR="00442D80" w:rsidRPr="00676AE5">
        <w:rPr>
          <w:color w:val="000000" w:themeColor="text1"/>
        </w:rPr>
        <w:t xml:space="preserve"> la possibilità di chiedere la discussione </w:t>
      </w:r>
      <w:r w:rsidR="00442D80">
        <w:t>del rapporto nel Plenum del Gran Consiglio, non fosse altro perché le conclusioni della Commissione potrebbero anche essere in linea con il me</w:t>
      </w:r>
      <w:r>
        <w:t>ssaggio del Consiglio di Stato;</w:t>
      </w:r>
    </w:p>
    <w:p w:rsidR="00442D80" w:rsidRDefault="00234AAF" w:rsidP="00234AAF">
      <w:pPr>
        <w:pStyle w:val="Paragrafoelenco"/>
        <w:numPr>
          <w:ilvl w:val="0"/>
          <w:numId w:val="5"/>
        </w:numPr>
        <w:tabs>
          <w:tab w:val="left" w:pos="1276"/>
        </w:tabs>
        <w:spacing w:before="100"/>
        <w:ind w:left="284" w:hanging="284"/>
      </w:pPr>
      <w:r>
        <w:rPr>
          <w:b/>
        </w:rPr>
        <w:t>c</w:t>
      </w:r>
      <w:r w:rsidR="00442D80" w:rsidRPr="00397E72">
        <w:rPr>
          <w:b/>
        </w:rPr>
        <w:t>pv. 8:</w:t>
      </w:r>
      <w:r>
        <w:rPr>
          <w:b/>
        </w:rPr>
        <w:tab/>
      </w:r>
      <w:r>
        <w:t xml:space="preserve">il </w:t>
      </w:r>
      <w:r w:rsidR="00442D80">
        <w:t>ritiro da parte del Consiglio di Stato di un messaggio su una mozione non ostacola il prosieguo dei lavori, salvo diversa decisione della Commissione incaricata o del Plenum, a seconda dello stadio di eva</w:t>
      </w:r>
      <w:r>
        <w:t>sione raggiunto dall’atto;</w:t>
      </w:r>
    </w:p>
    <w:p w:rsidR="00442D80" w:rsidRDefault="00234AAF" w:rsidP="00234AAF">
      <w:pPr>
        <w:pStyle w:val="Paragrafoelenco"/>
        <w:numPr>
          <w:ilvl w:val="0"/>
          <w:numId w:val="5"/>
        </w:numPr>
        <w:tabs>
          <w:tab w:val="left" w:pos="1276"/>
        </w:tabs>
        <w:spacing w:before="100"/>
        <w:ind w:left="284" w:hanging="284"/>
      </w:pPr>
      <w:proofErr w:type="spellStart"/>
      <w:r>
        <w:rPr>
          <w:b/>
        </w:rPr>
        <w:t>c</w:t>
      </w:r>
      <w:r w:rsidR="00442D80" w:rsidRPr="00397E72">
        <w:rPr>
          <w:b/>
        </w:rPr>
        <w:t>pv</w:t>
      </w:r>
      <w:proofErr w:type="spellEnd"/>
      <w:r w:rsidR="00442D80" w:rsidRPr="00397E72">
        <w:rPr>
          <w:b/>
        </w:rPr>
        <w:t>: 9:</w:t>
      </w:r>
      <w:r>
        <w:tab/>
        <w:t>n</w:t>
      </w:r>
      <w:r w:rsidR="00442D80">
        <w:t>ella misura in cui la mozione viene approvata, essa diventa vincolante per il Consiglio di Stato, come già previsto attualmente. A ciò si aggiunge la facoltà per il</w:t>
      </w:r>
      <w:r w:rsidR="00442D80" w:rsidRPr="00B3131D">
        <w:t xml:space="preserve"> Gran Consiglio </w:t>
      </w:r>
      <w:r w:rsidR="00442D80">
        <w:t xml:space="preserve">di </w:t>
      </w:r>
      <w:r w:rsidR="00442D80" w:rsidRPr="00B3131D">
        <w:t xml:space="preserve">indicare </w:t>
      </w:r>
      <w:r w:rsidR="00442D80">
        <w:t>de</w:t>
      </w:r>
      <w:r w:rsidR="00442D80" w:rsidRPr="00B3131D">
        <w:t>i tempi di attuazione o</w:t>
      </w:r>
      <w:r w:rsidR="00442D80">
        <w:t xml:space="preserve"> di</w:t>
      </w:r>
      <w:r w:rsidR="00442D80" w:rsidRPr="00B3131D">
        <w:t xml:space="preserve"> stabilire delle scadenze per la presentazione di un rendiconto </w:t>
      </w:r>
      <w:r w:rsidR="00442D80">
        <w:t>circa le misure adottate, con l’obiettivo che le mozioni approvate non cadano nel “dimenticatoio”.</w:t>
      </w:r>
    </w:p>
    <w:p w:rsidR="00442D80" w:rsidRDefault="00442D80" w:rsidP="007600FD"/>
    <w:p w:rsidR="007600FD" w:rsidRPr="00397E72" w:rsidRDefault="007600FD" w:rsidP="007600FD"/>
    <w:p w:rsidR="00442D80" w:rsidRPr="0094381D" w:rsidRDefault="00442D80" w:rsidP="00234AAF">
      <w:pPr>
        <w:tabs>
          <w:tab w:val="left" w:pos="567"/>
          <w:tab w:val="left" w:pos="708"/>
          <w:tab w:val="left" w:pos="1416"/>
          <w:tab w:val="left" w:pos="2124"/>
          <w:tab w:val="left" w:pos="2832"/>
          <w:tab w:val="left" w:pos="3540"/>
          <w:tab w:val="left" w:pos="4248"/>
          <w:tab w:val="left" w:pos="5744"/>
        </w:tabs>
        <w:spacing w:after="100"/>
        <w:rPr>
          <w:rFonts w:cs="Arial"/>
          <w:b/>
        </w:rPr>
      </w:pPr>
      <w:r w:rsidRPr="0094381D">
        <w:rPr>
          <w:rFonts w:cs="Arial"/>
          <w:b/>
        </w:rPr>
        <w:t>2.3</w:t>
      </w:r>
      <w:r w:rsidRPr="0094381D">
        <w:rPr>
          <w:rFonts w:cs="Arial"/>
          <w:b/>
        </w:rPr>
        <w:tab/>
        <w:t>Art. 61</w:t>
      </w:r>
      <w:r w:rsidR="00234AAF">
        <w:rPr>
          <w:rFonts w:cs="Arial"/>
          <w:b/>
        </w:rPr>
        <w:t>a (nuovo) - Rendiconto</w:t>
      </w:r>
    </w:p>
    <w:p w:rsidR="00442D80" w:rsidRPr="00676AE5" w:rsidRDefault="00442D80" w:rsidP="00442D80">
      <w:pPr>
        <w:rPr>
          <w:rFonts w:cs="Arial"/>
          <w:color w:val="000000" w:themeColor="text1"/>
        </w:rPr>
      </w:pPr>
      <w:r w:rsidRPr="0094381D">
        <w:rPr>
          <w:rFonts w:cs="Arial"/>
        </w:rPr>
        <w:t>Infine, per porre un freno all’accumulo di atti parlamentari inevasi</w:t>
      </w:r>
      <w:r>
        <w:rPr>
          <w:rFonts w:cs="Arial"/>
        </w:rPr>
        <w:t>,</w:t>
      </w:r>
      <w:r w:rsidRPr="0094381D">
        <w:rPr>
          <w:rFonts w:cs="Arial"/>
        </w:rPr>
        <w:t xml:space="preserve"> a beneficio della trasparenza si richiede che il Consiglio di Stato elabori </w:t>
      </w:r>
      <w:r w:rsidRPr="00676AE5">
        <w:rPr>
          <w:rFonts w:cs="Arial"/>
          <w:color w:val="000000" w:themeColor="text1"/>
        </w:rPr>
        <w:t>e aggiorni periodicamente</w:t>
      </w:r>
      <w:r>
        <w:rPr>
          <w:rFonts w:cs="Arial"/>
          <w:color w:val="000000" w:themeColor="text1"/>
        </w:rPr>
        <w:t xml:space="preserve"> (almeno una volta all’anno)</w:t>
      </w:r>
      <w:r w:rsidRPr="00676AE5">
        <w:rPr>
          <w:rFonts w:cs="Arial"/>
          <w:color w:val="000000" w:themeColor="text1"/>
        </w:rPr>
        <w:t xml:space="preserve">, un rendiconto sugli atti parlamentari non ancora evasi o attuati, fornendo le opportune spiegazioni riguardo allo stato dei lavori e alle ragioni di eventuali attese. Tale rendiconto dovrà essere pubblicato sul sito internet del Cantone e riguardare interpellanze e interrogazioni, e in modo particolare le mozioni e le iniziative generiche già accolte dal Gran Consiglio nel principio ma ancora in attesa di un messaggio del Consiglio di Stato contenente le relative modifiche legislative o costituzionali. </w:t>
      </w:r>
    </w:p>
    <w:p w:rsidR="00442D80" w:rsidRDefault="00442D80" w:rsidP="00442D80">
      <w:r w:rsidRPr="00676AE5">
        <w:rPr>
          <w:rFonts w:cs="Arial"/>
          <w:color w:val="000000" w:themeColor="text1"/>
        </w:rPr>
        <w:t xml:space="preserve">Si evidenzia come già negli anni ’80 “l’elenco delle mozioni in sospeso </w:t>
      </w:r>
      <w:r w:rsidRPr="0094381D">
        <w:rPr>
          <w:rFonts w:cs="Arial"/>
        </w:rPr>
        <w:t xml:space="preserve">veniva pubblicato nell’annuale Rendiconto del Consiglio di Stato, con indicazioni circa lo stato del loro esame e, se del caso, con la proposta di stralcio di quelle ritenute evase per un provvedimento preso o per un altro motivo”. La </w:t>
      </w:r>
      <w:r>
        <w:rPr>
          <w:rFonts w:cs="Arial"/>
        </w:rPr>
        <w:t>collocazione</w:t>
      </w:r>
      <w:r w:rsidRPr="0094381D">
        <w:rPr>
          <w:rFonts w:cs="Arial"/>
        </w:rPr>
        <w:t xml:space="preserve"> di questo articolo “bis” è ritenuta idonea all’interno </w:t>
      </w:r>
      <w:r w:rsidRPr="00F91117">
        <w:rPr>
          <w:rFonts w:cs="Arial"/>
        </w:rPr>
        <w:t xml:space="preserve">del </w:t>
      </w:r>
      <w:r>
        <w:rPr>
          <w:rFonts w:cs="Arial"/>
        </w:rPr>
        <w:t xml:space="preserve">Titolo </w:t>
      </w:r>
      <w:r w:rsidRPr="00F91117">
        <w:rPr>
          <w:rFonts w:cs="Arial"/>
        </w:rPr>
        <w:t xml:space="preserve">quinto “Rapporti con il Consiglio di Stato”, </w:t>
      </w:r>
      <w:r>
        <w:rPr>
          <w:rFonts w:cs="Arial"/>
        </w:rPr>
        <w:t>prevedendo</w:t>
      </w:r>
      <w:r w:rsidRPr="00F91117">
        <w:rPr>
          <w:rFonts w:cs="Arial"/>
        </w:rPr>
        <w:t xml:space="preserve"> anche </w:t>
      </w:r>
      <w:r>
        <w:rPr>
          <w:rFonts w:cs="Arial"/>
        </w:rPr>
        <w:t xml:space="preserve">l’introduzione di </w:t>
      </w:r>
      <w:r w:rsidRPr="00F91117">
        <w:rPr>
          <w:rFonts w:cs="Arial"/>
        </w:rPr>
        <w:t>un nuovo capitolo terzo denominato “Evasione e attuazione degli atti parlamentari”</w:t>
      </w:r>
      <w:r>
        <w:rPr>
          <w:rFonts w:cs="Arial"/>
        </w:rPr>
        <w:t>.</w:t>
      </w:r>
      <w:r w:rsidRPr="00F91117">
        <w:rPr>
          <w:rFonts w:cs="Arial"/>
        </w:rPr>
        <w:t xml:space="preserve"> Una volta terminato il lavoro di revisione della presente Commissione tutti gli articoli potranno essere rinumerati.</w:t>
      </w:r>
      <w:r w:rsidRPr="00800686">
        <w:t xml:space="preserve"> </w:t>
      </w:r>
    </w:p>
    <w:p w:rsidR="00442D80" w:rsidRDefault="00442D80" w:rsidP="007600FD"/>
    <w:p w:rsidR="00442D80" w:rsidRPr="00676AE5" w:rsidRDefault="00442D80" w:rsidP="00442D80">
      <w:pPr>
        <w:pStyle w:val="Titolo1"/>
        <w:tabs>
          <w:tab w:val="left" w:pos="6104"/>
        </w:tabs>
        <w:rPr>
          <w:rFonts w:cs="Arial"/>
          <w:color w:val="000000" w:themeColor="text1"/>
        </w:rPr>
      </w:pPr>
      <w:r w:rsidRPr="00676AE5">
        <w:rPr>
          <w:rFonts w:cs="Arial"/>
          <w:color w:val="000000" w:themeColor="text1"/>
        </w:rPr>
        <w:lastRenderedPageBreak/>
        <w:t>Parere del consiglio di stato E CONSIDERAZIONI COMMISSIONALI</w:t>
      </w:r>
    </w:p>
    <w:p w:rsidR="00442D80" w:rsidRPr="00676AE5" w:rsidRDefault="00442D80" w:rsidP="00442D80">
      <w:pPr>
        <w:rPr>
          <w:rFonts w:cs="Arial"/>
          <w:color w:val="000000" w:themeColor="text1"/>
        </w:rPr>
      </w:pPr>
      <w:r w:rsidRPr="00676AE5">
        <w:rPr>
          <w:rFonts w:cs="Arial"/>
          <w:color w:val="000000" w:themeColor="text1"/>
        </w:rPr>
        <w:t xml:space="preserve">Con lettera del 29 settembre 2016 il Consiglio di Stato ha comunicato il suo parere sulla proposta di disegno di Legge, manifestando una certa insoddisfazione e contrarietà verso le proposte della Commissione, ritenute burocratiche e macchinose, senza tuttavia proporre alcun correttivo. </w:t>
      </w:r>
    </w:p>
    <w:p w:rsidR="00442D80" w:rsidRPr="00676AE5" w:rsidRDefault="00442D80" w:rsidP="00234AAF">
      <w:pPr>
        <w:spacing w:before="120"/>
        <w:rPr>
          <w:rFonts w:cs="Arial"/>
          <w:color w:val="000000" w:themeColor="text1"/>
        </w:rPr>
      </w:pPr>
      <w:r w:rsidRPr="00676AE5">
        <w:rPr>
          <w:rFonts w:cs="Arial"/>
          <w:color w:val="000000" w:themeColor="text1"/>
        </w:rPr>
        <w:t>A questo proposito la Commissione rimane convinta della bontà delle proposte formulate, ritenendo che sì sulla carta la procedura può apparire più macchinosa ma che una volta applicata risulterà più semplice. L’unica richiesta concreta concernente l’art. 105 cpv. 7 è stata accolta, aumentando a 30 giorni il tempo a disposizione per eventualmente accettare le conclusioni del rapporto commissionale inizialmente pensato di soli 10 giorni.</w:t>
      </w:r>
    </w:p>
    <w:p w:rsidR="00442D80" w:rsidRPr="00676AE5" w:rsidRDefault="00442D80" w:rsidP="00234AAF">
      <w:pPr>
        <w:spacing w:before="120"/>
        <w:rPr>
          <w:rFonts w:cs="Arial"/>
          <w:color w:val="000000" w:themeColor="text1"/>
        </w:rPr>
      </w:pPr>
      <w:r w:rsidRPr="00676AE5">
        <w:rPr>
          <w:rFonts w:cs="Arial"/>
          <w:color w:val="000000" w:themeColor="text1"/>
        </w:rPr>
        <w:t xml:space="preserve">Per quanto riguarda invece la richiesta di un rendiconto, il Consiglio di Stato ha sottolineato l’indipendenza dei Servizi del Gran Consiglio ricordando che la lista degli atti parlamentari è allestita da questi ultimi e che da alcuni anni non viene più inserita nel Rendiconto del Consiglio di Stato. In realtà non è centrale la lista in sé, ma questo resoconto deve essere funzionale ad avere un controllo e una motivazione dei ritardi. Questa è ritenuta un’informazione utile non solo all’indirizzo del Gran Consiglio ma di tutta la cittadinanza. </w:t>
      </w:r>
    </w:p>
    <w:p w:rsidR="00442D80" w:rsidRPr="00676AE5" w:rsidRDefault="00442D80" w:rsidP="00234AAF">
      <w:pPr>
        <w:spacing w:before="120"/>
        <w:rPr>
          <w:rFonts w:cs="Arial"/>
          <w:color w:val="000000" w:themeColor="text1"/>
        </w:rPr>
      </w:pPr>
      <w:r w:rsidRPr="00676AE5">
        <w:rPr>
          <w:rFonts w:cs="Arial"/>
          <w:color w:val="000000" w:themeColor="text1"/>
        </w:rPr>
        <w:t>Proprio per questo motivo la Commissione è giunta alla conclusione che sia meglio pubblicare questo rendiconto in internet. In questo modo è possibile aggiornarlo anche più volte all’anno con le motivazioni dei ritardi che, si ritiene, il Consiglio di Stato debba essere tenuto a giustificare.</w:t>
      </w:r>
    </w:p>
    <w:p w:rsidR="00442D80" w:rsidRPr="00676AE5" w:rsidRDefault="00442D80" w:rsidP="00234AAF">
      <w:pPr>
        <w:spacing w:before="120"/>
        <w:rPr>
          <w:rFonts w:cs="Arial"/>
          <w:color w:val="000000" w:themeColor="text1"/>
        </w:rPr>
      </w:pPr>
      <w:r w:rsidRPr="00676AE5">
        <w:rPr>
          <w:rFonts w:cs="Arial"/>
          <w:color w:val="000000" w:themeColor="text1"/>
        </w:rPr>
        <w:t>La Commissione chiede infine che tramite la banca dati degli atti parlamentari presente sul sito internet del Cantone sia data la possibilità di selezionare i risultati in base al criterio evaso/non evaso.</w:t>
      </w:r>
    </w:p>
    <w:p w:rsidR="00442D80" w:rsidRDefault="00442D80" w:rsidP="007600FD"/>
    <w:p w:rsidR="007600FD" w:rsidRPr="00676AE5" w:rsidRDefault="007600FD" w:rsidP="007600FD"/>
    <w:p w:rsidR="00442D80" w:rsidRPr="00676AE5" w:rsidRDefault="00442D80" w:rsidP="007600FD"/>
    <w:p w:rsidR="00442D80" w:rsidRPr="00676AE5" w:rsidRDefault="00442D80" w:rsidP="00442D80">
      <w:pPr>
        <w:pStyle w:val="Titolo1"/>
        <w:rPr>
          <w:color w:val="000000" w:themeColor="text1"/>
        </w:rPr>
      </w:pPr>
      <w:r w:rsidRPr="00676AE5">
        <w:rPr>
          <w:color w:val="000000" w:themeColor="text1"/>
        </w:rPr>
        <w:t>L’iniziativa PARLAMENTARE GENERICA</w:t>
      </w:r>
    </w:p>
    <w:p w:rsidR="00442D80" w:rsidRPr="00676AE5" w:rsidRDefault="00442D80" w:rsidP="00442D80">
      <w:pPr>
        <w:rPr>
          <w:rFonts w:cs="Arial"/>
          <w:color w:val="000000" w:themeColor="text1"/>
        </w:rPr>
      </w:pPr>
      <w:r w:rsidRPr="00676AE5">
        <w:rPr>
          <w:rFonts w:cs="Arial"/>
          <w:color w:val="000000" w:themeColor="text1"/>
        </w:rPr>
        <w:t>Il 19 settembre 2016, nel corso dei lavori commissionali, è stata presentata da Patrizia Ramsauer la seconda iniziativa parlamentare oggetto di questo rapporto.</w:t>
      </w:r>
    </w:p>
    <w:p w:rsidR="00442D80" w:rsidRPr="00676AE5" w:rsidRDefault="00442D80" w:rsidP="00234AAF">
      <w:pPr>
        <w:spacing w:before="120"/>
        <w:rPr>
          <w:rFonts w:cs="Arial"/>
          <w:color w:val="000000" w:themeColor="text1"/>
        </w:rPr>
      </w:pPr>
      <w:r w:rsidRPr="00676AE5">
        <w:rPr>
          <w:rFonts w:cs="Arial"/>
          <w:color w:val="000000" w:themeColor="text1"/>
        </w:rPr>
        <w:t xml:space="preserve">Salvo che per le interpellanze (per cui è sì proposta la riduzione dei termini da 10 giorni a una settimana, permettendo però </w:t>
      </w:r>
      <w:r>
        <w:rPr>
          <w:rFonts w:cs="Arial"/>
          <w:color w:val="000000" w:themeColor="text1"/>
        </w:rPr>
        <w:t xml:space="preserve">poi </w:t>
      </w:r>
      <w:r w:rsidRPr="00676AE5">
        <w:rPr>
          <w:rFonts w:cs="Arial"/>
          <w:color w:val="000000" w:themeColor="text1"/>
        </w:rPr>
        <w:t>la risposta al più tardi entro la seduta successiva)</w:t>
      </w:r>
      <w:r>
        <w:rPr>
          <w:rFonts w:cs="Arial"/>
          <w:color w:val="000000" w:themeColor="text1"/>
        </w:rPr>
        <w:t>,</w:t>
      </w:r>
      <w:r w:rsidRPr="00676AE5">
        <w:rPr>
          <w:rFonts w:cs="Arial"/>
          <w:color w:val="000000" w:themeColor="text1"/>
        </w:rPr>
        <w:t xml:space="preserve"> l’iniziativa parlamentare propone in modo molto perentorio e irrealistico una riduzione generale dei tempi di evasione degli atti parlamentari.</w:t>
      </w:r>
    </w:p>
    <w:p w:rsidR="00442D80" w:rsidRPr="00676AE5" w:rsidRDefault="00442D80" w:rsidP="00234AAF">
      <w:pPr>
        <w:spacing w:before="120"/>
        <w:rPr>
          <w:rFonts w:cs="Arial"/>
          <w:color w:val="000000" w:themeColor="text1"/>
        </w:rPr>
      </w:pPr>
      <w:r w:rsidRPr="00676AE5">
        <w:rPr>
          <w:rFonts w:cs="Arial"/>
          <w:color w:val="000000" w:themeColor="text1"/>
        </w:rPr>
        <w:t>Per le interrogazioni viene infatti proposto un dimezzamento del termine, mentre mozioni, iniziative parlamentari elaborate e iniziative parlamentari generiche dovrebbero addirittura “concludere l’iter, cioè passare in Gran Consiglio, entro e non oltre” rispettivamente sei mesi, quattro mesi e tre mesi.</w:t>
      </w:r>
    </w:p>
    <w:p w:rsidR="00442D80" w:rsidRPr="00676AE5" w:rsidRDefault="00442D80" w:rsidP="00234AAF">
      <w:pPr>
        <w:spacing w:before="120"/>
        <w:rPr>
          <w:rFonts w:cs="Arial"/>
          <w:color w:val="000000" w:themeColor="text1"/>
        </w:rPr>
      </w:pPr>
      <w:r w:rsidRPr="00676AE5">
        <w:rPr>
          <w:rFonts w:cs="Arial"/>
          <w:color w:val="000000" w:themeColor="text1"/>
        </w:rPr>
        <w:t xml:space="preserve">Tuttavia, la stessa </w:t>
      </w:r>
      <w:proofErr w:type="spellStart"/>
      <w:r w:rsidRPr="00676AE5">
        <w:rPr>
          <w:rFonts w:cs="Arial"/>
          <w:color w:val="000000" w:themeColor="text1"/>
        </w:rPr>
        <w:t>iniziativista</w:t>
      </w:r>
      <w:proofErr w:type="spellEnd"/>
      <w:r w:rsidRPr="00676AE5">
        <w:rPr>
          <w:rFonts w:cs="Arial"/>
          <w:color w:val="000000" w:themeColor="text1"/>
        </w:rPr>
        <w:t xml:space="preserve"> evidenzia introducendo le sue proposte che già oggi la Legge sul Gran Consiglio e sui rapporti con il Consiglio di Stato (LGC) non viene rispettata per quanto concerne i tempi di risposta e di evasione degli atti parlamentari. </w:t>
      </w:r>
    </w:p>
    <w:p w:rsidR="00442D80" w:rsidRPr="00676AE5" w:rsidRDefault="00442D80" w:rsidP="00234AAF">
      <w:pPr>
        <w:spacing w:before="120"/>
        <w:rPr>
          <w:rFonts w:cs="Arial"/>
          <w:color w:val="000000" w:themeColor="text1"/>
        </w:rPr>
      </w:pPr>
      <w:r w:rsidRPr="00676AE5">
        <w:rPr>
          <w:rFonts w:cs="Arial"/>
          <w:color w:val="000000" w:themeColor="text1"/>
        </w:rPr>
        <w:t>Pur comprendendo quindi i (ribaditi) fastidi che possano scaturire tra i deputati di fronte a tempi di evasione degli atti parlamentari eccessivamente lunghi, la commissione ritiene che le modifiche legislative proposte con il presente rapporto rispondano meglio a quanto auspicato dall’</w:t>
      </w:r>
      <w:proofErr w:type="spellStart"/>
      <w:r w:rsidRPr="00676AE5">
        <w:rPr>
          <w:rFonts w:cs="Arial"/>
          <w:color w:val="000000" w:themeColor="text1"/>
        </w:rPr>
        <w:t>iniziativista</w:t>
      </w:r>
      <w:proofErr w:type="spellEnd"/>
      <w:r w:rsidRPr="00676AE5">
        <w:rPr>
          <w:rFonts w:cs="Arial"/>
          <w:color w:val="000000" w:themeColor="text1"/>
        </w:rPr>
        <w:t>, andando ben oltre una semplice riduzione generale dei tempi di evasione degli atti parlamentari.</w:t>
      </w:r>
    </w:p>
    <w:p w:rsidR="007600FD" w:rsidRPr="00442D80" w:rsidRDefault="007600FD" w:rsidP="00442D80">
      <w:pPr>
        <w:rPr>
          <w:rFonts w:cs="Arial"/>
          <w:color w:val="000000" w:themeColor="text1"/>
          <w:szCs w:val="24"/>
        </w:rPr>
      </w:pPr>
    </w:p>
    <w:p w:rsidR="00442D80" w:rsidRPr="00442D80" w:rsidRDefault="00442D80" w:rsidP="00442D80">
      <w:pPr>
        <w:rPr>
          <w:rFonts w:cs="Arial"/>
          <w:color w:val="000000" w:themeColor="text1"/>
          <w:szCs w:val="24"/>
        </w:rPr>
      </w:pPr>
    </w:p>
    <w:p w:rsidR="00442D80" w:rsidRPr="00676AE5" w:rsidRDefault="00442D80" w:rsidP="00442D80">
      <w:pPr>
        <w:pStyle w:val="Titolo1"/>
        <w:rPr>
          <w:rFonts w:cs="Arial"/>
          <w:color w:val="000000" w:themeColor="text1"/>
        </w:rPr>
      </w:pPr>
      <w:r w:rsidRPr="00676AE5">
        <w:rPr>
          <w:rFonts w:cs="Arial"/>
          <w:color w:val="000000" w:themeColor="text1"/>
        </w:rPr>
        <w:lastRenderedPageBreak/>
        <w:t>CONCLUSIONI</w:t>
      </w:r>
    </w:p>
    <w:p w:rsidR="00442D80" w:rsidRPr="00F91117" w:rsidRDefault="00442D80" w:rsidP="00442D80">
      <w:pPr>
        <w:rPr>
          <w:rFonts w:cs="Arial"/>
        </w:rPr>
      </w:pPr>
      <w:r w:rsidRPr="00676AE5">
        <w:rPr>
          <w:rFonts w:cs="Arial"/>
          <w:color w:val="000000" w:themeColor="text1"/>
        </w:rPr>
        <w:t xml:space="preserve">Per questi motivi, la Commissione speciale per la revisione della Legge sul Gran Consiglio, evadendo le iniziative parlamentari citate in oggetto, invita il Plenum ad approvare quale controprogetto l’annesso disegno di Legge concernente la modifica parziale della Legge sul Gran Consiglio e sui rapporti con il Consiglio </w:t>
      </w:r>
      <w:r w:rsidRPr="00F91117">
        <w:rPr>
          <w:rFonts w:cs="Arial"/>
        </w:rPr>
        <w:t>di Stato (LGC).</w:t>
      </w:r>
    </w:p>
    <w:p w:rsidR="00442D80" w:rsidRPr="00F91117" w:rsidRDefault="00442D80" w:rsidP="00234AAF">
      <w:pPr>
        <w:spacing w:before="120"/>
        <w:rPr>
          <w:rFonts w:cs="Arial"/>
        </w:rPr>
      </w:pPr>
    </w:p>
    <w:p w:rsidR="00442D80" w:rsidRPr="00F91117" w:rsidRDefault="00442D80" w:rsidP="00442D80">
      <w:pPr>
        <w:rPr>
          <w:rFonts w:cs="Arial"/>
        </w:rPr>
      </w:pPr>
      <w:r w:rsidRPr="00F91117">
        <w:rPr>
          <w:rFonts w:cs="Arial"/>
          <w:u w:val="single"/>
        </w:rPr>
        <w:t>Tutte le mozioni e le in</w:t>
      </w:r>
      <w:r>
        <w:rPr>
          <w:rFonts w:cs="Arial"/>
          <w:u w:val="single"/>
        </w:rPr>
        <w:t>i</w:t>
      </w:r>
      <w:r w:rsidRPr="00F91117">
        <w:rPr>
          <w:rFonts w:cs="Arial"/>
          <w:u w:val="single"/>
        </w:rPr>
        <w:t xml:space="preserve">ziative </w:t>
      </w:r>
      <w:r>
        <w:rPr>
          <w:rFonts w:cs="Arial"/>
          <w:u w:val="single"/>
        </w:rPr>
        <w:t xml:space="preserve">elaborate </w:t>
      </w:r>
      <w:r w:rsidRPr="00F91117">
        <w:rPr>
          <w:rFonts w:cs="Arial"/>
          <w:u w:val="single"/>
        </w:rPr>
        <w:t>attualmente inevase verranno trattate secondo la nuova procedura</w:t>
      </w:r>
      <w:r>
        <w:rPr>
          <w:rFonts w:cs="Arial"/>
          <w:u w:val="single"/>
        </w:rPr>
        <w:t xml:space="preserve">, ivi compresi i nuovi termini. </w:t>
      </w:r>
      <w:r w:rsidRPr="00F91117">
        <w:rPr>
          <w:rFonts w:cs="Arial"/>
          <w:u w:val="single"/>
        </w:rPr>
        <w:t xml:space="preserve">Riguardo </w:t>
      </w:r>
      <w:r>
        <w:rPr>
          <w:rFonts w:cs="Arial"/>
          <w:u w:val="single"/>
        </w:rPr>
        <w:t>al</w:t>
      </w:r>
      <w:r w:rsidRPr="00F91117">
        <w:rPr>
          <w:rFonts w:cs="Arial"/>
          <w:u w:val="single"/>
        </w:rPr>
        <w:t xml:space="preserve">le iniziative generiche per </w:t>
      </w:r>
      <w:r>
        <w:rPr>
          <w:rFonts w:cs="Arial"/>
          <w:u w:val="single"/>
        </w:rPr>
        <w:t>le quali</w:t>
      </w:r>
      <w:r w:rsidRPr="00F91117">
        <w:rPr>
          <w:rFonts w:cs="Arial"/>
          <w:u w:val="single"/>
        </w:rPr>
        <w:t xml:space="preserve"> non è ancora stato elaborato un progetto</w:t>
      </w:r>
      <w:r>
        <w:rPr>
          <w:rFonts w:cs="Arial"/>
          <w:u w:val="single"/>
        </w:rPr>
        <w:t>,</w:t>
      </w:r>
      <w:r w:rsidRPr="00F91117">
        <w:rPr>
          <w:rFonts w:cs="Arial"/>
          <w:u w:val="single"/>
        </w:rPr>
        <w:t xml:space="preserve"> si invita il Consiglio di Stato ad attenersi al termine di 6 mesi </w:t>
      </w:r>
      <w:r>
        <w:rPr>
          <w:rFonts w:cs="Arial"/>
          <w:u w:val="single"/>
        </w:rPr>
        <w:t xml:space="preserve">già </w:t>
      </w:r>
      <w:r w:rsidRPr="00F91117">
        <w:rPr>
          <w:rFonts w:cs="Arial"/>
          <w:u w:val="single"/>
        </w:rPr>
        <w:t>previsto in questo caso.</w:t>
      </w:r>
      <w:r w:rsidRPr="00F91117">
        <w:rPr>
          <w:rFonts w:cs="Arial"/>
        </w:rPr>
        <w:t xml:space="preserve"> </w:t>
      </w:r>
    </w:p>
    <w:p w:rsidR="00442D80" w:rsidRDefault="00442D80" w:rsidP="00442D80">
      <w:pPr>
        <w:rPr>
          <w:rFonts w:cs="Arial"/>
        </w:rPr>
      </w:pPr>
    </w:p>
    <w:p w:rsidR="00442D80" w:rsidRPr="00F91117" w:rsidRDefault="00442D80" w:rsidP="00442D80">
      <w:pPr>
        <w:rPr>
          <w:rFonts w:cs="Arial"/>
        </w:rPr>
      </w:pPr>
    </w:p>
    <w:p w:rsidR="00442D80" w:rsidRPr="00F91117" w:rsidRDefault="00442D80" w:rsidP="00442D80">
      <w:pPr>
        <w:rPr>
          <w:rFonts w:cs="Arial"/>
        </w:rPr>
      </w:pPr>
    </w:p>
    <w:p w:rsidR="00442D80" w:rsidRPr="00F91117" w:rsidRDefault="00442D80" w:rsidP="00442D80">
      <w:pPr>
        <w:spacing w:after="120"/>
        <w:rPr>
          <w:rFonts w:cs="Arial"/>
        </w:rPr>
      </w:pPr>
      <w:r w:rsidRPr="00F91117">
        <w:rPr>
          <w:rFonts w:cs="Arial"/>
        </w:rPr>
        <w:t xml:space="preserve">Per la Commissione speciale </w:t>
      </w:r>
      <w:r>
        <w:rPr>
          <w:rFonts w:cs="Arial"/>
        </w:rPr>
        <w:t xml:space="preserve">revisione </w:t>
      </w:r>
      <w:r w:rsidRPr="00F91117">
        <w:rPr>
          <w:rFonts w:cs="Arial"/>
        </w:rPr>
        <w:t>L</w:t>
      </w:r>
      <w:r>
        <w:rPr>
          <w:rFonts w:cs="Arial"/>
        </w:rPr>
        <w:t>GC:</w:t>
      </w:r>
    </w:p>
    <w:p w:rsidR="00442D80" w:rsidRDefault="00442D80" w:rsidP="00442D80">
      <w:pPr>
        <w:rPr>
          <w:rFonts w:cs="Arial"/>
        </w:rPr>
      </w:pPr>
      <w:r w:rsidRPr="00F91117">
        <w:rPr>
          <w:rFonts w:cs="Arial"/>
        </w:rPr>
        <w:t>Fabio Käppeli, relatore</w:t>
      </w:r>
    </w:p>
    <w:p w:rsidR="000F255F" w:rsidRDefault="000F255F" w:rsidP="000F255F">
      <w:pPr>
        <w:rPr>
          <w:rFonts w:cs="Arial"/>
        </w:rPr>
      </w:pPr>
      <w:r>
        <w:rPr>
          <w:rFonts w:cs="Arial"/>
        </w:rPr>
        <w:t xml:space="preserve">Bacchetta-Cattori - Balli - Celio - Corti - </w:t>
      </w:r>
    </w:p>
    <w:p w:rsidR="000F255F" w:rsidRDefault="000F255F" w:rsidP="000F255F">
      <w:pPr>
        <w:rPr>
          <w:rFonts w:cs="Arial"/>
        </w:rPr>
      </w:pPr>
      <w:r>
        <w:rPr>
          <w:rFonts w:cs="Arial"/>
        </w:rPr>
        <w:t xml:space="preserve">Crivelli Barella - Farinelli - Galusero - </w:t>
      </w:r>
    </w:p>
    <w:p w:rsidR="000F255F" w:rsidRDefault="000F255F" w:rsidP="000F255F">
      <w:pPr>
        <w:rPr>
          <w:rFonts w:cs="Arial"/>
        </w:rPr>
      </w:pPr>
      <w:r>
        <w:rPr>
          <w:rFonts w:cs="Arial"/>
        </w:rPr>
        <w:t xml:space="preserve">Jelmini - La Mantia - Lurati - Minotti - </w:t>
      </w:r>
    </w:p>
    <w:p w:rsidR="000F255F" w:rsidRPr="005E5056" w:rsidRDefault="000F255F" w:rsidP="000F255F">
      <w:pPr>
        <w:rPr>
          <w:rFonts w:cs="Arial"/>
        </w:rPr>
      </w:pPr>
      <w:r>
        <w:rPr>
          <w:rFonts w:cs="Arial"/>
        </w:rPr>
        <w:t>Morisoli - Quadranti - Rückert</w:t>
      </w:r>
    </w:p>
    <w:p w:rsidR="00442D80" w:rsidRDefault="00442D80" w:rsidP="00442D80">
      <w:pPr>
        <w:rPr>
          <w:rFonts w:cs="Arial"/>
        </w:rPr>
      </w:pPr>
    </w:p>
    <w:p w:rsidR="00442D80" w:rsidRPr="00F91117" w:rsidRDefault="00442D80" w:rsidP="00442D80">
      <w:pPr>
        <w:rPr>
          <w:rFonts w:cs="Arial"/>
        </w:rPr>
      </w:pPr>
    </w:p>
    <w:p w:rsidR="007600FD" w:rsidRDefault="00442D80" w:rsidP="00442D80">
      <w:r w:rsidRPr="00F91117">
        <w:rPr>
          <w:rFonts w:cs="Arial"/>
        </w:rPr>
        <w:br w:type="page"/>
      </w:r>
      <w:r>
        <w:lastRenderedPageBreak/>
        <w:t>Disegno di</w:t>
      </w:r>
    </w:p>
    <w:p w:rsidR="007600FD" w:rsidRDefault="007600FD" w:rsidP="00442D80"/>
    <w:p w:rsidR="00442D80" w:rsidRDefault="00442D80" w:rsidP="00C40FF7">
      <w:pPr>
        <w:spacing w:before="120"/>
        <w:rPr>
          <w:b/>
        </w:rPr>
      </w:pPr>
      <w:r w:rsidRPr="0067288E">
        <w:rPr>
          <w:b/>
        </w:rPr>
        <w:t>LEGGE</w:t>
      </w:r>
    </w:p>
    <w:p w:rsidR="007600FD" w:rsidRPr="004F3296" w:rsidRDefault="007600FD" w:rsidP="00C40FF7">
      <w:pPr>
        <w:spacing w:before="120"/>
      </w:pPr>
      <w:r>
        <w:rPr>
          <w:b/>
        </w:rPr>
        <w:t>sul Gran Consiglio e sui rapporti con il Consiglio di Stato del 24 febbraio 2015; modifica</w:t>
      </w:r>
    </w:p>
    <w:p w:rsidR="00442D80" w:rsidRPr="000F255F" w:rsidRDefault="00442D80" w:rsidP="00442D80">
      <w:pPr>
        <w:rPr>
          <w:sz w:val="22"/>
        </w:rPr>
      </w:pPr>
    </w:p>
    <w:p w:rsidR="007600FD" w:rsidRPr="000F255F" w:rsidRDefault="007600FD" w:rsidP="00442D80">
      <w:pPr>
        <w:rPr>
          <w:sz w:val="22"/>
        </w:rPr>
      </w:pPr>
    </w:p>
    <w:p w:rsidR="007600FD" w:rsidRDefault="007600FD" w:rsidP="00442D80">
      <w:r>
        <w:t>Il Gran Consiglio</w:t>
      </w:r>
    </w:p>
    <w:p w:rsidR="007600FD" w:rsidRDefault="007600FD" w:rsidP="00442D80">
      <w:r>
        <w:t xml:space="preserve">della Repubblica e </w:t>
      </w:r>
      <w:r w:rsidR="00C40FF7">
        <w:t xml:space="preserve">Cantone </w:t>
      </w:r>
      <w:r>
        <w:t>Ticino</w:t>
      </w:r>
    </w:p>
    <w:p w:rsidR="007600FD" w:rsidRPr="000F255F" w:rsidRDefault="007600FD" w:rsidP="00442D80">
      <w:pPr>
        <w:rPr>
          <w:sz w:val="22"/>
        </w:rPr>
      </w:pPr>
    </w:p>
    <w:p w:rsidR="007600FD" w:rsidRPr="00C40FF7" w:rsidRDefault="007600FD" w:rsidP="00C40FF7">
      <w:pPr>
        <w:pStyle w:val="Paragrafoelenco"/>
        <w:numPr>
          <w:ilvl w:val="0"/>
          <w:numId w:val="7"/>
        </w:numPr>
        <w:ind w:left="284" w:hanging="284"/>
        <w:rPr>
          <w:szCs w:val="24"/>
        </w:rPr>
      </w:pPr>
      <w:r>
        <w:t>vista l’iniziativa</w:t>
      </w:r>
      <w:r w:rsidR="00C40FF7">
        <w:t xml:space="preserve"> parlamentare </w:t>
      </w:r>
      <w:r w:rsidR="00C40FF7" w:rsidRPr="00C40FF7">
        <w:rPr>
          <w:rFonts w:cs="Arial"/>
          <w:szCs w:val="24"/>
        </w:rPr>
        <w:t>25 settembre 2012 presentata nella forma elaborata da Michele Guerra, Sergio Morisoli e cofirmatari</w:t>
      </w:r>
      <w:r w:rsidR="00C40FF7">
        <w:rPr>
          <w:rFonts w:cs="Arial"/>
          <w:szCs w:val="24"/>
        </w:rPr>
        <w:t>;</w:t>
      </w:r>
    </w:p>
    <w:p w:rsidR="007600FD" w:rsidRDefault="007600FD" w:rsidP="00C40FF7">
      <w:pPr>
        <w:pStyle w:val="Paragrafoelenco"/>
        <w:numPr>
          <w:ilvl w:val="0"/>
          <w:numId w:val="7"/>
        </w:numPr>
        <w:spacing w:before="80"/>
        <w:ind w:left="284" w:hanging="284"/>
      </w:pPr>
      <w:r>
        <w:t>vista l’iniziativa</w:t>
      </w:r>
      <w:r w:rsidR="00C40FF7">
        <w:t xml:space="preserve"> parlamentare </w:t>
      </w:r>
      <w:r w:rsidR="00C40FF7" w:rsidRPr="00C40FF7">
        <w:rPr>
          <w:rFonts w:cs="Arial"/>
          <w:szCs w:val="24"/>
        </w:rPr>
        <w:t>19 settembre 2016 presentata nella forma generica da Patrizia Ramsauer</w:t>
      </w:r>
      <w:r w:rsidR="00C40FF7">
        <w:rPr>
          <w:rFonts w:cs="Arial"/>
          <w:szCs w:val="24"/>
        </w:rPr>
        <w:t>;</w:t>
      </w:r>
    </w:p>
    <w:p w:rsidR="007600FD" w:rsidRDefault="007600FD" w:rsidP="00C40FF7">
      <w:pPr>
        <w:pStyle w:val="Paragrafoelenco"/>
        <w:numPr>
          <w:ilvl w:val="0"/>
          <w:numId w:val="7"/>
        </w:numPr>
        <w:spacing w:before="80"/>
        <w:ind w:left="284" w:hanging="284"/>
      </w:pPr>
      <w:r>
        <w:t>visto il rapporto 5 dicembre 2016 della Commissione speciale per la revisione della LGC,</w:t>
      </w:r>
    </w:p>
    <w:p w:rsidR="007600FD" w:rsidRPr="00C40FF7" w:rsidRDefault="007600FD" w:rsidP="00442D80">
      <w:pPr>
        <w:rPr>
          <w:sz w:val="20"/>
          <w:szCs w:val="20"/>
        </w:rPr>
      </w:pPr>
    </w:p>
    <w:p w:rsidR="007600FD" w:rsidRPr="00C40FF7" w:rsidRDefault="007600FD" w:rsidP="00442D80">
      <w:pPr>
        <w:rPr>
          <w:sz w:val="20"/>
          <w:szCs w:val="20"/>
        </w:rPr>
      </w:pPr>
    </w:p>
    <w:p w:rsidR="007600FD" w:rsidRPr="00C40FF7" w:rsidRDefault="007600FD" w:rsidP="00442D80">
      <w:pPr>
        <w:rPr>
          <w:b/>
        </w:rPr>
      </w:pPr>
      <w:r w:rsidRPr="00C40FF7">
        <w:rPr>
          <w:b/>
        </w:rPr>
        <w:t>d e c r e t a :</w:t>
      </w:r>
    </w:p>
    <w:p w:rsidR="007600FD" w:rsidRPr="00C40FF7" w:rsidRDefault="007600FD" w:rsidP="00442D80">
      <w:pPr>
        <w:rPr>
          <w:sz w:val="20"/>
          <w:szCs w:val="20"/>
        </w:rPr>
      </w:pPr>
    </w:p>
    <w:p w:rsidR="007600FD" w:rsidRPr="00C40FF7" w:rsidRDefault="007600FD" w:rsidP="00442D80">
      <w:pPr>
        <w:rPr>
          <w:sz w:val="20"/>
          <w:szCs w:val="20"/>
        </w:rPr>
      </w:pPr>
    </w:p>
    <w:p w:rsidR="007600FD" w:rsidRPr="00C40FF7" w:rsidRDefault="007600FD" w:rsidP="00442D80">
      <w:pPr>
        <w:rPr>
          <w:b/>
        </w:rPr>
      </w:pPr>
      <w:r w:rsidRPr="00C40FF7">
        <w:rPr>
          <w:b/>
        </w:rPr>
        <w:t>I.</w:t>
      </w:r>
    </w:p>
    <w:p w:rsidR="007600FD" w:rsidRPr="007600FD" w:rsidRDefault="007600FD" w:rsidP="00C40FF7">
      <w:pPr>
        <w:spacing w:before="120"/>
      </w:pPr>
      <w:r>
        <w:t xml:space="preserve">La legge sul </w:t>
      </w:r>
      <w:r w:rsidRPr="007600FD">
        <w:t>Gran Consiglio e sui rapporti con il Consiglio di Stato del 24 febbraio 2015</w:t>
      </w:r>
      <w:r>
        <w:t xml:space="preserve"> è modificata come segue:</w:t>
      </w:r>
    </w:p>
    <w:p w:rsidR="007600FD" w:rsidRPr="00C40FF7" w:rsidRDefault="007600FD" w:rsidP="00442D80">
      <w:pPr>
        <w:rPr>
          <w:sz w:val="20"/>
          <w:szCs w:val="20"/>
        </w:rPr>
      </w:pPr>
    </w:p>
    <w:p w:rsidR="00442D80" w:rsidRPr="00C40FF7" w:rsidRDefault="00442D80" w:rsidP="00442D80">
      <w:pPr>
        <w:rPr>
          <w:sz w:val="20"/>
          <w:szCs w:val="20"/>
        </w:rPr>
      </w:pPr>
    </w:p>
    <w:p w:rsidR="00442D80" w:rsidRPr="00C40FF7" w:rsidRDefault="00442D80" w:rsidP="00442D80">
      <w:pPr>
        <w:rPr>
          <w:b/>
          <w:sz w:val="22"/>
        </w:rPr>
      </w:pPr>
      <w:r w:rsidRPr="00C40FF7">
        <w:rPr>
          <w:b/>
          <w:sz w:val="22"/>
        </w:rPr>
        <w:t>Capitolo terzo – Evasione e attuazione degli atti parlamentari</w:t>
      </w:r>
    </w:p>
    <w:p w:rsidR="00442D80" w:rsidRPr="00C40FF7" w:rsidRDefault="00442D80" w:rsidP="00442D80">
      <w:pPr>
        <w:rPr>
          <w:sz w:val="22"/>
        </w:rPr>
      </w:pPr>
    </w:p>
    <w:tbl>
      <w:tblPr>
        <w:tblW w:w="0" w:type="auto"/>
        <w:tblLook w:val="01E0" w:firstRow="1" w:lastRow="1" w:firstColumn="1" w:lastColumn="1" w:noHBand="0" w:noVBand="0"/>
      </w:tblPr>
      <w:tblGrid>
        <w:gridCol w:w="2361"/>
        <w:gridCol w:w="8"/>
        <w:gridCol w:w="7269"/>
        <w:gridCol w:w="35"/>
      </w:tblGrid>
      <w:tr w:rsidR="00442D80" w:rsidRPr="002D54B9" w:rsidTr="007600FD">
        <w:tc>
          <w:tcPr>
            <w:tcW w:w="2369" w:type="dxa"/>
            <w:gridSpan w:val="2"/>
            <w:shd w:val="clear" w:color="auto" w:fill="auto"/>
          </w:tcPr>
          <w:p w:rsidR="007600FD" w:rsidRDefault="007600FD" w:rsidP="002C1375">
            <w:pPr>
              <w:rPr>
                <w:rFonts w:cs="Arial"/>
                <w:b/>
                <w:sz w:val="20"/>
              </w:rPr>
            </w:pPr>
          </w:p>
          <w:p w:rsidR="007600FD" w:rsidRDefault="007600FD" w:rsidP="002C1375">
            <w:pPr>
              <w:rPr>
                <w:rFonts w:cs="Arial"/>
                <w:b/>
                <w:sz w:val="20"/>
              </w:rPr>
            </w:pPr>
          </w:p>
          <w:p w:rsidR="00442D80" w:rsidRPr="00FF5B1A" w:rsidRDefault="00442D80" w:rsidP="002C1375">
            <w:pPr>
              <w:rPr>
                <w:rFonts w:cs="Arial"/>
                <w:b/>
                <w:sz w:val="20"/>
              </w:rPr>
            </w:pPr>
            <w:r>
              <w:rPr>
                <w:rFonts w:cs="Arial"/>
                <w:b/>
                <w:sz w:val="20"/>
              </w:rPr>
              <w:t>Rendiconto</w:t>
            </w:r>
          </w:p>
        </w:tc>
        <w:tc>
          <w:tcPr>
            <w:tcW w:w="7304" w:type="dxa"/>
            <w:gridSpan w:val="2"/>
            <w:shd w:val="clear" w:color="auto" w:fill="auto"/>
          </w:tcPr>
          <w:p w:rsidR="00442D80" w:rsidRPr="007600FD" w:rsidRDefault="00442D80" w:rsidP="007600FD">
            <w:pPr>
              <w:rPr>
                <w:rFonts w:cs="Arial"/>
                <w:b/>
                <w:sz w:val="22"/>
              </w:rPr>
            </w:pPr>
            <w:r w:rsidRPr="007600FD">
              <w:rPr>
                <w:rFonts w:cs="Arial"/>
                <w:b/>
                <w:sz w:val="22"/>
              </w:rPr>
              <w:t>A</w:t>
            </w:r>
            <w:r w:rsidR="007600FD" w:rsidRPr="007600FD">
              <w:rPr>
                <w:rFonts w:cs="Arial"/>
                <w:b/>
                <w:sz w:val="22"/>
              </w:rPr>
              <w:t>rt. 61a</w:t>
            </w:r>
          </w:p>
          <w:p w:rsidR="007600FD" w:rsidRPr="00C40FF7" w:rsidRDefault="007600FD" w:rsidP="007600FD">
            <w:pPr>
              <w:rPr>
                <w:rFonts w:cs="Arial"/>
                <w:sz w:val="20"/>
                <w:szCs w:val="20"/>
              </w:rPr>
            </w:pPr>
          </w:p>
          <w:p w:rsidR="00442D80" w:rsidRPr="007600FD" w:rsidRDefault="00442D80" w:rsidP="007600FD">
            <w:pPr>
              <w:widowControl w:val="0"/>
              <w:tabs>
                <w:tab w:val="left" w:pos="360"/>
              </w:tabs>
              <w:autoSpaceDE w:val="0"/>
              <w:autoSpaceDN w:val="0"/>
              <w:adjustRightInd w:val="0"/>
              <w:rPr>
                <w:rFonts w:cs="Arial"/>
                <w:color w:val="000000" w:themeColor="text1"/>
                <w:sz w:val="22"/>
              </w:rPr>
            </w:pPr>
            <w:r w:rsidRPr="007600FD">
              <w:rPr>
                <w:rFonts w:cs="Arial"/>
                <w:color w:val="000000" w:themeColor="text1"/>
                <w:sz w:val="22"/>
              </w:rPr>
              <w:t>Almeno una volta all’anno è pubblicato in internet, a cura dei Servizi del Gran Consiglio, un rendiconto aggiornato degli atti parlamentari non ancora evasi o attuati. Il Consiglio di Stato è tenuto a fornire le opportune spiegazioni.</w:t>
            </w:r>
          </w:p>
          <w:p w:rsidR="007600FD" w:rsidRPr="00C40FF7" w:rsidRDefault="007600FD" w:rsidP="007600FD">
            <w:pPr>
              <w:widowControl w:val="0"/>
              <w:tabs>
                <w:tab w:val="left" w:pos="360"/>
              </w:tabs>
              <w:autoSpaceDE w:val="0"/>
              <w:autoSpaceDN w:val="0"/>
              <w:adjustRightInd w:val="0"/>
              <w:rPr>
                <w:rFonts w:cs="Arial"/>
                <w:color w:val="000000" w:themeColor="text1"/>
                <w:sz w:val="20"/>
                <w:szCs w:val="20"/>
              </w:rPr>
            </w:pPr>
          </w:p>
          <w:p w:rsidR="007600FD" w:rsidRPr="007600FD" w:rsidRDefault="007600FD" w:rsidP="007600FD">
            <w:pPr>
              <w:widowControl w:val="0"/>
              <w:tabs>
                <w:tab w:val="left" w:pos="360"/>
              </w:tabs>
              <w:autoSpaceDE w:val="0"/>
              <w:autoSpaceDN w:val="0"/>
              <w:adjustRightInd w:val="0"/>
              <w:rPr>
                <w:rFonts w:cs="Arial"/>
                <w:sz w:val="22"/>
              </w:rPr>
            </w:pPr>
          </w:p>
        </w:tc>
      </w:tr>
      <w:tr w:rsidR="00442D80" w:rsidRPr="007600FD" w:rsidTr="007600FD">
        <w:trPr>
          <w:gridAfter w:val="1"/>
          <w:wAfter w:w="35" w:type="dxa"/>
        </w:trPr>
        <w:tc>
          <w:tcPr>
            <w:tcW w:w="2361" w:type="dxa"/>
            <w:shd w:val="clear" w:color="auto" w:fill="auto"/>
          </w:tcPr>
          <w:p w:rsidR="007600FD" w:rsidRDefault="007600FD" w:rsidP="002C1375">
            <w:pPr>
              <w:rPr>
                <w:rFonts w:cs="Arial"/>
                <w:b/>
                <w:sz w:val="20"/>
              </w:rPr>
            </w:pPr>
          </w:p>
          <w:p w:rsidR="007600FD" w:rsidRDefault="007600FD" w:rsidP="002C1375">
            <w:pPr>
              <w:rPr>
                <w:rFonts w:cs="Arial"/>
                <w:b/>
                <w:sz w:val="20"/>
              </w:rPr>
            </w:pPr>
          </w:p>
          <w:p w:rsidR="00442D80" w:rsidRPr="00FF5B1A" w:rsidRDefault="00442D80" w:rsidP="007600FD">
            <w:pPr>
              <w:jc w:val="left"/>
              <w:rPr>
                <w:rFonts w:cs="Arial"/>
                <w:b/>
                <w:sz w:val="20"/>
              </w:rPr>
            </w:pPr>
            <w:r>
              <w:rPr>
                <w:rFonts w:cs="Arial"/>
                <w:b/>
                <w:sz w:val="20"/>
              </w:rPr>
              <w:t>Iniziativa in forma elaborata</w:t>
            </w:r>
          </w:p>
        </w:tc>
        <w:tc>
          <w:tcPr>
            <w:tcW w:w="7277" w:type="dxa"/>
            <w:gridSpan w:val="2"/>
            <w:shd w:val="clear" w:color="auto" w:fill="auto"/>
          </w:tcPr>
          <w:p w:rsidR="00442D80" w:rsidRPr="007600FD" w:rsidRDefault="00442D80" w:rsidP="007600FD">
            <w:pPr>
              <w:rPr>
                <w:rFonts w:cs="Arial"/>
                <w:b/>
                <w:sz w:val="22"/>
              </w:rPr>
            </w:pPr>
            <w:r w:rsidRPr="007600FD">
              <w:rPr>
                <w:rFonts w:cs="Arial"/>
                <w:b/>
                <w:sz w:val="22"/>
              </w:rPr>
              <w:t>Art. 102 cpv. 5</w:t>
            </w:r>
            <w:r w:rsidR="00C40FF7">
              <w:rPr>
                <w:rFonts w:cs="Arial"/>
                <w:b/>
                <w:sz w:val="22"/>
              </w:rPr>
              <w:t xml:space="preserve"> (nuovo)</w:t>
            </w:r>
          </w:p>
          <w:p w:rsidR="00442D80" w:rsidRPr="00C40FF7" w:rsidRDefault="00442D80" w:rsidP="007600FD">
            <w:pPr>
              <w:rPr>
                <w:rFonts w:cs="Arial"/>
                <w:sz w:val="20"/>
                <w:szCs w:val="20"/>
              </w:rPr>
            </w:pPr>
          </w:p>
          <w:p w:rsidR="00442D80" w:rsidRDefault="00442D80" w:rsidP="007600FD">
            <w:pPr>
              <w:widowControl w:val="0"/>
              <w:tabs>
                <w:tab w:val="left" w:pos="360"/>
              </w:tabs>
              <w:autoSpaceDE w:val="0"/>
              <w:autoSpaceDN w:val="0"/>
              <w:adjustRightInd w:val="0"/>
              <w:rPr>
                <w:rFonts w:cs="Arial"/>
                <w:sz w:val="22"/>
              </w:rPr>
            </w:pPr>
            <w:r w:rsidRPr="007600FD">
              <w:rPr>
                <w:rFonts w:cs="Arial"/>
                <w:sz w:val="22"/>
                <w:vertAlign w:val="superscript"/>
              </w:rPr>
              <w:t>5</w:t>
            </w:r>
            <w:r w:rsidRPr="007600FD">
              <w:rPr>
                <w:rFonts w:cs="Arial"/>
                <w:sz w:val="22"/>
              </w:rPr>
              <w:t>Se la Commissione non riferisce al Gran Consiglio con un rapporto in tempo utile per una decisione entro il termine indicato al capoverso precedente, l'iniziativa viene direttamente discussa dal plenum.</w:t>
            </w:r>
          </w:p>
          <w:p w:rsidR="007600FD" w:rsidRPr="00C40FF7" w:rsidRDefault="007600FD" w:rsidP="007600FD">
            <w:pPr>
              <w:widowControl w:val="0"/>
              <w:tabs>
                <w:tab w:val="left" w:pos="360"/>
              </w:tabs>
              <w:autoSpaceDE w:val="0"/>
              <w:autoSpaceDN w:val="0"/>
              <w:adjustRightInd w:val="0"/>
              <w:rPr>
                <w:rFonts w:cs="Arial"/>
                <w:sz w:val="20"/>
                <w:szCs w:val="20"/>
              </w:rPr>
            </w:pPr>
          </w:p>
          <w:p w:rsidR="007600FD" w:rsidRPr="007600FD" w:rsidRDefault="007600FD" w:rsidP="007600FD">
            <w:pPr>
              <w:widowControl w:val="0"/>
              <w:tabs>
                <w:tab w:val="left" w:pos="360"/>
              </w:tabs>
              <w:autoSpaceDE w:val="0"/>
              <w:autoSpaceDN w:val="0"/>
              <w:adjustRightInd w:val="0"/>
              <w:rPr>
                <w:rFonts w:cs="Arial"/>
                <w:sz w:val="22"/>
              </w:rPr>
            </w:pPr>
          </w:p>
        </w:tc>
      </w:tr>
      <w:tr w:rsidR="00442D80" w:rsidRPr="007600FD" w:rsidTr="007600FD">
        <w:trPr>
          <w:gridAfter w:val="1"/>
          <w:wAfter w:w="35" w:type="dxa"/>
        </w:trPr>
        <w:tc>
          <w:tcPr>
            <w:tcW w:w="2361" w:type="dxa"/>
            <w:shd w:val="clear" w:color="auto" w:fill="auto"/>
          </w:tcPr>
          <w:p w:rsidR="007600FD" w:rsidRDefault="007600FD" w:rsidP="002C1375">
            <w:pPr>
              <w:rPr>
                <w:rFonts w:cs="Arial"/>
                <w:b/>
                <w:bCs/>
                <w:sz w:val="20"/>
              </w:rPr>
            </w:pPr>
          </w:p>
          <w:p w:rsidR="007600FD" w:rsidRDefault="007600FD" w:rsidP="002C1375">
            <w:pPr>
              <w:rPr>
                <w:rFonts w:cs="Arial"/>
                <w:b/>
                <w:bCs/>
                <w:sz w:val="20"/>
              </w:rPr>
            </w:pPr>
          </w:p>
          <w:p w:rsidR="00442D80" w:rsidRPr="00FF5B1A" w:rsidRDefault="00442D80" w:rsidP="002C1375">
            <w:pPr>
              <w:rPr>
                <w:rFonts w:cs="Arial"/>
                <w:b/>
                <w:sz w:val="20"/>
              </w:rPr>
            </w:pPr>
            <w:r>
              <w:rPr>
                <w:rFonts w:cs="Arial"/>
                <w:b/>
                <w:bCs/>
                <w:sz w:val="20"/>
              </w:rPr>
              <w:t>Mozione</w:t>
            </w:r>
          </w:p>
        </w:tc>
        <w:tc>
          <w:tcPr>
            <w:tcW w:w="7277" w:type="dxa"/>
            <w:gridSpan w:val="2"/>
            <w:shd w:val="clear" w:color="auto" w:fill="auto"/>
          </w:tcPr>
          <w:p w:rsidR="00442D80" w:rsidRPr="007600FD" w:rsidRDefault="00442D80" w:rsidP="007600FD">
            <w:pPr>
              <w:rPr>
                <w:rFonts w:cs="Arial"/>
                <w:b/>
                <w:bCs/>
                <w:sz w:val="22"/>
              </w:rPr>
            </w:pPr>
            <w:r w:rsidRPr="007600FD">
              <w:rPr>
                <w:rFonts w:cs="Arial"/>
                <w:b/>
                <w:bCs/>
                <w:sz w:val="22"/>
              </w:rPr>
              <w:t>Art. 105</w:t>
            </w:r>
          </w:p>
          <w:p w:rsidR="00442D80" w:rsidRPr="00C40FF7" w:rsidRDefault="00442D80" w:rsidP="007600FD">
            <w:pPr>
              <w:rPr>
                <w:rFonts w:cs="Arial"/>
                <w:bCs/>
                <w:sz w:val="20"/>
                <w:szCs w:val="20"/>
              </w:rPr>
            </w:pPr>
          </w:p>
          <w:p w:rsidR="00442D80" w:rsidRPr="007600FD" w:rsidRDefault="00442D80" w:rsidP="007600FD">
            <w:pPr>
              <w:widowControl w:val="0"/>
              <w:tabs>
                <w:tab w:val="left" w:pos="360"/>
              </w:tabs>
              <w:autoSpaceDE w:val="0"/>
              <w:autoSpaceDN w:val="0"/>
              <w:adjustRightInd w:val="0"/>
              <w:rPr>
                <w:rFonts w:cs="Arial"/>
                <w:sz w:val="22"/>
              </w:rPr>
            </w:pPr>
            <w:r w:rsidRPr="007600FD">
              <w:rPr>
                <w:rFonts w:cs="Arial"/>
                <w:sz w:val="22"/>
                <w:vertAlign w:val="superscript"/>
              </w:rPr>
              <w:t>1</w:t>
            </w:r>
            <w:r w:rsidRPr="007600FD">
              <w:rPr>
                <w:rFonts w:cs="Arial"/>
                <w:sz w:val="22"/>
              </w:rPr>
              <w:t>La mozione è la proposta scritta fatta da uno o più deputati al Consiglio di Stato di prendere un provvedimento di interesse generale.</w:t>
            </w:r>
          </w:p>
          <w:p w:rsidR="007600FD" w:rsidRPr="00C40FF7" w:rsidRDefault="007600FD" w:rsidP="007600FD">
            <w:pPr>
              <w:widowControl w:val="0"/>
              <w:tabs>
                <w:tab w:val="left" w:pos="360"/>
              </w:tabs>
              <w:autoSpaceDE w:val="0"/>
              <w:autoSpaceDN w:val="0"/>
              <w:adjustRightInd w:val="0"/>
              <w:rPr>
                <w:rFonts w:cs="Arial"/>
                <w:sz w:val="20"/>
                <w:szCs w:val="20"/>
              </w:rPr>
            </w:pPr>
          </w:p>
          <w:p w:rsidR="00442D80" w:rsidRPr="007600FD" w:rsidRDefault="00442D80" w:rsidP="007600FD">
            <w:pPr>
              <w:widowControl w:val="0"/>
              <w:tabs>
                <w:tab w:val="left" w:pos="360"/>
              </w:tabs>
              <w:autoSpaceDE w:val="0"/>
              <w:autoSpaceDN w:val="0"/>
              <w:adjustRightInd w:val="0"/>
              <w:rPr>
                <w:rFonts w:cs="Arial"/>
                <w:sz w:val="22"/>
              </w:rPr>
            </w:pPr>
            <w:r w:rsidRPr="007600FD">
              <w:rPr>
                <w:rFonts w:cs="Arial"/>
                <w:sz w:val="22"/>
                <w:vertAlign w:val="superscript"/>
              </w:rPr>
              <w:t>2</w:t>
            </w:r>
            <w:r w:rsidRPr="007600FD">
              <w:rPr>
                <w:rFonts w:cs="Arial"/>
                <w:sz w:val="22"/>
              </w:rPr>
              <w:t>Essa è trasmessa direttamente al Consiglio di Stato.</w:t>
            </w:r>
          </w:p>
          <w:p w:rsidR="007600FD" w:rsidRPr="00C40FF7" w:rsidRDefault="007600FD" w:rsidP="007600FD">
            <w:pPr>
              <w:widowControl w:val="0"/>
              <w:tabs>
                <w:tab w:val="left" w:pos="360"/>
              </w:tabs>
              <w:autoSpaceDE w:val="0"/>
              <w:autoSpaceDN w:val="0"/>
              <w:adjustRightInd w:val="0"/>
              <w:rPr>
                <w:rFonts w:cs="Arial"/>
                <w:sz w:val="20"/>
                <w:szCs w:val="20"/>
              </w:rPr>
            </w:pPr>
          </w:p>
          <w:p w:rsidR="00442D80" w:rsidRPr="007600FD" w:rsidRDefault="00442D80" w:rsidP="007600FD">
            <w:pPr>
              <w:widowControl w:val="0"/>
              <w:tabs>
                <w:tab w:val="left" w:pos="360"/>
              </w:tabs>
              <w:autoSpaceDE w:val="0"/>
              <w:autoSpaceDN w:val="0"/>
              <w:adjustRightInd w:val="0"/>
              <w:rPr>
                <w:rFonts w:cs="Arial"/>
                <w:sz w:val="22"/>
              </w:rPr>
            </w:pPr>
            <w:r w:rsidRPr="007600FD">
              <w:rPr>
                <w:rFonts w:cs="Arial"/>
                <w:sz w:val="22"/>
                <w:vertAlign w:val="superscript"/>
              </w:rPr>
              <w:t>3</w:t>
            </w:r>
            <w:r w:rsidRPr="007600FD">
              <w:rPr>
                <w:rFonts w:cs="Arial"/>
                <w:sz w:val="22"/>
              </w:rPr>
              <w:t xml:space="preserve">È data facoltà al Consiglio di Stato di accettare integralmente la mozione, indicandone i tempi di esecuzione. In tal caso, essa diventa vincolante attraverso la comunicazione scritta dell’accettazione all’Ufficio presidenziale del Gran Consiglio e al </w:t>
            </w:r>
            <w:proofErr w:type="spellStart"/>
            <w:r w:rsidRPr="007600FD">
              <w:rPr>
                <w:rFonts w:cs="Arial"/>
                <w:sz w:val="22"/>
              </w:rPr>
              <w:t>mozionante</w:t>
            </w:r>
            <w:proofErr w:type="spellEnd"/>
            <w:r w:rsidRPr="007600FD">
              <w:rPr>
                <w:rFonts w:cs="Arial"/>
                <w:sz w:val="22"/>
              </w:rPr>
              <w:t>.</w:t>
            </w:r>
          </w:p>
          <w:p w:rsidR="007600FD" w:rsidRPr="00C40FF7" w:rsidRDefault="007600FD" w:rsidP="007600FD">
            <w:pPr>
              <w:widowControl w:val="0"/>
              <w:tabs>
                <w:tab w:val="left" w:pos="360"/>
              </w:tabs>
              <w:autoSpaceDE w:val="0"/>
              <w:autoSpaceDN w:val="0"/>
              <w:adjustRightInd w:val="0"/>
              <w:rPr>
                <w:rFonts w:cs="Arial"/>
                <w:sz w:val="20"/>
                <w:szCs w:val="20"/>
              </w:rPr>
            </w:pPr>
          </w:p>
          <w:p w:rsidR="00442D80" w:rsidRPr="007600FD" w:rsidRDefault="00442D80" w:rsidP="007600FD">
            <w:pPr>
              <w:widowControl w:val="0"/>
              <w:tabs>
                <w:tab w:val="left" w:pos="360"/>
              </w:tabs>
              <w:autoSpaceDE w:val="0"/>
              <w:autoSpaceDN w:val="0"/>
              <w:adjustRightInd w:val="0"/>
              <w:rPr>
                <w:rFonts w:cs="Arial"/>
                <w:sz w:val="22"/>
              </w:rPr>
            </w:pPr>
            <w:r w:rsidRPr="007600FD">
              <w:rPr>
                <w:rFonts w:cs="Arial"/>
                <w:sz w:val="22"/>
                <w:vertAlign w:val="superscript"/>
              </w:rPr>
              <w:lastRenderedPageBreak/>
              <w:t>4</w:t>
            </w:r>
            <w:r w:rsidRPr="007600FD">
              <w:rPr>
                <w:rFonts w:cs="Arial"/>
                <w:sz w:val="22"/>
              </w:rPr>
              <w:t>Se il Consiglio di Stato non accetta integralmente la mozione, presenta un messaggio al Gran Consiglio entro 6 mesi.</w:t>
            </w:r>
          </w:p>
          <w:p w:rsidR="007600FD" w:rsidRPr="00C40FF7" w:rsidRDefault="007600FD" w:rsidP="007600FD">
            <w:pPr>
              <w:widowControl w:val="0"/>
              <w:tabs>
                <w:tab w:val="left" w:pos="360"/>
              </w:tabs>
              <w:autoSpaceDE w:val="0"/>
              <w:autoSpaceDN w:val="0"/>
              <w:adjustRightInd w:val="0"/>
              <w:rPr>
                <w:rFonts w:cs="Arial"/>
                <w:sz w:val="20"/>
                <w:szCs w:val="20"/>
              </w:rPr>
            </w:pPr>
          </w:p>
          <w:p w:rsidR="00442D80" w:rsidRPr="007600FD" w:rsidRDefault="00442D80" w:rsidP="007600FD">
            <w:pPr>
              <w:widowControl w:val="0"/>
              <w:tabs>
                <w:tab w:val="left" w:pos="360"/>
              </w:tabs>
              <w:autoSpaceDE w:val="0"/>
              <w:autoSpaceDN w:val="0"/>
              <w:adjustRightInd w:val="0"/>
              <w:rPr>
                <w:rFonts w:cs="Arial"/>
                <w:sz w:val="22"/>
              </w:rPr>
            </w:pPr>
            <w:r w:rsidRPr="007600FD">
              <w:rPr>
                <w:rFonts w:cs="Arial"/>
                <w:sz w:val="22"/>
                <w:vertAlign w:val="superscript"/>
              </w:rPr>
              <w:t>5</w:t>
            </w:r>
            <w:r w:rsidRPr="007600FD">
              <w:rPr>
                <w:rFonts w:cs="Arial"/>
                <w:sz w:val="22"/>
              </w:rPr>
              <w:t xml:space="preserve">Il </w:t>
            </w:r>
            <w:proofErr w:type="spellStart"/>
            <w:r w:rsidRPr="007600FD">
              <w:rPr>
                <w:rFonts w:cs="Arial"/>
                <w:sz w:val="22"/>
              </w:rPr>
              <w:t>mozionante</w:t>
            </w:r>
            <w:proofErr w:type="spellEnd"/>
            <w:r w:rsidRPr="007600FD">
              <w:rPr>
                <w:rFonts w:cs="Arial"/>
                <w:sz w:val="22"/>
              </w:rPr>
              <w:t xml:space="preserve"> può chiedere, entro 1 mese, che la mozione e il messaggio del Consiglio di Stato siano trasmessi a una Commissione. </w:t>
            </w:r>
          </w:p>
          <w:p w:rsidR="007600FD" w:rsidRPr="00C40FF7" w:rsidRDefault="007600FD" w:rsidP="007600FD">
            <w:pPr>
              <w:widowControl w:val="0"/>
              <w:tabs>
                <w:tab w:val="left" w:pos="360"/>
              </w:tabs>
              <w:autoSpaceDE w:val="0"/>
              <w:autoSpaceDN w:val="0"/>
              <w:adjustRightInd w:val="0"/>
              <w:rPr>
                <w:rFonts w:cs="Arial"/>
                <w:sz w:val="20"/>
                <w:szCs w:val="20"/>
              </w:rPr>
            </w:pPr>
          </w:p>
          <w:p w:rsidR="00442D80" w:rsidRPr="007600FD" w:rsidRDefault="00442D80" w:rsidP="007600FD">
            <w:pPr>
              <w:widowControl w:val="0"/>
              <w:tabs>
                <w:tab w:val="left" w:pos="360"/>
              </w:tabs>
              <w:autoSpaceDE w:val="0"/>
              <w:autoSpaceDN w:val="0"/>
              <w:adjustRightInd w:val="0"/>
              <w:rPr>
                <w:rFonts w:cs="Arial"/>
                <w:sz w:val="22"/>
              </w:rPr>
            </w:pPr>
            <w:r w:rsidRPr="007600FD">
              <w:rPr>
                <w:rFonts w:cs="Arial"/>
                <w:b/>
                <w:sz w:val="22"/>
                <w:vertAlign w:val="superscript"/>
              </w:rPr>
              <w:t>6</w:t>
            </w:r>
            <w:r w:rsidRPr="007600FD">
              <w:rPr>
                <w:rFonts w:cs="Arial"/>
                <w:sz w:val="22"/>
              </w:rPr>
              <w:t>In caso di inosservanza, da parte del Consiglio di Stato, del termine di 6 mesi per la presentazione del messaggio, la mozione è trasmessa automaticamente a una Commissione, a meno che l’Ufficio presidenziale del Gran Consiglio conceda una proroga per la presentazione del messaggio, dietro richiesta motivata del Consiglio di Stato formulata prima della scadenza del suddetto termine.</w:t>
            </w:r>
          </w:p>
          <w:p w:rsidR="007600FD" w:rsidRPr="00C40FF7" w:rsidRDefault="007600FD" w:rsidP="007600FD">
            <w:pPr>
              <w:widowControl w:val="0"/>
              <w:tabs>
                <w:tab w:val="left" w:pos="360"/>
              </w:tabs>
              <w:autoSpaceDE w:val="0"/>
              <w:autoSpaceDN w:val="0"/>
              <w:adjustRightInd w:val="0"/>
              <w:rPr>
                <w:rFonts w:cs="Arial"/>
                <w:sz w:val="20"/>
                <w:szCs w:val="20"/>
              </w:rPr>
            </w:pPr>
          </w:p>
          <w:p w:rsidR="00442D80" w:rsidRPr="007600FD" w:rsidRDefault="00442D80" w:rsidP="007600FD">
            <w:pPr>
              <w:widowControl w:val="0"/>
              <w:tabs>
                <w:tab w:val="left" w:pos="360"/>
              </w:tabs>
              <w:autoSpaceDE w:val="0"/>
              <w:autoSpaceDN w:val="0"/>
              <w:adjustRightInd w:val="0"/>
              <w:rPr>
                <w:rFonts w:cs="Arial"/>
                <w:sz w:val="22"/>
              </w:rPr>
            </w:pPr>
            <w:r w:rsidRPr="007600FD">
              <w:rPr>
                <w:rFonts w:cs="Arial"/>
                <w:b/>
                <w:sz w:val="22"/>
                <w:vertAlign w:val="superscript"/>
              </w:rPr>
              <w:t>7</w:t>
            </w:r>
            <w:r w:rsidRPr="007600FD">
              <w:rPr>
                <w:rFonts w:cs="Arial"/>
                <w:sz w:val="22"/>
              </w:rPr>
              <w:t xml:space="preserve">La Commissione riferisce al Gran Consiglio con un rapporto sulla mozione entro 1 anno. Il rapporto firmato viene preventivamente trasmesso al Consiglio di Stato, il quale </w:t>
            </w:r>
            <w:r w:rsidRPr="007600FD">
              <w:rPr>
                <w:rFonts w:cs="Arial"/>
                <w:color w:val="000000" w:themeColor="text1"/>
                <w:sz w:val="22"/>
              </w:rPr>
              <w:t xml:space="preserve">ha 30 </w:t>
            </w:r>
            <w:r w:rsidRPr="007600FD">
              <w:rPr>
                <w:rFonts w:cs="Arial"/>
                <w:sz w:val="22"/>
              </w:rPr>
              <w:t xml:space="preserve">giorni di tempo per accettarlo. In caso di accettazione, le conclusioni del rapporto diventano vincolanti, a meno che il </w:t>
            </w:r>
            <w:proofErr w:type="spellStart"/>
            <w:r w:rsidRPr="007600FD">
              <w:rPr>
                <w:rFonts w:cs="Arial"/>
                <w:sz w:val="22"/>
              </w:rPr>
              <w:t>mozionante</w:t>
            </w:r>
            <w:proofErr w:type="spellEnd"/>
            <w:r w:rsidRPr="007600FD">
              <w:rPr>
                <w:rFonts w:cs="Arial"/>
                <w:sz w:val="22"/>
              </w:rPr>
              <w:t xml:space="preserve"> chieda che esso venga sottoposto al Gran Consiglio.</w:t>
            </w:r>
          </w:p>
          <w:p w:rsidR="007600FD" w:rsidRPr="00C40FF7" w:rsidRDefault="007600FD" w:rsidP="007600FD">
            <w:pPr>
              <w:widowControl w:val="0"/>
              <w:tabs>
                <w:tab w:val="left" w:pos="360"/>
              </w:tabs>
              <w:autoSpaceDE w:val="0"/>
              <w:autoSpaceDN w:val="0"/>
              <w:adjustRightInd w:val="0"/>
              <w:rPr>
                <w:rFonts w:cs="Arial"/>
                <w:sz w:val="20"/>
                <w:szCs w:val="20"/>
              </w:rPr>
            </w:pPr>
          </w:p>
          <w:p w:rsidR="00442D80" w:rsidRPr="007600FD" w:rsidRDefault="00442D80" w:rsidP="007600FD">
            <w:pPr>
              <w:widowControl w:val="0"/>
              <w:tabs>
                <w:tab w:val="left" w:pos="360"/>
              </w:tabs>
              <w:autoSpaceDE w:val="0"/>
              <w:autoSpaceDN w:val="0"/>
              <w:adjustRightInd w:val="0"/>
              <w:rPr>
                <w:rFonts w:cs="Arial"/>
                <w:sz w:val="22"/>
              </w:rPr>
            </w:pPr>
            <w:r w:rsidRPr="007600FD">
              <w:rPr>
                <w:rFonts w:cs="Arial"/>
                <w:sz w:val="22"/>
                <w:vertAlign w:val="superscript"/>
              </w:rPr>
              <w:t>8</w:t>
            </w:r>
            <w:r w:rsidRPr="007600FD">
              <w:rPr>
                <w:rFonts w:cs="Arial"/>
                <w:sz w:val="22"/>
              </w:rPr>
              <w:t>Un eventuale ritiro, da parte del Consiglio di Stato, del suo messaggio sulla mozione non sospende il prosieguo delle deliberazioni parlamentari, salvo diversa decisione della commissione incaricata, rispettivamente del Gran Consiglio.</w:t>
            </w:r>
          </w:p>
          <w:p w:rsidR="007600FD" w:rsidRPr="00C40FF7" w:rsidRDefault="007600FD" w:rsidP="007600FD">
            <w:pPr>
              <w:widowControl w:val="0"/>
              <w:tabs>
                <w:tab w:val="left" w:pos="360"/>
              </w:tabs>
              <w:autoSpaceDE w:val="0"/>
              <w:autoSpaceDN w:val="0"/>
              <w:adjustRightInd w:val="0"/>
              <w:rPr>
                <w:rFonts w:cs="Arial"/>
                <w:sz w:val="20"/>
                <w:szCs w:val="20"/>
              </w:rPr>
            </w:pPr>
          </w:p>
          <w:p w:rsidR="00442D80" w:rsidRPr="007600FD" w:rsidRDefault="00442D80" w:rsidP="007600FD">
            <w:pPr>
              <w:widowControl w:val="0"/>
              <w:tabs>
                <w:tab w:val="left" w:pos="360"/>
              </w:tabs>
              <w:autoSpaceDE w:val="0"/>
              <w:autoSpaceDN w:val="0"/>
              <w:adjustRightInd w:val="0"/>
              <w:rPr>
                <w:rFonts w:cs="Arial"/>
                <w:sz w:val="22"/>
              </w:rPr>
            </w:pPr>
            <w:r w:rsidRPr="007600FD">
              <w:rPr>
                <w:rFonts w:cs="Arial"/>
                <w:sz w:val="22"/>
                <w:vertAlign w:val="superscript"/>
              </w:rPr>
              <w:t>9</w:t>
            </w:r>
            <w:r w:rsidRPr="007600FD">
              <w:rPr>
                <w:rFonts w:cs="Arial"/>
                <w:sz w:val="22"/>
              </w:rPr>
              <w:t xml:space="preserve">Nella misura in cui il Gran Consiglio approva la mozione, essa diventa vincolante per il Consiglio di Stato, salvo le competenze costituzionali. Il Gran Consiglio può </w:t>
            </w:r>
            <w:r w:rsidRPr="007600FD">
              <w:rPr>
                <w:rFonts w:cs="Arial"/>
                <w:color w:val="000000" w:themeColor="text1"/>
                <w:sz w:val="22"/>
              </w:rPr>
              <w:t xml:space="preserve">stabilire </w:t>
            </w:r>
            <w:r w:rsidRPr="007600FD">
              <w:rPr>
                <w:rFonts w:cs="Arial"/>
                <w:sz w:val="22"/>
              </w:rPr>
              <w:t>i tempi di attuazione della mozione o stabilire delle scadenze per la presentazione di un rendiconto del Consiglio di Stato sulle misure adottate.</w:t>
            </w:r>
          </w:p>
          <w:p w:rsidR="007600FD" w:rsidRPr="007600FD" w:rsidRDefault="007600FD" w:rsidP="007600FD">
            <w:pPr>
              <w:widowControl w:val="0"/>
              <w:tabs>
                <w:tab w:val="left" w:pos="360"/>
              </w:tabs>
              <w:autoSpaceDE w:val="0"/>
              <w:autoSpaceDN w:val="0"/>
              <w:adjustRightInd w:val="0"/>
              <w:rPr>
                <w:rFonts w:cs="Arial"/>
                <w:sz w:val="22"/>
              </w:rPr>
            </w:pPr>
          </w:p>
        </w:tc>
      </w:tr>
    </w:tbl>
    <w:p w:rsidR="00442D80" w:rsidRPr="00442D80" w:rsidRDefault="00442D80" w:rsidP="00442D80"/>
    <w:p w:rsidR="00442D80" w:rsidRDefault="00442D80" w:rsidP="00442D80"/>
    <w:p w:rsidR="00C40FF7" w:rsidRPr="00C40FF7" w:rsidRDefault="00C40FF7" w:rsidP="00442D80">
      <w:pPr>
        <w:rPr>
          <w:b/>
        </w:rPr>
      </w:pPr>
      <w:r w:rsidRPr="00C40FF7">
        <w:rPr>
          <w:b/>
        </w:rPr>
        <w:t>II.</w:t>
      </w:r>
    </w:p>
    <w:p w:rsidR="00C40FF7" w:rsidRDefault="00C40FF7" w:rsidP="00C40FF7">
      <w:pPr>
        <w:spacing w:before="120"/>
      </w:pPr>
      <w:r>
        <w:t>Trascorsi i termini per l’esercizio del diritto di referendum, la presente modifica di legge è pubblicata nel Bollettino ufficiale delle leggi ed entra immediatamente in vigore.</w:t>
      </w:r>
    </w:p>
    <w:p w:rsidR="00C40FF7" w:rsidRPr="00442D80" w:rsidRDefault="00C40FF7" w:rsidP="00442D80"/>
    <w:sectPr w:rsidR="00C40FF7" w:rsidRPr="00442D80" w:rsidSect="00C40FF7">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12" w:rsidRDefault="004E7112" w:rsidP="008E77C6">
      <w:r>
        <w:separator/>
      </w:r>
    </w:p>
  </w:endnote>
  <w:endnote w:type="continuationSeparator" w:id="0">
    <w:p w:rsidR="004E7112" w:rsidRDefault="004E711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5153B" w:rsidRPr="0055153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12" w:rsidRDefault="004E7112" w:rsidP="008E77C6">
      <w:r>
        <w:separator/>
      </w:r>
    </w:p>
  </w:footnote>
  <w:footnote w:type="continuationSeparator" w:id="0">
    <w:p w:rsidR="004E7112" w:rsidRDefault="004E7112"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638"/>
    <w:multiLevelType w:val="hybridMultilevel"/>
    <w:tmpl w:val="40A20D5C"/>
    <w:lvl w:ilvl="0" w:tplc="04100005">
      <w:start w:val="1"/>
      <w:numFmt w:val="bullet"/>
      <w:lvlText w:val=""/>
      <w:lvlJc w:val="left"/>
      <w:pPr>
        <w:ind w:left="-3564" w:hanging="360"/>
      </w:pPr>
      <w:rPr>
        <w:rFonts w:ascii="Wingdings" w:hAnsi="Wingdings" w:hint="default"/>
      </w:rPr>
    </w:lvl>
    <w:lvl w:ilvl="1" w:tplc="04100003" w:tentative="1">
      <w:start w:val="1"/>
      <w:numFmt w:val="bullet"/>
      <w:lvlText w:val="o"/>
      <w:lvlJc w:val="left"/>
      <w:pPr>
        <w:ind w:left="-2844" w:hanging="360"/>
      </w:pPr>
      <w:rPr>
        <w:rFonts w:ascii="Courier New" w:hAnsi="Courier New" w:cs="Courier New" w:hint="default"/>
      </w:rPr>
    </w:lvl>
    <w:lvl w:ilvl="2" w:tplc="04100005" w:tentative="1">
      <w:start w:val="1"/>
      <w:numFmt w:val="bullet"/>
      <w:lvlText w:val=""/>
      <w:lvlJc w:val="left"/>
      <w:pPr>
        <w:ind w:left="-2124" w:hanging="360"/>
      </w:pPr>
      <w:rPr>
        <w:rFonts w:ascii="Wingdings" w:hAnsi="Wingdings" w:hint="default"/>
      </w:rPr>
    </w:lvl>
    <w:lvl w:ilvl="3" w:tplc="04100001" w:tentative="1">
      <w:start w:val="1"/>
      <w:numFmt w:val="bullet"/>
      <w:lvlText w:val=""/>
      <w:lvlJc w:val="left"/>
      <w:pPr>
        <w:ind w:left="-1404" w:hanging="360"/>
      </w:pPr>
      <w:rPr>
        <w:rFonts w:ascii="Symbol" w:hAnsi="Symbol" w:hint="default"/>
      </w:rPr>
    </w:lvl>
    <w:lvl w:ilvl="4" w:tplc="04100003" w:tentative="1">
      <w:start w:val="1"/>
      <w:numFmt w:val="bullet"/>
      <w:lvlText w:val="o"/>
      <w:lvlJc w:val="left"/>
      <w:pPr>
        <w:ind w:left="-684" w:hanging="360"/>
      </w:pPr>
      <w:rPr>
        <w:rFonts w:ascii="Courier New" w:hAnsi="Courier New" w:cs="Courier New" w:hint="default"/>
      </w:rPr>
    </w:lvl>
    <w:lvl w:ilvl="5" w:tplc="04100005" w:tentative="1">
      <w:start w:val="1"/>
      <w:numFmt w:val="bullet"/>
      <w:lvlText w:val=""/>
      <w:lvlJc w:val="left"/>
      <w:pPr>
        <w:ind w:left="36" w:hanging="360"/>
      </w:pPr>
      <w:rPr>
        <w:rFonts w:ascii="Wingdings" w:hAnsi="Wingdings" w:hint="default"/>
      </w:rPr>
    </w:lvl>
    <w:lvl w:ilvl="6" w:tplc="04100001" w:tentative="1">
      <w:start w:val="1"/>
      <w:numFmt w:val="bullet"/>
      <w:lvlText w:val=""/>
      <w:lvlJc w:val="left"/>
      <w:pPr>
        <w:ind w:left="756" w:hanging="360"/>
      </w:pPr>
      <w:rPr>
        <w:rFonts w:ascii="Symbol" w:hAnsi="Symbol" w:hint="default"/>
      </w:rPr>
    </w:lvl>
    <w:lvl w:ilvl="7" w:tplc="04100003" w:tentative="1">
      <w:start w:val="1"/>
      <w:numFmt w:val="bullet"/>
      <w:lvlText w:val="o"/>
      <w:lvlJc w:val="left"/>
      <w:pPr>
        <w:ind w:left="1476" w:hanging="360"/>
      </w:pPr>
      <w:rPr>
        <w:rFonts w:ascii="Courier New" w:hAnsi="Courier New" w:cs="Courier New" w:hint="default"/>
      </w:rPr>
    </w:lvl>
    <w:lvl w:ilvl="8" w:tplc="04100005" w:tentative="1">
      <w:start w:val="1"/>
      <w:numFmt w:val="bullet"/>
      <w:lvlText w:val=""/>
      <w:lvlJc w:val="left"/>
      <w:pPr>
        <w:ind w:left="2196"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60795440"/>
    <w:multiLevelType w:val="hybridMultilevel"/>
    <w:tmpl w:val="E5BC0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543E4A"/>
    <w:multiLevelType w:val="hybridMultilevel"/>
    <w:tmpl w:val="7F6E38CC"/>
    <w:lvl w:ilvl="0" w:tplc="205E004A">
      <w:start w:val="5"/>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F255F"/>
    <w:rsid w:val="00234AAF"/>
    <w:rsid w:val="002E5E40"/>
    <w:rsid w:val="00442D80"/>
    <w:rsid w:val="004E7112"/>
    <w:rsid w:val="0052425A"/>
    <w:rsid w:val="0055153B"/>
    <w:rsid w:val="00586A8D"/>
    <w:rsid w:val="006D7A3B"/>
    <w:rsid w:val="007600FD"/>
    <w:rsid w:val="007B5462"/>
    <w:rsid w:val="008034BD"/>
    <w:rsid w:val="00876352"/>
    <w:rsid w:val="008B4137"/>
    <w:rsid w:val="008C767A"/>
    <w:rsid w:val="008E77C6"/>
    <w:rsid w:val="009770BB"/>
    <w:rsid w:val="009E008D"/>
    <w:rsid w:val="00A5465F"/>
    <w:rsid w:val="00A77678"/>
    <w:rsid w:val="00BC4C95"/>
    <w:rsid w:val="00BD5944"/>
    <w:rsid w:val="00C40FF7"/>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442D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25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2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442D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25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2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6E12-DA45-41C0-8C17-69823D18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2320</Words>
  <Characters>13227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2016-12-05T15:41:00Z</cp:lastPrinted>
  <dcterms:created xsi:type="dcterms:W3CDTF">2016-12-05T14:48:00Z</dcterms:created>
  <dcterms:modified xsi:type="dcterms:W3CDTF">2017-01-11T09:56:00Z</dcterms:modified>
</cp:coreProperties>
</file>