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2B0094" w:rsidP="00076E70"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B10C81" w:rsidRDefault="00B10C81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B01060" w:rsidRPr="00856A46" w:rsidRDefault="00B01060" w:rsidP="00B01060">
      <w:pPr>
        <w:tabs>
          <w:tab w:val="left" w:pos="2098"/>
          <w:tab w:val="left" w:pos="4962"/>
        </w:tabs>
        <w:rPr>
          <w:rFonts w:cs="Arial"/>
          <w:position w:val="4"/>
          <w:sz w:val="28"/>
          <w:szCs w:val="28"/>
        </w:rPr>
      </w:pPr>
      <w:r w:rsidRPr="00856A46">
        <w:rPr>
          <w:rFonts w:cs="Arial"/>
          <w:position w:val="4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>20 marzo 2017</w:t>
      </w:r>
      <w:r w:rsidRPr="00856A46">
        <w:rPr>
          <w:rFonts w:cs="Arial"/>
          <w:position w:val="4"/>
          <w:sz w:val="28"/>
          <w:szCs w:val="28"/>
        </w:rPr>
        <w:tab/>
      </w:r>
      <w:r w:rsidRPr="00B01060">
        <w:rPr>
          <w:rFonts w:cs="Arial"/>
          <w:position w:val="4"/>
          <w:sz w:val="22"/>
        </w:rPr>
        <w:t>ISTITUZIONI / CANCELLERIA DELLO STATO</w:t>
      </w: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8323FD" w:rsidRDefault="00B01060" w:rsidP="00B01060">
      <w:pPr>
        <w:rPr>
          <w:rFonts w:cs="Arial"/>
          <w:b/>
          <w:sz w:val="28"/>
          <w:szCs w:val="28"/>
        </w:rPr>
      </w:pPr>
      <w:r w:rsidRPr="008323FD">
        <w:rPr>
          <w:rFonts w:cs="Arial"/>
          <w:b/>
          <w:sz w:val="28"/>
          <w:szCs w:val="28"/>
        </w:rPr>
        <w:t>della Commissione delle petizioni e dei ricorsi</w:t>
      </w:r>
    </w:p>
    <w:p w:rsidR="00B01060" w:rsidRPr="008323FD" w:rsidRDefault="00B01060" w:rsidP="00B01060">
      <w:pPr>
        <w:tabs>
          <w:tab w:val="left" w:pos="4962"/>
        </w:tabs>
        <w:rPr>
          <w:rFonts w:cs="Arial"/>
        </w:rPr>
      </w:pPr>
      <w:r w:rsidRPr="008323FD">
        <w:rPr>
          <w:rFonts w:cs="Arial"/>
          <w:b/>
          <w:sz w:val="28"/>
        </w:rPr>
        <w:t xml:space="preserve">sul </w:t>
      </w:r>
      <w:r>
        <w:rPr>
          <w:rFonts w:cs="Arial"/>
          <w:b/>
          <w:sz w:val="28"/>
          <w:szCs w:val="28"/>
        </w:rPr>
        <w:t xml:space="preserve">ricorso 21 ottobre 2016 presentato dal signor </w:t>
      </w:r>
      <w:proofErr w:type="spellStart"/>
      <w:r>
        <w:rPr>
          <w:rFonts w:cs="Arial"/>
          <w:b/>
          <w:sz w:val="28"/>
          <w:szCs w:val="28"/>
        </w:rPr>
        <w:t>Nenad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Stojanović</w:t>
      </w:r>
      <w:proofErr w:type="spellEnd"/>
      <w:r>
        <w:rPr>
          <w:rFonts w:cs="Arial"/>
          <w:b/>
          <w:sz w:val="28"/>
          <w:szCs w:val="28"/>
        </w:rPr>
        <w:t xml:space="preserve">, </w:t>
      </w:r>
      <w:proofErr w:type="spellStart"/>
      <w:r>
        <w:rPr>
          <w:rFonts w:cs="Arial"/>
          <w:b/>
          <w:sz w:val="28"/>
          <w:szCs w:val="28"/>
        </w:rPr>
        <w:t>Gandria</w:t>
      </w:r>
      <w:proofErr w:type="spellEnd"/>
      <w:r>
        <w:rPr>
          <w:rFonts w:cs="Arial"/>
          <w:b/>
          <w:sz w:val="28"/>
          <w:szCs w:val="28"/>
        </w:rPr>
        <w:t>, contro la proclamazione dei risultati della votazione cantonale del 25 settembre 2016</w:t>
      </w: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F1516F" w:rsidRDefault="00B01060" w:rsidP="00B01060">
      <w:pPr>
        <w:rPr>
          <w:rFonts w:cs="Arial"/>
          <w:szCs w:val="24"/>
        </w:rPr>
      </w:pPr>
    </w:p>
    <w:p w:rsidR="00B01060" w:rsidRPr="00F1516F" w:rsidRDefault="00B01060" w:rsidP="00B01060">
      <w:pPr>
        <w:pStyle w:val="Capoverso"/>
        <w:spacing w:before="0"/>
        <w:rPr>
          <w:rFonts w:ascii="Arial" w:hAnsi="Arial" w:cs="Arial"/>
          <w:szCs w:val="24"/>
        </w:rPr>
      </w:pPr>
      <w:r w:rsidRPr="00F1516F">
        <w:rPr>
          <w:rFonts w:ascii="Arial" w:hAnsi="Arial" w:cs="Arial"/>
          <w:szCs w:val="24"/>
        </w:rPr>
        <w:t>Signor Presidente,</w:t>
      </w:r>
    </w:p>
    <w:p w:rsidR="00B01060" w:rsidRPr="00F1516F" w:rsidRDefault="00B01060" w:rsidP="00B01060">
      <w:pPr>
        <w:pStyle w:val="Capoverso"/>
        <w:spacing w:before="0"/>
        <w:rPr>
          <w:rFonts w:ascii="Arial" w:hAnsi="Arial" w:cs="Arial"/>
          <w:szCs w:val="24"/>
        </w:rPr>
      </w:pPr>
      <w:r w:rsidRPr="00F1516F">
        <w:rPr>
          <w:rFonts w:ascii="Arial" w:hAnsi="Arial" w:cs="Arial"/>
          <w:szCs w:val="24"/>
        </w:rPr>
        <w:t xml:space="preserve">signore e signori </w:t>
      </w:r>
      <w:r>
        <w:rPr>
          <w:rFonts w:ascii="Arial" w:hAnsi="Arial" w:cs="Arial"/>
          <w:szCs w:val="24"/>
        </w:rPr>
        <w:t>deputati</w:t>
      </w:r>
      <w:r w:rsidRPr="00F1516F">
        <w:rPr>
          <w:rFonts w:ascii="Arial" w:hAnsi="Arial" w:cs="Arial"/>
          <w:szCs w:val="24"/>
        </w:rPr>
        <w:t>,</w:t>
      </w:r>
    </w:p>
    <w:p w:rsidR="00B01060" w:rsidRPr="00F1516F" w:rsidRDefault="00B01060" w:rsidP="00B01060">
      <w:pPr>
        <w:pStyle w:val="Capoverso"/>
        <w:spacing w:before="0"/>
        <w:rPr>
          <w:rFonts w:ascii="Arial" w:hAnsi="Arial" w:cs="Arial"/>
          <w:szCs w:val="24"/>
        </w:rPr>
      </w:pPr>
    </w:p>
    <w:p w:rsidR="00B01060" w:rsidRPr="00F1516F" w:rsidRDefault="00B01060" w:rsidP="00B01060">
      <w:pPr>
        <w:pStyle w:val="Capoverso"/>
        <w:spacing w:before="0"/>
        <w:rPr>
          <w:rFonts w:ascii="Arial" w:hAnsi="Arial" w:cs="Arial"/>
          <w:szCs w:val="24"/>
        </w:rPr>
      </w:pPr>
      <w:r w:rsidRPr="00F1516F">
        <w:rPr>
          <w:rFonts w:ascii="Arial" w:hAnsi="Arial" w:cs="Arial"/>
          <w:szCs w:val="24"/>
        </w:rPr>
        <w:t>in allegato vi trasmettiamo il testo del progetto di decisione</w:t>
      </w:r>
      <w:r>
        <w:rPr>
          <w:rFonts w:ascii="Arial" w:hAnsi="Arial" w:cs="Arial"/>
          <w:szCs w:val="24"/>
        </w:rPr>
        <w:t>,</w:t>
      </w:r>
      <w:r w:rsidRPr="00F1516F">
        <w:rPr>
          <w:rFonts w:ascii="Arial" w:hAnsi="Arial" w:cs="Arial"/>
          <w:szCs w:val="24"/>
        </w:rPr>
        <w:t xml:space="preserve"> approvato dalla Commissione delle petizioni e dei ricorsi nella seduta del </w:t>
      </w:r>
      <w:r>
        <w:rPr>
          <w:rFonts w:ascii="Arial" w:hAnsi="Arial" w:cs="Arial"/>
          <w:szCs w:val="24"/>
        </w:rPr>
        <w:t xml:space="preserve">20 marzo </w:t>
      </w:r>
      <w:r w:rsidRPr="00F1516F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7</w:t>
      </w:r>
      <w:r w:rsidRPr="00F1516F">
        <w:rPr>
          <w:rFonts w:ascii="Arial" w:hAnsi="Arial" w:cs="Arial"/>
          <w:szCs w:val="24"/>
        </w:rPr>
        <w:t>, in merito al ricorso di cui sopra.</w:t>
      </w:r>
    </w:p>
    <w:p w:rsidR="00B01060" w:rsidRPr="00191BFB" w:rsidRDefault="00B01060" w:rsidP="00B01060">
      <w:pPr>
        <w:rPr>
          <w:rFonts w:cs="Arial"/>
          <w:bCs/>
          <w:szCs w:val="24"/>
        </w:rPr>
      </w:pPr>
    </w:p>
    <w:p w:rsidR="00B01060" w:rsidRPr="00191BFB" w:rsidRDefault="00B01060" w:rsidP="00B01060">
      <w:pPr>
        <w:rPr>
          <w:rFonts w:cs="Arial"/>
          <w:bCs/>
          <w:szCs w:val="24"/>
        </w:rPr>
      </w:pPr>
    </w:p>
    <w:p w:rsidR="00B01060" w:rsidRPr="00191BFB" w:rsidRDefault="00B01060" w:rsidP="00B01060">
      <w:pPr>
        <w:rPr>
          <w:rFonts w:cs="Arial"/>
          <w:bCs/>
          <w:szCs w:val="24"/>
        </w:rPr>
      </w:pPr>
    </w:p>
    <w:p w:rsidR="00B01060" w:rsidRPr="00191BFB" w:rsidRDefault="00B01060" w:rsidP="00B01060">
      <w:pPr>
        <w:spacing w:after="120"/>
        <w:rPr>
          <w:rFonts w:cs="Arial"/>
          <w:bCs/>
          <w:szCs w:val="24"/>
        </w:rPr>
      </w:pPr>
      <w:r w:rsidRPr="00191BFB">
        <w:rPr>
          <w:rFonts w:cs="Arial"/>
          <w:bCs/>
          <w:szCs w:val="24"/>
        </w:rPr>
        <w:t>Per la Commissione delle petizioni e dei ricorsi:</w:t>
      </w:r>
    </w:p>
    <w:p w:rsidR="00B01060" w:rsidRDefault="00B01060" w:rsidP="00B01060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Lelia Guscio, relatrice</w:t>
      </w:r>
    </w:p>
    <w:p w:rsidR="00B10C81" w:rsidRDefault="00B10C81" w:rsidP="00B10C81">
      <w:r>
        <w:t xml:space="preserve">Ay (con riserva) - Balli - Beretta Piccoli - </w:t>
      </w:r>
    </w:p>
    <w:p w:rsidR="00B10C81" w:rsidRDefault="00B10C81" w:rsidP="00B10C81">
      <w:r>
        <w:t xml:space="preserve">Campana - Cedraschi - Fonio - Gaffuri - </w:t>
      </w:r>
    </w:p>
    <w:p w:rsidR="00B10C81" w:rsidRDefault="00B10C81" w:rsidP="00B10C81">
      <w:r>
        <w:t xml:space="preserve">Galeazzi - Jelmini - La Mantia (con riserva) - </w:t>
      </w:r>
    </w:p>
    <w:p w:rsidR="00B10C81" w:rsidRDefault="00B10C81" w:rsidP="00B10C81">
      <w:r>
        <w:t xml:space="preserve">Lurati - Lurati Grassi (con riserva) - </w:t>
      </w:r>
    </w:p>
    <w:p w:rsidR="00B10C81" w:rsidRDefault="00B10C81" w:rsidP="00B10C81">
      <w:r>
        <w:t>Patuzzi - Pellanda - Schnellmann</w:t>
      </w:r>
    </w:p>
    <w:p w:rsidR="00B01060" w:rsidRPr="00191BFB" w:rsidRDefault="00B01060" w:rsidP="00B01060">
      <w:pPr>
        <w:rPr>
          <w:rFonts w:cs="Arial"/>
          <w:bCs/>
          <w:szCs w:val="24"/>
        </w:rPr>
      </w:pPr>
    </w:p>
    <w:p w:rsidR="00B01060" w:rsidRPr="008323FD" w:rsidRDefault="00B01060" w:rsidP="00B01060">
      <w:pPr>
        <w:rPr>
          <w:rFonts w:cs="Arial"/>
          <w:bCs/>
        </w:rPr>
      </w:pPr>
    </w:p>
    <w:p w:rsidR="00B01060" w:rsidRPr="00747345" w:rsidRDefault="00B01060" w:rsidP="00B01060">
      <w:pPr>
        <w:tabs>
          <w:tab w:val="left" w:pos="5220"/>
        </w:tabs>
        <w:rPr>
          <w:rFonts w:cs="Arial"/>
        </w:rPr>
      </w:pPr>
    </w:p>
    <w:p w:rsidR="00B01060" w:rsidRDefault="00B01060" w:rsidP="00B01060">
      <w:pPr>
        <w:tabs>
          <w:tab w:val="right" w:pos="9639"/>
        </w:tabs>
        <w:rPr>
          <w:b/>
        </w:rPr>
        <w:sectPr w:rsidR="00B01060" w:rsidSect="006726A7">
          <w:footerReference w:type="default" r:id="rId9"/>
          <w:pgSz w:w="11906" w:h="16838" w:code="9"/>
          <w:pgMar w:top="1134" w:right="1134" w:bottom="1134" w:left="1134" w:header="568" w:footer="567" w:gutter="0"/>
          <w:cols w:space="720"/>
          <w:docGrid w:linePitch="299"/>
        </w:sectPr>
      </w:pPr>
    </w:p>
    <w:p w:rsidR="00B01060" w:rsidRPr="005951DE" w:rsidRDefault="00B01060" w:rsidP="00B01060">
      <w:pPr>
        <w:tabs>
          <w:tab w:val="right" w:pos="9639"/>
        </w:tabs>
        <w:rPr>
          <w:rFonts w:cs="Arial"/>
          <w:b/>
          <w:szCs w:val="24"/>
        </w:rPr>
      </w:pPr>
      <w:r w:rsidRPr="005951DE">
        <w:rPr>
          <w:rFonts w:cs="Arial"/>
          <w:b/>
          <w:szCs w:val="24"/>
        </w:rPr>
        <w:lastRenderedPageBreak/>
        <w:t>PROGETTO DI DECISIONE</w:t>
      </w:r>
    </w:p>
    <w:p w:rsidR="00B01060" w:rsidRPr="00E35AD2" w:rsidRDefault="00B01060" w:rsidP="00B01060">
      <w:pPr>
        <w:rPr>
          <w:rFonts w:cs="Arial"/>
          <w:szCs w:val="24"/>
        </w:rPr>
      </w:pPr>
    </w:p>
    <w:p w:rsidR="00B01060" w:rsidRPr="00E35AD2" w:rsidRDefault="00B01060" w:rsidP="00B01060">
      <w:pPr>
        <w:rPr>
          <w:rFonts w:cs="Arial"/>
          <w:szCs w:val="24"/>
        </w:rPr>
      </w:pPr>
    </w:p>
    <w:p w:rsidR="00B01060" w:rsidRPr="00E35AD2" w:rsidRDefault="00B01060" w:rsidP="00B01060">
      <w:pPr>
        <w:rPr>
          <w:rFonts w:cs="Arial"/>
          <w:szCs w:val="24"/>
        </w:rPr>
      </w:pPr>
    </w:p>
    <w:p w:rsidR="00B01060" w:rsidRPr="008323FD" w:rsidRDefault="00B01060" w:rsidP="00B01060">
      <w:pPr>
        <w:rPr>
          <w:rFonts w:cs="Arial"/>
          <w:b/>
          <w:sz w:val="40"/>
          <w:szCs w:val="40"/>
        </w:rPr>
      </w:pPr>
      <w:r w:rsidRPr="008323FD">
        <w:rPr>
          <w:rFonts w:cs="Arial"/>
          <w:b/>
          <w:sz w:val="40"/>
          <w:szCs w:val="40"/>
        </w:rPr>
        <w:t>Il Gran Consiglio</w:t>
      </w:r>
    </w:p>
    <w:p w:rsidR="00B01060" w:rsidRPr="00E35AD2" w:rsidRDefault="00B01060" w:rsidP="00B01060">
      <w:pPr>
        <w:rPr>
          <w:rFonts w:cs="Arial"/>
          <w:szCs w:val="24"/>
        </w:rPr>
      </w:pPr>
    </w:p>
    <w:p w:rsidR="00B01060" w:rsidRPr="00E35AD2" w:rsidRDefault="00B01060" w:rsidP="00B01060">
      <w:pPr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</w:tabs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 w:rsidRPr="008323FD">
        <w:rPr>
          <w:rFonts w:cs="Arial"/>
          <w:szCs w:val="24"/>
        </w:rPr>
        <w:t xml:space="preserve">statuendo </w:t>
      </w:r>
      <w:r>
        <w:rPr>
          <w:rFonts w:cs="Arial"/>
          <w:szCs w:val="24"/>
        </w:rPr>
        <w:t xml:space="preserve">sul </w:t>
      </w:r>
      <w:r w:rsidRPr="005951DE">
        <w:rPr>
          <w:rFonts w:cs="Arial"/>
          <w:szCs w:val="24"/>
        </w:rPr>
        <w:t>ricorso</w:t>
      </w:r>
      <w:r>
        <w:rPr>
          <w:rFonts w:cs="Arial"/>
          <w:szCs w:val="24"/>
        </w:rPr>
        <w:t xml:space="preserve"> presentato il</w:t>
      </w:r>
      <w:r w:rsidRPr="005951DE">
        <w:rPr>
          <w:rFonts w:cs="Arial"/>
          <w:szCs w:val="24"/>
        </w:rPr>
        <w:t xml:space="preserve"> 21 ottobre 2016 dal signor </w:t>
      </w:r>
      <w:proofErr w:type="spellStart"/>
      <w:r w:rsidRPr="005951DE">
        <w:rPr>
          <w:rFonts w:cs="Arial"/>
          <w:szCs w:val="24"/>
        </w:rPr>
        <w:t>Nenad</w:t>
      </w:r>
      <w:proofErr w:type="spellEnd"/>
      <w:r w:rsidRPr="005951DE">
        <w:rPr>
          <w:rFonts w:cs="Arial"/>
          <w:szCs w:val="24"/>
        </w:rPr>
        <w:t xml:space="preserve"> </w:t>
      </w:r>
      <w:proofErr w:type="spellStart"/>
      <w:r w:rsidRPr="005951DE">
        <w:rPr>
          <w:rFonts w:cs="Arial"/>
          <w:szCs w:val="24"/>
        </w:rPr>
        <w:t>Stojanović</w:t>
      </w:r>
      <w:proofErr w:type="spellEnd"/>
      <w:r w:rsidRPr="005951DE">
        <w:rPr>
          <w:rFonts w:cs="Arial"/>
          <w:szCs w:val="24"/>
        </w:rPr>
        <w:t xml:space="preserve">, </w:t>
      </w:r>
      <w:proofErr w:type="spellStart"/>
      <w:r w:rsidRPr="005951DE">
        <w:rPr>
          <w:rFonts w:cs="Arial"/>
          <w:szCs w:val="24"/>
        </w:rPr>
        <w:t>Gandria</w:t>
      </w:r>
      <w:proofErr w:type="spellEnd"/>
      <w:r w:rsidRPr="005951DE">
        <w:rPr>
          <w:rFonts w:cs="Arial"/>
          <w:szCs w:val="24"/>
        </w:rPr>
        <w:t xml:space="preserve">, contro </w:t>
      </w:r>
      <w:r>
        <w:rPr>
          <w:rFonts w:cs="Arial"/>
          <w:szCs w:val="24"/>
        </w:rPr>
        <w:t>l</w:t>
      </w:r>
      <w:r w:rsidRPr="005951DE">
        <w:rPr>
          <w:rFonts w:cs="Arial"/>
          <w:szCs w:val="24"/>
        </w:rPr>
        <w:t xml:space="preserve">a proclamazione dei risultati della votazione </w:t>
      </w:r>
      <w:r>
        <w:rPr>
          <w:rFonts w:cs="Arial"/>
          <w:szCs w:val="24"/>
        </w:rPr>
        <w:t>cantonale del 25 settembre 2016</w:t>
      </w:r>
      <w:r w:rsidRPr="00DC77BC">
        <w:rPr>
          <w:rFonts w:cs="Arial"/>
          <w:szCs w:val="24"/>
        </w:rPr>
        <w:t>;</w:t>
      </w:r>
    </w:p>
    <w:p w:rsidR="00B01060" w:rsidRPr="00DC77BC" w:rsidRDefault="00B01060" w:rsidP="00B01060">
      <w:pPr>
        <w:tabs>
          <w:tab w:val="left" w:pos="426"/>
        </w:tabs>
        <w:ind w:left="420" w:hanging="420"/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</w:tabs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 w:rsidRPr="00DC77BC">
        <w:rPr>
          <w:rFonts w:cs="Arial"/>
          <w:szCs w:val="24"/>
        </w:rPr>
        <w:t>letti ed esaminati gli atti;</w:t>
      </w:r>
    </w:p>
    <w:p w:rsidR="00B01060" w:rsidRDefault="00B01060" w:rsidP="00B01060">
      <w:pPr>
        <w:tabs>
          <w:tab w:val="left" w:pos="426"/>
        </w:tabs>
        <w:ind w:left="420" w:hanging="420"/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</w:tabs>
        <w:ind w:left="420" w:hanging="420"/>
        <w:rPr>
          <w:rFonts w:cs="Arial"/>
          <w:szCs w:val="24"/>
        </w:rPr>
      </w:pP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  <w:t>svolti gli opportuni approfondimenti in materia costituzionale e legislativa;</w:t>
      </w:r>
    </w:p>
    <w:p w:rsidR="00B01060" w:rsidRDefault="00B01060" w:rsidP="00B01060">
      <w:pPr>
        <w:tabs>
          <w:tab w:val="left" w:pos="1134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1134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1134"/>
        </w:tabs>
        <w:rPr>
          <w:rFonts w:cs="Arial"/>
          <w:szCs w:val="24"/>
        </w:rPr>
      </w:pPr>
    </w:p>
    <w:p w:rsidR="00B01060" w:rsidRPr="002261F5" w:rsidRDefault="00B01060" w:rsidP="00B01060">
      <w:pPr>
        <w:tabs>
          <w:tab w:val="left" w:pos="426"/>
        </w:tabs>
        <w:ind w:left="420" w:hanging="420"/>
        <w:rPr>
          <w:rFonts w:cs="Arial"/>
          <w:b/>
          <w:szCs w:val="24"/>
        </w:rPr>
      </w:pPr>
      <w:r w:rsidRPr="002261F5">
        <w:rPr>
          <w:rFonts w:cs="Arial"/>
          <w:b/>
          <w:szCs w:val="24"/>
        </w:rPr>
        <w:t>RITENUTO IN FATTO:</w:t>
      </w: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624473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624473">
        <w:rPr>
          <w:rFonts w:cs="Arial"/>
          <w:b/>
          <w:szCs w:val="24"/>
        </w:rPr>
        <w:t>A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A</w:t>
      </w:r>
      <w:r w:rsidRPr="00DC77BC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a</w:t>
      </w:r>
      <w:proofErr w:type="spellEnd"/>
      <w:r w:rsidRPr="00DC77BC">
        <w:rPr>
          <w:rFonts w:cs="Arial"/>
          <w:szCs w:val="24"/>
        </w:rPr>
        <w:tab/>
      </w:r>
      <w:r>
        <w:rPr>
          <w:rFonts w:cs="Arial"/>
          <w:szCs w:val="24"/>
        </w:rPr>
        <w:t xml:space="preserve">Il </w:t>
      </w:r>
      <w:r w:rsidRPr="005D6C91">
        <w:rPr>
          <w:rFonts w:cs="Arial"/>
          <w:szCs w:val="24"/>
        </w:rPr>
        <w:t xml:space="preserve">25 settembre 2016 ha </w:t>
      </w:r>
      <w:r>
        <w:rPr>
          <w:rFonts w:cs="Arial"/>
          <w:szCs w:val="24"/>
        </w:rPr>
        <w:t xml:space="preserve">avuto </w:t>
      </w:r>
      <w:r w:rsidRPr="005D6C91">
        <w:rPr>
          <w:rFonts w:cs="Arial"/>
          <w:szCs w:val="24"/>
        </w:rPr>
        <w:t>luogo la votazione cantonale su due iniziative</w:t>
      </w:r>
      <w:r>
        <w:rPr>
          <w:rFonts w:cs="Arial"/>
          <w:szCs w:val="24"/>
        </w:rPr>
        <w:t xml:space="preserve"> </w:t>
      </w:r>
      <w:r w:rsidRPr="005D6C91">
        <w:rPr>
          <w:rFonts w:cs="Arial"/>
          <w:szCs w:val="24"/>
        </w:rPr>
        <w:t xml:space="preserve">popolari alle quali </w:t>
      </w:r>
      <w:r>
        <w:rPr>
          <w:rFonts w:cs="Arial"/>
          <w:szCs w:val="24"/>
        </w:rPr>
        <w:t xml:space="preserve">era </w:t>
      </w:r>
      <w:r w:rsidRPr="005D6C91">
        <w:rPr>
          <w:rFonts w:cs="Arial"/>
          <w:szCs w:val="24"/>
        </w:rPr>
        <w:t>contrapposto un progetto del Gran Consiglio</w:t>
      </w:r>
      <w:r>
        <w:rPr>
          <w:rFonts w:cs="Arial"/>
          <w:szCs w:val="24"/>
        </w:rPr>
        <w:t>: l'i</w:t>
      </w:r>
      <w:r w:rsidRPr="005D6C91">
        <w:rPr>
          <w:rFonts w:cs="Arial"/>
          <w:szCs w:val="24"/>
        </w:rPr>
        <w:t xml:space="preserve">niziativa popolare legislativa generica del 10 ottobre 2011 </w:t>
      </w:r>
      <w:r>
        <w:rPr>
          <w:rFonts w:cs="Arial"/>
          <w:szCs w:val="24"/>
        </w:rPr>
        <w:t>"</w:t>
      </w:r>
      <w:r w:rsidRPr="005D6C91">
        <w:rPr>
          <w:rFonts w:cs="Arial"/>
          <w:szCs w:val="24"/>
        </w:rPr>
        <w:t>Basta</w:t>
      </w:r>
      <w:r>
        <w:rPr>
          <w:rFonts w:cs="Arial"/>
          <w:szCs w:val="24"/>
        </w:rPr>
        <w:t xml:space="preserve"> </w:t>
      </w:r>
      <w:r w:rsidRPr="005D6C91">
        <w:rPr>
          <w:rFonts w:cs="Arial"/>
          <w:szCs w:val="24"/>
        </w:rPr>
        <w:t xml:space="preserve">con </w:t>
      </w:r>
      <w:r>
        <w:rPr>
          <w:rFonts w:cs="Arial"/>
          <w:szCs w:val="24"/>
        </w:rPr>
        <w:t>il dumping salariale in Ticino!" e l'i</w:t>
      </w:r>
      <w:r w:rsidRPr="005D6C91">
        <w:rPr>
          <w:rFonts w:cs="Arial"/>
          <w:szCs w:val="24"/>
        </w:rPr>
        <w:t>niziativa popolare costituzionale elaborata del 23 aprile 2014</w:t>
      </w:r>
      <w:r>
        <w:rPr>
          <w:rFonts w:cs="Arial"/>
          <w:szCs w:val="24"/>
        </w:rPr>
        <w:t xml:space="preserve"> "</w:t>
      </w:r>
      <w:r w:rsidRPr="005D6C91">
        <w:rPr>
          <w:rFonts w:cs="Arial"/>
          <w:szCs w:val="24"/>
        </w:rPr>
        <w:t>Prima i nostri!</w:t>
      </w:r>
      <w:r>
        <w:rPr>
          <w:rFonts w:cs="Arial"/>
          <w:szCs w:val="24"/>
        </w:rPr>
        <w:t>".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5D6C91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 w:rsidRPr="005D6C91">
        <w:rPr>
          <w:rFonts w:cs="Arial"/>
          <w:b/>
          <w:szCs w:val="24"/>
        </w:rPr>
        <w:t>A.b</w:t>
      </w:r>
      <w:proofErr w:type="spellEnd"/>
      <w:r w:rsidRPr="005D6C91">
        <w:rPr>
          <w:rFonts w:cs="Arial"/>
          <w:b/>
          <w:szCs w:val="24"/>
        </w:rPr>
        <w:tab/>
      </w:r>
      <w:r>
        <w:rPr>
          <w:rFonts w:cs="Arial"/>
          <w:szCs w:val="24"/>
        </w:rPr>
        <w:t>I risultati della votazione sono stati proclamati in data 4 ottobre 2016 dal Consiglio di Stato,</w:t>
      </w:r>
      <w:r w:rsidRPr="006244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624473">
        <w:rPr>
          <w:rFonts w:cs="Arial"/>
          <w:szCs w:val="24"/>
        </w:rPr>
        <w:t>edente quale Ufficio cantonale</w:t>
      </w:r>
      <w:r>
        <w:rPr>
          <w:rFonts w:cs="Arial"/>
          <w:szCs w:val="24"/>
        </w:rPr>
        <w:t xml:space="preserve"> di accertamento ai sensi dell'art. 53 della </w:t>
      </w:r>
      <w:r w:rsidRPr="00624473">
        <w:rPr>
          <w:rFonts w:cs="Arial"/>
          <w:szCs w:val="24"/>
        </w:rPr>
        <w:t>Legge sull</w:t>
      </w:r>
      <w:r>
        <w:rPr>
          <w:rFonts w:cs="Arial"/>
          <w:szCs w:val="24"/>
        </w:rPr>
        <w:t>'</w:t>
      </w:r>
      <w:r w:rsidRPr="00624473">
        <w:rPr>
          <w:rFonts w:cs="Arial"/>
          <w:szCs w:val="24"/>
        </w:rPr>
        <w:t>esercizio dei</w:t>
      </w:r>
      <w:r>
        <w:rPr>
          <w:rFonts w:cs="Arial"/>
          <w:szCs w:val="24"/>
        </w:rPr>
        <w:t xml:space="preserve"> </w:t>
      </w:r>
      <w:r w:rsidRPr="00624473">
        <w:rPr>
          <w:rFonts w:cs="Arial"/>
          <w:szCs w:val="24"/>
        </w:rPr>
        <w:t>diritti politici del 7 ottobre 1998 (LEDP</w:t>
      </w:r>
      <w:r>
        <w:rPr>
          <w:rFonts w:cs="Arial"/>
          <w:szCs w:val="24"/>
        </w:rPr>
        <w:t>) e pubblicati sul Foglio ufficiale il 7 ottobre 2016 (FU 80/2016, 8925).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7820C1">
        <w:rPr>
          <w:rFonts w:cs="Arial"/>
          <w:b/>
          <w:szCs w:val="24"/>
        </w:rPr>
        <w:t>B.</w:t>
      </w:r>
    </w:p>
    <w:p w:rsidR="00B01060" w:rsidRPr="007820C1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B.a</w:t>
      </w:r>
      <w:proofErr w:type="spellEnd"/>
      <w:r>
        <w:rPr>
          <w:rFonts w:cs="Arial"/>
          <w:szCs w:val="24"/>
        </w:rPr>
        <w:tab/>
        <w:t xml:space="preserve">Il 21 ottobre 2016 il signor </w:t>
      </w:r>
      <w:proofErr w:type="spellStart"/>
      <w:r>
        <w:rPr>
          <w:rFonts w:cs="Arial"/>
          <w:szCs w:val="24"/>
        </w:rPr>
        <w:t>Nenad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Stojanovi</w:t>
      </w:r>
      <w:r w:rsidRPr="005951DE">
        <w:rPr>
          <w:rFonts w:cs="Arial"/>
          <w:szCs w:val="24"/>
        </w:rPr>
        <w:t>ć</w:t>
      </w:r>
      <w:proofErr w:type="spellEnd"/>
      <w:r>
        <w:rPr>
          <w:rFonts w:cs="Arial"/>
          <w:szCs w:val="24"/>
        </w:rPr>
        <w:t xml:space="preserve"> ha interposto ricorso al Gran Consiglio, postulando che il Consiglio di Stato, «</w:t>
      </w:r>
      <w:r>
        <w:rPr>
          <w:rFonts w:cs="Arial"/>
          <w:i/>
          <w:szCs w:val="24"/>
        </w:rPr>
        <w:t>in quanto ufficio di accertamento ai sensi dell'art. 53 LEDP</w:t>
      </w:r>
      <w:r>
        <w:rPr>
          <w:rFonts w:cs="Arial"/>
          <w:szCs w:val="24"/>
        </w:rPr>
        <w:t>», fosse incaricato di pubblicare sul Foglio ufficiale «</w:t>
      </w:r>
      <w:r w:rsidRPr="007820C1">
        <w:rPr>
          <w:rFonts w:cs="Arial"/>
          <w:i/>
          <w:szCs w:val="24"/>
        </w:rPr>
        <w:t>una nuova proclamazione dei risultati, conforme alla legge</w:t>
      </w:r>
      <w:r>
        <w:rPr>
          <w:rFonts w:cs="Arial"/>
          <w:szCs w:val="24"/>
        </w:rPr>
        <w:t>» per quanto concerne la votazione del 25 settembre 2016.</w:t>
      </w:r>
    </w:p>
    <w:p w:rsidR="00B01060" w:rsidRDefault="00B01060" w:rsidP="00B01060">
      <w:pPr>
        <w:tabs>
          <w:tab w:val="left" w:pos="426"/>
          <w:tab w:val="left" w:pos="709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 w:rsidRPr="007820C1">
        <w:rPr>
          <w:rFonts w:cs="Arial"/>
          <w:b/>
          <w:szCs w:val="24"/>
        </w:rPr>
        <w:t>B.b</w:t>
      </w:r>
      <w:proofErr w:type="spellEnd"/>
      <w:r>
        <w:rPr>
          <w:rFonts w:cs="Arial"/>
          <w:szCs w:val="24"/>
        </w:rPr>
        <w:tab/>
        <w:t xml:space="preserve">Il Consiglio di Stato, nella sua risposta (osservazioni) del 26 ottobre 2016, ha chiesto la reiezione del ricorso. 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 w:rsidRPr="0057427A">
        <w:rPr>
          <w:rFonts w:cs="Arial"/>
          <w:b/>
          <w:szCs w:val="24"/>
        </w:rPr>
        <w:t>B.c</w:t>
      </w:r>
      <w:proofErr w:type="spellEnd"/>
      <w:r>
        <w:rPr>
          <w:rFonts w:cs="Arial"/>
          <w:szCs w:val="24"/>
        </w:rPr>
        <w:tab/>
        <w:t xml:space="preserve">Nell'allegato di replica del 24 novembre 2016, il ricorrente ha confermato sostanzialmente le proprie censure </w:t>
      </w:r>
      <w:proofErr w:type="spellStart"/>
      <w:r>
        <w:rPr>
          <w:rFonts w:cs="Arial"/>
          <w:szCs w:val="24"/>
        </w:rPr>
        <w:t>ricorsuali</w:t>
      </w:r>
      <w:proofErr w:type="spellEnd"/>
      <w:r>
        <w:rPr>
          <w:rFonts w:cs="Arial"/>
          <w:szCs w:val="24"/>
        </w:rPr>
        <w:t>, ribadendo in particolare che il calcolo delle schede computabili venisse rifatto, poiché avvenuto in modo erroneo.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904BB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proofErr w:type="spellStart"/>
      <w:r w:rsidRPr="0057427A">
        <w:rPr>
          <w:rFonts w:cs="Arial"/>
          <w:b/>
          <w:szCs w:val="24"/>
        </w:rPr>
        <w:t>B.d</w:t>
      </w:r>
      <w:proofErr w:type="spellEnd"/>
      <w:r>
        <w:rPr>
          <w:rFonts w:cs="Arial"/>
          <w:szCs w:val="24"/>
        </w:rPr>
        <w:tab/>
        <w:t>Nell'allegato di duplica del 7 dicembre 2016, il Consiglio di Stato, conferm</w:t>
      </w:r>
      <w:r w:rsidRPr="00904BB0">
        <w:rPr>
          <w:rFonts w:cs="Arial"/>
          <w:szCs w:val="24"/>
        </w:rPr>
        <w:t>a</w:t>
      </w:r>
      <w:r>
        <w:rPr>
          <w:rFonts w:cs="Arial"/>
          <w:szCs w:val="24"/>
        </w:rPr>
        <w:t>ndo</w:t>
      </w:r>
      <w:r w:rsidRPr="00904BB0">
        <w:rPr>
          <w:rFonts w:cs="Arial"/>
          <w:szCs w:val="24"/>
        </w:rPr>
        <w:t xml:space="preserve"> la correttezza della pubblicazione dei risultati nel Fogl</w:t>
      </w:r>
      <w:r>
        <w:rPr>
          <w:rFonts w:cs="Arial"/>
          <w:szCs w:val="24"/>
        </w:rPr>
        <w:t xml:space="preserve">io ufficiale del 7 ottobre 2016, ha ribadito </w:t>
      </w:r>
      <w:r w:rsidRPr="00904BB0">
        <w:rPr>
          <w:rFonts w:cs="Arial"/>
          <w:szCs w:val="24"/>
        </w:rPr>
        <w:t xml:space="preserve">le </w:t>
      </w:r>
      <w:r>
        <w:rPr>
          <w:rFonts w:cs="Arial"/>
          <w:szCs w:val="24"/>
        </w:rPr>
        <w:t>sue</w:t>
      </w:r>
      <w:r w:rsidRPr="00904BB0">
        <w:rPr>
          <w:rFonts w:cs="Arial"/>
          <w:szCs w:val="24"/>
        </w:rPr>
        <w:t xml:space="preserve"> domande di giudizio presentate nella risposta</w:t>
      </w:r>
      <w:r>
        <w:rPr>
          <w:rFonts w:cs="Arial"/>
          <w:szCs w:val="24"/>
        </w:rPr>
        <w:t xml:space="preserve"> (osservazioni)</w:t>
      </w:r>
      <w:r w:rsidRPr="00904BB0">
        <w:rPr>
          <w:rFonts w:cs="Arial"/>
          <w:szCs w:val="24"/>
        </w:rPr>
        <w:t xml:space="preserve"> del 26 ottobre 2016</w:t>
      </w:r>
      <w:r>
        <w:rPr>
          <w:rFonts w:cs="Arial"/>
          <w:szCs w:val="24"/>
        </w:rPr>
        <w:t>.</w:t>
      </w:r>
    </w:p>
    <w:p w:rsidR="00B01060" w:rsidRPr="000052FD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  <w:tab w:val="left" w:pos="1701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CONSIDERANDO </w:t>
      </w:r>
      <w:r w:rsidRPr="00DC77BC">
        <w:rPr>
          <w:rFonts w:cs="Arial"/>
          <w:b/>
          <w:szCs w:val="24"/>
        </w:rPr>
        <w:t>IN DIRITTO:</w:t>
      </w: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624473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624473">
        <w:rPr>
          <w:rFonts w:cs="Arial"/>
          <w:b/>
          <w:szCs w:val="24"/>
        </w:rPr>
        <w:t>1.</w:t>
      </w:r>
    </w:p>
    <w:p w:rsidR="00B01060" w:rsidRDefault="00B01060" w:rsidP="00B01060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624473">
        <w:rPr>
          <w:rFonts w:cs="Arial"/>
          <w:b/>
          <w:szCs w:val="24"/>
        </w:rPr>
        <w:t>1.1</w:t>
      </w:r>
      <w:r w:rsidRPr="00624473">
        <w:rPr>
          <w:rFonts w:cs="Arial"/>
          <w:szCs w:val="24"/>
        </w:rPr>
        <w:tab/>
        <w:t>Il ricorso al Gran Consiglio è dato solo nei casi previsti dalla legge, come stabilito dall'art. 100 cpv. 1 della Legge sulla procedura amministrativa (</w:t>
      </w:r>
      <w:proofErr w:type="spellStart"/>
      <w:r w:rsidRPr="00624473">
        <w:rPr>
          <w:rFonts w:cs="Arial"/>
          <w:szCs w:val="24"/>
        </w:rPr>
        <w:t>LPAmm</w:t>
      </w:r>
      <w:proofErr w:type="spellEnd"/>
      <w:r w:rsidRPr="00624473">
        <w:rPr>
          <w:rFonts w:cs="Arial"/>
          <w:szCs w:val="24"/>
        </w:rPr>
        <w:t>).</w:t>
      </w:r>
      <w:r>
        <w:rPr>
          <w:rFonts w:cs="Arial"/>
          <w:szCs w:val="24"/>
        </w:rPr>
        <w:t xml:space="preserve"> Alla presente fattispecie è applicabile l'art. 164 cpv. 1 LEDP, che attribuisce al Gran Consiglio la competenza di trattare i ricorsi contro le decisioni </w:t>
      </w:r>
      <w:r w:rsidRPr="00904BB0">
        <w:rPr>
          <w:rFonts w:cs="Arial"/>
          <w:szCs w:val="24"/>
        </w:rPr>
        <w:t>dell</w:t>
      </w:r>
      <w:r>
        <w:rPr>
          <w:rFonts w:cs="Arial"/>
          <w:szCs w:val="24"/>
        </w:rPr>
        <w:t>'U</w:t>
      </w:r>
      <w:r w:rsidRPr="00904BB0">
        <w:rPr>
          <w:rFonts w:cs="Arial"/>
          <w:szCs w:val="24"/>
        </w:rPr>
        <w:t>fficio cantonale di accertamento.</w:t>
      </w: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BB447B">
        <w:rPr>
          <w:rFonts w:cs="Arial"/>
          <w:b/>
          <w:szCs w:val="24"/>
        </w:rPr>
        <w:t>1.2</w:t>
      </w:r>
      <w:r>
        <w:rPr>
          <w:rFonts w:cs="Arial"/>
          <w:szCs w:val="24"/>
        </w:rPr>
        <w:tab/>
      </w:r>
      <w:r w:rsidRPr="00BB447B">
        <w:rPr>
          <w:rFonts w:cs="Arial"/>
          <w:szCs w:val="24"/>
        </w:rPr>
        <w:t xml:space="preserve">La legittimazione del ricorrente, cittadino attivo in materia di votazioni ed elezioni cantonali, è </w:t>
      </w:r>
      <w:r>
        <w:rPr>
          <w:rFonts w:cs="Arial"/>
          <w:szCs w:val="24"/>
        </w:rPr>
        <w:t>pacifica</w:t>
      </w:r>
      <w:r w:rsidRPr="00BB447B">
        <w:rPr>
          <w:rFonts w:cs="Arial"/>
          <w:szCs w:val="24"/>
        </w:rPr>
        <w:t xml:space="preserve"> (art. 27 e 28 </w:t>
      </w:r>
      <w:r>
        <w:rPr>
          <w:rFonts w:cs="Arial"/>
          <w:szCs w:val="24"/>
        </w:rPr>
        <w:t xml:space="preserve">della Costituzione della Repubblica e Cantone Ticino, </w:t>
      </w:r>
      <w:proofErr w:type="spellStart"/>
      <w:r w:rsidRPr="00BB447B">
        <w:rPr>
          <w:rFonts w:cs="Arial"/>
          <w:szCs w:val="24"/>
        </w:rPr>
        <w:t>Cost</w:t>
      </w:r>
      <w:proofErr w:type="spellEnd"/>
      <w:r w:rsidRPr="00BB447B">
        <w:rPr>
          <w:rFonts w:cs="Arial"/>
          <w:szCs w:val="24"/>
        </w:rPr>
        <w:t>./TI).</w:t>
      </w:r>
    </w:p>
    <w:p w:rsidR="00B01060" w:rsidRDefault="00B01060" w:rsidP="00B01060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</w:p>
    <w:p w:rsidR="00B01060" w:rsidRPr="00BB447B" w:rsidRDefault="00B01060" w:rsidP="00B01060">
      <w:pPr>
        <w:tabs>
          <w:tab w:val="left" w:pos="567"/>
          <w:tab w:val="left" w:pos="709"/>
        </w:tabs>
        <w:ind w:left="567" w:hanging="567"/>
        <w:rPr>
          <w:rFonts w:cs="Arial"/>
          <w:szCs w:val="24"/>
        </w:rPr>
      </w:pPr>
      <w:r w:rsidRPr="00BB447B">
        <w:rPr>
          <w:rFonts w:cs="Arial"/>
          <w:b/>
          <w:szCs w:val="24"/>
        </w:rPr>
        <w:t>1.3</w:t>
      </w:r>
      <w:r w:rsidRPr="00BB447B">
        <w:rPr>
          <w:rFonts w:cs="Arial"/>
          <w:b/>
          <w:szCs w:val="24"/>
        </w:rPr>
        <w:tab/>
      </w:r>
      <w:r w:rsidRPr="00BB447B">
        <w:rPr>
          <w:rFonts w:cs="Arial"/>
          <w:szCs w:val="24"/>
        </w:rPr>
        <w:t xml:space="preserve">Il gravame, inoltrato </w:t>
      </w:r>
      <w:r>
        <w:rPr>
          <w:rFonts w:cs="Arial"/>
          <w:szCs w:val="24"/>
        </w:rPr>
        <w:t xml:space="preserve">al Gran Consiglio </w:t>
      </w:r>
      <w:r w:rsidRPr="00BB447B">
        <w:rPr>
          <w:rFonts w:cs="Arial"/>
          <w:szCs w:val="24"/>
        </w:rPr>
        <w:t>entro il termine di quindici giorni dalla pubblicazione del risultato sul Foglio ufficiale,</w:t>
      </w:r>
      <w:r>
        <w:rPr>
          <w:rFonts w:cs="Arial"/>
          <w:szCs w:val="24"/>
        </w:rPr>
        <w:t xml:space="preserve"> </w:t>
      </w:r>
      <w:r w:rsidRPr="00BB447B">
        <w:rPr>
          <w:rFonts w:cs="Arial"/>
          <w:szCs w:val="24"/>
        </w:rPr>
        <w:t>è tempestivo (art. 1</w:t>
      </w:r>
      <w:r>
        <w:rPr>
          <w:rFonts w:cs="Arial"/>
          <w:szCs w:val="24"/>
        </w:rPr>
        <w:t>64</w:t>
      </w:r>
      <w:r w:rsidRPr="00BB447B">
        <w:rPr>
          <w:rFonts w:cs="Arial"/>
          <w:szCs w:val="24"/>
        </w:rPr>
        <w:t xml:space="preserve"> cpv. 1 L</w:t>
      </w:r>
      <w:r>
        <w:rPr>
          <w:rFonts w:cs="Arial"/>
          <w:szCs w:val="24"/>
        </w:rPr>
        <w:t>EDP).</w:t>
      </w: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Default="00B01060" w:rsidP="00B01060">
      <w:pPr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spacing w:after="120"/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2.</w:t>
      </w:r>
    </w:p>
    <w:p w:rsidR="00B01060" w:rsidRPr="006D40C1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Pr="006D40C1">
        <w:rPr>
          <w:rFonts w:cs="Arial"/>
          <w:b/>
          <w:szCs w:val="24"/>
        </w:rPr>
        <w:t>.1</w:t>
      </w:r>
      <w:r>
        <w:rPr>
          <w:rFonts w:cs="Arial"/>
          <w:szCs w:val="24"/>
        </w:rPr>
        <w:tab/>
        <w:t xml:space="preserve">Il ricorso </w:t>
      </w:r>
      <w:r w:rsidRPr="00AA6C10">
        <w:rPr>
          <w:rFonts w:cs="Arial"/>
          <w:szCs w:val="24"/>
        </w:rPr>
        <w:t>riguarda esclusivamente la proclamazione dei risultati della votazione del 25</w:t>
      </w:r>
      <w:r>
        <w:rPr>
          <w:rFonts w:cs="Arial"/>
          <w:szCs w:val="24"/>
        </w:rPr>
        <w:t xml:space="preserve"> settembre </w:t>
      </w:r>
      <w:r w:rsidRPr="00AA6C10">
        <w:rPr>
          <w:rFonts w:cs="Arial"/>
          <w:szCs w:val="24"/>
        </w:rPr>
        <w:t>2016 e non l'esito finale della stessa.</w:t>
      </w:r>
    </w:p>
    <w:p w:rsidR="00B01060" w:rsidRPr="006D40C1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2.2</w:t>
      </w:r>
      <w:r>
        <w:rPr>
          <w:rFonts w:cs="Arial"/>
          <w:b/>
          <w:szCs w:val="24"/>
        </w:rPr>
        <w:tab/>
      </w:r>
      <w:r w:rsidRPr="00640DBC">
        <w:rPr>
          <w:rFonts w:cs="Arial"/>
          <w:szCs w:val="24"/>
        </w:rPr>
        <w:t>Il ricorrente</w:t>
      </w:r>
      <w:r>
        <w:rPr>
          <w:rFonts w:cs="Arial"/>
          <w:szCs w:val="24"/>
        </w:rPr>
        <w:t xml:space="preserve"> </w:t>
      </w:r>
      <w:r w:rsidRPr="00640DBC">
        <w:rPr>
          <w:rFonts w:cs="Arial"/>
          <w:szCs w:val="24"/>
        </w:rPr>
        <w:t>contesta</w:t>
      </w:r>
      <w:r>
        <w:rPr>
          <w:rFonts w:cs="Arial"/>
          <w:szCs w:val="24"/>
        </w:rPr>
        <w:t xml:space="preserve"> sostanzialmente</w:t>
      </w:r>
      <w:r w:rsidRPr="00640DBC">
        <w:rPr>
          <w:rFonts w:cs="Arial"/>
          <w:szCs w:val="24"/>
        </w:rPr>
        <w:t xml:space="preserve"> il fatto che i voti </w:t>
      </w:r>
      <w:r>
        <w:rPr>
          <w:rFonts w:cs="Arial"/>
          <w:szCs w:val="24"/>
        </w:rPr>
        <w:t>"</w:t>
      </w:r>
      <w:r w:rsidRPr="00640DBC">
        <w:rPr>
          <w:rFonts w:cs="Arial"/>
          <w:szCs w:val="24"/>
        </w:rPr>
        <w:t>senza risposta</w:t>
      </w:r>
      <w:r>
        <w:rPr>
          <w:rFonts w:cs="Arial"/>
          <w:szCs w:val="24"/>
        </w:rPr>
        <w:t>"</w:t>
      </w:r>
      <w:r w:rsidRPr="00640DBC">
        <w:rPr>
          <w:rFonts w:cs="Arial"/>
          <w:szCs w:val="24"/>
        </w:rPr>
        <w:t xml:space="preserve"> siano stati inclusi nella categoria </w:t>
      </w:r>
      <w:r>
        <w:rPr>
          <w:rFonts w:cs="Arial"/>
          <w:szCs w:val="24"/>
        </w:rPr>
        <w:t>"</w:t>
      </w:r>
      <w:r w:rsidRPr="00640DBC">
        <w:rPr>
          <w:rFonts w:cs="Arial"/>
          <w:szCs w:val="24"/>
        </w:rPr>
        <w:t>schede computabili</w:t>
      </w:r>
      <w:r>
        <w:rPr>
          <w:rFonts w:cs="Arial"/>
          <w:szCs w:val="24"/>
        </w:rPr>
        <w:t>"</w:t>
      </w:r>
      <w:r w:rsidRPr="00640DBC">
        <w:rPr>
          <w:rFonts w:cs="Arial"/>
          <w:szCs w:val="24"/>
        </w:rPr>
        <w:t xml:space="preserve"> anziché </w:t>
      </w:r>
      <w:r>
        <w:rPr>
          <w:rFonts w:cs="Arial"/>
          <w:szCs w:val="24"/>
        </w:rPr>
        <w:t>nella categoria</w:t>
      </w:r>
      <w:r w:rsidRPr="00640D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"</w:t>
      </w:r>
      <w:r w:rsidRPr="00640DBC">
        <w:rPr>
          <w:rFonts w:cs="Arial"/>
          <w:szCs w:val="24"/>
        </w:rPr>
        <w:t>schede bianche</w:t>
      </w:r>
      <w:r>
        <w:rPr>
          <w:rFonts w:cs="Arial"/>
          <w:szCs w:val="24"/>
        </w:rPr>
        <w:t>" (cioè</w:t>
      </w:r>
      <w:r w:rsidRPr="00640DBC">
        <w:rPr>
          <w:rFonts w:cs="Arial"/>
          <w:szCs w:val="24"/>
        </w:rPr>
        <w:t xml:space="preserve"> non computabili</w:t>
      </w:r>
      <w:r>
        <w:rPr>
          <w:rFonts w:cs="Arial"/>
          <w:szCs w:val="24"/>
        </w:rPr>
        <w:t>)</w:t>
      </w:r>
      <w:r w:rsidRPr="00640DBC">
        <w:rPr>
          <w:rFonts w:cs="Arial"/>
          <w:szCs w:val="24"/>
        </w:rPr>
        <w:t>, riallacciandosi per questo all'art. 137 cpv. 2 LEDP, che nella sua prima parte recita: «</w:t>
      </w:r>
      <w:r w:rsidRPr="00640DBC">
        <w:rPr>
          <w:rFonts w:cs="Arial"/>
          <w:i/>
          <w:szCs w:val="24"/>
        </w:rPr>
        <w:t>Se all'iniziativa popolare il Gran Consiglio contrappone un proprio progetto, i cittadini aventi diritto di voto devono decidere, in un'unica votazione, se preferiscono l'iniziativa o il controprogetto rispetto al diritto vigente […]</w:t>
      </w:r>
      <w:r>
        <w:rPr>
          <w:rFonts w:cs="Arial"/>
          <w:szCs w:val="24"/>
        </w:rPr>
        <w:t>».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2.3</w:t>
      </w:r>
      <w:r>
        <w:rPr>
          <w:rFonts w:cs="Arial"/>
          <w:szCs w:val="24"/>
        </w:rPr>
        <w:tab/>
        <w:t>Il ricorrente</w:t>
      </w:r>
      <w:r w:rsidRPr="00640DBC">
        <w:rPr>
          <w:rFonts w:cs="Arial"/>
          <w:szCs w:val="24"/>
        </w:rPr>
        <w:t xml:space="preserve"> sostiene che la formulazione </w:t>
      </w:r>
      <w:r>
        <w:rPr>
          <w:rFonts w:cs="Arial"/>
          <w:szCs w:val="24"/>
        </w:rPr>
        <w:t>«</w:t>
      </w:r>
      <w:r w:rsidRPr="00736BD1">
        <w:rPr>
          <w:rFonts w:cs="Arial"/>
          <w:i/>
          <w:szCs w:val="24"/>
        </w:rPr>
        <w:t>in un'unica votazione</w:t>
      </w:r>
      <w:r w:rsidRPr="004D01ED">
        <w:rPr>
          <w:rFonts w:cs="Arial"/>
          <w:szCs w:val="24"/>
        </w:rPr>
        <w:t>»</w:t>
      </w:r>
      <w:r>
        <w:rPr>
          <w:rFonts w:cs="Arial"/>
          <w:szCs w:val="24"/>
        </w:rPr>
        <w:t xml:space="preserve"> (art. 137 </w:t>
      </w:r>
      <w:r>
        <w:rPr>
          <w:rFonts w:cs="Arial"/>
          <w:szCs w:val="24"/>
        </w:rPr>
        <w:br/>
        <w:t>cpv. 3 LEDP)</w:t>
      </w:r>
      <w:r w:rsidRPr="00640D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non dovrebbe essere intesa come </w:t>
      </w:r>
      <w:r w:rsidRPr="00640DBC">
        <w:rPr>
          <w:rFonts w:cs="Arial"/>
          <w:szCs w:val="24"/>
        </w:rPr>
        <w:t xml:space="preserve">in un'unica scheda, bensì andrebbe interpretata nel senso di </w:t>
      </w:r>
      <w:r>
        <w:rPr>
          <w:rFonts w:cs="Arial"/>
          <w:szCs w:val="24"/>
        </w:rPr>
        <w:t>"medesimo giorn</w:t>
      </w:r>
      <w:r w:rsidRPr="004D01ED">
        <w:rPr>
          <w:rFonts w:cs="Arial"/>
          <w:szCs w:val="24"/>
        </w:rPr>
        <w:t>o</w:t>
      </w:r>
      <w:r>
        <w:rPr>
          <w:rFonts w:cs="Arial"/>
          <w:szCs w:val="24"/>
        </w:rPr>
        <w:t>", di "medesima occasione"</w:t>
      </w:r>
      <w:r w:rsidRPr="004D01ED">
        <w:rPr>
          <w:rFonts w:cs="Arial"/>
          <w:szCs w:val="24"/>
        </w:rPr>
        <w:t>,</w:t>
      </w:r>
      <w:r w:rsidRPr="00640DBC">
        <w:rPr>
          <w:rFonts w:cs="Arial"/>
          <w:szCs w:val="24"/>
        </w:rPr>
        <w:t xml:space="preserve"> per cui ogni singolo quesito dovrebbe figurare su un'apposita scheda. A suo dire</w:t>
      </w:r>
      <w:r>
        <w:rPr>
          <w:rFonts w:cs="Arial"/>
          <w:szCs w:val="24"/>
        </w:rPr>
        <w:t xml:space="preserve"> </w:t>
      </w:r>
      <w:r w:rsidRPr="00640DBC">
        <w:rPr>
          <w:rFonts w:cs="Arial"/>
          <w:szCs w:val="24"/>
        </w:rPr>
        <w:t>il fatto di votare tramite un'unica scheda porterebbe a uno sfasamento dei dati</w:t>
      </w:r>
      <w:r>
        <w:rPr>
          <w:rFonts w:cs="Arial"/>
          <w:szCs w:val="24"/>
        </w:rPr>
        <w:t xml:space="preserve"> computabili.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Pr="00736BD1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4</w:t>
      </w:r>
      <w:r>
        <w:rPr>
          <w:rFonts w:cs="Arial"/>
          <w:szCs w:val="24"/>
        </w:rPr>
        <w:tab/>
        <w:t>I</w:t>
      </w:r>
      <w:r w:rsidRPr="00640DBC">
        <w:rPr>
          <w:rFonts w:cs="Arial"/>
          <w:szCs w:val="24"/>
        </w:rPr>
        <w:t xml:space="preserve">l ricorrente costruisce il </w:t>
      </w:r>
      <w:r>
        <w:rPr>
          <w:rFonts w:cs="Arial"/>
          <w:szCs w:val="24"/>
        </w:rPr>
        <w:t>proprio</w:t>
      </w:r>
      <w:r w:rsidRPr="00640DBC">
        <w:rPr>
          <w:rFonts w:cs="Arial"/>
          <w:szCs w:val="24"/>
        </w:rPr>
        <w:t xml:space="preserve"> ragionamento partendo dal principio della maggioranza così come enunciato all'art. 51 </w:t>
      </w:r>
      <w:r>
        <w:rPr>
          <w:rFonts w:cs="Arial"/>
          <w:szCs w:val="24"/>
        </w:rPr>
        <w:t>della Costituzione federale (</w:t>
      </w:r>
      <w:proofErr w:type="spellStart"/>
      <w:r w:rsidRPr="00640DBC">
        <w:rPr>
          <w:rFonts w:cs="Arial"/>
          <w:szCs w:val="24"/>
        </w:rPr>
        <w:t>Cost</w:t>
      </w:r>
      <w:proofErr w:type="spellEnd"/>
      <w:r w:rsidRPr="00640DBC">
        <w:rPr>
          <w:rFonts w:cs="Arial"/>
          <w:szCs w:val="24"/>
        </w:rPr>
        <w:t>.</w:t>
      </w:r>
      <w:r>
        <w:rPr>
          <w:rFonts w:cs="Arial"/>
          <w:szCs w:val="24"/>
        </w:rPr>
        <w:t>)</w:t>
      </w:r>
      <w:r w:rsidRPr="00640DBC">
        <w:rPr>
          <w:rFonts w:cs="Arial"/>
          <w:szCs w:val="24"/>
        </w:rPr>
        <w:t>, secondo cui la «</w:t>
      </w:r>
      <w:r w:rsidRPr="00640DBC">
        <w:rPr>
          <w:rFonts w:cs="Arial"/>
          <w:i/>
          <w:szCs w:val="24"/>
        </w:rPr>
        <w:t>costituzione cantonale richiede l'approvazione del Popolo e deve poter essere riveduta qualora la maggioranza del Popolo lo richieda</w:t>
      </w:r>
      <w:r w:rsidRPr="00640DBC">
        <w:rPr>
          <w:rFonts w:cs="Arial"/>
          <w:szCs w:val="24"/>
        </w:rPr>
        <w:t xml:space="preserve">»; egli fa poi riferimento all'art. 2 cpv. 2 </w:t>
      </w:r>
      <w:proofErr w:type="spellStart"/>
      <w:r w:rsidRPr="00640DBC">
        <w:rPr>
          <w:rFonts w:cs="Arial"/>
          <w:szCs w:val="24"/>
        </w:rPr>
        <w:t>Cost</w:t>
      </w:r>
      <w:proofErr w:type="spellEnd"/>
      <w:r w:rsidRPr="00640DBC">
        <w:rPr>
          <w:rFonts w:cs="Arial"/>
          <w:szCs w:val="24"/>
        </w:rPr>
        <w:t xml:space="preserve">./TI, </w:t>
      </w:r>
      <w:r>
        <w:rPr>
          <w:rFonts w:cs="Arial"/>
          <w:szCs w:val="24"/>
        </w:rPr>
        <w:t>secondo il quale</w:t>
      </w:r>
      <w:r w:rsidRPr="00640DBC">
        <w:rPr>
          <w:rFonts w:cs="Arial"/>
          <w:szCs w:val="24"/>
        </w:rPr>
        <w:t xml:space="preserve"> «</w:t>
      </w:r>
      <w:r w:rsidRPr="00736BD1">
        <w:rPr>
          <w:rFonts w:cs="Arial"/>
          <w:i/>
          <w:szCs w:val="24"/>
        </w:rPr>
        <w:t>il voto del Cantone è dato dal popolo con la maggioranza dei voti validi</w:t>
      </w:r>
      <w:r w:rsidRPr="00640DBC">
        <w:rPr>
          <w:rFonts w:cs="Arial"/>
          <w:szCs w:val="24"/>
        </w:rPr>
        <w:t>»</w:t>
      </w:r>
      <w:r>
        <w:rPr>
          <w:rFonts w:cs="Arial"/>
          <w:szCs w:val="24"/>
        </w:rPr>
        <w:t>; orbene</w:t>
      </w:r>
      <w:r w:rsidRPr="00640DBC">
        <w:rPr>
          <w:rFonts w:cs="Arial"/>
          <w:szCs w:val="24"/>
        </w:rPr>
        <w:t xml:space="preserve">, in base all'art. 43 LEDP, non possono essere considerati voti validi (quindi computabili) </w:t>
      </w:r>
      <w:r>
        <w:rPr>
          <w:rFonts w:cs="Arial"/>
          <w:szCs w:val="24"/>
        </w:rPr>
        <w:t>le schede bianche e nulle</w:t>
      </w:r>
      <w:r w:rsidRPr="00736BD1">
        <w:rPr>
          <w:rFonts w:cs="Arial"/>
          <w:szCs w:val="24"/>
        </w:rPr>
        <w:t>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736BD1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2.5</w:t>
      </w:r>
      <w:r>
        <w:rPr>
          <w:rFonts w:cs="Arial"/>
          <w:szCs w:val="24"/>
        </w:rPr>
        <w:tab/>
        <w:t>Il ricorrente</w:t>
      </w:r>
      <w:r w:rsidRPr="00736BD1">
        <w:rPr>
          <w:rFonts w:cs="Arial"/>
          <w:szCs w:val="24"/>
        </w:rPr>
        <w:t xml:space="preserve"> sostiene che gli art. 43 e 137 LEDP siano vincolanti e, di conseguenza, che i voti </w:t>
      </w:r>
      <w:r>
        <w:rPr>
          <w:rFonts w:cs="Arial"/>
          <w:szCs w:val="24"/>
        </w:rPr>
        <w:t xml:space="preserve">in bianco </w:t>
      </w:r>
      <w:r w:rsidRPr="00736BD1">
        <w:rPr>
          <w:rFonts w:cs="Arial"/>
          <w:szCs w:val="24"/>
        </w:rPr>
        <w:t xml:space="preserve">non possano essere computati per la determinazione del risultato. </w:t>
      </w:r>
      <w:r>
        <w:rPr>
          <w:rFonts w:cs="Arial"/>
          <w:szCs w:val="24"/>
        </w:rPr>
        <w:t>A suo dire</w:t>
      </w:r>
      <w:r w:rsidRPr="00736BD1">
        <w:rPr>
          <w:rFonts w:cs="Arial"/>
          <w:szCs w:val="24"/>
        </w:rPr>
        <w:t>, dunque, la prassi «</w:t>
      </w:r>
      <w:r w:rsidRPr="00DD73A8">
        <w:rPr>
          <w:rFonts w:cs="Arial"/>
          <w:i/>
          <w:szCs w:val="24"/>
        </w:rPr>
        <w:t xml:space="preserve">dell'autorità cantonale di considerare come "bianche" (non computabili) soltanto quelle schede su cui i votanti non hanno risposto ad alcuna delle tre domande è non solo priva di base legale ma addirittura viola la legge </w:t>
      </w:r>
      <w:r w:rsidRPr="00DD73A8">
        <w:rPr>
          <w:rFonts w:cs="Arial"/>
          <w:i/>
          <w:szCs w:val="24"/>
        </w:rPr>
        <w:lastRenderedPageBreak/>
        <w:t>e la costituzione</w:t>
      </w:r>
      <w:r w:rsidRPr="00736BD1">
        <w:rPr>
          <w:rFonts w:cs="Arial"/>
          <w:szCs w:val="24"/>
        </w:rPr>
        <w:t>»</w:t>
      </w:r>
      <w:r>
        <w:rPr>
          <w:rFonts w:cs="Arial"/>
          <w:szCs w:val="24"/>
        </w:rPr>
        <w:t xml:space="preserve"> (ricorso, p. 3)</w:t>
      </w:r>
      <w:r w:rsidRPr="00736BD1">
        <w:rPr>
          <w:rFonts w:cs="Arial"/>
          <w:szCs w:val="24"/>
        </w:rPr>
        <w:t>, questo perché con il sistema di voto attuale – cioè tramite un'unica scheda – è sufficiente che si risponda anche a uno solo dei tre quesiti per rendere la scheda computabile.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6D40C1" w:rsidRDefault="00B01060" w:rsidP="00B01060">
      <w:pPr>
        <w:tabs>
          <w:tab w:val="left" w:pos="567"/>
        </w:tabs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2.6</w:t>
      </w:r>
      <w:r>
        <w:rPr>
          <w:rFonts w:cs="Arial"/>
          <w:b/>
          <w:szCs w:val="24"/>
        </w:rPr>
        <w:tab/>
      </w:r>
      <w:r w:rsidRPr="00736BD1">
        <w:rPr>
          <w:rFonts w:cs="Arial"/>
          <w:szCs w:val="24"/>
        </w:rPr>
        <w:t>Il ricorrente sostiene pure che «</w:t>
      </w:r>
      <w:r w:rsidRPr="00DD73A8">
        <w:rPr>
          <w:rFonts w:cs="Arial"/>
          <w:i/>
          <w:szCs w:val="24"/>
        </w:rPr>
        <w:t>il modo con cui l'autorità cantonale tratta i voti espressi in occasione delle votazioni sulle iniziative popolari accompagnate da un controprogetto costituisce una disparità di trattamento rispetto alle iniziative popolari non accompagnate da un controprogetto. […] In effetti, per le iniziative del primo tipo è più difficile raggiungere la maggioranza assoluta visto che vengono conteggiati anche i voti "senza risposta"</w:t>
      </w:r>
      <w:r>
        <w:rPr>
          <w:rFonts w:cs="Arial"/>
          <w:szCs w:val="24"/>
        </w:rPr>
        <w:t>» (ricorso, p. 4).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spacing w:after="120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3.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3.1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Il Consiglio di Stato, nel suo allegato di risposta, osserva che l'art. 43 LEDP st</w:t>
      </w:r>
      <w:r w:rsidRPr="007A179E">
        <w:rPr>
          <w:rFonts w:cs="Arial"/>
          <w:szCs w:val="24"/>
        </w:rPr>
        <w:t>abilisce</w:t>
      </w:r>
      <w:r>
        <w:rPr>
          <w:rFonts w:cs="Arial"/>
          <w:szCs w:val="24"/>
        </w:rPr>
        <w:t xml:space="preserve"> </w:t>
      </w:r>
      <w:r w:rsidRPr="007A179E">
        <w:rPr>
          <w:rFonts w:cs="Arial"/>
          <w:szCs w:val="24"/>
        </w:rPr>
        <w:t>che dal totale delle schede votate devono essere sottratte le schede bianche e le</w:t>
      </w:r>
      <w:r>
        <w:rPr>
          <w:rFonts w:cs="Arial"/>
          <w:szCs w:val="24"/>
        </w:rPr>
        <w:t xml:space="preserve"> </w:t>
      </w:r>
      <w:r w:rsidRPr="007A179E">
        <w:rPr>
          <w:rFonts w:cs="Arial"/>
          <w:szCs w:val="24"/>
        </w:rPr>
        <w:t xml:space="preserve">schede nulle, le quali non sono computabili per </w:t>
      </w:r>
      <w:r>
        <w:rPr>
          <w:rFonts w:cs="Arial"/>
          <w:szCs w:val="24"/>
        </w:rPr>
        <w:t>la determinazione del risultato; l</w:t>
      </w:r>
      <w:r w:rsidRPr="007A179E">
        <w:rPr>
          <w:rFonts w:cs="Arial"/>
          <w:szCs w:val="24"/>
        </w:rPr>
        <w:t>e schede computabili sono quindi quelle rimanenti. La medesima</w:t>
      </w:r>
      <w:r>
        <w:rPr>
          <w:rFonts w:cs="Arial"/>
          <w:szCs w:val="24"/>
        </w:rPr>
        <w:t xml:space="preserve"> </w:t>
      </w:r>
      <w:r w:rsidRPr="007A179E">
        <w:rPr>
          <w:rFonts w:cs="Arial"/>
          <w:szCs w:val="24"/>
        </w:rPr>
        <w:t>r</w:t>
      </w:r>
      <w:r>
        <w:rPr>
          <w:rFonts w:cs="Arial"/>
          <w:szCs w:val="24"/>
        </w:rPr>
        <w:t>egola è contemplata anche dall'art. 13 cpv. 1 della Legge federale sui diritti politici (LDP).</w:t>
      </w:r>
    </w:p>
    <w:p w:rsidR="00B01060" w:rsidRDefault="00B01060" w:rsidP="00B01060">
      <w:pPr>
        <w:tabs>
          <w:tab w:val="left" w:pos="567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3.</w:t>
      </w:r>
      <w:r w:rsidRPr="007A179E">
        <w:rPr>
          <w:rFonts w:cs="Arial"/>
          <w:b/>
          <w:szCs w:val="24"/>
        </w:rPr>
        <w:t>2</w:t>
      </w:r>
      <w:r w:rsidRPr="007A179E">
        <w:rPr>
          <w:rFonts w:cs="Arial"/>
          <w:b/>
          <w:szCs w:val="24"/>
        </w:rPr>
        <w:tab/>
      </w:r>
      <w:r w:rsidRPr="00A223A0">
        <w:rPr>
          <w:rFonts w:cs="Arial"/>
          <w:szCs w:val="24"/>
        </w:rPr>
        <w:t xml:space="preserve">Inoltre, </w:t>
      </w:r>
      <w:r w:rsidRPr="00E554A8">
        <w:rPr>
          <w:rFonts w:cs="Arial"/>
          <w:szCs w:val="24"/>
        </w:rPr>
        <w:t>l'iniziativa</w:t>
      </w:r>
      <w:r w:rsidRPr="007A179E">
        <w:rPr>
          <w:rFonts w:cs="Arial"/>
          <w:szCs w:val="24"/>
        </w:rPr>
        <w:t xml:space="preserve"> popolare è accolta se il numero di voti favorevoli è superiore a quello dei voti contrari e non – come lascerebbe supporre il ricorso – se il numero di voti favorevoli è superiore alla somma dei voti contrari e</w:t>
      </w:r>
      <w:r>
        <w:rPr>
          <w:rFonts w:cs="Arial"/>
          <w:szCs w:val="24"/>
        </w:rPr>
        <w:t xml:space="preserve"> delle domande "senza risposta".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3.3</w:t>
      </w:r>
      <w:r>
        <w:rPr>
          <w:rFonts w:cs="Arial"/>
          <w:szCs w:val="24"/>
        </w:rPr>
        <w:tab/>
      </w:r>
      <w:r w:rsidRPr="007A179E">
        <w:rPr>
          <w:rFonts w:cs="Arial"/>
          <w:szCs w:val="24"/>
        </w:rPr>
        <w:t xml:space="preserve">L'art. 2 cpv. 2 </w:t>
      </w:r>
      <w:proofErr w:type="spellStart"/>
      <w:r w:rsidRPr="007A179E">
        <w:rPr>
          <w:rFonts w:cs="Arial"/>
          <w:szCs w:val="24"/>
        </w:rPr>
        <w:t>Cost</w:t>
      </w:r>
      <w:proofErr w:type="spellEnd"/>
      <w:r w:rsidRPr="007A179E">
        <w:rPr>
          <w:rFonts w:cs="Arial"/>
          <w:szCs w:val="24"/>
        </w:rPr>
        <w:t>./TI stabilisce</w:t>
      </w:r>
      <w:r>
        <w:rPr>
          <w:rFonts w:cs="Arial"/>
          <w:szCs w:val="24"/>
        </w:rPr>
        <w:t>, dal canto suo,</w:t>
      </w:r>
      <w:r w:rsidRPr="007A179E">
        <w:rPr>
          <w:rFonts w:cs="Arial"/>
          <w:szCs w:val="24"/>
        </w:rPr>
        <w:t xml:space="preserve"> che il </w:t>
      </w:r>
      <w:r>
        <w:rPr>
          <w:rFonts w:cs="Arial"/>
          <w:szCs w:val="24"/>
        </w:rPr>
        <w:t>«</w:t>
      </w:r>
      <w:r w:rsidRPr="004D5A48">
        <w:rPr>
          <w:rFonts w:cs="Arial"/>
          <w:i/>
          <w:szCs w:val="24"/>
        </w:rPr>
        <w:t>voto del Cantone è dato dal popolo con la maggioranza dei voti validi</w:t>
      </w:r>
      <w:r>
        <w:rPr>
          <w:rFonts w:cs="Arial"/>
          <w:szCs w:val="24"/>
        </w:rPr>
        <w:t>»; a livello cantonale</w:t>
      </w:r>
      <w:r w:rsidRPr="007A179E">
        <w:rPr>
          <w:rFonts w:cs="Arial"/>
          <w:szCs w:val="24"/>
        </w:rPr>
        <w:t xml:space="preserve"> l'applicazione di tale principio figura nell'art. 137 cpv. 4 LEDP</w:t>
      </w:r>
      <w:r>
        <w:rPr>
          <w:rFonts w:cs="Arial"/>
          <w:szCs w:val="24"/>
        </w:rPr>
        <w:t xml:space="preserve"> (a livello federale nell'art. 76 cpv. 2 LDP)</w:t>
      </w:r>
      <w:r w:rsidRPr="007A179E">
        <w:rPr>
          <w:rFonts w:cs="Arial"/>
          <w:szCs w:val="24"/>
        </w:rPr>
        <w:t>, secondo il quale la maggioranza assoluta è accertata separatamente per ogni domanda e non è tenuto conto delle domande lasciate senza risposta</w:t>
      </w:r>
      <w:r>
        <w:rPr>
          <w:rFonts w:cs="Arial"/>
          <w:szCs w:val="24"/>
        </w:rPr>
        <w:t xml:space="preserve">. </w:t>
      </w:r>
      <w:r w:rsidRPr="00502E70">
        <w:rPr>
          <w:rFonts w:cs="Arial"/>
          <w:szCs w:val="24"/>
        </w:rPr>
        <w:t xml:space="preserve">Nei materiali legislativi sulla revisione totale della </w:t>
      </w:r>
      <w:proofErr w:type="spellStart"/>
      <w:r>
        <w:rPr>
          <w:rFonts w:cs="Arial"/>
          <w:szCs w:val="24"/>
        </w:rPr>
        <w:t>Cost</w:t>
      </w:r>
      <w:proofErr w:type="spellEnd"/>
      <w:r>
        <w:rPr>
          <w:rFonts w:cs="Arial"/>
          <w:szCs w:val="24"/>
        </w:rPr>
        <w:t>./TI</w:t>
      </w:r>
      <w:r w:rsidRPr="00502E70">
        <w:rPr>
          <w:rFonts w:cs="Arial"/>
          <w:szCs w:val="24"/>
        </w:rPr>
        <w:t>, riguardo al citato art</w:t>
      </w:r>
      <w:r>
        <w:rPr>
          <w:rFonts w:cs="Arial"/>
          <w:szCs w:val="24"/>
        </w:rPr>
        <w:t>.</w:t>
      </w:r>
      <w:r w:rsidRPr="00502E70">
        <w:rPr>
          <w:rFonts w:cs="Arial"/>
          <w:szCs w:val="24"/>
        </w:rPr>
        <w:t xml:space="preserve"> 2 c</w:t>
      </w:r>
      <w:r>
        <w:rPr>
          <w:rFonts w:cs="Arial"/>
          <w:szCs w:val="24"/>
        </w:rPr>
        <w:t>pv.</w:t>
      </w:r>
      <w:r w:rsidRPr="00502E70">
        <w:rPr>
          <w:rFonts w:cs="Arial"/>
          <w:szCs w:val="24"/>
        </w:rPr>
        <w:t xml:space="preserve"> 2, si rileva che </w:t>
      </w:r>
      <w:r>
        <w:rPr>
          <w:rFonts w:cs="Arial"/>
          <w:szCs w:val="24"/>
        </w:rPr>
        <w:t>«</w:t>
      </w:r>
      <w:r w:rsidRPr="00502E70">
        <w:rPr>
          <w:rFonts w:cs="Arial"/>
          <w:i/>
          <w:szCs w:val="24"/>
        </w:rPr>
        <w:t xml:space="preserve">non è necessario usare l'espressione "maggioranza assoluta" in quanto, non essendo computate le schede bianche e le schede nulle, per le votazioni la maggioranza coincide con la maggioranza assoluta» </w:t>
      </w:r>
      <w:r w:rsidRPr="00502E70">
        <w:rPr>
          <w:rFonts w:cs="Arial"/>
          <w:szCs w:val="24"/>
        </w:rPr>
        <w:t xml:space="preserve">(rapporto del 25 marzo 1986 della Commissione per lo studio della revisione totale della </w:t>
      </w:r>
      <w:proofErr w:type="spellStart"/>
      <w:r>
        <w:rPr>
          <w:rFonts w:cs="Arial"/>
          <w:szCs w:val="24"/>
        </w:rPr>
        <w:t>Cost</w:t>
      </w:r>
      <w:proofErr w:type="spellEnd"/>
      <w:r>
        <w:rPr>
          <w:rFonts w:cs="Arial"/>
          <w:szCs w:val="24"/>
        </w:rPr>
        <w:t>./TI</w:t>
      </w:r>
      <w:r w:rsidRPr="00502E70">
        <w:rPr>
          <w:rFonts w:cs="Arial"/>
          <w:szCs w:val="24"/>
        </w:rPr>
        <w:t xml:space="preserve">, pubblicato in un'edizione speciale della </w:t>
      </w:r>
      <w:r>
        <w:rPr>
          <w:rFonts w:cs="Arial"/>
          <w:szCs w:val="24"/>
        </w:rPr>
        <w:t>"</w:t>
      </w:r>
      <w:r w:rsidRPr="00502E70">
        <w:rPr>
          <w:rFonts w:cs="Arial"/>
          <w:szCs w:val="24"/>
        </w:rPr>
        <w:t>Rivista di diritto amministrativo ticinese</w:t>
      </w:r>
      <w:r>
        <w:rPr>
          <w:rFonts w:cs="Arial"/>
          <w:szCs w:val="24"/>
        </w:rPr>
        <w:t>"</w:t>
      </w:r>
      <w:r w:rsidRPr="00502E70">
        <w:rPr>
          <w:rFonts w:cs="Arial"/>
          <w:szCs w:val="24"/>
        </w:rPr>
        <w:t xml:space="preserve">, ad art. 2 n. 2.3). Le schede bianche e le schede nulle non sono considerate: questo principio deriva direttamente dalla </w:t>
      </w:r>
      <w:proofErr w:type="spellStart"/>
      <w:r>
        <w:rPr>
          <w:rFonts w:cs="Arial"/>
          <w:szCs w:val="24"/>
        </w:rPr>
        <w:t>Cost</w:t>
      </w:r>
      <w:proofErr w:type="spellEnd"/>
      <w:r>
        <w:rPr>
          <w:rFonts w:cs="Arial"/>
          <w:szCs w:val="24"/>
        </w:rPr>
        <w:t>./TI</w:t>
      </w:r>
      <w:r w:rsidRPr="00502E70">
        <w:rPr>
          <w:rFonts w:cs="Arial"/>
          <w:szCs w:val="24"/>
        </w:rPr>
        <w:t xml:space="preserve"> ("schede valide</w:t>
      </w:r>
      <w:r>
        <w:rPr>
          <w:rFonts w:cs="Arial"/>
          <w:szCs w:val="24"/>
        </w:rPr>
        <w:t xml:space="preserve">") ed è reso esplicito nell'art. </w:t>
      </w:r>
      <w:r w:rsidRPr="00502E70">
        <w:rPr>
          <w:rFonts w:cs="Arial"/>
          <w:szCs w:val="24"/>
        </w:rPr>
        <w:t>43 LEDP.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3.4</w:t>
      </w:r>
      <w:r>
        <w:rPr>
          <w:rFonts w:cs="Arial"/>
          <w:b/>
          <w:szCs w:val="24"/>
        </w:rPr>
        <w:tab/>
      </w:r>
      <w:r w:rsidRPr="004D5A48">
        <w:rPr>
          <w:rFonts w:cs="Arial"/>
          <w:szCs w:val="24"/>
        </w:rPr>
        <w:t>Secondo</w:t>
      </w:r>
      <w:r>
        <w:rPr>
          <w:rFonts w:cs="Arial"/>
          <w:szCs w:val="24"/>
        </w:rPr>
        <w:t xml:space="preserve"> il Consiglio di Stato, di conseguenza, malgrado il numero </w:t>
      </w:r>
      <w:r w:rsidRPr="007A179E">
        <w:rPr>
          <w:rFonts w:cs="Arial"/>
          <w:szCs w:val="24"/>
        </w:rPr>
        <w:t xml:space="preserve">di domande </w:t>
      </w:r>
      <w:r>
        <w:rPr>
          <w:rFonts w:cs="Arial"/>
          <w:szCs w:val="24"/>
        </w:rPr>
        <w:t>"</w:t>
      </w:r>
      <w:r w:rsidRPr="007A179E">
        <w:rPr>
          <w:rFonts w:cs="Arial"/>
          <w:szCs w:val="24"/>
        </w:rPr>
        <w:t>senza risposta</w:t>
      </w:r>
      <w:r>
        <w:rPr>
          <w:rFonts w:cs="Arial"/>
          <w:szCs w:val="24"/>
        </w:rPr>
        <w:t>"</w:t>
      </w:r>
      <w:r w:rsidRPr="007A179E">
        <w:rPr>
          <w:rFonts w:cs="Arial"/>
          <w:szCs w:val="24"/>
        </w:rPr>
        <w:t xml:space="preserve"> sia conteggiato</w:t>
      </w:r>
      <w:r>
        <w:rPr>
          <w:rFonts w:cs="Arial"/>
          <w:szCs w:val="24"/>
        </w:rPr>
        <w:t xml:space="preserve"> </w:t>
      </w:r>
      <w:r w:rsidRPr="007A179E">
        <w:rPr>
          <w:rFonts w:cs="Arial"/>
          <w:szCs w:val="24"/>
        </w:rPr>
        <w:t>nelle schede computabili ai sensi dell'art</w:t>
      </w:r>
      <w:r>
        <w:rPr>
          <w:rFonts w:cs="Arial"/>
          <w:szCs w:val="24"/>
        </w:rPr>
        <w:t>.</w:t>
      </w:r>
      <w:r w:rsidRPr="007A179E">
        <w:rPr>
          <w:rFonts w:cs="Arial"/>
          <w:szCs w:val="24"/>
        </w:rPr>
        <w:t xml:space="preserve"> 43 LE</w:t>
      </w:r>
      <w:r>
        <w:rPr>
          <w:rFonts w:cs="Arial"/>
          <w:szCs w:val="24"/>
        </w:rPr>
        <w:t>DP e dell'art.</w:t>
      </w:r>
      <w:r w:rsidRPr="007A179E">
        <w:rPr>
          <w:rFonts w:cs="Arial"/>
          <w:szCs w:val="24"/>
        </w:rPr>
        <w:t xml:space="preserve"> 13 c</w:t>
      </w:r>
      <w:r>
        <w:rPr>
          <w:rFonts w:cs="Arial"/>
          <w:szCs w:val="24"/>
        </w:rPr>
        <w:t xml:space="preserve">pv. 1 LDP, </w:t>
      </w:r>
      <w:r w:rsidRPr="007A179E">
        <w:rPr>
          <w:rFonts w:cs="Arial"/>
          <w:szCs w:val="24"/>
        </w:rPr>
        <w:t>esso non concorre a stabilire il raggiungimento della maggioranza</w:t>
      </w:r>
      <w:r>
        <w:rPr>
          <w:rFonts w:cs="Arial"/>
          <w:szCs w:val="24"/>
        </w:rPr>
        <w:t xml:space="preserve"> </w:t>
      </w:r>
      <w:r w:rsidRPr="007A179E">
        <w:rPr>
          <w:rFonts w:cs="Arial"/>
          <w:szCs w:val="24"/>
        </w:rPr>
        <w:t>assoluta.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4D5A48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3.5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L'Esecutivo cantonale</w:t>
      </w:r>
      <w:r w:rsidRPr="004D5A48">
        <w:rPr>
          <w:rFonts w:cs="Arial"/>
          <w:szCs w:val="24"/>
        </w:rPr>
        <w:t xml:space="preserve"> osserva </w:t>
      </w:r>
      <w:r>
        <w:rPr>
          <w:rFonts w:cs="Arial"/>
          <w:szCs w:val="24"/>
        </w:rPr>
        <w:t xml:space="preserve">pertanto </w:t>
      </w:r>
      <w:r w:rsidRPr="004D5A48">
        <w:rPr>
          <w:rFonts w:cs="Arial"/>
          <w:szCs w:val="24"/>
        </w:rPr>
        <w:t>che le affermazioni del ricorrente, secondo cui il Consiglio di Stato</w:t>
      </w:r>
      <w:r>
        <w:rPr>
          <w:rFonts w:cs="Arial"/>
          <w:szCs w:val="24"/>
        </w:rPr>
        <w:t>,</w:t>
      </w:r>
      <w:r w:rsidRPr="004D5A48">
        <w:rPr>
          <w:rFonts w:cs="Arial"/>
          <w:szCs w:val="24"/>
        </w:rPr>
        <w:t xml:space="preserve"> per l'accertamento della maggioranza assoluta</w:t>
      </w:r>
      <w:r>
        <w:rPr>
          <w:rFonts w:cs="Arial"/>
          <w:szCs w:val="24"/>
        </w:rPr>
        <w:t>,</w:t>
      </w:r>
      <w:r w:rsidRPr="004D5A48">
        <w:rPr>
          <w:rFonts w:cs="Arial"/>
          <w:szCs w:val="24"/>
        </w:rPr>
        <w:t xml:space="preserve"> computa anche il numero delle domande lasciate senza risposta, non sono corrette. </w:t>
      </w:r>
      <w:r>
        <w:rPr>
          <w:rFonts w:cs="Arial"/>
          <w:szCs w:val="24"/>
        </w:rPr>
        <w:t>Il Governo</w:t>
      </w:r>
      <w:r w:rsidRPr="004D5A48">
        <w:rPr>
          <w:rFonts w:cs="Arial"/>
          <w:szCs w:val="24"/>
        </w:rPr>
        <w:t xml:space="preserve"> è </w:t>
      </w:r>
      <w:r>
        <w:rPr>
          <w:rFonts w:cs="Arial"/>
          <w:szCs w:val="24"/>
        </w:rPr>
        <w:t xml:space="preserve">infatti pienamente </w:t>
      </w:r>
      <w:r w:rsidRPr="004D5A48">
        <w:rPr>
          <w:rFonts w:cs="Arial"/>
          <w:szCs w:val="24"/>
        </w:rPr>
        <w:t>consapevole che</w:t>
      </w:r>
      <w:r>
        <w:rPr>
          <w:rFonts w:cs="Arial"/>
          <w:szCs w:val="24"/>
        </w:rPr>
        <w:t>,</w:t>
      </w:r>
      <w:r w:rsidRPr="004D5A48">
        <w:rPr>
          <w:rFonts w:cs="Arial"/>
          <w:szCs w:val="24"/>
        </w:rPr>
        <w:t xml:space="preserve"> nel caso di </w:t>
      </w:r>
      <w:r>
        <w:rPr>
          <w:rFonts w:cs="Arial"/>
          <w:szCs w:val="24"/>
        </w:rPr>
        <w:t>un'</w:t>
      </w:r>
      <w:r w:rsidRPr="004D5A48">
        <w:rPr>
          <w:rFonts w:cs="Arial"/>
          <w:szCs w:val="24"/>
        </w:rPr>
        <w:t xml:space="preserve">iniziativa </w:t>
      </w:r>
      <w:r>
        <w:rPr>
          <w:rFonts w:cs="Arial"/>
          <w:szCs w:val="24"/>
        </w:rPr>
        <w:t xml:space="preserve">popolare alla quale è contrapposto un </w:t>
      </w:r>
      <w:r w:rsidRPr="004D5A48">
        <w:rPr>
          <w:rFonts w:cs="Arial"/>
          <w:szCs w:val="24"/>
        </w:rPr>
        <w:t>controprogetto, l'iniziativa è accolta se il numero dei voti favorevoli è superiore a quello dei voti contrari, senza riguardo al numero delle domande lasciale senza risposta. D'altronde, come già rilevato, l'art</w:t>
      </w:r>
      <w:r>
        <w:rPr>
          <w:rFonts w:cs="Arial"/>
          <w:szCs w:val="24"/>
        </w:rPr>
        <w:t>.</w:t>
      </w:r>
      <w:r w:rsidRPr="004D5A48">
        <w:rPr>
          <w:rFonts w:cs="Arial"/>
          <w:szCs w:val="24"/>
        </w:rPr>
        <w:t xml:space="preserve"> 137 cpv</w:t>
      </w:r>
      <w:r>
        <w:rPr>
          <w:rFonts w:cs="Arial"/>
          <w:szCs w:val="24"/>
        </w:rPr>
        <w:t>.</w:t>
      </w:r>
      <w:r w:rsidRPr="004D5A48">
        <w:rPr>
          <w:rFonts w:cs="Arial"/>
          <w:szCs w:val="24"/>
        </w:rPr>
        <w:t xml:space="preserve"> 4 </w:t>
      </w:r>
      <w:r w:rsidRPr="004D5A48">
        <w:rPr>
          <w:rFonts w:cs="Arial"/>
          <w:szCs w:val="24"/>
        </w:rPr>
        <w:lastRenderedPageBreak/>
        <w:t>LEDP indica in modo esplicito che i voti non espressi non sono considerati ai fini della determinazione dell'esito di ciascuna votazione</w:t>
      </w:r>
      <w:r>
        <w:rPr>
          <w:rFonts w:cs="Arial"/>
          <w:szCs w:val="24"/>
        </w:rPr>
        <w:t>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CC01C3" w:rsidRDefault="00B01060" w:rsidP="00B01060">
      <w:pPr>
        <w:tabs>
          <w:tab w:val="left" w:pos="567"/>
        </w:tabs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>
        <w:rPr>
          <w:rFonts w:cs="Arial"/>
          <w:b/>
          <w:szCs w:val="24"/>
        </w:rPr>
        <w:tab/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4.1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L</w:t>
      </w:r>
      <w:r w:rsidRPr="00C80003">
        <w:rPr>
          <w:rFonts w:cs="Arial"/>
          <w:szCs w:val="24"/>
        </w:rPr>
        <w:t>'art. 137 cpv. 2 LEDP</w:t>
      </w:r>
      <w:r>
        <w:rPr>
          <w:rFonts w:cs="Arial"/>
          <w:szCs w:val="24"/>
        </w:rPr>
        <w:t xml:space="preserve"> recita: «</w:t>
      </w:r>
      <w:r w:rsidRPr="00863F3C">
        <w:rPr>
          <w:rFonts w:cs="Arial"/>
          <w:i/>
          <w:szCs w:val="24"/>
        </w:rPr>
        <w:t>se all'iniziativa popolare il Gran Consiglio contrappone un proprio progetto, i cittadini aventi diritto di voto devono decidere, in un'unica votazione, se preferiscono l'iniziativa o il controprogetto rispetto al diritto vigente; hanno pure la facoltà di accettare o respingere entrambe le proposte e di esprimere la loro preferenza nel caso in cui iniziativa e controprogetto vengano accettati</w:t>
      </w:r>
      <w:r>
        <w:rPr>
          <w:rFonts w:cs="Arial"/>
          <w:szCs w:val="24"/>
        </w:rPr>
        <w:t xml:space="preserve">»; in relazione a questa norma, </w:t>
      </w:r>
      <w:r w:rsidRPr="00C80003">
        <w:rPr>
          <w:rFonts w:cs="Arial"/>
          <w:szCs w:val="24"/>
        </w:rPr>
        <w:t>l'art. 18 cpv. 1</w:t>
      </w:r>
      <w:r>
        <w:rPr>
          <w:rFonts w:cs="Arial"/>
          <w:szCs w:val="24"/>
        </w:rPr>
        <w:t xml:space="preserve"> del </w:t>
      </w:r>
      <w:r w:rsidRPr="00863F3C">
        <w:rPr>
          <w:rFonts w:cs="Arial"/>
          <w:szCs w:val="24"/>
        </w:rPr>
        <w:t>Regolamento</w:t>
      </w:r>
      <w:r>
        <w:rPr>
          <w:rFonts w:cs="Arial"/>
          <w:szCs w:val="24"/>
        </w:rPr>
        <w:t xml:space="preserve"> </w:t>
      </w:r>
      <w:r w:rsidRPr="00863F3C">
        <w:rPr>
          <w:rFonts w:cs="Arial"/>
          <w:szCs w:val="24"/>
        </w:rPr>
        <w:t xml:space="preserve">di applicazione della </w:t>
      </w:r>
      <w:r>
        <w:rPr>
          <w:rFonts w:cs="Arial"/>
          <w:szCs w:val="24"/>
        </w:rPr>
        <w:t xml:space="preserve">LEDP </w:t>
      </w:r>
      <w:r w:rsidRPr="00863F3C">
        <w:rPr>
          <w:rFonts w:cs="Arial"/>
          <w:szCs w:val="24"/>
        </w:rPr>
        <w:t>(RALEDP</w:t>
      </w:r>
      <w:r>
        <w:rPr>
          <w:rFonts w:cs="Arial"/>
          <w:szCs w:val="24"/>
        </w:rPr>
        <w:t>)</w:t>
      </w:r>
      <w:r w:rsidRPr="00C80003">
        <w:rPr>
          <w:rFonts w:cs="Arial"/>
          <w:szCs w:val="24"/>
        </w:rPr>
        <w:t xml:space="preserve"> stabilisce</w:t>
      </w:r>
      <w:r>
        <w:rPr>
          <w:rFonts w:cs="Arial"/>
          <w:szCs w:val="24"/>
        </w:rPr>
        <w:t xml:space="preserve"> esplicitamente </w:t>
      </w:r>
      <w:r w:rsidRPr="00C80003">
        <w:rPr>
          <w:rFonts w:cs="Arial"/>
          <w:szCs w:val="24"/>
        </w:rPr>
        <w:t>che «</w:t>
      </w:r>
      <w:r w:rsidRPr="00863F3C">
        <w:rPr>
          <w:rFonts w:cs="Arial"/>
          <w:i/>
          <w:szCs w:val="24"/>
        </w:rPr>
        <w:t>la scheda ufficiale per le votazioni contiene, oltre alla data della votazione, il quesito o i quesiti sottoposti alla decisione popolare […]</w:t>
      </w:r>
      <w:r>
        <w:rPr>
          <w:rFonts w:cs="Arial"/>
          <w:szCs w:val="24"/>
        </w:rPr>
        <w:t>».</w:t>
      </w:r>
    </w:p>
    <w:p w:rsidR="00B01060" w:rsidRPr="00F950B6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Pr="00C80003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4.2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Le disposizioni in materia di computo dei voti </w:t>
      </w:r>
      <w:r w:rsidRPr="00502E70">
        <w:rPr>
          <w:rFonts w:cs="Arial"/>
          <w:szCs w:val="24"/>
        </w:rPr>
        <w:t xml:space="preserve">contenute nella LEDP sono </w:t>
      </w:r>
      <w:r>
        <w:rPr>
          <w:rFonts w:cs="Arial"/>
          <w:szCs w:val="24"/>
        </w:rPr>
        <w:t>identiche</w:t>
      </w:r>
      <w:r w:rsidRPr="00502E70">
        <w:rPr>
          <w:rFonts w:cs="Arial"/>
          <w:szCs w:val="24"/>
        </w:rPr>
        <w:t xml:space="preserve"> a quelle previste dalla legislazione federale sui diritti politici (LDP); la LEDP ha </w:t>
      </w:r>
      <w:r>
        <w:rPr>
          <w:rFonts w:cs="Arial"/>
          <w:szCs w:val="24"/>
        </w:rPr>
        <w:t xml:space="preserve">del resto </w:t>
      </w:r>
      <w:r w:rsidRPr="00502E70">
        <w:rPr>
          <w:rFonts w:cs="Arial"/>
          <w:szCs w:val="24"/>
        </w:rPr>
        <w:t xml:space="preserve">ottenuto nel 1998 l'approvazione della Confederazione come richiesto dalla LDP (art. 91 cpv. 2), </w:t>
      </w:r>
      <w:r>
        <w:rPr>
          <w:rFonts w:cs="Arial"/>
          <w:szCs w:val="24"/>
        </w:rPr>
        <w:t>a testimonianza del fatto</w:t>
      </w:r>
      <w:r w:rsidRPr="00502E70">
        <w:rPr>
          <w:rFonts w:cs="Arial"/>
          <w:szCs w:val="24"/>
        </w:rPr>
        <w:t xml:space="preserve"> che il sistema</w:t>
      </w:r>
      <w:r>
        <w:rPr>
          <w:rFonts w:cs="Arial"/>
          <w:szCs w:val="24"/>
        </w:rPr>
        <w:t xml:space="preserve"> di pubblicazione dei risultati di votazioni</w:t>
      </w:r>
      <w:r w:rsidRPr="00502E70">
        <w:rPr>
          <w:rFonts w:cs="Arial"/>
          <w:szCs w:val="24"/>
        </w:rPr>
        <w:t xml:space="preserve"> in vigore nel Cantone</w:t>
      </w:r>
      <w:r>
        <w:rPr>
          <w:rFonts w:cs="Arial"/>
          <w:szCs w:val="24"/>
        </w:rPr>
        <w:t xml:space="preserve"> Ticino non viola in alcun modo il quadro normativo vigente.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pStyle w:val="Default"/>
        <w:ind w:left="567" w:hanging="567"/>
        <w:jc w:val="both"/>
        <w:rPr>
          <w:color w:val="auto"/>
        </w:rPr>
      </w:pPr>
      <w:r>
        <w:rPr>
          <w:b/>
        </w:rPr>
        <w:t>4.3</w:t>
      </w:r>
      <w:r>
        <w:rPr>
          <w:b/>
        </w:rPr>
        <w:tab/>
      </w:r>
      <w:r>
        <w:rPr>
          <w:color w:val="auto"/>
        </w:rPr>
        <w:t>L'art.</w:t>
      </w:r>
      <w:r w:rsidRPr="00F950B6">
        <w:rPr>
          <w:color w:val="auto"/>
        </w:rPr>
        <w:t xml:space="preserve"> 137 cpv</w:t>
      </w:r>
      <w:r>
        <w:rPr>
          <w:color w:val="auto"/>
        </w:rPr>
        <w:t>.</w:t>
      </w:r>
      <w:r w:rsidRPr="00F950B6">
        <w:rPr>
          <w:color w:val="auto"/>
        </w:rPr>
        <w:t xml:space="preserve"> 4 LEDP è una disposizione specifica che si riferisce solo alle </w:t>
      </w:r>
      <w:r>
        <w:rPr>
          <w:color w:val="auto"/>
        </w:rPr>
        <w:t>v</w:t>
      </w:r>
      <w:r w:rsidRPr="00F950B6">
        <w:rPr>
          <w:color w:val="auto"/>
        </w:rPr>
        <w:t>otazioni nei casi in cui è sottoposta al voto un'iniziativa popolare, alla quale il Gran Consiglio contrappone un proprio progetto.</w:t>
      </w:r>
      <w:r>
        <w:rPr>
          <w:color w:val="auto"/>
        </w:rPr>
        <w:t xml:space="preserve"> Tale norma, come già precisato, </w:t>
      </w:r>
      <w:r w:rsidRPr="00F950B6">
        <w:rPr>
          <w:color w:val="auto"/>
        </w:rPr>
        <w:t>dispone che le domande lasciate senza risposta non concorrono a determinare l'esito delle votazioni sull'iniziativa, sul controprogetto e sulla domanda eventuale</w:t>
      </w:r>
      <w:r>
        <w:rPr>
          <w:color w:val="auto"/>
        </w:rPr>
        <w:t>.</w:t>
      </w:r>
    </w:p>
    <w:p w:rsidR="00B01060" w:rsidRDefault="00B01060" w:rsidP="00B01060">
      <w:pPr>
        <w:pStyle w:val="Default"/>
        <w:ind w:left="567" w:hanging="567"/>
        <w:jc w:val="both"/>
      </w:pPr>
    </w:p>
    <w:p w:rsidR="00B01060" w:rsidRPr="000C14E1" w:rsidRDefault="00B01060" w:rsidP="00B01060">
      <w:pPr>
        <w:pStyle w:val="Default"/>
        <w:ind w:left="567" w:hanging="567"/>
        <w:jc w:val="both"/>
      </w:pPr>
      <w:r>
        <w:rPr>
          <w:b/>
        </w:rPr>
        <w:t>4.4</w:t>
      </w:r>
      <w:r>
        <w:tab/>
      </w:r>
      <w:r w:rsidRPr="00F950B6">
        <w:t>La pubblicazione dei risultati determinante (e impugnabile davanti al Gran Consiglio) è quella nel Foglio ufficiale</w:t>
      </w:r>
      <w:r>
        <w:t>,</w:t>
      </w:r>
      <w:r w:rsidRPr="00F950B6">
        <w:t xml:space="preserve"> prescritta dalla LEDP. Il Consiglio di Stato ha accertato e proclamato i risultati, pubblicandoli nel Foglio ufficiale. I dati percentuali sui voti favorevoli e su quelli contrari non costituiscono un dato ufficiale e la loro pubblicazione non è prevista </w:t>
      </w:r>
      <w:r>
        <w:t>dalla legge;</w:t>
      </w:r>
      <w:r w:rsidRPr="00F950B6">
        <w:t xml:space="preserve"> </w:t>
      </w:r>
      <w:r>
        <w:t>i</w:t>
      </w:r>
      <w:r w:rsidRPr="00F950B6">
        <w:t>nfatti, essi non sono contemplati nell'art</w:t>
      </w:r>
      <w:r>
        <w:t>.</w:t>
      </w:r>
      <w:r w:rsidRPr="00F950B6">
        <w:t xml:space="preserve"> 52 LEDP. Gli ulteriori dati statistici (come i dati percentuali) pubblicati nel sito internet</w:t>
      </w:r>
      <w:r>
        <w:t xml:space="preserve"> del Cantone</w:t>
      </w:r>
      <w:r w:rsidRPr="00F950B6">
        <w:t xml:space="preserve"> non costituiscono dati ufficiali e non soggiacciono</w:t>
      </w:r>
      <w:r>
        <w:t xml:space="preserve"> del resto</w:t>
      </w:r>
      <w:r w:rsidRPr="00F950B6">
        <w:t xml:space="preserve"> nemmeno all'approvazione del Consiglio di Stato.</w:t>
      </w:r>
    </w:p>
    <w:p w:rsidR="00B01060" w:rsidRDefault="00B01060" w:rsidP="00B01060">
      <w:pPr>
        <w:tabs>
          <w:tab w:val="left" w:pos="567"/>
        </w:tabs>
        <w:ind w:left="567" w:hanging="567"/>
        <w:rPr>
          <w:rFonts w:cs="Arial"/>
          <w:szCs w:val="24"/>
        </w:rPr>
      </w:pPr>
    </w:p>
    <w:p w:rsidR="00B01060" w:rsidRDefault="00B01060" w:rsidP="00B01060">
      <w:pPr>
        <w:tabs>
          <w:tab w:val="left" w:pos="567"/>
        </w:tabs>
        <w:ind w:left="570" w:hanging="570"/>
        <w:rPr>
          <w:rFonts w:cs="Arial"/>
          <w:szCs w:val="24"/>
        </w:rPr>
      </w:pPr>
      <w:r>
        <w:rPr>
          <w:rFonts w:cs="Arial"/>
          <w:b/>
          <w:szCs w:val="24"/>
        </w:rPr>
        <w:t>4.5</w:t>
      </w:r>
      <w:r>
        <w:rPr>
          <w:rFonts w:cs="Arial"/>
          <w:szCs w:val="24"/>
        </w:rPr>
        <w:tab/>
        <w:t xml:space="preserve">Riguardo ai dubbi formulati dal ricorrente </w:t>
      </w:r>
      <w:r w:rsidRPr="00CF5178">
        <w:rPr>
          <w:rFonts w:cs="Arial"/>
          <w:szCs w:val="24"/>
        </w:rPr>
        <w:t>sulle modalità di pubblicazione in forma elettronica dei dati percentuali nelle votazioni sulle iniziative popolari con un controprogetto</w:t>
      </w:r>
      <w:r>
        <w:rPr>
          <w:rFonts w:cs="Arial"/>
          <w:szCs w:val="24"/>
        </w:rPr>
        <w:t>, al fine di evitare qualsiasi fraintendimento, si raccomanda al Consiglio di Stato di i</w:t>
      </w:r>
      <w:r w:rsidRPr="007C3759">
        <w:rPr>
          <w:rFonts w:cs="Arial"/>
          <w:szCs w:val="24"/>
        </w:rPr>
        <w:t>ncaric</w:t>
      </w:r>
      <w:r>
        <w:rPr>
          <w:rFonts w:cs="Arial"/>
          <w:szCs w:val="24"/>
        </w:rPr>
        <w:t xml:space="preserve">are </w:t>
      </w:r>
      <w:r w:rsidRPr="007C3759">
        <w:rPr>
          <w:rFonts w:cs="Arial"/>
          <w:szCs w:val="24"/>
        </w:rPr>
        <w:t>la Cancelleria dello Stato di verificare le modalità di comunicazione dei risulta</w:t>
      </w:r>
      <w:r>
        <w:rPr>
          <w:rFonts w:cs="Arial"/>
          <w:szCs w:val="24"/>
        </w:rPr>
        <w:t>ti nel sito internet, segnatamente dal profilo della chiarezza e della facilità di comprensione per il cittadini.</w:t>
      </w:r>
    </w:p>
    <w:p w:rsidR="00B01060" w:rsidRDefault="00B01060" w:rsidP="00B01060">
      <w:pPr>
        <w:tabs>
          <w:tab w:val="left" w:pos="567"/>
        </w:tabs>
        <w:ind w:left="570" w:hanging="570"/>
        <w:rPr>
          <w:rFonts w:cs="Arial"/>
          <w:szCs w:val="24"/>
        </w:rPr>
      </w:pPr>
    </w:p>
    <w:p w:rsidR="00B01060" w:rsidRPr="00097F4D" w:rsidRDefault="00B01060" w:rsidP="00B01060">
      <w:pPr>
        <w:tabs>
          <w:tab w:val="left" w:pos="567"/>
          <w:tab w:val="left" w:pos="993"/>
        </w:tabs>
        <w:ind w:left="567" w:hanging="567"/>
        <w:rPr>
          <w:rFonts w:cs="Arial"/>
          <w:szCs w:val="24"/>
        </w:rPr>
      </w:pPr>
      <w:r w:rsidRPr="00A223A0">
        <w:rPr>
          <w:rFonts w:cs="Arial"/>
          <w:b/>
          <w:szCs w:val="24"/>
        </w:rPr>
        <w:t>4.6</w:t>
      </w:r>
      <w:r>
        <w:rPr>
          <w:rFonts w:cs="Arial"/>
          <w:szCs w:val="24"/>
        </w:rPr>
        <w:tab/>
        <w:t xml:space="preserve">Si suggerisce inoltre di valutare l’introduzione di </w:t>
      </w:r>
      <w:r w:rsidRPr="007C3759">
        <w:rPr>
          <w:rFonts w:cs="Arial"/>
          <w:szCs w:val="24"/>
        </w:rPr>
        <w:t>una nota a piè di pagina nel F</w:t>
      </w:r>
      <w:r>
        <w:rPr>
          <w:rFonts w:cs="Arial"/>
          <w:szCs w:val="24"/>
        </w:rPr>
        <w:t>oglio ufficiale,</w:t>
      </w:r>
      <w:r w:rsidRPr="007C3759">
        <w:rPr>
          <w:rFonts w:cs="Arial"/>
          <w:szCs w:val="24"/>
        </w:rPr>
        <w:t xml:space="preserve"> quando vengono pubblicati i risultati delle votazioni</w:t>
      </w:r>
      <w:r>
        <w:rPr>
          <w:rFonts w:cs="Arial"/>
          <w:szCs w:val="24"/>
        </w:rPr>
        <w:t>,</w:t>
      </w:r>
      <w:r w:rsidRPr="007C3759">
        <w:rPr>
          <w:rFonts w:cs="Arial"/>
          <w:szCs w:val="24"/>
        </w:rPr>
        <w:t xml:space="preserve"> in cui si precisa</w:t>
      </w:r>
      <w:r>
        <w:rPr>
          <w:rFonts w:cs="Arial"/>
          <w:szCs w:val="24"/>
        </w:rPr>
        <w:t xml:space="preserve">, ad ogni buon fine e a scanso di equivoci, </w:t>
      </w:r>
      <w:r w:rsidRPr="007C3759">
        <w:rPr>
          <w:rFonts w:cs="Arial"/>
          <w:szCs w:val="24"/>
        </w:rPr>
        <w:t xml:space="preserve">che l'indicazione riferita alle schede computabili è da considerarsi </w:t>
      </w:r>
      <w:r>
        <w:rPr>
          <w:rFonts w:cs="Arial"/>
          <w:szCs w:val="24"/>
        </w:rPr>
        <w:t xml:space="preserve">giusta </w:t>
      </w:r>
      <w:r w:rsidRPr="007C3759">
        <w:rPr>
          <w:rFonts w:cs="Arial"/>
          <w:szCs w:val="24"/>
        </w:rPr>
        <w:t>l'art. 43 LEDP: con riferimento alle singole domande e ai fini della determinazione del risultato, sono computabili unicamente le schede che contengono una risposta positiva o negativa riferita alla domanda in questione.</w:t>
      </w:r>
    </w:p>
    <w:p w:rsidR="00B01060" w:rsidRPr="007B55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DC77BC">
        <w:rPr>
          <w:rFonts w:cs="Arial"/>
          <w:b/>
          <w:szCs w:val="24"/>
        </w:rPr>
        <w:t>Per questi motivi,</w:t>
      </w:r>
    </w:p>
    <w:p w:rsidR="00B01060" w:rsidRPr="002E5C27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DC77BC">
        <w:rPr>
          <w:rFonts w:cs="Arial"/>
          <w:b/>
          <w:szCs w:val="24"/>
        </w:rPr>
        <w:t>su proposta della Commissione delle petizioni e dei ricorsi,</w:t>
      </w: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</w:tabs>
        <w:spacing w:after="120"/>
        <w:rPr>
          <w:rFonts w:cs="Arial"/>
          <w:b/>
          <w:szCs w:val="24"/>
        </w:rPr>
      </w:pPr>
      <w:r w:rsidRPr="00DC77BC">
        <w:rPr>
          <w:rFonts w:cs="Arial"/>
          <w:b/>
          <w:szCs w:val="24"/>
        </w:rPr>
        <w:t>d e</w:t>
      </w:r>
      <w:r>
        <w:rPr>
          <w:rFonts w:cs="Arial"/>
          <w:b/>
          <w:szCs w:val="24"/>
        </w:rPr>
        <w:t xml:space="preserve"> </w:t>
      </w:r>
      <w:r w:rsidRPr="00DC77BC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 xml:space="preserve"> </w:t>
      </w:r>
      <w:r w:rsidRPr="00DC77BC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 xml:space="preserve"> </w:t>
      </w:r>
      <w:r w:rsidRPr="00DC77BC">
        <w:rPr>
          <w:rFonts w:cs="Arial"/>
          <w:b/>
          <w:szCs w:val="24"/>
        </w:rPr>
        <w:t>d e :</w:t>
      </w: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  <w:tab w:val="left" w:pos="993"/>
        </w:tabs>
        <w:ind w:left="420" w:hanging="420"/>
        <w:rPr>
          <w:rFonts w:cs="Arial"/>
          <w:szCs w:val="24"/>
        </w:rPr>
      </w:pPr>
      <w:r w:rsidRPr="00DC77BC">
        <w:rPr>
          <w:rFonts w:cs="Arial"/>
          <w:b/>
          <w:szCs w:val="24"/>
        </w:rPr>
        <w:t>1.</w:t>
      </w:r>
      <w:r>
        <w:rPr>
          <w:rFonts w:cs="Arial"/>
          <w:b/>
          <w:szCs w:val="24"/>
        </w:rPr>
        <w:tab/>
      </w:r>
      <w:r w:rsidRPr="00CF5178">
        <w:rPr>
          <w:rFonts w:cs="Arial"/>
          <w:szCs w:val="24"/>
        </w:rPr>
        <w:t>Il</w:t>
      </w:r>
      <w:r w:rsidRPr="00DC77BC">
        <w:rPr>
          <w:rFonts w:cs="Arial"/>
          <w:szCs w:val="24"/>
        </w:rPr>
        <w:t xml:space="preserve"> ricorso</w:t>
      </w:r>
      <w:r>
        <w:rPr>
          <w:rFonts w:cs="Arial"/>
          <w:szCs w:val="24"/>
        </w:rPr>
        <w:t xml:space="preserve"> </w:t>
      </w:r>
      <w:r w:rsidRPr="00DC77BC">
        <w:rPr>
          <w:rFonts w:cs="Arial"/>
          <w:szCs w:val="24"/>
        </w:rPr>
        <w:t xml:space="preserve">è </w:t>
      </w:r>
      <w:r>
        <w:rPr>
          <w:rFonts w:cs="Arial"/>
          <w:szCs w:val="24"/>
        </w:rPr>
        <w:t>respinto.</w:t>
      </w: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Pr="00DC77BC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ab/>
      </w:r>
      <w:r w:rsidRPr="00DC77BC">
        <w:rPr>
          <w:rFonts w:cs="Arial"/>
          <w:szCs w:val="24"/>
        </w:rPr>
        <w:t>Non si prelevano spese</w:t>
      </w:r>
      <w:r>
        <w:rPr>
          <w:rFonts w:cs="Arial"/>
          <w:szCs w:val="24"/>
        </w:rPr>
        <w:t>,</w:t>
      </w:r>
      <w:r w:rsidRPr="00DC77BC">
        <w:rPr>
          <w:rFonts w:cs="Arial"/>
          <w:szCs w:val="24"/>
        </w:rPr>
        <w:t xml:space="preserve"> né si assegnano ripetibili.</w:t>
      </w: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7F4548" w:rsidRDefault="00B01060" w:rsidP="00B01060">
      <w:pPr>
        <w:tabs>
          <w:tab w:val="left" w:pos="426"/>
          <w:tab w:val="left" w:pos="993"/>
        </w:tabs>
        <w:ind w:left="420" w:hanging="420"/>
        <w:rPr>
          <w:rFonts w:cs="Arial"/>
          <w:szCs w:val="24"/>
        </w:rPr>
      </w:pPr>
      <w:r>
        <w:rPr>
          <w:rFonts w:cs="Arial"/>
          <w:b/>
          <w:szCs w:val="24"/>
        </w:rPr>
        <w:t>3.</w:t>
      </w:r>
      <w:r>
        <w:rPr>
          <w:rFonts w:cs="Arial"/>
          <w:b/>
          <w:szCs w:val="24"/>
        </w:rPr>
        <w:tab/>
      </w:r>
      <w:r w:rsidRPr="0092401F">
        <w:rPr>
          <w:rFonts w:cs="Arial"/>
          <w:szCs w:val="24"/>
        </w:rPr>
        <w:t>Contro la presente decisione</w:t>
      </w:r>
      <w:r>
        <w:rPr>
          <w:rFonts w:cs="Arial"/>
          <w:szCs w:val="24"/>
        </w:rPr>
        <w:t xml:space="preserve"> </w:t>
      </w:r>
      <w:r w:rsidRPr="0092401F">
        <w:rPr>
          <w:rFonts w:cs="Arial"/>
          <w:szCs w:val="24"/>
        </w:rPr>
        <w:t>è dato ricorso in materia di diritto pubblico al Tribunale federale di Losanna entro il termine di 30 giorni dalla sua notifica (art. 82 e segg. della Legge sul Tribunale federale del 17 giugno 2005).</w:t>
      </w: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DC77BC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  <w:r w:rsidRPr="00DC77BC">
        <w:rPr>
          <w:rFonts w:cs="Arial"/>
          <w:b/>
          <w:szCs w:val="24"/>
        </w:rPr>
        <w:t>4.</w:t>
      </w:r>
      <w:r>
        <w:rPr>
          <w:rFonts w:cs="Arial"/>
          <w:b/>
          <w:szCs w:val="24"/>
        </w:rPr>
        <w:tab/>
      </w:r>
      <w:r w:rsidRPr="00DC77BC">
        <w:rPr>
          <w:rFonts w:cs="Arial"/>
          <w:szCs w:val="24"/>
        </w:rPr>
        <w:t>Intimazione:</w:t>
      </w:r>
    </w:p>
    <w:p w:rsidR="00B01060" w:rsidRPr="00DC77BC" w:rsidRDefault="00B01060" w:rsidP="00B01060">
      <w:pPr>
        <w:tabs>
          <w:tab w:val="left" w:pos="709"/>
        </w:tabs>
        <w:spacing w:before="60"/>
        <w:ind w:left="426"/>
        <w:rPr>
          <w:rFonts w:cs="Arial"/>
          <w:szCs w:val="24"/>
        </w:rPr>
      </w:pPr>
      <w:r w:rsidRPr="00DC77BC">
        <w:rPr>
          <w:rFonts w:cs="Arial"/>
          <w:szCs w:val="24"/>
        </w:rPr>
        <w:t>-</w:t>
      </w:r>
      <w:r w:rsidRPr="00DC77BC">
        <w:rPr>
          <w:rFonts w:cs="Arial"/>
          <w:szCs w:val="24"/>
        </w:rPr>
        <w:tab/>
      </w:r>
      <w:r>
        <w:rPr>
          <w:rFonts w:cs="Arial"/>
          <w:szCs w:val="24"/>
        </w:rPr>
        <w:t>al ricorrente;</w:t>
      </w:r>
    </w:p>
    <w:p w:rsidR="00B01060" w:rsidRPr="00DC77BC" w:rsidRDefault="00B01060" w:rsidP="00B01060">
      <w:pPr>
        <w:tabs>
          <w:tab w:val="left" w:pos="709"/>
        </w:tabs>
        <w:spacing w:before="60"/>
        <w:ind w:left="426"/>
        <w:rPr>
          <w:rFonts w:cs="Arial"/>
          <w:szCs w:val="24"/>
        </w:rPr>
      </w:pPr>
      <w:r w:rsidRPr="00DC77BC">
        <w:rPr>
          <w:rFonts w:cs="Arial"/>
          <w:szCs w:val="24"/>
        </w:rPr>
        <w:t>-</w:t>
      </w:r>
      <w:r w:rsidRPr="00DC77BC">
        <w:rPr>
          <w:rFonts w:cs="Arial"/>
          <w:szCs w:val="24"/>
        </w:rPr>
        <w:tab/>
      </w:r>
      <w:r>
        <w:rPr>
          <w:rFonts w:cs="Arial"/>
          <w:szCs w:val="24"/>
        </w:rPr>
        <w:t>al Consiglio di Stato.</w:t>
      </w:r>
    </w:p>
    <w:p w:rsidR="00B01060" w:rsidRDefault="00B01060" w:rsidP="00B01060">
      <w:pPr>
        <w:tabs>
          <w:tab w:val="left" w:pos="426"/>
          <w:tab w:val="left" w:pos="993"/>
        </w:tabs>
        <w:spacing w:before="60"/>
        <w:rPr>
          <w:rFonts w:cs="Arial"/>
          <w:szCs w:val="24"/>
        </w:rPr>
      </w:pPr>
    </w:p>
    <w:p w:rsidR="00B01060" w:rsidRDefault="00B01060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10C81" w:rsidRDefault="00B10C81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10C81" w:rsidRDefault="00B10C81" w:rsidP="00B01060">
      <w:pPr>
        <w:tabs>
          <w:tab w:val="left" w:pos="426"/>
          <w:tab w:val="left" w:pos="993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Bellinzona, </w:t>
      </w:r>
    </w:p>
    <w:p w:rsidR="00B10C81" w:rsidRPr="00DC77BC" w:rsidRDefault="00B10C81" w:rsidP="00B01060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B01060" w:rsidRPr="00B51549" w:rsidRDefault="00B01060" w:rsidP="00B01060">
      <w:pPr>
        <w:tabs>
          <w:tab w:val="left" w:pos="426"/>
          <w:tab w:val="left" w:pos="993"/>
          <w:tab w:val="left" w:pos="4678"/>
        </w:tabs>
        <w:ind w:right="-347"/>
        <w:rPr>
          <w:rFonts w:cs="Arial"/>
          <w:szCs w:val="24"/>
        </w:rPr>
      </w:pPr>
    </w:p>
    <w:p w:rsidR="00B01060" w:rsidRPr="00B51549" w:rsidRDefault="00B01060" w:rsidP="00B01060">
      <w:pPr>
        <w:tabs>
          <w:tab w:val="left" w:pos="426"/>
          <w:tab w:val="left" w:pos="993"/>
          <w:tab w:val="left" w:pos="4678"/>
        </w:tabs>
        <w:ind w:right="-347"/>
        <w:jc w:val="center"/>
        <w:rPr>
          <w:rFonts w:cs="Arial"/>
          <w:szCs w:val="24"/>
        </w:rPr>
      </w:pPr>
      <w:r w:rsidRPr="00B51549">
        <w:rPr>
          <w:rFonts w:cs="Arial"/>
          <w:szCs w:val="24"/>
        </w:rPr>
        <w:t>PER IL GRAN CONSIGLIO</w:t>
      </w:r>
    </w:p>
    <w:p w:rsidR="00B01060" w:rsidRPr="00B51549" w:rsidRDefault="00B01060" w:rsidP="00B01060">
      <w:pPr>
        <w:tabs>
          <w:tab w:val="left" w:pos="426"/>
          <w:tab w:val="left" w:pos="993"/>
          <w:tab w:val="left" w:pos="4678"/>
        </w:tabs>
        <w:spacing w:before="120"/>
        <w:ind w:right="-346"/>
        <w:rPr>
          <w:rFonts w:cs="Arial"/>
          <w:szCs w:val="24"/>
        </w:rPr>
      </w:pPr>
    </w:p>
    <w:p w:rsidR="00B01060" w:rsidRPr="00B51549" w:rsidRDefault="00B01060" w:rsidP="000F442D">
      <w:pPr>
        <w:tabs>
          <w:tab w:val="left" w:pos="426"/>
          <w:tab w:val="left" w:pos="993"/>
          <w:tab w:val="left" w:pos="7371"/>
        </w:tabs>
        <w:ind w:right="-347"/>
        <w:rPr>
          <w:rFonts w:cs="Arial"/>
          <w:szCs w:val="24"/>
        </w:rPr>
      </w:pPr>
      <w:r w:rsidRPr="00B51549">
        <w:rPr>
          <w:rFonts w:cs="Arial"/>
          <w:szCs w:val="24"/>
        </w:rPr>
        <w:t>Il Presidente:</w:t>
      </w:r>
      <w:r w:rsidRPr="00B51549">
        <w:rPr>
          <w:rFonts w:cs="Arial"/>
          <w:szCs w:val="24"/>
        </w:rPr>
        <w:tab/>
        <w:t>Il Segretario generale:</w:t>
      </w:r>
    </w:p>
    <w:p w:rsidR="00B01060" w:rsidRDefault="00B01060" w:rsidP="00B01060">
      <w:pPr>
        <w:tabs>
          <w:tab w:val="left" w:pos="426"/>
          <w:tab w:val="left" w:pos="993"/>
          <w:tab w:val="left" w:pos="4678"/>
          <w:tab w:val="left" w:pos="7230"/>
        </w:tabs>
        <w:ind w:right="-347"/>
        <w:rPr>
          <w:rFonts w:cs="Arial"/>
          <w:szCs w:val="24"/>
        </w:rPr>
      </w:pPr>
    </w:p>
    <w:p w:rsidR="00B10C81" w:rsidRDefault="00B10C81" w:rsidP="00B01060">
      <w:pPr>
        <w:tabs>
          <w:tab w:val="left" w:pos="426"/>
          <w:tab w:val="left" w:pos="993"/>
          <w:tab w:val="left" w:pos="4678"/>
          <w:tab w:val="left" w:pos="7230"/>
        </w:tabs>
        <w:ind w:right="-347"/>
        <w:rPr>
          <w:rFonts w:cs="Arial"/>
          <w:szCs w:val="24"/>
        </w:rPr>
      </w:pPr>
    </w:p>
    <w:p w:rsidR="00B01060" w:rsidRPr="00B51549" w:rsidRDefault="00B01060" w:rsidP="00B01060">
      <w:pPr>
        <w:tabs>
          <w:tab w:val="left" w:pos="426"/>
          <w:tab w:val="left" w:pos="993"/>
          <w:tab w:val="left" w:pos="4678"/>
          <w:tab w:val="left" w:pos="7230"/>
        </w:tabs>
        <w:ind w:right="-347"/>
        <w:rPr>
          <w:rFonts w:cs="Arial"/>
          <w:szCs w:val="24"/>
        </w:rPr>
      </w:pPr>
    </w:p>
    <w:p w:rsidR="00B01060" w:rsidRPr="002E5C27" w:rsidRDefault="00B01060" w:rsidP="000F442D">
      <w:pPr>
        <w:tabs>
          <w:tab w:val="left" w:pos="426"/>
          <w:tab w:val="left" w:pos="993"/>
          <w:tab w:val="left" w:pos="7371"/>
        </w:tabs>
        <w:ind w:right="-285"/>
        <w:rPr>
          <w:rFonts w:cs="Arial"/>
          <w:szCs w:val="24"/>
        </w:rPr>
      </w:pPr>
      <w:r w:rsidRPr="00B51549">
        <w:rPr>
          <w:rFonts w:cs="Arial"/>
          <w:szCs w:val="24"/>
        </w:rPr>
        <w:t>F. Badasci</w:t>
      </w:r>
      <w:r w:rsidRPr="00B51549">
        <w:rPr>
          <w:rFonts w:cs="Arial"/>
          <w:szCs w:val="24"/>
        </w:rPr>
        <w:tab/>
        <w:t>G. Buzzini</w:t>
      </w:r>
    </w:p>
    <w:p w:rsidR="006D7A3B" w:rsidRDefault="006D7A3B">
      <w:pPr>
        <w:rPr>
          <w:rFonts w:cs="Arial"/>
          <w:szCs w:val="24"/>
        </w:rPr>
      </w:pPr>
    </w:p>
    <w:sectPr w:rsidR="006D7A3B" w:rsidSect="008B4137">
      <w:footerReference w:type="default" r:id="rId10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83" w:rsidRDefault="005B3483" w:rsidP="008E77C6">
      <w:r>
        <w:separator/>
      </w:r>
    </w:p>
  </w:endnote>
  <w:endnote w:type="continuationSeparator" w:id="0">
    <w:p w:rsidR="005B3483" w:rsidRDefault="005B348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146"/>
      <w:docPartObj>
        <w:docPartGallery w:val="Page Numbers (Bottom of Page)"/>
        <w:docPartUnique/>
      </w:docPartObj>
    </w:sdtPr>
    <w:sdtEndPr/>
    <w:sdtContent>
      <w:p w:rsidR="00B01060" w:rsidRDefault="00B01060">
        <w:pPr>
          <w:pStyle w:val="Pidipagina"/>
          <w:jc w:val="center"/>
        </w:pPr>
        <w:r w:rsidRPr="003F1CC5">
          <w:rPr>
            <w:rFonts w:cs="Arial"/>
            <w:sz w:val="20"/>
            <w:szCs w:val="20"/>
          </w:rPr>
          <w:fldChar w:fldCharType="begin"/>
        </w:r>
        <w:r w:rsidRPr="003F1CC5">
          <w:rPr>
            <w:rFonts w:cs="Arial"/>
            <w:sz w:val="20"/>
            <w:szCs w:val="20"/>
          </w:rPr>
          <w:instrText>PAGE   \* MERGEFORMAT</w:instrText>
        </w:r>
        <w:r w:rsidRPr="003F1CC5">
          <w:rPr>
            <w:rFonts w:cs="Arial"/>
            <w:sz w:val="20"/>
            <w:szCs w:val="20"/>
          </w:rPr>
          <w:fldChar w:fldCharType="separate"/>
        </w:r>
        <w:r w:rsidR="002B0094" w:rsidRPr="002B0094">
          <w:rPr>
            <w:rFonts w:cs="Arial"/>
            <w:noProof/>
            <w:sz w:val="20"/>
            <w:szCs w:val="20"/>
            <w:lang w:val="it-IT"/>
          </w:rPr>
          <w:t>1</w:t>
        </w:r>
        <w:r w:rsidRPr="003F1CC5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B0094" w:rsidRPr="002B0094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83" w:rsidRDefault="005B3483" w:rsidP="008E77C6">
      <w:r>
        <w:separator/>
      </w:r>
    </w:p>
  </w:footnote>
  <w:footnote w:type="continuationSeparator" w:id="0">
    <w:p w:rsidR="005B3483" w:rsidRDefault="005B348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C57AE"/>
    <w:rsid w:val="000F442D"/>
    <w:rsid w:val="002B0094"/>
    <w:rsid w:val="002E5E40"/>
    <w:rsid w:val="0052425A"/>
    <w:rsid w:val="00586A8D"/>
    <w:rsid w:val="005B3483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01060"/>
    <w:rsid w:val="00B10C81"/>
    <w:rsid w:val="00BC4C95"/>
    <w:rsid w:val="00BD5944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customStyle="1" w:styleId="Capoverso">
    <w:name w:val="Capoverso"/>
    <w:basedOn w:val="Normale"/>
    <w:rsid w:val="00B01060"/>
    <w:pPr>
      <w:spacing w:before="120"/>
    </w:pPr>
    <w:rPr>
      <w:rFonts w:ascii="Helvetica" w:eastAsia="Times New Roman" w:hAnsi="Helvetica" w:cs="Times New Roman"/>
      <w:szCs w:val="20"/>
      <w:lang w:val="it-IT" w:eastAsia="it-IT"/>
    </w:rPr>
  </w:style>
  <w:style w:type="paragraph" w:customStyle="1" w:styleId="Default">
    <w:name w:val="Default"/>
    <w:rsid w:val="00B0106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customStyle="1" w:styleId="Capoverso">
    <w:name w:val="Capoverso"/>
    <w:basedOn w:val="Normale"/>
    <w:rsid w:val="00B01060"/>
    <w:pPr>
      <w:spacing w:before="120"/>
    </w:pPr>
    <w:rPr>
      <w:rFonts w:ascii="Helvetica" w:eastAsia="Times New Roman" w:hAnsi="Helvetica" w:cs="Times New Roman"/>
      <w:szCs w:val="20"/>
      <w:lang w:val="it-IT" w:eastAsia="it-IT"/>
    </w:rPr>
  </w:style>
  <w:style w:type="paragraph" w:customStyle="1" w:styleId="Default">
    <w:name w:val="Default"/>
    <w:rsid w:val="00B0106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7AF9-DBB6-4650-AAB4-A17E7D8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1973</Words>
  <Characters>10993</Characters>
  <Application>Microsoft Office Word</Application>
  <DocSecurity>0</DocSecurity>
  <Lines>203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2017-03-21T08:37:00Z</cp:lastPrinted>
  <dcterms:created xsi:type="dcterms:W3CDTF">2017-03-20T14:02:00Z</dcterms:created>
  <dcterms:modified xsi:type="dcterms:W3CDTF">2017-03-29T09:38:00Z</dcterms:modified>
</cp:coreProperties>
</file>