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B068DF">
      <w:pPr>
        <w:rPr>
          <w:rFonts w:ascii="Gill Sans MT" w:hAnsi="Gill Sans MT"/>
          <w:b/>
          <w:sz w:val="56"/>
          <w:szCs w:val="56"/>
        </w:rPr>
      </w:pPr>
      <w:r>
        <w:rPr>
          <w:rFonts w:ascii="Gill Sans MT" w:hAnsi="Gill Sans MT"/>
          <w:b/>
          <w:sz w:val="56"/>
          <w:szCs w:val="56"/>
        </w:rPr>
        <w:t xml:space="preserve"> Rapporto</w:t>
      </w:r>
    </w:p>
    <w:p w:rsidR="00B068DF" w:rsidRDefault="00B068DF">
      <w:pPr>
        <w:rPr>
          <w:rFonts w:cs="Arial"/>
          <w:szCs w:val="24"/>
        </w:rPr>
      </w:pPr>
      <w:r>
        <w:rPr>
          <w:rFonts w:cs="Arial"/>
          <w:szCs w:val="24"/>
        </w:rPr>
        <w:br/>
      </w:r>
      <w:bookmarkStart w:id="0" w:name="_GoBack"/>
      <w:bookmarkEnd w:id="0"/>
    </w:p>
    <w:p w:rsidR="00076E70" w:rsidRDefault="00076E70">
      <w:pPr>
        <w:rPr>
          <w:rFonts w:cs="Arial"/>
          <w:szCs w:val="24"/>
        </w:rPr>
      </w:pPr>
    </w:p>
    <w:p w:rsidR="00D13F75" w:rsidRDefault="00D13F75" w:rsidP="00D13F75">
      <w:pPr>
        <w:tabs>
          <w:tab w:val="left" w:pos="2098"/>
          <w:tab w:val="left" w:pos="4962"/>
        </w:tabs>
        <w:rPr>
          <w:rFonts w:cs="Arial"/>
          <w:position w:val="4"/>
          <w:sz w:val="28"/>
          <w:szCs w:val="28"/>
        </w:rPr>
      </w:pPr>
      <w:r>
        <w:rPr>
          <w:rFonts w:cs="Arial"/>
          <w:position w:val="4"/>
          <w:sz w:val="28"/>
          <w:szCs w:val="28"/>
        </w:rPr>
        <w:tab/>
        <w:t>20 marzo 2017</w:t>
      </w:r>
      <w:r>
        <w:rPr>
          <w:rFonts w:cs="Arial"/>
          <w:position w:val="4"/>
          <w:sz w:val="28"/>
          <w:szCs w:val="28"/>
        </w:rPr>
        <w:tab/>
      </w:r>
      <w:r w:rsidRPr="00D13F75">
        <w:rPr>
          <w:rFonts w:cs="Arial"/>
          <w:position w:val="4"/>
          <w:sz w:val="22"/>
        </w:rPr>
        <w:t>ISTITUZIONI / CANCELLERIA DELLO STATO</w:t>
      </w: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rPr>
          <w:rFonts w:cs="Arial"/>
          <w:b/>
          <w:sz w:val="28"/>
          <w:szCs w:val="28"/>
        </w:rPr>
      </w:pPr>
      <w:r>
        <w:rPr>
          <w:rFonts w:cs="Arial"/>
          <w:b/>
          <w:sz w:val="28"/>
          <w:szCs w:val="28"/>
        </w:rPr>
        <w:t>della Commissione delle petizioni e dei ricorsi</w:t>
      </w:r>
    </w:p>
    <w:p w:rsidR="00D13F75" w:rsidRDefault="00D13F75" w:rsidP="00D13F75">
      <w:pPr>
        <w:tabs>
          <w:tab w:val="left" w:pos="4962"/>
        </w:tabs>
        <w:rPr>
          <w:rFonts w:cs="Arial"/>
          <w:sz w:val="22"/>
        </w:rPr>
      </w:pPr>
      <w:r>
        <w:rPr>
          <w:rFonts w:cs="Arial"/>
          <w:b/>
          <w:sz w:val="28"/>
        </w:rPr>
        <w:t xml:space="preserve">sul </w:t>
      </w:r>
      <w:r>
        <w:rPr>
          <w:rFonts w:cs="Arial"/>
          <w:b/>
          <w:sz w:val="28"/>
          <w:szCs w:val="28"/>
        </w:rPr>
        <w:t>ricorso 21 ottobre 2016 presentato dal signor Renato Nanni, Bellinzona, contro la proclamazione dei risultati della votazione cantonale del 25 settembre 2016 sull'iniziativa popolare costituzionale elaborata "Prima i nostri!"</w:t>
      </w: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pStyle w:val="Capoverso"/>
        <w:spacing w:before="0"/>
        <w:rPr>
          <w:rFonts w:ascii="Arial" w:hAnsi="Arial" w:cs="Arial"/>
          <w:szCs w:val="24"/>
        </w:rPr>
      </w:pPr>
      <w:r>
        <w:rPr>
          <w:rFonts w:ascii="Arial" w:hAnsi="Arial" w:cs="Arial"/>
          <w:szCs w:val="24"/>
        </w:rPr>
        <w:t>Signor Presidente,</w:t>
      </w:r>
    </w:p>
    <w:p w:rsidR="00D13F75" w:rsidRDefault="00D13F75" w:rsidP="00D13F75">
      <w:pPr>
        <w:pStyle w:val="Capoverso"/>
        <w:spacing w:before="0"/>
        <w:rPr>
          <w:rFonts w:ascii="Arial" w:hAnsi="Arial" w:cs="Arial"/>
          <w:szCs w:val="24"/>
        </w:rPr>
      </w:pPr>
      <w:r>
        <w:rPr>
          <w:rFonts w:ascii="Arial" w:hAnsi="Arial" w:cs="Arial"/>
          <w:szCs w:val="24"/>
        </w:rPr>
        <w:t>signore e signori deputati,</w:t>
      </w:r>
    </w:p>
    <w:p w:rsidR="00D13F75" w:rsidRDefault="00D13F75" w:rsidP="00D13F75">
      <w:pPr>
        <w:pStyle w:val="Capoverso"/>
        <w:spacing w:before="0"/>
        <w:rPr>
          <w:rFonts w:ascii="Arial" w:hAnsi="Arial" w:cs="Arial"/>
          <w:szCs w:val="24"/>
        </w:rPr>
      </w:pPr>
    </w:p>
    <w:p w:rsidR="00D13F75" w:rsidRDefault="00D13F75" w:rsidP="00D13F75">
      <w:pPr>
        <w:pStyle w:val="Capoverso"/>
        <w:spacing w:before="0"/>
        <w:rPr>
          <w:rFonts w:ascii="Arial" w:hAnsi="Arial" w:cs="Arial"/>
          <w:szCs w:val="24"/>
        </w:rPr>
      </w:pPr>
      <w:r>
        <w:rPr>
          <w:rFonts w:ascii="Arial" w:hAnsi="Arial" w:cs="Arial"/>
          <w:szCs w:val="24"/>
        </w:rPr>
        <w:t>in allegato vi trasmettiamo il testo del progetto di decisione</w:t>
      </w:r>
      <w:r w:rsidR="00D124C4">
        <w:rPr>
          <w:rFonts w:ascii="Arial" w:hAnsi="Arial" w:cs="Arial"/>
          <w:szCs w:val="24"/>
        </w:rPr>
        <w:t>,</w:t>
      </w:r>
      <w:r>
        <w:rPr>
          <w:rFonts w:ascii="Arial" w:hAnsi="Arial" w:cs="Arial"/>
          <w:szCs w:val="24"/>
        </w:rPr>
        <w:t xml:space="preserve"> approvato dalla Commissione delle petizioni e dei ricorsi nella seduta del 20 marzo 2017, in merito al ricorso di cui sopra.</w:t>
      </w:r>
    </w:p>
    <w:p w:rsidR="00D13F75" w:rsidRDefault="00D13F75" w:rsidP="00D13F75">
      <w:pPr>
        <w:rPr>
          <w:rFonts w:cs="Arial"/>
          <w:bCs/>
          <w:szCs w:val="24"/>
        </w:rPr>
      </w:pPr>
    </w:p>
    <w:p w:rsidR="00D13F75" w:rsidRDefault="00D13F75" w:rsidP="00D13F75">
      <w:pPr>
        <w:rPr>
          <w:rFonts w:cs="Arial"/>
          <w:bCs/>
          <w:szCs w:val="24"/>
        </w:rPr>
      </w:pPr>
    </w:p>
    <w:p w:rsidR="00D13F75" w:rsidRDefault="00D13F75" w:rsidP="00D13F75">
      <w:pPr>
        <w:rPr>
          <w:rFonts w:cs="Arial"/>
          <w:bCs/>
          <w:szCs w:val="24"/>
        </w:rPr>
      </w:pPr>
    </w:p>
    <w:p w:rsidR="00D13F75" w:rsidRDefault="00D13F75" w:rsidP="00D13F75">
      <w:pPr>
        <w:spacing w:after="120"/>
        <w:rPr>
          <w:rFonts w:cs="Arial"/>
          <w:bCs/>
          <w:szCs w:val="24"/>
        </w:rPr>
      </w:pPr>
      <w:r>
        <w:rPr>
          <w:rFonts w:cs="Arial"/>
          <w:bCs/>
          <w:szCs w:val="24"/>
        </w:rPr>
        <w:t>Per la Commissione delle petizioni e dei ricorsi:</w:t>
      </w:r>
    </w:p>
    <w:p w:rsidR="00D13F75" w:rsidRDefault="00D13F75" w:rsidP="00D13F75">
      <w:pPr>
        <w:rPr>
          <w:rFonts w:cs="Arial"/>
          <w:bCs/>
          <w:szCs w:val="24"/>
        </w:rPr>
      </w:pPr>
      <w:r>
        <w:rPr>
          <w:rFonts w:cs="Arial"/>
          <w:bCs/>
          <w:szCs w:val="24"/>
        </w:rPr>
        <w:t>Lelia Guscio, relatrice</w:t>
      </w:r>
    </w:p>
    <w:p w:rsidR="00D13F75" w:rsidRDefault="00D13F75" w:rsidP="00D13F75">
      <w:r>
        <w:t xml:space="preserve">Ay - Balli - Beretta Piccoli - Campana - </w:t>
      </w:r>
    </w:p>
    <w:p w:rsidR="003947DE" w:rsidRDefault="00D13F75" w:rsidP="00D13F75">
      <w:r>
        <w:t xml:space="preserve">Cedraschi - Gaffuri - Galeazzi - Jelmini - </w:t>
      </w:r>
    </w:p>
    <w:p w:rsidR="003947DE" w:rsidRDefault="00D13F75" w:rsidP="00D13F75">
      <w:r>
        <w:t xml:space="preserve">La Mantia - Lurati - Lurati Grassi - </w:t>
      </w:r>
    </w:p>
    <w:p w:rsidR="00D13F75" w:rsidRDefault="00D13F75" w:rsidP="00D13F75">
      <w:r>
        <w:t>Patuzzi - Pellanda - Schnellmann</w:t>
      </w:r>
    </w:p>
    <w:p w:rsidR="00D13F75" w:rsidRDefault="00D13F75" w:rsidP="00D13F75">
      <w:pPr>
        <w:rPr>
          <w:rFonts w:cs="Arial"/>
          <w:bCs/>
          <w:szCs w:val="24"/>
        </w:rPr>
      </w:pPr>
    </w:p>
    <w:p w:rsidR="00D13F75" w:rsidRDefault="00D13F75" w:rsidP="00D13F75">
      <w:pPr>
        <w:rPr>
          <w:rFonts w:cs="Arial"/>
          <w:bCs/>
          <w:sz w:val="22"/>
        </w:rPr>
      </w:pPr>
    </w:p>
    <w:p w:rsidR="00D13F75" w:rsidRDefault="00D13F75" w:rsidP="00D13F75">
      <w:pPr>
        <w:tabs>
          <w:tab w:val="left" w:pos="5220"/>
        </w:tabs>
        <w:rPr>
          <w:rFonts w:asciiTheme="minorHAnsi" w:hAnsiTheme="minorHAnsi" w:cs="Arial"/>
        </w:rPr>
      </w:pPr>
    </w:p>
    <w:p w:rsidR="00D13F75" w:rsidRDefault="00D13F75" w:rsidP="00D13F75">
      <w:pPr>
        <w:rPr>
          <w:b/>
        </w:rPr>
        <w:sectPr w:rsidR="00D13F75">
          <w:pgSz w:w="11906" w:h="16838"/>
          <w:pgMar w:top="1134" w:right="1134" w:bottom="1134" w:left="1134" w:header="568" w:footer="567" w:gutter="0"/>
          <w:cols w:space="720"/>
        </w:sectPr>
      </w:pPr>
    </w:p>
    <w:p w:rsidR="00D13F75" w:rsidRDefault="00D13F75" w:rsidP="00D13F75">
      <w:pPr>
        <w:tabs>
          <w:tab w:val="right" w:pos="9639"/>
        </w:tabs>
        <w:rPr>
          <w:rFonts w:cs="Arial"/>
          <w:b/>
          <w:szCs w:val="24"/>
        </w:rPr>
      </w:pPr>
      <w:r>
        <w:rPr>
          <w:rFonts w:cs="Arial"/>
          <w:b/>
          <w:szCs w:val="24"/>
        </w:rPr>
        <w:lastRenderedPageBreak/>
        <w:t>PROGETTO DI DECISIONE</w:t>
      </w: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rPr>
          <w:rFonts w:cs="Arial"/>
          <w:b/>
          <w:sz w:val="40"/>
          <w:szCs w:val="40"/>
        </w:rPr>
      </w:pPr>
      <w:r>
        <w:rPr>
          <w:rFonts w:cs="Arial"/>
          <w:b/>
          <w:sz w:val="40"/>
          <w:szCs w:val="40"/>
        </w:rPr>
        <w:t>Il Gran Consiglio</w:t>
      </w:r>
    </w:p>
    <w:p w:rsidR="00D13F75" w:rsidRDefault="00D13F75" w:rsidP="00D13F75">
      <w:pPr>
        <w:rPr>
          <w:rFonts w:cs="Arial"/>
          <w:szCs w:val="24"/>
        </w:rPr>
      </w:pPr>
    </w:p>
    <w:p w:rsidR="00D13F75" w:rsidRDefault="00D13F75" w:rsidP="00D13F75">
      <w:pPr>
        <w:rPr>
          <w:rFonts w:cs="Arial"/>
          <w:szCs w:val="24"/>
        </w:rPr>
      </w:pPr>
    </w:p>
    <w:p w:rsidR="00D13F75" w:rsidRDefault="00D13F75" w:rsidP="00D13F75">
      <w:pPr>
        <w:tabs>
          <w:tab w:val="left" w:pos="426"/>
        </w:tabs>
        <w:ind w:left="420" w:hanging="420"/>
        <w:rPr>
          <w:rFonts w:cs="Arial"/>
          <w:szCs w:val="24"/>
        </w:rPr>
      </w:pPr>
      <w:r>
        <w:rPr>
          <w:rFonts w:cs="Arial"/>
          <w:szCs w:val="24"/>
        </w:rPr>
        <w:t>-</w:t>
      </w:r>
      <w:r>
        <w:rPr>
          <w:rFonts w:cs="Arial"/>
          <w:szCs w:val="24"/>
        </w:rPr>
        <w:tab/>
        <w:t>statuendo sul ricorso presentato il 21 ottobre 2016 dal signor Renato Nanni, Bellinzona, contro la proclamazione dei risultati della votazione cantonale del 25 settembre 2016 sull'iniziativa popolare costituzionale elaborata "Prima i nostri!'</w:t>
      </w:r>
    </w:p>
    <w:p w:rsidR="00D13F75" w:rsidRDefault="00D13F75" w:rsidP="00D13F75">
      <w:pPr>
        <w:tabs>
          <w:tab w:val="left" w:pos="426"/>
        </w:tabs>
        <w:ind w:left="420" w:hanging="420"/>
        <w:rPr>
          <w:rFonts w:cs="Arial"/>
          <w:szCs w:val="24"/>
        </w:rPr>
      </w:pPr>
    </w:p>
    <w:p w:rsidR="00D13F75" w:rsidRDefault="00D13F75" w:rsidP="00D13F75">
      <w:pPr>
        <w:tabs>
          <w:tab w:val="left" w:pos="426"/>
        </w:tabs>
        <w:ind w:left="420" w:hanging="420"/>
        <w:rPr>
          <w:rFonts w:cs="Arial"/>
          <w:szCs w:val="24"/>
        </w:rPr>
      </w:pPr>
      <w:r>
        <w:rPr>
          <w:rFonts w:cs="Arial"/>
          <w:szCs w:val="24"/>
        </w:rPr>
        <w:t>-</w:t>
      </w:r>
      <w:r>
        <w:rPr>
          <w:rFonts w:cs="Arial"/>
          <w:szCs w:val="24"/>
        </w:rPr>
        <w:tab/>
        <w:t>letti ed esaminati gli atti;</w:t>
      </w:r>
    </w:p>
    <w:p w:rsidR="00D13F75" w:rsidRDefault="00D13F75" w:rsidP="00D13F75">
      <w:pPr>
        <w:tabs>
          <w:tab w:val="left" w:pos="1134"/>
        </w:tabs>
        <w:rPr>
          <w:rFonts w:cs="Arial"/>
          <w:szCs w:val="24"/>
        </w:rPr>
      </w:pPr>
    </w:p>
    <w:p w:rsidR="00D13F75" w:rsidRDefault="00D13F75" w:rsidP="00D13F75">
      <w:pPr>
        <w:tabs>
          <w:tab w:val="left" w:pos="1134"/>
        </w:tabs>
        <w:rPr>
          <w:rFonts w:cs="Arial"/>
          <w:szCs w:val="24"/>
        </w:rPr>
      </w:pPr>
    </w:p>
    <w:p w:rsidR="00D13F75" w:rsidRDefault="00D13F75" w:rsidP="00D13F75">
      <w:pPr>
        <w:tabs>
          <w:tab w:val="left" w:pos="1134"/>
        </w:tabs>
        <w:rPr>
          <w:rFonts w:cs="Arial"/>
          <w:szCs w:val="24"/>
        </w:rPr>
      </w:pPr>
    </w:p>
    <w:p w:rsidR="00D13F75" w:rsidRDefault="00D13F75" w:rsidP="00D13F75">
      <w:pPr>
        <w:tabs>
          <w:tab w:val="left" w:pos="426"/>
        </w:tabs>
        <w:ind w:left="420" w:hanging="420"/>
        <w:rPr>
          <w:rFonts w:cs="Arial"/>
          <w:b/>
          <w:szCs w:val="24"/>
        </w:rPr>
      </w:pPr>
      <w:r>
        <w:rPr>
          <w:rFonts w:cs="Arial"/>
          <w:b/>
          <w:szCs w:val="24"/>
        </w:rPr>
        <w:t>RITENUTO IN FATTO:</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spacing w:after="120"/>
        <w:rPr>
          <w:rFonts w:cs="Arial"/>
          <w:b/>
          <w:szCs w:val="24"/>
        </w:rPr>
      </w:pPr>
      <w:r>
        <w:rPr>
          <w:rFonts w:cs="Arial"/>
          <w:b/>
          <w:szCs w:val="24"/>
        </w:rPr>
        <w:t>A</w:t>
      </w:r>
    </w:p>
    <w:p w:rsidR="00D13F75" w:rsidRDefault="00D13F75" w:rsidP="00D13F75">
      <w:pPr>
        <w:tabs>
          <w:tab w:val="left" w:pos="567"/>
        </w:tabs>
        <w:ind w:left="567" w:hanging="567"/>
        <w:rPr>
          <w:rFonts w:cs="Arial"/>
          <w:szCs w:val="24"/>
        </w:rPr>
      </w:pPr>
      <w:proofErr w:type="spellStart"/>
      <w:r>
        <w:rPr>
          <w:rFonts w:cs="Arial"/>
          <w:b/>
          <w:szCs w:val="24"/>
        </w:rPr>
        <w:t>A.a</w:t>
      </w:r>
      <w:proofErr w:type="spellEnd"/>
      <w:r>
        <w:rPr>
          <w:rFonts w:cs="Arial"/>
          <w:szCs w:val="24"/>
        </w:rPr>
        <w:tab/>
        <w:t>Il 25 settembre 2016 ha avuto luogo la votazione cantonale su due iniziative popolari alle quali era contrapposto un progetto del Gran Consiglio: l'iniziativa popolare legislativa generica del 10 ottobre 2011 "Basta con il dumping salariale in Ticino!" e l'iniziativa popolare costituzionale elaborata del 23 aprile 2014 "Prima i nostri!".</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roofErr w:type="spellStart"/>
      <w:r>
        <w:rPr>
          <w:rFonts w:cs="Arial"/>
          <w:b/>
          <w:szCs w:val="24"/>
        </w:rPr>
        <w:t>A.b</w:t>
      </w:r>
      <w:proofErr w:type="spellEnd"/>
      <w:r>
        <w:rPr>
          <w:rFonts w:cs="Arial"/>
          <w:b/>
          <w:szCs w:val="24"/>
        </w:rPr>
        <w:tab/>
      </w:r>
      <w:r>
        <w:rPr>
          <w:rFonts w:cs="Arial"/>
          <w:szCs w:val="24"/>
        </w:rPr>
        <w:t>I risultati della votazione del 25 settembre 2016 sono stati proclamati dal Consiglio di Stato, sedente quale Ufficio cantonale di accertamento ai sensi dell'art. 53 della Legge sull'esercizio dei diritti politici del 7 ottobre 1998 (LEDP), il 4 ottobre 2016 e pubblicati sul Foglio ufficiale il 7 ottobre 2016 (FU 80/2016, 8925).</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
    <w:p w:rsidR="00D13F75" w:rsidRDefault="00D13F75" w:rsidP="00D13F75">
      <w:pPr>
        <w:tabs>
          <w:tab w:val="left" w:pos="426"/>
          <w:tab w:val="left" w:pos="993"/>
        </w:tabs>
        <w:spacing w:after="120"/>
        <w:rPr>
          <w:rFonts w:cs="Arial"/>
          <w:b/>
          <w:szCs w:val="24"/>
        </w:rPr>
      </w:pPr>
      <w:r>
        <w:rPr>
          <w:rFonts w:cs="Arial"/>
          <w:b/>
          <w:szCs w:val="24"/>
        </w:rPr>
        <w:t>B.</w:t>
      </w:r>
    </w:p>
    <w:p w:rsidR="00D13F75" w:rsidRDefault="00D13F75" w:rsidP="00D13F75">
      <w:pPr>
        <w:tabs>
          <w:tab w:val="left" w:pos="567"/>
        </w:tabs>
        <w:ind w:left="567" w:hanging="567"/>
        <w:rPr>
          <w:rFonts w:cs="Arial"/>
          <w:szCs w:val="24"/>
        </w:rPr>
      </w:pPr>
      <w:proofErr w:type="spellStart"/>
      <w:r>
        <w:rPr>
          <w:rFonts w:cs="Arial"/>
          <w:b/>
          <w:szCs w:val="24"/>
        </w:rPr>
        <w:t>B.a</w:t>
      </w:r>
      <w:proofErr w:type="spellEnd"/>
      <w:r>
        <w:rPr>
          <w:rFonts w:cs="Arial"/>
          <w:szCs w:val="24"/>
        </w:rPr>
        <w:tab/>
        <w:t>Il 21 ottobre 2016 il signor Renato Nanni ha interposto ricorso al Gran Consiglio contro la proclamazione del risultato della votazione cantonale del 25 settembre 2016 sull'iniziativa popolare costituzionale elaborata del 23 aprile 2014 "Prima i nostri!" e il rispettivo controprogetto del Gran Consiglio. Egli sostiene che da un confronto fra il numero degli elettori (221'677) e il numero delle schede computabili (96'703) emerge che le schede computabili rappresentano solo il 43.62% degli elettori. Di conseguenza egli chiede che il risultato della votazione non venga «</w:t>
      </w:r>
      <w:r>
        <w:rPr>
          <w:rFonts w:cs="Arial"/>
          <w:i/>
          <w:szCs w:val="24"/>
        </w:rPr>
        <w:t>omologato</w:t>
      </w:r>
      <w:r>
        <w:rPr>
          <w:rFonts w:cs="Arial"/>
          <w:szCs w:val="24"/>
        </w:rPr>
        <w:t>», che lo stesso sia «</w:t>
      </w:r>
      <w:r>
        <w:rPr>
          <w:rFonts w:cs="Arial"/>
          <w:i/>
          <w:szCs w:val="24"/>
        </w:rPr>
        <w:t>revocato</w:t>
      </w:r>
      <w:r>
        <w:rPr>
          <w:rFonts w:cs="Arial"/>
          <w:szCs w:val="24"/>
        </w:rPr>
        <w:t>» e che la votazione sia considerata «</w:t>
      </w:r>
      <w:r>
        <w:rPr>
          <w:rFonts w:cs="Arial"/>
          <w:i/>
          <w:szCs w:val="24"/>
        </w:rPr>
        <w:t>di carattere consultivo</w:t>
      </w:r>
      <w:r>
        <w:rPr>
          <w:rFonts w:cs="Arial"/>
          <w:szCs w:val="24"/>
        </w:rPr>
        <w:t>».</w:t>
      </w:r>
    </w:p>
    <w:p w:rsidR="00D13F75" w:rsidRDefault="00D13F75" w:rsidP="00D13F75">
      <w:pPr>
        <w:tabs>
          <w:tab w:val="left" w:pos="426"/>
          <w:tab w:val="left" w:pos="709"/>
        </w:tabs>
        <w:rPr>
          <w:rFonts w:cs="Arial"/>
          <w:szCs w:val="24"/>
        </w:rPr>
      </w:pPr>
    </w:p>
    <w:p w:rsidR="00D13F75" w:rsidRDefault="00D13F75" w:rsidP="00D13F75">
      <w:pPr>
        <w:tabs>
          <w:tab w:val="left" w:pos="567"/>
        </w:tabs>
        <w:ind w:left="567" w:hanging="567"/>
        <w:rPr>
          <w:rFonts w:cs="Arial"/>
          <w:szCs w:val="24"/>
        </w:rPr>
      </w:pPr>
      <w:proofErr w:type="spellStart"/>
      <w:r>
        <w:rPr>
          <w:rFonts w:cs="Arial"/>
          <w:b/>
          <w:szCs w:val="24"/>
        </w:rPr>
        <w:t>B.b</w:t>
      </w:r>
      <w:proofErr w:type="spellEnd"/>
      <w:r>
        <w:rPr>
          <w:rFonts w:cs="Arial"/>
          <w:szCs w:val="24"/>
        </w:rPr>
        <w:tab/>
        <w:t>Il Consiglio di Stato, nella sua risposta (osservazioni) del 26 ottobre 2016, ha chiesto la reiezione del ricorso.</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roofErr w:type="spellStart"/>
      <w:r>
        <w:rPr>
          <w:rFonts w:cs="Arial"/>
          <w:b/>
          <w:szCs w:val="24"/>
        </w:rPr>
        <w:t>B.c</w:t>
      </w:r>
      <w:proofErr w:type="spellEnd"/>
      <w:r>
        <w:rPr>
          <w:rFonts w:cs="Arial"/>
          <w:szCs w:val="24"/>
        </w:rPr>
        <w:tab/>
        <w:t>Nell'allegato di replica del 19 novembre 2016 il ricorrente ha confermato «</w:t>
      </w:r>
      <w:r>
        <w:rPr>
          <w:rFonts w:cs="Arial"/>
          <w:i/>
          <w:szCs w:val="24"/>
        </w:rPr>
        <w:t>integralmente</w:t>
      </w:r>
      <w:r>
        <w:rPr>
          <w:rFonts w:cs="Arial"/>
          <w:szCs w:val="24"/>
        </w:rPr>
        <w:t>» il ricorso.</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roofErr w:type="spellStart"/>
      <w:r>
        <w:rPr>
          <w:rFonts w:cs="Arial"/>
          <w:b/>
          <w:szCs w:val="24"/>
        </w:rPr>
        <w:t>B.d</w:t>
      </w:r>
      <w:proofErr w:type="spellEnd"/>
      <w:r>
        <w:rPr>
          <w:rFonts w:cs="Arial"/>
          <w:szCs w:val="24"/>
        </w:rPr>
        <w:tab/>
        <w:t>Nell'allegato di duplica del 7 dicembre 2016 il Consiglio di Stato ha ribadito le conclusioni proposte nella sua risposta del 26 ottobre 2016.</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
    <w:p w:rsidR="00D13F75" w:rsidRDefault="00D13F75" w:rsidP="00D13F75">
      <w:pPr>
        <w:tabs>
          <w:tab w:val="left" w:pos="426"/>
          <w:tab w:val="left" w:pos="993"/>
          <w:tab w:val="left" w:pos="1701"/>
        </w:tabs>
        <w:rPr>
          <w:rFonts w:cs="Arial"/>
          <w:b/>
          <w:szCs w:val="24"/>
        </w:rPr>
      </w:pPr>
      <w:r>
        <w:rPr>
          <w:rFonts w:cs="Arial"/>
          <w:b/>
          <w:szCs w:val="24"/>
        </w:rPr>
        <w:t>CONSIDERANDO IN DIRITTO:</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spacing w:after="120"/>
        <w:rPr>
          <w:rFonts w:cs="Arial"/>
          <w:b/>
          <w:szCs w:val="24"/>
        </w:rPr>
      </w:pPr>
      <w:r>
        <w:rPr>
          <w:rFonts w:cs="Arial"/>
          <w:b/>
          <w:szCs w:val="24"/>
        </w:rPr>
        <w:t>1.</w:t>
      </w:r>
    </w:p>
    <w:p w:rsidR="00D13F75" w:rsidRDefault="00D13F75" w:rsidP="00D13F75">
      <w:pPr>
        <w:tabs>
          <w:tab w:val="left" w:pos="567"/>
          <w:tab w:val="left" w:pos="709"/>
        </w:tabs>
        <w:ind w:left="567" w:hanging="567"/>
        <w:rPr>
          <w:rFonts w:cs="Arial"/>
          <w:szCs w:val="24"/>
        </w:rPr>
      </w:pPr>
      <w:r>
        <w:rPr>
          <w:rFonts w:cs="Arial"/>
          <w:b/>
          <w:szCs w:val="24"/>
        </w:rPr>
        <w:t>1.1</w:t>
      </w:r>
      <w:r>
        <w:rPr>
          <w:rFonts w:cs="Arial"/>
          <w:szCs w:val="24"/>
        </w:rPr>
        <w:tab/>
        <w:t>Il ricorso al Gran Consiglio è dato solo nei casi previsti dalla legge, come stabilito dall'art. 100 cpv. 1 della Legge sulla procedura amministrativa (</w:t>
      </w:r>
      <w:proofErr w:type="spellStart"/>
      <w:r>
        <w:rPr>
          <w:rFonts w:cs="Arial"/>
          <w:szCs w:val="24"/>
        </w:rPr>
        <w:t>LPAmm</w:t>
      </w:r>
      <w:proofErr w:type="spellEnd"/>
      <w:r>
        <w:rPr>
          <w:rFonts w:cs="Arial"/>
          <w:szCs w:val="24"/>
        </w:rPr>
        <w:t>). Alla presente fattispecie è applicabile l'art. 164 cpv. 1 LEDP, che attribuisce al Gran Consiglio la competenza di trattare i ricorsi contro le decisioni dell'Ufficio cantonale di accertamento.</w:t>
      </w:r>
    </w:p>
    <w:p w:rsidR="00D13F75" w:rsidRDefault="00D13F75" w:rsidP="00D13F75">
      <w:pPr>
        <w:tabs>
          <w:tab w:val="left" w:pos="426"/>
          <w:tab w:val="left" w:pos="993"/>
        </w:tabs>
        <w:rPr>
          <w:rFonts w:cs="Arial"/>
          <w:szCs w:val="24"/>
        </w:rPr>
      </w:pPr>
    </w:p>
    <w:p w:rsidR="00D13F75" w:rsidRDefault="00D13F75" w:rsidP="00D13F75">
      <w:pPr>
        <w:tabs>
          <w:tab w:val="left" w:pos="567"/>
          <w:tab w:val="left" w:pos="709"/>
        </w:tabs>
        <w:ind w:left="567" w:hanging="567"/>
        <w:rPr>
          <w:rFonts w:cs="Arial"/>
          <w:szCs w:val="24"/>
        </w:rPr>
      </w:pPr>
      <w:r>
        <w:rPr>
          <w:rFonts w:cs="Arial"/>
          <w:b/>
          <w:szCs w:val="24"/>
        </w:rPr>
        <w:t>1.2</w:t>
      </w:r>
      <w:r>
        <w:rPr>
          <w:rFonts w:cs="Arial"/>
          <w:szCs w:val="24"/>
        </w:rPr>
        <w:tab/>
        <w:t xml:space="preserve">La legittimazione del ricorrente, cittadino attivo in materia di votazioni ed elezioni cantonali, è pacifica (art. 27 e 28 della Costituzione della Repubblica e Cantone Ticino, </w:t>
      </w:r>
      <w:proofErr w:type="spellStart"/>
      <w:r>
        <w:rPr>
          <w:rFonts w:cs="Arial"/>
          <w:szCs w:val="24"/>
        </w:rPr>
        <w:t>Cost</w:t>
      </w:r>
      <w:proofErr w:type="spellEnd"/>
      <w:r>
        <w:rPr>
          <w:rFonts w:cs="Arial"/>
          <w:szCs w:val="24"/>
        </w:rPr>
        <w:t>./TI).</w:t>
      </w:r>
    </w:p>
    <w:p w:rsidR="00D13F75" w:rsidRDefault="00D13F75" w:rsidP="00D13F75">
      <w:pPr>
        <w:tabs>
          <w:tab w:val="left" w:pos="567"/>
          <w:tab w:val="left" w:pos="709"/>
        </w:tabs>
        <w:ind w:left="567" w:hanging="567"/>
        <w:rPr>
          <w:rFonts w:cs="Arial"/>
          <w:szCs w:val="24"/>
        </w:rPr>
      </w:pPr>
    </w:p>
    <w:p w:rsidR="00D13F75" w:rsidRDefault="00D13F75" w:rsidP="00D13F75">
      <w:pPr>
        <w:tabs>
          <w:tab w:val="left" w:pos="567"/>
          <w:tab w:val="left" w:pos="709"/>
        </w:tabs>
        <w:ind w:left="567" w:hanging="567"/>
        <w:rPr>
          <w:rFonts w:cs="Arial"/>
          <w:szCs w:val="24"/>
        </w:rPr>
      </w:pPr>
      <w:r>
        <w:rPr>
          <w:rFonts w:cs="Arial"/>
          <w:b/>
          <w:szCs w:val="24"/>
        </w:rPr>
        <w:t>1.3</w:t>
      </w:r>
      <w:r>
        <w:rPr>
          <w:rFonts w:cs="Arial"/>
          <w:b/>
          <w:szCs w:val="24"/>
        </w:rPr>
        <w:tab/>
      </w:r>
      <w:r>
        <w:rPr>
          <w:rFonts w:cs="Arial"/>
          <w:szCs w:val="24"/>
        </w:rPr>
        <w:t>Il gravame, inoltrato al Gran Consiglio entro il termine di quindici giorni dalla pubblicazione del risultato sul Foglio ufficiale, è tempestivo (art. 164 cpv. 1 LEDP).</w:t>
      </w:r>
    </w:p>
    <w:p w:rsidR="00D13F75" w:rsidRDefault="00D13F75" w:rsidP="00D13F75">
      <w:pPr>
        <w:tabs>
          <w:tab w:val="left" w:pos="426"/>
          <w:tab w:val="left" w:pos="993"/>
        </w:tabs>
        <w:rPr>
          <w:rFonts w:cs="Arial"/>
          <w:szCs w:val="24"/>
        </w:rPr>
      </w:pPr>
    </w:p>
    <w:p w:rsidR="00D13F75" w:rsidRDefault="00D13F75" w:rsidP="00D13F75">
      <w:pPr>
        <w:rPr>
          <w:rFonts w:cs="Arial"/>
          <w:szCs w:val="24"/>
        </w:rPr>
      </w:pPr>
    </w:p>
    <w:p w:rsidR="00D13F75" w:rsidRDefault="00D13F75" w:rsidP="00D13F75">
      <w:pPr>
        <w:tabs>
          <w:tab w:val="left" w:pos="567"/>
        </w:tabs>
        <w:spacing w:after="120"/>
        <w:ind w:left="567" w:hanging="567"/>
        <w:rPr>
          <w:rFonts w:cs="Arial"/>
          <w:szCs w:val="24"/>
        </w:rPr>
      </w:pPr>
      <w:r>
        <w:rPr>
          <w:rFonts w:cs="Arial"/>
          <w:b/>
          <w:szCs w:val="24"/>
        </w:rPr>
        <w:t>2.</w:t>
      </w:r>
    </w:p>
    <w:p w:rsidR="00D13F75" w:rsidRDefault="00D13F75" w:rsidP="00D13F75">
      <w:pPr>
        <w:tabs>
          <w:tab w:val="left" w:pos="567"/>
        </w:tabs>
        <w:ind w:left="567" w:hanging="567"/>
        <w:rPr>
          <w:rFonts w:cs="Arial"/>
          <w:b/>
          <w:szCs w:val="24"/>
        </w:rPr>
      </w:pPr>
      <w:r>
        <w:rPr>
          <w:rFonts w:cs="Arial"/>
          <w:b/>
          <w:szCs w:val="24"/>
        </w:rPr>
        <w:t>2.1</w:t>
      </w:r>
      <w:r>
        <w:rPr>
          <w:rFonts w:cs="Arial"/>
          <w:b/>
          <w:szCs w:val="24"/>
        </w:rPr>
        <w:tab/>
      </w:r>
      <w:r>
        <w:rPr>
          <w:rFonts w:cs="Arial"/>
          <w:szCs w:val="24"/>
        </w:rPr>
        <w:t>Il ricorrente osserva in modo generico che il risultato della votazione sull'iniziativa popolare "Prima i nostri!" «</w:t>
      </w:r>
      <w:r>
        <w:rPr>
          <w:rFonts w:cs="Arial"/>
          <w:i/>
          <w:szCs w:val="24"/>
        </w:rPr>
        <w:t>non può essere omologato per essere codificato nella Costituzione</w:t>
      </w:r>
      <w:r>
        <w:rPr>
          <w:rFonts w:cs="Arial"/>
          <w:szCs w:val="24"/>
        </w:rPr>
        <w:t>» perché vi sono state 96'703 schede computabili su 221'677 iscritti nel catalogo elettorale. Le schede computabili ammontano pertanto al 43.62 % dei voti potenziali di tutti gli elettori.</w:t>
      </w:r>
    </w:p>
    <w:p w:rsidR="00D13F75" w:rsidRPr="003947DE"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r>
        <w:rPr>
          <w:rFonts w:cs="Arial"/>
          <w:b/>
          <w:szCs w:val="24"/>
        </w:rPr>
        <w:t>2.2</w:t>
      </w:r>
      <w:r>
        <w:rPr>
          <w:rFonts w:cs="Arial"/>
          <w:b/>
          <w:szCs w:val="24"/>
        </w:rPr>
        <w:tab/>
      </w:r>
      <w:r>
        <w:rPr>
          <w:rFonts w:cs="Arial"/>
          <w:szCs w:val="24"/>
        </w:rPr>
        <w:t>Egli propone quindi che il risultato della votazione sia «</w:t>
      </w:r>
      <w:r>
        <w:rPr>
          <w:rFonts w:cs="Arial"/>
          <w:i/>
          <w:szCs w:val="24"/>
        </w:rPr>
        <w:t>revocato</w:t>
      </w:r>
      <w:r>
        <w:rPr>
          <w:rFonts w:cs="Arial"/>
          <w:szCs w:val="24"/>
        </w:rPr>
        <w:t>» e che la stessa votazione venga «</w:t>
      </w:r>
      <w:r>
        <w:rPr>
          <w:rFonts w:cs="Arial"/>
          <w:i/>
          <w:szCs w:val="24"/>
        </w:rPr>
        <w:t>considerata di carattere consultivo</w:t>
      </w:r>
      <w:r>
        <w:rPr>
          <w:rFonts w:cs="Arial"/>
          <w:szCs w:val="24"/>
        </w:rPr>
        <w:t xml:space="preserve">». </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
    <w:p w:rsidR="00D13F75" w:rsidRDefault="00D13F75" w:rsidP="00D13F75">
      <w:pPr>
        <w:tabs>
          <w:tab w:val="left" w:pos="567"/>
        </w:tabs>
        <w:spacing w:after="120"/>
        <w:ind w:left="567" w:hanging="567"/>
        <w:rPr>
          <w:rFonts w:cs="Arial"/>
          <w:b/>
          <w:szCs w:val="24"/>
        </w:rPr>
      </w:pPr>
      <w:r>
        <w:rPr>
          <w:rFonts w:cs="Arial"/>
          <w:b/>
          <w:szCs w:val="24"/>
        </w:rPr>
        <w:t>3.</w:t>
      </w:r>
    </w:p>
    <w:p w:rsidR="00D13F75" w:rsidRDefault="00D13F75" w:rsidP="00D13F75">
      <w:pPr>
        <w:tabs>
          <w:tab w:val="left" w:pos="567"/>
        </w:tabs>
        <w:ind w:left="567" w:hanging="567"/>
        <w:rPr>
          <w:rFonts w:cs="Arial"/>
          <w:szCs w:val="24"/>
        </w:rPr>
      </w:pPr>
      <w:r>
        <w:rPr>
          <w:rFonts w:cs="Arial"/>
          <w:b/>
          <w:szCs w:val="24"/>
        </w:rPr>
        <w:t>3.1</w:t>
      </w:r>
      <w:r>
        <w:rPr>
          <w:rFonts w:cs="Arial"/>
          <w:b/>
          <w:szCs w:val="24"/>
        </w:rPr>
        <w:tab/>
      </w:r>
      <w:r>
        <w:rPr>
          <w:rFonts w:cs="Arial"/>
          <w:szCs w:val="24"/>
        </w:rPr>
        <w:t>Il Consiglio di Stato evidenzia che la Costituzione della Repubblica e Cantone Ticino – alla quale è stata conferita la garanzia federale il 3 marzo 1999 – non fissa un quorum minimo di votanti o di schede valide per la determinazione dell'esito di una votazione, ma stabilisce, all'art. 2 cpv. 2, che «</w:t>
      </w:r>
      <w:r>
        <w:rPr>
          <w:rFonts w:cs="Arial"/>
          <w:i/>
          <w:szCs w:val="24"/>
        </w:rPr>
        <w:t>il voto del Cantone è dato dal popolo con la maggioranza dei voti validi</w:t>
      </w:r>
      <w:r>
        <w:rPr>
          <w:rFonts w:cs="Arial"/>
          <w:szCs w:val="24"/>
        </w:rPr>
        <w:t>». In tal senso, dunque, l’iniziativa popolare è accolta se il numero di voti favorevoli è superiore a quello dei voti contrari (art. 137 cpv. 4 LEDP).</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r>
        <w:rPr>
          <w:rFonts w:cs="Arial"/>
          <w:b/>
          <w:szCs w:val="24"/>
        </w:rPr>
        <w:t>3.2</w:t>
      </w:r>
      <w:r>
        <w:rPr>
          <w:rFonts w:cs="Arial"/>
          <w:szCs w:val="24"/>
        </w:rPr>
        <w:tab/>
        <w:t>Questa impostazione è peraltro conforme all'art. 51 cpv. 1 della Costituzione federale.</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
    <w:p w:rsidR="00D13F75" w:rsidRDefault="003947DE" w:rsidP="003947DE">
      <w:pPr>
        <w:tabs>
          <w:tab w:val="left" w:pos="567"/>
        </w:tabs>
        <w:spacing w:after="120"/>
        <w:ind w:left="567" w:hanging="567"/>
        <w:rPr>
          <w:rFonts w:cs="Arial"/>
          <w:b/>
          <w:szCs w:val="24"/>
        </w:rPr>
      </w:pPr>
      <w:r>
        <w:rPr>
          <w:rFonts w:cs="Arial"/>
          <w:b/>
          <w:szCs w:val="24"/>
        </w:rPr>
        <w:t>4.</w:t>
      </w:r>
    </w:p>
    <w:p w:rsidR="00D13F75" w:rsidRDefault="00D13F75" w:rsidP="00D13F75">
      <w:pPr>
        <w:tabs>
          <w:tab w:val="left" w:pos="567"/>
        </w:tabs>
        <w:ind w:left="567" w:hanging="567"/>
        <w:rPr>
          <w:rFonts w:cs="Arial"/>
          <w:b/>
          <w:szCs w:val="24"/>
        </w:rPr>
      </w:pPr>
      <w:r>
        <w:rPr>
          <w:rFonts w:cs="Arial"/>
          <w:b/>
          <w:szCs w:val="24"/>
        </w:rPr>
        <w:t>4.1</w:t>
      </w:r>
      <w:r>
        <w:rPr>
          <w:rFonts w:cs="Arial"/>
          <w:b/>
          <w:szCs w:val="24"/>
        </w:rPr>
        <w:tab/>
      </w:r>
      <w:r>
        <w:rPr>
          <w:rFonts w:cs="Arial"/>
          <w:szCs w:val="24"/>
        </w:rPr>
        <w:t>Il ricorso non può che essere respinto poiché si fonda su presupposti costituzionali inesistenti.</w:t>
      </w:r>
    </w:p>
    <w:p w:rsidR="00D13F75" w:rsidRDefault="00D13F75" w:rsidP="00D13F75">
      <w:pPr>
        <w:tabs>
          <w:tab w:val="left" w:pos="567"/>
        </w:tabs>
        <w:ind w:left="567" w:hanging="567"/>
        <w:rPr>
          <w:rFonts w:cs="Arial"/>
          <w:szCs w:val="24"/>
        </w:rPr>
      </w:pPr>
    </w:p>
    <w:p w:rsidR="00D13F75" w:rsidRDefault="00D13F75" w:rsidP="00D13F75">
      <w:pPr>
        <w:tabs>
          <w:tab w:val="left" w:pos="567"/>
        </w:tabs>
        <w:ind w:left="567" w:hanging="567"/>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spacing w:after="120"/>
        <w:rPr>
          <w:rFonts w:cs="Arial"/>
          <w:b/>
          <w:szCs w:val="24"/>
        </w:rPr>
      </w:pPr>
      <w:r>
        <w:rPr>
          <w:rFonts w:cs="Arial"/>
          <w:b/>
          <w:szCs w:val="24"/>
        </w:rPr>
        <w:lastRenderedPageBreak/>
        <w:t>Per questi motivi,</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spacing w:after="120"/>
        <w:rPr>
          <w:rFonts w:cs="Arial"/>
          <w:b/>
          <w:szCs w:val="24"/>
        </w:rPr>
      </w:pPr>
      <w:r>
        <w:rPr>
          <w:rFonts w:cs="Arial"/>
          <w:b/>
          <w:szCs w:val="24"/>
        </w:rPr>
        <w:t>su proposta della Commissione delle petizioni e dei ricorsi,</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spacing w:after="120"/>
        <w:rPr>
          <w:rFonts w:cs="Arial"/>
          <w:b/>
          <w:szCs w:val="24"/>
        </w:rPr>
      </w:pPr>
      <w:r>
        <w:rPr>
          <w:rFonts w:cs="Arial"/>
          <w:b/>
          <w:szCs w:val="24"/>
        </w:rPr>
        <w:t>d e c i d e :</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ind w:left="420" w:hanging="420"/>
        <w:rPr>
          <w:rFonts w:cs="Arial"/>
          <w:szCs w:val="24"/>
        </w:rPr>
      </w:pPr>
      <w:r>
        <w:rPr>
          <w:rFonts w:cs="Arial"/>
          <w:b/>
          <w:szCs w:val="24"/>
        </w:rPr>
        <w:t>1.</w:t>
      </w:r>
      <w:r>
        <w:rPr>
          <w:rFonts w:cs="Arial"/>
          <w:b/>
          <w:szCs w:val="24"/>
        </w:rPr>
        <w:tab/>
      </w:r>
      <w:r>
        <w:rPr>
          <w:rFonts w:cs="Arial"/>
          <w:szCs w:val="24"/>
        </w:rPr>
        <w:t>Il ricorso è respinto.</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r>
        <w:rPr>
          <w:rFonts w:cs="Arial"/>
          <w:b/>
          <w:szCs w:val="24"/>
        </w:rPr>
        <w:t>2.</w:t>
      </w:r>
      <w:r>
        <w:rPr>
          <w:rFonts w:cs="Arial"/>
          <w:b/>
          <w:szCs w:val="24"/>
        </w:rPr>
        <w:tab/>
      </w:r>
      <w:r>
        <w:rPr>
          <w:rFonts w:cs="Arial"/>
          <w:szCs w:val="24"/>
        </w:rPr>
        <w:t>Non si prelevano spese, né si assegnano ripetibili.</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ind w:left="420" w:hanging="420"/>
        <w:rPr>
          <w:rFonts w:cs="Arial"/>
          <w:szCs w:val="24"/>
        </w:rPr>
      </w:pPr>
      <w:r>
        <w:rPr>
          <w:rFonts w:cs="Arial"/>
          <w:b/>
          <w:szCs w:val="24"/>
        </w:rPr>
        <w:t>3.</w:t>
      </w:r>
      <w:r>
        <w:rPr>
          <w:rFonts w:cs="Arial"/>
          <w:b/>
          <w:szCs w:val="24"/>
        </w:rPr>
        <w:tab/>
      </w:r>
      <w:r>
        <w:rPr>
          <w:rFonts w:cs="Arial"/>
          <w:szCs w:val="24"/>
        </w:rPr>
        <w:t>Contro la presente decisione è dato ricorso in materia di diritto pubblico al Tribunale federale di Losanna entro il termine di 30 giorni dalla sua notifica (art. 82 e segg. della Legge sul Tribunale federale del 17 giugno 2005).</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r>
        <w:rPr>
          <w:rFonts w:cs="Arial"/>
          <w:b/>
          <w:szCs w:val="24"/>
        </w:rPr>
        <w:t>4.</w:t>
      </w:r>
      <w:r>
        <w:rPr>
          <w:rFonts w:cs="Arial"/>
          <w:b/>
          <w:szCs w:val="24"/>
        </w:rPr>
        <w:tab/>
      </w:r>
      <w:r>
        <w:rPr>
          <w:rFonts w:cs="Arial"/>
          <w:szCs w:val="24"/>
        </w:rPr>
        <w:t>Intimazione:</w:t>
      </w:r>
    </w:p>
    <w:p w:rsidR="00D13F75" w:rsidRDefault="00D13F75" w:rsidP="00D13F75">
      <w:pPr>
        <w:tabs>
          <w:tab w:val="left" w:pos="709"/>
        </w:tabs>
        <w:spacing w:before="60"/>
        <w:ind w:left="426"/>
        <w:rPr>
          <w:rFonts w:cs="Arial"/>
          <w:szCs w:val="24"/>
        </w:rPr>
      </w:pPr>
      <w:r>
        <w:rPr>
          <w:rFonts w:cs="Arial"/>
          <w:szCs w:val="24"/>
        </w:rPr>
        <w:t>-</w:t>
      </w:r>
      <w:r>
        <w:rPr>
          <w:rFonts w:cs="Arial"/>
          <w:szCs w:val="24"/>
        </w:rPr>
        <w:tab/>
        <w:t>al ricorrente;</w:t>
      </w:r>
    </w:p>
    <w:p w:rsidR="00D13F75" w:rsidRDefault="00D13F75" w:rsidP="00D13F75">
      <w:pPr>
        <w:tabs>
          <w:tab w:val="left" w:pos="709"/>
        </w:tabs>
        <w:spacing w:before="60"/>
        <w:ind w:left="426"/>
        <w:rPr>
          <w:rFonts w:cs="Arial"/>
          <w:szCs w:val="24"/>
        </w:rPr>
      </w:pPr>
      <w:r>
        <w:rPr>
          <w:rFonts w:cs="Arial"/>
          <w:szCs w:val="24"/>
        </w:rPr>
        <w:t>-</w:t>
      </w:r>
      <w:r>
        <w:rPr>
          <w:rFonts w:cs="Arial"/>
          <w:szCs w:val="24"/>
        </w:rPr>
        <w:tab/>
        <w:t>al Consiglio di Stato.</w:t>
      </w:r>
    </w:p>
    <w:p w:rsidR="00D13F75" w:rsidRDefault="00D13F75" w:rsidP="00D13F75">
      <w:pPr>
        <w:tabs>
          <w:tab w:val="left" w:pos="426"/>
          <w:tab w:val="left" w:pos="993"/>
        </w:tabs>
        <w:spacing w:before="60"/>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s>
        <w:rPr>
          <w:rFonts w:cs="Arial"/>
          <w:szCs w:val="24"/>
        </w:rPr>
      </w:pPr>
      <w:r>
        <w:rPr>
          <w:rFonts w:cs="Arial"/>
          <w:szCs w:val="24"/>
        </w:rPr>
        <w:t>Bellinzona,</w:t>
      </w:r>
    </w:p>
    <w:p w:rsidR="00D13F75" w:rsidRDefault="00D13F75" w:rsidP="00D13F75">
      <w:pPr>
        <w:tabs>
          <w:tab w:val="left" w:pos="426"/>
          <w:tab w:val="left" w:pos="993"/>
        </w:tabs>
        <w:rPr>
          <w:rFonts w:cs="Arial"/>
          <w:szCs w:val="24"/>
        </w:rPr>
      </w:pPr>
    </w:p>
    <w:p w:rsidR="00D13F75" w:rsidRDefault="00D13F75" w:rsidP="00D13F75">
      <w:pPr>
        <w:tabs>
          <w:tab w:val="left" w:pos="426"/>
          <w:tab w:val="left" w:pos="993"/>
          <w:tab w:val="left" w:pos="4678"/>
        </w:tabs>
        <w:ind w:right="-347"/>
        <w:rPr>
          <w:rFonts w:cs="Arial"/>
          <w:szCs w:val="24"/>
        </w:rPr>
      </w:pPr>
    </w:p>
    <w:p w:rsidR="00D13F75" w:rsidRDefault="00D13F75" w:rsidP="00D13F75">
      <w:pPr>
        <w:tabs>
          <w:tab w:val="left" w:pos="426"/>
          <w:tab w:val="left" w:pos="993"/>
          <w:tab w:val="left" w:pos="4678"/>
        </w:tabs>
        <w:ind w:right="-347"/>
        <w:jc w:val="center"/>
        <w:rPr>
          <w:rFonts w:cs="Arial"/>
          <w:szCs w:val="24"/>
        </w:rPr>
      </w:pPr>
      <w:r>
        <w:rPr>
          <w:rFonts w:cs="Arial"/>
          <w:szCs w:val="24"/>
        </w:rPr>
        <w:t>PER IL GRAN CONSIGLIO</w:t>
      </w:r>
    </w:p>
    <w:p w:rsidR="00D13F75" w:rsidRDefault="00D13F75" w:rsidP="00D13F75">
      <w:pPr>
        <w:tabs>
          <w:tab w:val="left" w:pos="426"/>
          <w:tab w:val="left" w:pos="993"/>
          <w:tab w:val="left" w:pos="4678"/>
        </w:tabs>
        <w:spacing w:before="120"/>
        <w:ind w:right="-346"/>
        <w:rPr>
          <w:rFonts w:cs="Arial"/>
          <w:szCs w:val="24"/>
        </w:rPr>
      </w:pPr>
    </w:p>
    <w:p w:rsidR="00D13F75" w:rsidRDefault="00D13F75" w:rsidP="00D13F75">
      <w:pPr>
        <w:tabs>
          <w:tab w:val="left" w:pos="426"/>
          <w:tab w:val="left" w:pos="993"/>
          <w:tab w:val="left" w:pos="6804"/>
        </w:tabs>
        <w:ind w:right="-347"/>
        <w:rPr>
          <w:rFonts w:cs="Arial"/>
          <w:szCs w:val="24"/>
        </w:rPr>
      </w:pPr>
      <w:r>
        <w:rPr>
          <w:rFonts w:cs="Arial"/>
          <w:szCs w:val="24"/>
        </w:rPr>
        <w:t>Il Presidente:</w:t>
      </w:r>
      <w:r>
        <w:rPr>
          <w:rFonts w:cs="Arial"/>
          <w:szCs w:val="24"/>
        </w:rPr>
        <w:tab/>
        <w:t>Il Segretario generale:</w:t>
      </w:r>
    </w:p>
    <w:p w:rsidR="00D13F75" w:rsidRDefault="00D13F75" w:rsidP="00D13F75">
      <w:pPr>
        <w:tabs>
          <w:tab w:val="left" w:pos="426"/>
          <w:tab w:val="left" w:pos="993"/>
          <w:tab w:val="left" w:pos="4678"/>
          <w:tab w:val="left" w:pos="7230"/>
        </w:tabs>
        <w:ind w:right="-347"/>
        <w:rPr>
          <w:rFonts w:cs="Arial"/>
          <w:szCs w:val="24"/>
        </w:rPr>
      </w:pPr>
    </w:p>
    <w:p w:rsidR="00D13F75" w:rsidRDefault="00D13F75" w:rsidP="00D13F75">
      <w:pPr>
        <w:tabs>
          <w:tab w:val="left" w:pos="426"/>
          <w:tab w:val="left" w:pos="993"/>
          <w:tab w:val="left" w:pos="4678"/>
          <w:tab w:val="left" w:pos="7230"/>
        </w:tabs>
        <w:ind w:right="-347"/>
        <w:rPr>
          <w:rFonts w:cs="Arial"/>
          <w:szCs w:val="24"/>
        </w:rPr>
      </w:pPr>
    </w:p>
    <w:p w:rsidR="00D13F75" w:rsidRDefault="00D13F75" w:rsidP="00D13F75">
      <w:pPr>
        <w:tabs>
          <w:tab w:val="left" w:pos="426"/>
          <w:tab w:val="left" w:pos="993"/>
          <w:tab w:val="left" w:pos="4678"/>
          <w:tab w:val="left" w:pos="7230"/>
        </w:tabs>
        <w:ind w:right="-347"/>
        <w:rPr>
          <w:rFonts w:cs="Arial"/>
          <w:szCs w:val="24"/>
        </w:rPr>
      </w:pPr>
    </w:p>
    <w:p w:rsidR="00D13F75" w:rsidRDefault="00D13F75" w:rsidP="00D13F75">
      <w:pPr>
        <w:tabs>
          <w:tab w:val="left" w:pos="426"/>
          <w:tab w:val="left" w:pos="993"/>
          <w:tab w:val="left" w:pos="6804"/>
        </w:tabs>
        <w:ind w:right="-285"/>
        <w:rPr>
          <w:rFonts w:cs="Arial"/>
          <w:szCs w:val="24"/>
        </w:rPr>
      </w:pPr>
      <w:r>
        <w:rPr>
          <w:rFonts w:cs="Arial"/>
          <w:szCs w:val="24"/>
        </w:rPr>
        <w:t>F. Badasci</w:t>
      </w:r>
      <w:r>
        <w:rPr>
          <w:rFonts w:cs="Arial"/>
          <w:szCs w:val="24"/>
        </w:rPr>
        <w:tab/>
        <w:t>G. Buzzini</w:t>
      </w:r>
    </w:p>
    <w:p w:rsidR="006D7A3B" w:rsidRDefault="006D7A3B">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82" w:rsidRDefault="00A42A82" w:rsidP="008E77C6">
      <w:r>
        <w:separator/>
      </w:r>
    </w:p>
  </w:endnote>
  <w:endnote w:type="continuationSeparator" w:id="0">
    <w:p w:rsidR="00A42A82" w:rsidRDefault="00A42A8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068DF" w:rsidRPr="00B068DF">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82" w:rsidRDefault="00A42A82" w:rsidP="008E77C6">
      <w:r>
        <w:separator/>
      </w:r>
    </w:p>
  </w:footnote>
  <w:footnote w:type="continuationSeparator" w:id="0">
    <w:p w:rsidR="00A42A82" w:rsidRDefault="00A42A8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26736"/>
    <w:rsid w:val="00246457"/>
    <w:rsid w:val="002E5E40"/>
    <w:rsid w:val="003947DE"/>
    <w:rsid w:val="0052425A"/>
    <w:rsid w:val="00586A8D"/>
    <w:rsid w:val="006D7A3B"/>
    <w:rsid w:val="007B5462"/>
    <w:rsid w:val="008034BD"/>
    <w:rsid w:val="00876352"/>
    <w:rsid w:val="008B4137"/>
    <w:rsid w:val="008C767A"/>
    <w:rsid w:val="008E77C6"/>
    <w:rsid w:val="009770BB"/>
    <w:rsid w:val="009E008D"/>
    <w:rsid w:val="00A42A82"/>
    <w:rsid w:val="00A5465F"/>
    <w:rsid w:val="00A77678"/>
    <w:rsid w:val="00B068DF"/>
    <w:rsid w:val="00BC4C95"/>
    <w:rsid w:val="00BD5944"/>
    <w:rsid w:val="00CF6858"/>
    <w:rsid w:val="00D124C4"/>
    <w:rsid w:val="00D13F75"/>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apoverso">
    <w:name w:val="Capoverso"/>
    <w:basedOn w:val="Normale"/>
    <w:rsid w:val="00D13F75"/>
    <w:pPr>
      <w:spacing w:before="120"/>
    </w:pPr>
    <w:rPr>
      <w:rFonts w:ascii="Helvetica" w:eastAsia="Times New Roman" w:hAnsi="Helvetica" w:cs="Times New Roman"/>
      <w:szCs w:val="20"/>
      <w:lang w:val="it-IT" w:eastAsia="it-IT"/>
    </w:rPr>
  </w:style>
  <w:style w:type="paragraph" w:styleId="Testofumetto">
    <w:name w:val="Balloon Text"/>
    <w:basedOn w:val="Normale"/>
    <w:link w:val="TestofumettoCarattere"/>
    <w:uiPriority w:val="99"/>
    <w:semiHidden/>
    <w:unhideWhenUsed/>
    <w:rsid w:val="00D124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apoverso">
    <w:name w:val="Capoverso"/>
    <w:basedOn w:val="Normale"/>
    <w:rsid w:val="00D13F75"/>
    <w:pPr>
      <w:spacing w:before="120"/>
    </w:pPr>
    <w:rPr>
      <w:rFonts w:ascii="Helvetica" w:eastAsia="Times New Roman" w:hAnsi="Helvetica" w:cs="Times New Roman"/>
      <w:szCs w:val="20"/>
      <w:lang w:val="it-IT" w:eastAsia="it-IT"/>
    </w:rPr>
  </w:style>
  <w:style w:type="paragraph" w:styleId="Testofumetto">
    <w:name w:val="Balloon Text"/>
    <w:basedOn w:val="Normale"/>
    <w:link w:val="TestofumettoCarattere"/>
    <w:uiPriority w:val="99"/>
    <w:semiHidden/>
    <w:unhideWhenUsed/>
    <w:rsid w:val="00D124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8C74-B23E-4176-B99D-5207794E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6</cp:revision>
  <cp:lastPrinted>2017-04-14T13:57:00Z</cp:lastPrinted>
  <dcterms:created xsi:type="dcterms:W3CDTF">2017-03-20T14:09:00Z</dcterms:created>
  <dcterms:modified xsi:type="dcterms:W3CDTF">2017-04-14T13:58:00Z</dcterms:modified>
</cp:coreProperties>
</file>