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6F7F78" w:rsidRDefault="006F7F78" w:rsidP="00076E70">
      <w:pPr>
        <w:rPr>
          <w:rFonts w:ascii="Gill Sans MT" w:hAnsi="Gill Sans MT"/>
          <w:b/>
          <w:sz w:val="52"/>
          <w:szCs w:val="52"/>
        </w:rPr>
      </w:pPr>
      <w:r w:rsidRPr="006F7F78">
        <w:rPr>
          <w:rFonts w:ascii="Gill Sans MT" w:hAnsi="Gill Sans MT" w:cs="Arial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02550C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73</w:t>
      </w:r>
      <w:r w:rsidR="008B4137" w:rsidRPr="008B4137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6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 w:rsidR="001D1B2A">
        <w:rPr>
          <w:rFonts w:cs="Arial"/>
          <w:sz w:val="28"/>
          <w:szCs w:val="28"/>
        </w:rPr>
        <w:t>23</w:t>
      </w:r>
      <w:r>
        <w:rPr>
          <w:rFonts w:cs="Arial"/>
          <w:sz w:val="28"/>
          <w:szCs w:val="28"/>
        </w:rPr>
        <w:t xml:space="preserve"> maggio 2017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FINANZE E ECONOMIA</w:t>
      </w:r>
    </w:p>
    <w:p w:rsidR="008B4137" w:rsidRDefault="008B4137">
      <w:pPr>
        <w:rPr>
          <w:rFonts w:cs="Arial"/>
          <w:szCs w:val="24"/>
        </w:rPr>
      </w:pPr>
    </w:p>
    <w:p w:rsidR="008B4137" w:rsidRPr="006F7F78" w:rsidRDefault="008B4137">
      <w:pPr>
        <w:rPr>
          <w:rFonts w:cs="Arial"/>
          <w:sz w:val="20"/>
          <w:szCs w:val="20"/>
        </w:rPr>
      </w:pPr>
    </w:p>
    <w:p w:rsidR="00D377B5" w:rsidRPr="006F7F78" w:rsidRDefault="00D377B5">
      <w:pPr>
        <w:rPr>
          <w:rFonts w:cs="Arial"/>
          <w:sz w:val="20"/>
          <w:szCs w:val="20"/>
        </w:rPr>
      </w:pPr>
    </w:p>
    <w:p w:rsidR="0002550C" w:rsidRPr="00886DCE" w:rsidRDefault="0002550C" w:rsidP="0002550C">
      <w:pPr>
        <w:rPr>
          <w:rFonts w:cs="Arial"/>
          <w:b/>
          <w:sz w:val="28"/>
          <w:szCs w:val="28"/>
        </w:rPr>
      </w:pPr>
      <w:r w:rsidRPr="00886DCE">
        <w:rPr>
          <w:rFonts w:cs="Arial"/>
          <w:b/>
          <w:sz w:val="28"/>
          <w:szCs w:val="28"/>
        </w:rPr>
        <w:t>della Commissione dell</w:t>
      </w:r>
      <w:r>
        <w:rPr>
          <w:rFonts w:cs="Arial"/>
          <w:b/>
          <w:sz w:val="28"/>
          <w:szCs w:val="28"/>
        </w:rPr>
        <w:t>a</w:t>
      </w:r>
      <w:r w:rsidRPr="00886DCE">
        <w:rPr>
          <w:rFonts w:cs="Arial"/>
          <w:b/>
          <w:sz w:val="28"/>
          <w:szCs w:val="28"/>
        </w:rPr>
        <w:t xml:space="preserve"> gestione e delle finanze</w:t>
      </w:r>
    </w:p>
    <w:p w:rsidR="0002550C" w:rsidRDefault="0002550C" w:rsidP="0002550C">
      <w:pPr>
        <w:rPr>
          <w:b/>
          <w:sz w:val="28"/>
          <w:szCs w:val="28"/>
        </w:rPr>
      </w:pPr>
      <w:r w:rsidRPr="00886DCE">
        <w:rPr>
          <w:rFonts w:cs="Arial"/>
          <w:b/>
          <w:sz w:val="28"/>
          <w:szCs w:val="28"/>
        </w:rPr>
        <w:t>sul messaggio</w:t>
      </w:r>
      <w:r>
        <w:rPr>
          <w:rFonts w:cs="Arial"/>
          <w:b/>
          <w:sz w:val="28"/>
          <w:szCs w:val="28"/>
        </w:rPr>
        <w:t xml:space="preserve"> </w:t>
      </w:r>
      <w:r w:rsidR="003A69CD">
        <w:rPr>
          <w:rFonts w:cs="Arial"/>
          <w:b/>
          <w:sz w:val="28"/>
          <w:szCs w:val="28"/>
        </w:rPr>
        <w:t xml:space="preserve">12 aprile 2017 </w:t>
      </w:r>
      <w:r>
        <w:rPr>
          <w:rFonts w:cs="Arial"/>
          <w:b/>
          <w:sz w:val="28"/>
          <w:szCs w:val="28"/>
        </w:rPr>
        <w:t>concernente la r</w:t>
      </w:r>
      <w:r w:rsidRPr="00390D3E">
        <w:rPr>
          <w:b/>
          <w:sz w:val="28"/>
          <w:szCs w:val="28"/>
        </w:rPr>
        <w:t xml:space="preserve">ichiesta di un credito di </w:t>
      </w:r>
      <w:r w:rsidR="003A69CD">
        <w:rPr>
          <w:b/>
          <w:sz w:val="28"/>
          <w:szCs w:val="28"/>
        </w:rPr>
        <w:br/>
      </w:r>
      <w:proofErr w:type="spellStart"/>
      <w:r w:rsidRPr="00390D3E">
        <w:rPr>
          <w:b/>
          <w:sz w:val="28"/>
          <w:szCs w:val="28"/>
        </w:rPr>
        <w:t>fr</w:t>
      </w:r>
      <w:proofErr w:type="spellEnd"/>
      <w:r w:rsidRPr="00390D3E">
        <w:rPr>
          <w:b/>
          <w:sz w:val="28"/>
          <w:szCs w:val="28"/>
        </w:rPr>
        <w:t xml:space="preserve">. 1’100’000.- per l’allacciamento delle sedi scolastiche della scuola media e la SPAI di Biasca, della scuola media di </w:t>
      </w:r>
      <w:proofErr w:type="spellStart"/>
      <w:r w:rsidRPr="00390D3E">
        <w:rPr>
          <w:b/>
          <w:sz w:val="28"/>
          <w:szCs w:val="28"/>
        </w:rPr>
        <w:t>Ambrì</w:t>
      </w:r>
      <w:proofErr w:type="spellEnd"/>
      <w:r w:rsidRPr="00390D3E">
        <w:rPr>
          <w:b/>
          <w:sz w:val="28"/>
          <w:szCs w:val="28"/>
        </w:rPr>
        <w:t>/Quinto e della scuola media di Tesserete alle reti di teleriscaldamento a biomassa legnosa in fase di realizzazione e richiesta di autorizzazione della relativa firma dei contratti per la fornitura di energia calorica</w:t>
      </w:r>
    </w:p>
    <w:p w:rsidR="008B4137" w:rsidRDefault="008B4137">
      <w:pPr>
        <w:rPr>
          <w:rFonts w:cs="Arial"/>
          <w:szCs w:val="24"/>
        </w:rPr>
      </w:pPr>
    </w:p>
    <w:p w:rsidR="008B4137" w:rsidRPr="006F7F78" w:rsidRDefault="008B4137">
      <w:pPr>
        <w:rPr>
          <w:rFonts w:cs="Arial"/>
          <w:szCs w:val="24"/>
        </w:rPr>
      </w:pPr>
    </w:p>
    <w:p w:rsidR="008B4137" w:rsidRPr="006F7F78" w:rsidRDefault="008B4137">
      <w:pPr>
        <w:rPr>
          <w:rFonts w:cs="Arial"/>
          <w:szCs w:val="24"/>
        </w:rPr>
      </w:pPr>
    </w:p>
    <w:p w:rsidR="0002550C" w:rsidRDefault="0002550C" w:rsidP="0002550C">
      <w:pPr>
        <w:pStyle w:val="Titolo1"/>
      </w:pPr>
      <w:r>
        <w:t>Premessa</w:t>
      </w:r>
    </w:p>
    <w:p w:rsidR="0002550C" w:rsidRDefault="0002550C" w:rsidP="0002550C">
      <w:r>
        <w:t xml:space="preserve">Il messaggio in oggetto è la logica evoluzione della politica economica regionale relativa alla </w:t>
      </w:r>
      <w:r w:rsidRPr="00A870DD">
        <w:t>filiera “bosco-legno”</w:t>
      </w:r>
      <w:r>
        <w:t xml:space="preserve"> che è stata riconfermata tra le priorità di sviluppo cantonale. Uno dei pilastri di sviluppo della filiera è lo stimolo alla domanda del legno quale vettore energetico rinnovabile. La messa in atto di una serie di misure volte a favorire la gestione integrata delle proprietà boschive pubbliche e private, la collaborazione interaziendale, il miglioramento delle situazioni logistiche e della lavorazione della materia prima e lo sviluppo di attività produttive in nicchie di mercato, e nel campo delle reti di teleriscaldamento con energia rinnovabile.</w:t>
      </w:r>
    </w:p>
    <w:p w:rsidR="0002550C" w:rsidRDefault="0002550C" w:rsidP="0002550C"/>
    <w:p w:rsidR="0002550C" w:rsidRDefault="0002550C" w:rsidP="0002550C">
      <w:r>
        <w:t>Questo progetto si inserisce perfettamente negli intendimenti annunciati dal governo di voler adottare l’energia-legno quale vettore energetico principale per gli immobili del Cantone a partire dal 2016.</w:t>
      </w:r>
    </w:p>
    <w:p w:rsidR="0002550C" w:rsidRDefault="0002550C" w:rsidP="0002550C"/>
    <w:p w:rsidR="0002550C" w:rsidRPr="006F7F78" w:rsidRDefault="0002550C" w:rsidP="0002550C">
      <w:pPr>
        <w:rPr>
          <w:szCs w:val="24"/>
        </w:rPr>
      </w:pPr>
      <w:bookmarkStart w:id="0" w:name="_GoBack"/>
    </w:p>
    <w:p w:rsidR="0002550C" w:rsidRPr="006F7F78" w:rsidRDefault="0002550C" w:rsidP="0002550C">
      <w:pPr>
        <w:rPr>
          <w:szCs w:val="24"/>
        </w:rPr>
      </w:pPr>
    </w:p>
    <w:bookmarkEnd w:id="0"/>
    <w:p w:rsidR="0002550C" w:rsidRPr="0002550C" w:rsidRDefault="0002550C" w:rsidP="0002550C">
      <w:pPr>
        <w:pStyle w:val="Titolo1"/>
      </w:pPr>
      <w:r w:rsidRPr="0002550C">
        <w:t>I progettI e gli obiettivi</w:t>
      </w:r>
    </w:p>
    <w:p w:rsidR="0002550C" w:rsidRDefault="0002550C" w:rsidP="0002550C">
      <w:r>
        <w:t xml:space="preserve">I progetti oggetto del presente messaggio sono da ritenersi come la realizzazione concreta degli intendimenti enunciati dal governo e dal Gran Consiglio in materia di politica economica regionale: </w:t>
      </w:r>
      <w:r w:rsidRPr="00011A3F">
        <w:rPr>
          <w:i/>
        </w:rPr>
        <w:t>“L’o</w:t>
      </w:r>
      <w:r w:rsidRPr="00011A3F">
        <w:rPr>
          <w:rFonts w:cs="Arial"/>
          <w:i/>
        </w:rPr>
        <w:t>biettivo della politica energetica consiste in sintesi nella gestione sostenibile dell’energia; ne sono i pilastri principali un consumo energetico razionale e un maggiore impiego delle energie rinnovabili.</w:t>
      </w:r>
      <w:r>
        <w:rPr>
          <w:rFonts w:cs="Arial"/>
          <w:i/>
        </w:rPr>
        <w:t xml:space="preserve">” </w:t>
      </w:r>
      <w:r>
        <w:t>E in quanto tali sono stati attivamente accompagnati nella loro fase progettuale e realizzativa dalle competenti autorità cantonali e dagli Enti regionali di sviluppo (Bellinzona e Valli ERS-BV e Luganese).</w:t>
      </w:r>
    </w:p>
    <w:p w:rsidR="0002550C" w:rsidRPr="006F7F78" w:rsidRDefault="0002550C" w:rsidP="0002550C">
      <w:pPr>
        <w:rPr>
          <w:sz w:val="20"/>
          <w:szCs w:val="20"/>
        </w:rPr>
      </w:pPr>
    </w:p>
    <w:p w:rsidR="0002550C" w:rsidRPr="006F7F78" w:rsidRDefault="0002550C" w:rsidP="0002550C">
      <w:pPr>
        <w:rPr>
          <w:sz w:val="20"/>
          <w:szCs w:val="20"/>
        </w:rPr>
      </w:pPr>
    </w:p>
    <w:p w:rsidR="0002550C" w:rsidRPr="001B04D2" w:rsidRDefault="0002550C" w:rsidP="0002550C">
      <w:pPr>
        <w:pStyle w:val="Titolo2"/>
      </w:pPr>
      <w:r>
        <w:t>2.1</w:t>
      </w:r>
      <w:r>
        <w:tab/>
      </w:r>
      <w:r w:rsidRPr="001B04D2">
        <w:t>Scuola media/SPAI Biasca</w:t>
      </w:r>
    </w:p>
    <w:p w:rsidR="0002550C" w:rsidRDefault="0002550C" w:rsidP="003A69CD">
      <w:r>
        <w:t xml:space="preserve">Questo sviluppo è da ascrivere nel contesto della promozione della filiera “Bosco-Legna-Energia” che si sta sviluppando a Biasca grazie al progetto Sud-Ceneri-Nord (SCN) che ha ricevuto il sostegno del parlamento con l’approvazione del messaggio 7155. La parte energetica è sviluppata dalla Nuova Energia Ticino SA nella quale sono presenti diverse </w:t>
      </w:r>
      <w:r>
        <w:lastRenderedPageBreak/>
        <w:t xml:space="preserve">imprese forestali e imprenditori del settore che per rispondere alla crescente domanda di </w:t>
      </w:r>
      <w:proofErr w:type="spellStart"/>
      <w:r>
        <w:t>cippato</w:t>
      </w:r>
      <w:proofErr w:type="spellEnd"/>
      <w:r>
        <w:t xml:space="preserve"> e </w:t>
      </w:r>
      <w:r w:rsidRPr="00C66BA4">
        <w:t>all'esigenza di pr</w:t>
      </w:r>
      <w:r>
        <w:t>oporre al mercato ticinese una s</w:t>
      </w:r>
      <w:r w:rsidRPr="00C66BA4">
        <w:t>ocietà specializzata nella progettazione e costruzione di centrali termiche, reti di teleriscaldamento e impianti fotovoltaici</w:t>
      </w:r>
      <w:r>
        <w:t>, hanno deciso di unire le forze.</w:t>
      </w:r>
    </w:p>
    <w:p w:rsidR="0002550C" w:rsidRDefault="0002550C" w:rsidP="003A69CD"/>
    <w:p w:rsidR="0002550C" w:rsidRDefault="0002550C" w:rsidP="003A69C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cs="Arial"/>
        </w:rPr>
      </w:pPr>
      <w:r>
        <w:rPr>
          <w:rFonts w:cs="Arial"/>
        </w:rPr>
        <w:t>Impatto ambientale</w:t>
      </w:r>
    </w:p>
    <w:p w:rsidR="0002550C" w:rsidRDefault="0002550C" w:rsidP="0002550C">
      <w:pPr>
        <w:pStyle w:val="Paragrafoelenco"/>
        <w:autoSpaceDE w:val="0"/>
        <w:autoSpaceDN w:val="0"/>
        <w:adjustRightInd w:val="0"/>
        <w:spacing w:after="120"/>
        <w:rPr>
          <w:rFonts w:cs="Arial"/>
        </w:rPr>
      </w:pPr>
      <w:r w:rsidRPr="00C0296E">
        <w:rPr>
          <w:rFonts w:cs="Arial"/>
        </w:rPr>
        <w:t>Le emissioni di CO</w:t>
      </w:r>
      <w:r w:rsidRPr="00C0296E">
        <w:rPr>
          <w:rFonts w:cs="Arial"/>
          <w:vertAlign w:val="subscript"/>
        </w:rPr>
        <w:t>2</w:t>
      </w:r>
      <w:r w:rsidRPr="00C0296E">
        <w:rPr>
          <w:rFonts w:cs="Arial"/>
        </w:rPr>
        <w:t xml:space="preserve"> provocate dalla combustione del legname sono </w:t>
      </w:r>
      <w:r>
        <w:rPr>
          <w:rFonts w:cs="Arial"/>
        </w:rPr>
        <w:t>pari al 10% delle Emissioni attuali di 450 tonnellate annue con un impatta ambientale significativo: emissioni previste 45 tonnellate di CO2 (meno 405 tonnellate).</w:t>
      </w:r>
    </w:p>
    <w:p w:rsidR="0002550C" w:rsidRDefault="0002550C" w:rsidP="0002550C">
      <w:pPr>
        <w:pStyle w:val="Paragrafoelenco"/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9771" w:type="dxa"/>
        <w:tblInd w:w="20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276"/>
        <w:gridCol w:w="1418"/>
        <w:gridCol w:w="1417"/>
        <w:gridCol w:w="1418"/>
        <w:gridCol w:w="1417"/>
        <w:gridCol w:w="1134"/>
      </w:tblGrid>
      <w:tr w:rsidR="0002550C" w:rsidRPr="00127F59" w:rsidTr="00F1286A">
        <w:trPr>
          <w:trHeight w:hRule="exact" w:val="1003"/>
        </w:trPr>
        <w:tc>
          <w:tcPr>
            <w:tcW w:w="1691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Impianto</w:t>
            </w:r>
          </w:p>
        </w:tc>
        <w:tc>
          <w:tcPr>
            <w:tcW w:w="1276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Potenza nominale  futura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kW</w:t>
            </w:r>
          </w:p>
        </w:tc>
        <w:tc>
          <w:tcPr>
            <w:tcW w:w="1418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Vettore energetico</w:t>
            </w:r>
          </w:p>
        </w:tc>
        <w:tc>
          <w:tcPr>
            <w:tcW w:w="1417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Costo investimento iniziale</w:t>
            </w:r>
          </w:p>
          <w:p w:rsidR="0002550C" w:rsidRPr="00551FF9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CHF</w:t>
            </w:r>
          </w:p>
        </w:tc>
        <w:tc>
          <w:tcPr>
            <w:tcW w:w="1418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Manutenzione extra annua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CHF</w:t>
            </w:r>
          </w:p>
        </w:tc>
        <w:tc>
          <w:tcPr>
            <w:tcW w:w="1417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Emissioni CO2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t/annue</w:t>
            </w:r>
          </w:p>
        </w:tc>
        <w:tc>
          <w:tcPr>
            <w:tcW w:w="1134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Durata del contratto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anni</w:t>
            </w:r>
          </w:p>
        </w:tc>
      </w:tr>
      <w:tr w:rsidR="0002550C" w:rsidRPr="00127F59" w:rsidTr="00F1286A">
        <w:trPr>
          <w:trHeight w:hRule="exact" w:val="705"/>
        </w:trPr>
        <w:tc>
          <w:tcPr>
            <w:tcW w:w="1691" w:type="dxa"/>
            <w:tcBorders>
              <w:bottom w:val="single" w:sz="6" w:space="0" w:color="000000"/>
            </w:tcBorders>
            <w:vAlign w:val="center"/>
          </w:tcPr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Attuale</w:t>
            </w:r>
          </w:p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Costruzione</w:t>
            </w:r>
          </w:p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1971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olio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2.5 mio</w:t>
            </w:r>
            <w:r>
              <w:rPr>
                <w:rStyle w:val="Rimandonotaapidipagina"/>
                <w:sz w:val="22"/>
              </w:rPr>
              <w:footnoteReference w:id="1"/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10'523.-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---</w:t>
            </w:r>
          </w:p>
        </w:tc>
      </w:tr>
      <w:tr w:rsidR="0002550C" w:rsidRPr="00127F59" w:rsidTr="00F1286A">
        <w:trPr>
          <w:trHeight w:hRule="exact" w:val="559"/>
        </w:trPr>
        <w:tc>
          <w:tcPr>
            <w:tcW w:w="1691" w:type="dxa"/>
            <w:tcBorders>
              <w:bottom w:val="single" w:sz="6" w:space="0" w:color="000000"/>
            </w:tcBorders>
            <w:vAlign w:val="center"/>
          </w:tcPr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Teleriscaldamento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Biomassa legnosa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600'426.-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</w:tr>
    </w:tbl>
    <w:p w:rsidR="0002550C" w:rsidRDefault="0002550C" w:rsidP="0002550C"/>
    <w:p w:rsidR="0002550C" w:rsidRDefault="0002550C" w:rsidP="0002550C"/>
    <w:p w:rsidR="0002550C" w:rsidRDefault="0002550C" w:rsidP="0002550C">
      <w:pPr>
        <w:pStyle w:val="Titolo2"/>
      </w:pPr>
      <w:r>
        <w:t>2.2</w:t>
      </w:r>
      <w:r>
        <w:tab/>
        <w:t>Scuola media</w:t>
      </w:r>
      <w:r w:rsidRPr="00412636">
        <w:t xml:space="preserve"> </w:t>
      </w:r>
      <w:proofErr w:type="spellStart"/>
      <w:r w:rsidRPr="00412636">
        <w:t>Ambrì</w:t>
      </w:r>
      <w:proofErr w:type="spellEnd"/>
      <w:r w:rsidRPr="00412636">
        <w:t>/Quinto</w:t>
      </w:r>
    </w:p>
    <w:p w:rsidR="0002550C" w:rsidRDefault="0002550C" w:rsidP="0002550C">
      <w:pPr>
        <w:pStyle w:val="Paragrafoelenco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Questo progetto è sviluppato dalla società Quinto Energia SA che è stata costituita dal Comune di Quinto (60%) e dal Patriziato generale di Quinto (40%) con lo scopo di produrre e fornire energia termica nel comprensorio di Quinto per fornire energia pulita prodotta in maniera sostenibile e rispettosa dell’ambiente sfruttando al meglio il combustibile legno di provenienza indigena.</w:t>
      </w:r>
    </w:p>
    <w:p w:rsidR="0002550C" w:rsidRDefault="0002550C" w:rsidP="0002550C"/>
    <w:p w:rsidR="0002550C" w:rsidRDefault="0002550C" w:rsidP="003A69C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cs="Arial"/>
        </w:rPr>
      </w:pPr>
      <w:r>
        <w:rPr>
          <w:rFonts w:cs="Arial"/>
        </w:rPr>
        <w:t>Impatto ambientale</w:t>
      </w:r>
    </w:p>
    <w:p w:rsidR="0002550C" w:rsidRDefault="0002550C" w:rsidP="0002550C">
      <w:pPr>
        <w:pStyle w:val="Paragrafoelenco"/>
        <w:autoSpaceDE w:val="0"/>
        <w:autoSpaceDN w:val="0"/>
        <w:adjustRightInd w:val="0"/>
        <w:spacing w:after="120"/>
        <w:rPr>
          <w:rFonts w:cs="Arial"/>
        </w:rPr>
      </w:pPr>
      <w:r w:rsidRPr="00C0296E">
        <w:rPr>
          <w:rFonts w:cs="Arial"/>
        </w:rPr>
        <w:t>Le emissioni di CO</w:t>
      </w:r>
      <w:r w:rsidRPr="00C0296E">
        <w:rPr>
          <w:rFonts w:cs="Arial"/>
          <w:vertAlign w:val="subscript"/>
        </w:rPr>
        <w:t>2</w:t>
      </w:r>
      <w:r w:rsidRPr="00C0296E">
        <w:rPr>
          <w:rFonts w:cs="Arial"/>
        </w:rPr>
        <w:t xml:space="preserve"> provocate dalla combustione del legname sono </w:t>
      </w:r>
      <w:r>
        <w:rPr>
          <w:rFonts w:cs="Arial"/>
        </w:rPr>
        <w:t>pari al 10% delle Emissioni attuali di 200 tonnellate annue con un impatta ambientale significativo: emissioni previste 20 tonnellate di CO2 (meno 180 tonnellate)</w:t>
      </w:r>
    </w:p>
    <w:p w:rsidR="0002550C" w:rsidRPr="002A3921" w:rsidRDefault="0002550C" w:rsidP="0002550C">
      <w:pPr>
        <w:pStyle w:val="Paragrafoelenco"/>
        <w:autoSpaceDE w:val="0"/>
        <w:autoSpaceDN w:val="0"/>
        <w:adjustRightInd w:val="0"/>
        <w:spacing w:after="120"/>
      </w:pPr>
    </w:p>
    <w:tbl>
      <w:tblPr>
        <w:tblW w:w="9771" w:type="dxa"/>
        <w:tblInd w:w="20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276"/>
        <w:gridCol w:w="1418"/>
        <w:gridCol w:w="1417"/>
        <w:gridCol w:w="1418"/>
        <w:gridCol w:w="1417"/>
        <w:gridCol w:w="1134"/>
      </w:tblGrid>
      <w:tr w:rsidR="0002550C" w:rsidRPr="00BF5CA9" w:rsidTr="00F1286A">
        <w:trPr>
          <w:trHeight w:hRule="exact" w:val="1003"/>
        </w:trPr>
        <w:tc>
          <w:tcPr>
            <w:tcW w:w="1691" w:type="dxa"/>
            <w:shd w:val="clear" w:color="auto" w:fill="E4E4E4"/>
            <w:vAlign w:val="center"/>
          </w:tcPr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Impianto</w:t>
            </w:r>
          </w:p>
        </w:tc>
        <w:tc>
          <w:tcPr>
            <w:tcW w:w="1276" w:type="dxa"/>
            <w:shd w:val="clear" w:color="auto" w:fill="E4E4E4"/>
            <w:vAlign w:val="center"/>
          </w:tcPr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Potenza nominale futura</w:t>
            </w:r>
          </w:p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kW</w:t>
            </w:r>
          </w:p>
        </w:tc>
        <w:tc>
          <w:tcPr>
            <w:tcW w:w="1418" w:type="dxa"/>
            <w:shd w:val="clear" w:color="auto" w:fill="E4E4E4"/>
            <w:vAlign w:val="center"/>
          </w:tcPr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Vettore energetico</w:t>
            </w:r>
          </w:p>
        </w:tc>
        <w:tc>
          <w:tcPr>
            <w:tcW w:w="1417" w:type="dxa"/>
            <w:shd w:val="clear" w:color="auto" w:fill="E4E4E4"/>
            <w:vAlign w:val="center"/>
          </w:tcPr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Costo investimento iniziale</w:t>
            </w:r>
          </w:p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CHF</w:t>
            </w:r>
          </w:p>
        </w:tc>
        <w:tc>
          <w:tcPr>
            <w:tcW w:w="1418" w:type="dxa"/>
            <w:shd w:val="clear" w:color="auto" w:fill="E4E4E4"/>
            <w:vAlign w:val="center"/>
          </w:tcPr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Manutenzione extra annua</w:t>
            </w:r>
          </w:p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CHF</w:t>
            </w:r>
          </w:p>
        </w:tc>
        <w:tc>
          <w:tcPr>
            <w:tcW w:w="1417" w:type="dxa"/>
            <w:shd w:val="clear" w:color="auto" w:fill="E4E4E4"/>
            <w:vAlign w:val="center"/>
          </w:tcPr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Emissioni CO2</w:t>
            </w:r>
          </w:p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t/annue</w:t>
            </w:r>
          </w:p>
        </w:tc>
        <w:tc>
          <w:tcPr>
            <w:tcW w:w="1134" w:type="dxa"/>
            <w:shd w:val="clear" w:color="auto" w:fill="E4E4E4"/>
            <w:vAlign w:val="center"/>
          </w:tcPr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Durata del contratto</w:t>
            </w:r>
          </w:p>
          <w:p w:rsidR="0002550C" w:rsidRPr="00BF5CA9" w:rsidRDefault="0002550C" w:rsidP="00F1286A">
            <w:pPr>
              <w:widowControl w:val="0"/>
              <w:contextualSpacing/>
              <w:jc w:val="center"/>
              <w:rPr>
                <w:rFonts w:cs="Arial"/>
                <w:b/>
                <w:sz w:val="18"/>
              </w:rPr>
            </w:pPr>
            <w:r w:rsidRPr="00BF5CA9">
              <w:rPr>
                <w:rFonts w:cs="Arial"/>
                <w:b/>
                <w:sz w:val="18"/>
              </w:rPr>
              <w:t>anni</w:t>
            </w:r>
          </w:p>
        </w:tc>
      </w:tr>
      <w:tr w:rsidR="0002550C" w:rsidRPr="00127F59" w:rsidTr="00F1286A">
        <w:trPr>
          <w:trHeight w:hRule="exact" w:val="705"/>
        </w:trPr>
        <w:tc>
          <w:tcPr>
            <w:tcW w:w="1691" w:type="dxa"/>
            <w:tcBorders>
              <w:bottom w:val="single" w:sz="6" w:space="0" w:color="000000"/>
            </w:tcBorders>
            <w:vAlign w:val="center"/>
          </w:tcPr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Attuale</w:t>
            </w:r>
          </w:p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Costruzione</w:t>
            </w:r>
          </w:p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1980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olio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1.3 mio</w:t>
            </w:r>
            <w:r>
              <w:rPr>
                <w:rStyle w:val="Rimandonotaapidipagina"/>
                <w:sz w:val="22"/>
              </w:rPr>
              <w:footnoteReference w:id="2"/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4’153.-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---</w:t>
            </w:r>
          </w:p>
        </w:tc>
      </w:tr>
      <w:tr w:rsidR="0002550C" w:rsidRPr="00127F59" w:rsidTr="00F1286A">
        <w:trPr>
          <w:trHeight w:hRule="exact" w:val="669"/>
        </w:trPr>
        <w:tc>
          <w:tcPr>
            <w:tcW w:w="1691" w:type="dxa"/>
            <w:tcBorders>
              <w:bottom w:val="single" w:sz="6" w:space="0" w:color="000000"/>
            </w:tcBorders>
            <w:vAlign w:val="center"/>
          </w:tcPr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Teleriscaldamento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Biomassa legnosa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184'140.-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540.-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127F59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2550C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</w:tr>
    </w:tbl>
    <w:p w:rsidR="0002550C" w:rsidRDefault="0002550C" w:rsidP="0002550C">
      <w:pPr>
        <w:pStyle w:val="Paragrafoelenco"/>
        <w:ind w:left="340"/>
      </w:pPr>
    </w:p>
    <w:p w:rsidR="0002550C" w:rsidRDefault="0002550C" w:rsidP="0002550C">
      <w:pPr>
        <w:pStyle w:val="Paragrafoelenco"/>
        <w:ind w:left="340"/>
      </w:pPr>
    </w:p>
    <w:p w:rsidR="0002550C" w:rsidRDefault="0002550C" w:rsidP="0002550C">
      <w:pPr>
        <w:pStyle w:val="Titolo2"/>
      </w:pPr>
      <w:r>
        <w:lastRenderedPageBreak/>
        <w:t>2.3</w:t>
      </w:r>
      <w:r>
        <w:tab/>
        <w:t>Scuola media</w:t>
      </w:r>
      <w:r w:rsidRPr="00FB3D46">
        <w:t xml:space="preserve"> Tesserete</w:t>
      </w:r>
    </w:p>
    <w:p w:rsidR="0002550C" w:rsidRDefault="0002550C" w:rsidP="0002550C">
      <w:r>
        <w:t xml:space="preserve">Questo progetto è sviluppato da </w:t>
      </w:r>
      <w:proofErr w:type="spellStart"/>
      <w:r>
        <w:t>Capriasca</w:t>
      </w:r>
      <w:proofErr w:type="spellEnd"/>
      <w:r>
        <w:t xml:space="preserve"> Calore SA, società anonima creata dal Comune di </w:t>
      </w:r>
      <w:proofErr w:type="spellStart"/>
      <w:r>
        <w:t>Capriasca</w:t>
      </w:r>
      <w:proofErr w:type="spellEnd"/>
      <w:r>
        <w:t xml:space="preserve"> assieme all’Azienda Elettrica di Massagno (AEM) e all’Azienda Elettrica Ticinese (AET), allo scopo di realizzare una rete di teleriscaldamento sul territorio di Tesserete.</w:t>
      </w:r>
    </w:p>
    <w:p w:rsidR="0002550C" w:rsidRDefault="0002550C" w:rsidP="0002550C"/>
    <w:p w:rsidR="0002550C" w:rsidRDefault="0002550C" w:rsidP="0002550C">
      <w:r>
        <w:t>Il progetto prevede la costruzione di una centrale termica nei pressi del Centro Sportivo, collegata a una rete di tubazioni che trasporteranno il calore generato lungo un tracciato di 1 km. La rete servirà gli immobili e le infrastrutture del Comune e permetterà l’allacciamento degli edifici pubblici, residenziali, commerciali e industriali che si trovano sul suo percorso.</w:t>
      </w:r>
    </w:p>
    <w:p w:rsidR="0002550C" w:rsidRDefault="0002550C" w:rsidP="0002550C"/>
    <w:p w:rsidR="0002550C" w:rsidRDefault="0002550C" w:rsidP="003A69C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cs="Arial"/>
        </w:rPr>
      </w:pPr>
      <w:r>
        <w:rPr>
          <w:rFonts w:cs="Arial"/>
        </w:rPr>
        <w:t>Impatto ambientale</w:t>
      </w:r>
    </w:p>
    <w:p w:rsidR="0002550C" w:rsidRDefault="0002550C" w:rsidP="0002550C">
      <w:pPr>
        <w:pStyle w:val="Paragrafoelenco"/>
        <w:autoSpaceDE w:val="0"/>
        <w:autoSpaceDN w:val="0"/>
        <w:adjustRightInd w:val="0"/>
        <w:spacing w:after="120"/>
        <w:rPr>
          <w:rFonts w:cs="Arial"/>
        </w:rPr>
      </w:pPr>
      <w:r w:rsidRPr="00C0296E">
        <w:rPr>
          <w:rFonts w:cs="Arial"/>
        </w:rPr>
        <w:t>Le emissioni di CO</w:t>
      </w:r>
      <w:r w:rsidRPr="00C0296E">
        <w:rPr>
          <w:rFonts w:cs="Arial"/>
          <w:vertAlign w:val="subscript"/>
        </w:rPr>
        <w:t>2</w:t>
      </w:r>
      <w:r w:rsidRPr="00C0296E">
        <w:rPr>
          <w:rFonts w:cs="Arial"/>
        </w:rPr>
        <w:t xml:space="preserve"> provocate dalla combustione del legname sono </w:t>
      </w:r>
      <w:r>
        <w:rPr>
          <w:rFonts w:cs="Arial"/>
        </w:rPr>
        <w:t>pari al 10% delle Emissioni attuali di 80 tonnellate annue con un impatta ambientale significativo: emissioni previste 8 tonnellate di CO2 (meno 72 tonnellate)</w:t>
      </w:r>
    </w:p>
    <w:p w:rsidR="0002550C" w:rsidRPr="00D6370E" w:rsidRDefault="0002550C" w:rsidP="003A69CD"/>
    <w:tbl>
      <w:tblPr>
        <w:tblW w:w="9771" w:type="dxa"/>
        <w:tblInd w:w="20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276"/>
        <w:gridCol w:w="1418"/>
        <w:gridCol w:w="1417"/>
        <w:gridCol w:w="1418"/>
        <w:gridCol w:w="1417"/>
        <w:gridCol w:w="1134"/>
      </w:tblGrid>
      <w:tr w:rsidR="0002550C" w:rsidRPr="00127F59" w:rsidTr="00F1286A">
        <w:trPr>
          <w:trHeight w:hRule="exact" w:val="1003"/>
        </w:trPr>
        <w:tc>
          <w:tcPr>
            <w:tcW w:w="1691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Impianto</w:t>
            </w:r>
          </w:p>
        </w:tc>
        <w:tc>
          <w:tcPr>
            <w:tcW w:w="1276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Potenza nominale  futura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kW</w:t>
            </w:r>
          </w:p>
        </w:tc>
        <w:tc>
          <w:tcPr>
            <w:tcW w:w="1418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Vettore energetico</w:t>
            </w:r>
          </w:p>
        </w:tc>
        <w:tc>
          <w:tcPr>
            <w:tcW w:w="1417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Costo investimento iniziale</w:t>
            </w:r>
          </w:p>
          <w:p w:rsidR="0002550C" w:rsidRPr="00551FF9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CHF</w:t>
            </w:r>
          </w:p>
        </w:tc>
        <w:tc>
          <w:tcPr>
            <w:tcW w:w="1418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Manutenzione extra annua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CHF</w:t>
            </w:r>
          </w:p>
        </w:tc>
        <w:tc>
          <w:tcPr>
            <w:tcW w:w="1417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Emissioni CO2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t/annue</w:t>
            </w:r>
          </w:p>
        </w:tc>
        <w:tc>
          <w:tcPr>
            <w:tcW w:w="1134" w:type="dxa"/>
            <w:shd w:val="clear" w:color="auto" w:fill="E4E4E4"/>
            <w:vAlign w:val="center"/>
          </w:tcPr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Durata del contratto</w:t>
            </w:r>
          </w:p>
          <w:p w:rsidR="0002550C" w:rsidRDefault="0002550C" w:rsidP="00F1286A">
            <w:pPr>
              <w:widowControl w:val="0"/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anni</w:t>
            </w:r>
          </w:p>
        </w:tc>
      </w:tr>
      <w:tr w:rsidR="0002550C" w:rsidRPr="00127F59" w:rsidTr="00F1286A">
        <w:trPr>
          <w:trHeight w:hRule="exact" w:val="705"/>
        </w:trPr>
        <w:tc>
          <w:tcPr>
            <w:tcW w:w="1691" w:type="dxa"/>
            <w:tcBorders>
              <w:bottom w:val="single" w:sz="6" w:space="0" w:color="000000"/>
            </w:tcBorders>
            <w:vAlign w:val="center"/>
          </w:tcPr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Attuale</w:t>
            </w:r>
          </w:p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Costruzione</w:t>
            </w:r>
          </w:p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1980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700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olio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3.0 mio</w:t>
            </w:r>
            <w:r w:rsidRPr="003A69CD">
              <w:rPr>
                <w:rStyle w:val="Rimandonotaapidipagina"/>
                <w:sz w:val="22"/>
              </w:rPr>
              <w:footnoteReference w:id="3"/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8’638.-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80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---</w:t>
            </w:r>
          </w:p>
        </w:tc>
      </w:tr>
      <w:tr w:rsidR="0002550C" w:rsidRPr="00127F59" w:rsidTr="00F1286A">
        <w:trPr>
          <w:trHeight w:hRule="exact" w:val="669"/>
        </w:trPr>
        <w:tc>
          <w:tcPr>
            <w:tcW w:w="1691" w:type="dxa"/>
            <w:tcBorders>
              <w:bottom w:val="single" w:sz="6" w:space="0" w:color="000000"/>
            </w:tcBorders>
            <w:vAlign w:val="center"/>
          </w:tcPr>
          <w:p w:rsidR="0002550C" w:rsidRPr="00F133E4" w:rsidRDefault="0002550C" w:rsidP="00F1286A">
            <w:pPr>
              <w:widowControl w:val="0"/>
              <w:ind w:right="113"/>
              <w:jc w:val="center"/>
              <w:rPr>
                <w:rFonts w:cs="Arial"/>
                <w:sz w:val="18"/>
              </w:rPr>
            </w:pPr>
            <w:r w:rsidRPr="00F133E4">
              <w:rPr>
                <w:rFonts w:cs="Arial"/>
                <w:sz w:val="18"/>
              </w:rPr>
              <w:t>Teleriscaldamento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415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Biomassa legnosa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315’434.-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26’975.-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2550C" w:rsidRPr="003A69CD" w:rsidRDefault="0002550C" w:rsidP="00F1286A">
            <w:pPr>
              <w:widowControl w:val="0"/>
              <w:ind w:right="113"/>
              <w:jc w:val="center"/>
              <w:rPr>
                <w:rFonts w:cs="Arial"/>
                <w:sz w:val="22"/>
              </w:rPr>
            </w:pPr>
            <w:r w:rsidRPr="003A69CD">
              <w:rPr>
                <w:rFonts w:cs="Arial"/>
                <w:sz w:val="22"/>
              </w:rPr>
              <w:t>15</w:t>
            </w:r>
          </w:p>
        </w:tc>
      </w:tr>
    </w:tbl>
    <w:p w:rsidR="0002550C" w:rsidRDefault="0002550C" w:rsidP="0002550C"/>
    <w:p w:rsidR="0002550C" w:rsidRDefault="0002550C" w:rsidP="0002550C"/>
    <w:p w:rsidR="0002550C" w:rsidRDefault="0002550C" w:rsidP="0002550C"/>
    <w:p w:rsidR="0002550C" w:rsidRDefault="0002550C" w:rsidP="0002550C">
      <w:pPr>
        <w:pStyle w:val="Titolo1"/>
      </w:pPr>
      <w:r>
        <w:t>VANTAGGI ECONOMICI E SOSTENIBILITÀ GLOBALE</w:t>
      </w:r>
    </w:p>
    <w:p w:rsidR="0002550C" w:rsidRDefault="0002550C" w:rsidP="0002550C">
      <w:r w:rsidRPr="00292CA1">
        <w:t xml:space="preserve">Dal </w:t>
      </w:r>
      <w:r>
        <w:t>profilo</w:t>
      </w:r>
      <w:r w:rsidRPr="00292CA1">
        <w:t xml:space="preserve"> economico, l’</w:t>
      </w:r>
      <w:r>
        <w:t>allacciamento permetterà di beneficiare</w:t>
      </w:r>
      <w:r w:rsidRPr="00292CA1">
        <w:t xml:space="preserve"> di numerosi vantaggi, qui di seguito</w:t>
      </w:r>
      <w:r>
        <w:t xml:space="preserve"> riassunti</w:t>
      </w:r>
      <w:r w:rsidRPr="00292CA1">
        <w:t>:</w:t>
      </w:r>
    </w:p>
    <w:p w:rsidR="0002550C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Pr="001C1757">
        <w:rPr>
          <w:rFonts w:ascii="Arial" w:hAnsi="Arial" w:cs="Arial"/>
          <w:sz w:val="24"/>
          <w:szCs w:val="24"/>
        </w:rPr>
        <w:t xml:space="preserve">energia termica </w:t>
      </w:r>
      <w:r>
        <w:rPr>
          <w:rFonts w:ascii="Arial" w:hAnsi="Arial" w:cs="Arial"/>
          <w:sz w:val="24"/>
          <w:szCs w:val="24"/>
        </w:rPr>
        <w:t xml:space="preserve">sarà acquistata </w:t>
      </w:r>
      <w:r w:rsidRPr="001C1757">
        <w:rPr>
          <w:rFonts w:ascii="Arial" w:hAnsi="Arial" w:cs="Arial"/>
          <w:sz w:val="24"/>
          <w:szCs w:val="24"/>
        </w:rPr>
        <w:t>a condizioni economiche concorrenzi</w:t>
      </w:r>
      <w:r>
        <w:rPr>
          <w:rFonts w:ascii="Arial" w:hAnsi="Arial" w:cs="Arial"/>
          <w:sz w:val="24"/>
          <w:szCs w:val="24"/>
        </w:rPr>
        <w:t>ali rispetto a quelle esistenti;</w:t>
      </w:r>
    </w:p>
    <w:p w:rsidR="0002550C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impianti considerati in questo messaggio sono tutti impianti vetusti che necessitano a breve delle sostituzioni, in norma con le leggi attualmente in vigore (</w:t>
      </w:r>
      <w:proofErr w:type="spellStart"/>
      <w:r>
        <w:rPr>
          <w:rFonts w:ascii="Arial" w:hAnsi="Arial" w:cs="Arial"/>
          <w:sz w:val="24"/>
          <w:szCs w:val="24"/>
        </w:rPr>
        <w:t>Ruen</w:t>
      </w:r>
      <w:proofErr w:type="spellEnd"/>
      <w:r>
        <w:rPr>
          <w:rFonts w:ascii="Arial" w:hAnsi="Arial" w:cs="Arial"/>
          <w:sz w:val="24"/>
          <w:szCs w:val="24"/>
        </w:rPr>
        <w:t xml:space="preserve"> 2017)</w:t>
      </w:r>
      <w:r>
        <w:rPr>
          <w:rStyle w:val="Rimandonotaapidipagina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;  </w:t>
      </w:r>
    </w:p>
    <w:p w:rsidR="0002550C" w:rsidRPr="00E614AE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sostituzione di suddetti impianti comporta oneri non indifferenti come riportato nelle rispettive tabelle riassuntive di ciascun capitolo;</w:t>
      </w:r>
    </w:p>
    <w:p w:rsidR="0002550C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</w:t>
      </w:r>
      <w:r w:rsidRPr="001C1757">
        <w:rPr>
          <w:rFonts w:ascii="Arial" w:hAnsi="Arial" w:cs="Arial"/>
          <w:sz w:val="24"/>
          <w:szCs w:val="24"/>
        </w:rPr>
        <w:t xml:space="preserve">prezzo dell’energia </w:t>
      </w:r>
      <w:r>
        <w:rPr>
          <w:rFonts w:ascii="Arial" w:hAnsi="Arial" w:cs="Arial"/>
          <w:sz w:val="24"/>
          <w:szCs w:val="24"/>
        </w:rPr>
        <w:t>rimarrà stabile nel tempo in quanto</w:t>
      </w:r>
      <w:r w:rsidRPr="001C1757">
        <w:rPr>
          <w:rFonts w:ascii="Arial" w:hAnsi="Arial" w:cs="Arial"/>
          <w:sz w:val="24"/>
          <w:szCs w:val="24"/>
        </w:rPr>
        <w:t xml:space="preserve"> in gran parte legato ai cos</w:t>
      </w:r>
      <w:r>
        <w:rPr>
          <w:rFonts w:ascii="Arial" w:hAnsi="Arial" w:cs="Arial"/>
          <w:sz w:val="24"/>
          <w:szCs w:val="24"/>
        </w:rPr>
        <w:t>ti di realizzazione della rete. Inoltre il</w:t>
      </w:r>
      <w:r w:rsidRPr="00541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 sarà</w:t>
      </w:r>
      <w:r w:rsidRPr="00292CA1">
        <w:rPr>
          <w:rFonts w:ascii="Arial" w:hAnsi="Arial" w:cs="Arial"/>
          <w:sz w:val="24"/>
          <w:szCs w:val="24"/>
        </w:rPr>
        <w:t xml:space="preserve"> indipendente dall’andamento altalenante del prezzo </w:t>
      </w:r>
      <w:r>
        <w:rPr>
          <w:rFonts w:ascii="Arial" w:hAnsi="Arial" w:cs="Arial"/>
          <w:sz w:val="24"/>
          <w:szCs w:val="24"/>
        </w:rPr>
        <w:t>dei combustibili fossili per un periodo</w:t>
      </w:r>
      <w:r w:rsidRPr="00292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15 </w:t>
      </w:r>
      <w:r w:rsidRPr="00292CA1">
        <w:rPr>
          <w:rFonts w:ascii="Arial" w:hAnsi="Arial" w:cs="Arial"/>
          <w:sz w:val="24"/>
          <w:szCs w:val="24"/>
        </w:rPr>
        <w:t>anni (durata contrattuale);</w:t>
      </w:r>
    </w:p>
    <w:p w:rsidR="0002550C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rischio tecnico correlato alla produzione di calore non sarà posto a carico del Cantone ma verrà assunto integralmente</w:t>
      </w:r>
      <w:r w:rsidRPr="001C1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dalle ditte fornitrici di energia. Inoltre </w:t>
      </w:r>
      <w:r w:rsidRPr="00541D94">
        <w:rPr>
          <w:rFonts w:ascii="Arial" w:hAnsi="Arial" w:cs="Arial"/>
          <w:sz w:val="24"/>
          <w:szCs w:val="24"/>
        </w:rPr>
        <w:t xml:space="preserve">le perdite di produzione saranno assunte </w:t>
      </w:r>
      <w:r>
        <w:rPr>
          <w:rFonts w:ascii="Arial" w:hAnsi="Arial" w:cs="Arial"/>
          <w:sz w:val="24"/>
          <w:szCs w:val="24"/>
        </w:rPr>
        <w:t xml:space="preserve">anch’esse </w:t>
      </w:r>
      <w:r w:rsidRPr="00541D94">
        <w:rPr>
          <w:rFonts w:ascii="Arial" w:hAnsi="Arial" w:cs="Arial"/>
          <w:sz w:val="24"/>
          <w:szCs w:val="24"/>
        </w:rPr>
        <w:t>integralmente da</w:t>
      </w:r>
      <w:r>
        <w:rPr>
          <w:rFonts w:ascii="Arial" w:hAnsi="Arial" w:cs="Arial"/>
          <w:sz w:val="24"/>
          <w:szCs w:val="24"/>
        </w:rPr>
        <w:t>i fornitori</w:t>
      </w:r>
      <w:r w:rsidRPr="00541D94">
        <w:rPr>
          <w:rFonts w:ascii="Arial" w:hAnsi="Arial" w:cs="Arial"/>
          <w:sz w:val="24"/>
          <w:szCs w:val="24"/>
        </w:rPr>
        <w:t>;</w:t>
      </w:r>
    </w:p>
    <w:p w:rsidR="0002550C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disporrà di </w:t>
      </w:r>
      <w:r w:rsidRPr="001C1757">
        <w:rPr>
          <w:rFonts w:ascii="Arial" w:hAnsi="Arial" w:cs="Arial"/>
          <w:sz w:val="24"/>
          <w:szCs w:val="24"/>
        </w:rPr>
        <w:t>un sistema di fornitura di calore con contenuti oneri d’investimento e di gestione</w:t>
      </w:r>
      <w:r>
        <w:rPr>
          <w:rFonts w:ascii="Arial" w:hAnsi="Arial" w:cs="Arial"/>
          <w:sz w:val="24"/>
          <w:szCs w:val="24"/>
        </w:rPr>
        <w:t>;</w:t>
      </w:r>
    </w:p>
    <w:p w:rsidR="0002550C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impianto di teleriscaldamento comporta una miglior efficienza dell’impianto in se con meno emissioni di CO</w:t>
      </w:r>
      <w:r w:rsidRPr="0093297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 consumi di materia prima;</w:t>
      </w:r>
    </w:p>
    <w:p w:rsidR="0002550C" w:rsidRPr="00FF4797" w:rsidRDefault="0002550C" w:rsidP="0002550C">
      <w:pPr>
        <w:pStyle w:val="Paragrafoelenco2"/>
        <w:numPr>
          <w:ilvl w:val="0"/>
          <w:numId w:val="8"/>
        </w:numPr>
        <w:spacing w:before="8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aumenta il numero degli impianti di proprietà dello stato alimentati con biomassa legnosa proveniente dal nostro territorio e quindi dalla nostra economia.</w:t>
      </w:r>
    </w:p>
    <w:p w:rsidR="0002550C" w:rsidRDefault="0002550C" w:rsidP="0002550C"/>
    <w:p w:rsidR="0002550C" w:rsidRDefault="0002550C" w:rsidP="0002550C"/>
    <w:p w:rsidR="0002550C" w:rsidRDefault="0002550C" w:rsidP="0002550C"/>
    <w:p w:rsidR="0002550C" w:rsidRDefault="0002550C" w:rsidP="0002550C">
      <w:pPr>
        <w:pStyle w:val="Titolo1"/>
      </w:pPr>
      <w:r>
        <w:t>CONCLUSIONI</w:t>
      </w:r>
    </w:p>
    <w:p w:rsidR="0002550C" w:rsidRDefault="003A69CD" w:rsidP="0002550C">
      <w:pPr>
        <w:rPr>
          <w:rFonts w:cs="Arial"/>
        </w:rPr>
      </w:pPr>
      <w:r>
        <w:rPr>
          <w:rFonts w:cs="Arial"/>
        </w:rPr>
        <w:t>La C</w:t>
      </w:r>
      <w:r w:rsidR="0002550C">
        <w:rPr>
          <w:rFonts w:cs="Arial"/>
        </w:rPr>
        <w:t>ommissione gestione e finanz</w:t>
      </w:r>
      <w:r>
        <w:rPr>
          <w:rFonts w:cs="Arial"/>
        </w:rPr>
        <w:t>e</w:t>
      </w:r>
      <w:r w:rsidR="0002550C">
        <w:rPr>
          <w:rFonts w:cs="Arial"/>
        </w:rPr>
        <w:t xml:space="preserve"> valuta positivamente lo sviluppo concreto degli intendimenti governativi a sostegno di questa fonte rinnovabile </w:t>
      </w:r>
      <w:r>
        <w:rPr>
          <w:rFonts w:cs="Arial"/>
        </w:rPr>
        <w:t>autoctona</w:t>
      </w:r>
      <w:r w:rsidR="0002550C">
        <w:rPr>
          <w:rFonts w:cs="Arial"/>
        </w:rPr>
        <w:t xml:space="preserve"> con ricadute tangibili per il settore economico forestale. L</w:t>
      </w:r>
      <w:r w:rsidR="0002550C" w:rsidRPr="009C399F">
        <w:t>’attualità del progetto, il suo coerente inserimento negli obiettivi di politica economica previsti dalla piattaforma bosco-legno (</w:t>
      </w:r>
      <w:r>
        <w:t>p</w:t>
      </w:r>
      <w:r w:rsidR="0002550C" w:rsidRPr="009C399F">
        <w:t>iattaforma che sostiene in modo particolare la messa in atto di sinergie interaziendali, l’industrializzazione di processi e la valorizzazione dei prodotti) e la sostenibilità finanziaria del progetto preavvisa favorevolmente la concessione del sussidio come indicato ne</w:t>
      </w:r>
      <w:r w:rsidR="0002550C">
        <w:t>l messaggio in esame.</w:t>
      </w:r>
      <w:r w:rsidR="0002550C">
        <w:rPr>
          <w:rFonts w:cs="Arial"/>
        </w:rPr>
        <w:t xml:space="preserve"> 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02550C" w:rsidP="00076E70">
      <w:pPr>
        <w:rPr>
          <w:rFonts w:cs="Arial"/>
          <w:szCs w:val="24"/>
        </w:rPr>
      </w:pPr>
      <w:r>
        <w:rPr>
          <w:rFonts w:cs="Arial"/>
          <w:szCs w:val="24"/>
        </w:rPr>
        <w:t>Michele Guerra</w:t>
      </w:r>
      <w:r w:rsidR="00076E70" w:rsidRPr="00076E70">
        <w:rPr>
          <w:rFonts w:cs="Arial"/>
          <w:szCs w:val="24"/>
        </w:rPr>
        <w:t>, relatore</w:t>
      </w:r>
    </w:p>
    <w:p w:rsidR="001D1B2A" w:rsidRDefault="001D1B2A" w:rsidP="001D1B2A">
      <w:pPr>
        <w:rPr>
          <w:rFonts w:cs="Arial"/>
        </w:rPr>
      </w:pPr>
      <w:bookmarkStart w:id="3" w:name="OLE_LINK1"/>
      <w:bookmarkStart w:id="4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Caverzasio - Dadò - </w:t>
      </w:r>
    </w:p>
    <w:p w:rsidR="001D1B2A" w:rsidRDefault="001D1B2A" w:rsidP="001D1B2A">
      <w:pPr>
        <w:rPr>
          <w:rFonts w:cs="Arial"/>
        </w:rPr>
      </w:pPr>
      <w:r>
        <w:rPr>
          <w:rFonts w:cs="Arial"/>
        </w:rPr>
        <w:t xml:space="preserve">De Rosa - Denti - Durisch - Farinelli - </w:t>
      </w:r>
    </w:p>
    <w:p w:rsidR="001D1B2A" w:rsidRDefault="001D1B2A" w:rsidP="001D1B2A">
      <w:pPr>
        <w:rPr>
          <w:rFonts w:cs="Arial"/>
        </w:rPr>
      </w:pPr>
      <w:r>
        <w:rPr>
          <w:rFonts w:cs="Arial"/>
        </w:rPr>
        <w:t xml:space="preserve">Frapolli - Garobbio - Kandemir Bordoli - </w:t>
      </w:r>
    </w:p>
    <w:p w:rsidR="001D1B2A" w:rsidRDefault="001D1B2A" w:rsidP="001D1B2A">
      <w:pPr>
        <w:rPr>
          <w:rFonts w:cs="Arial"/>
        </w:rPr>
      </w:pPr>
      <w:r>
        <w:rPr>
          <w:rFonts w:cs="Arial"/>
        </w:rPr>
        <w:t>Pini - Pinoja</w:t>
      </w:r>
    </w:p>
    <w:bookmarkEnd w:id="3"/>
    <w:bookmarkEnd w:id="4"/>
    <w:p w:rsidR="00076E70" w:rsidRPr="00076E70" w:rsidRDefault="00076E70" w:rsidP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EF" w:rsidRDefault="005913EF" w:rsidP="008E77C6">
      <w:r>
        <w:separator/>
      </w:r>
    </w:p>
  </w:endnote>
  <w:endnote w:type="continuationSeparator" w:id="0">
    <w:p w:rsidR="005913EF" w:rsidRDefault="005913E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F7F78" w:rsidRPr="006F7F78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EF" w:rsidRDefault="005913EF" w:rsidP="008E77C6">
      <w:r>
        <w:separator/>
      </w:r>
    </w:p>
  </w:footnote>
  <w:footnote w:type="continuationSeparator" w:id="0">
    <w:p w:rsidR="005913EF" w:rsidRDefault="005913EF" w:rsidP="008E77C6">
      <w:r>
        <w:continuationSeparator/>
      </w:r>
    </w:p>
  </w:footnote>
  <w:footnote w:id="1">
    <w:p w:rsidR="0002550C" w:rsidRPr="00131EC4" w:rsidRDefault="0002550C" w:rsidP="0002550C">
      <w:pPr>
        <w:pStyle w:val="Testonotaapidipagina"/>
        <w:rPr>
          <w:rFonts w:cs="Arial"/>
          <w:sz w:val="16"/>
          <w:szCs w:val="16"/>
        </w:rPr>
      </w:pPr>
      <w:r w:rsidRPr="00131EC4">
        <w:rPr>
          <w:rStyle w:val="Rimandonotaapidipagina"/>
          <w:rFonts w:cs="Arial"/>
          <w:sz w:val="16"/>
          <w:szCs w:val="16"/>
        </w:rPr>
        <w:footnoteRef/>
      </w:r>
      <w:r w:rsidRPr="00131EC4">
        <w:rPr>
          <w:rFonts w:cs="Arial"/>
          <w:sz w:val="16"/>
          <w:szCs w:val="16"/>
        </w:rPr>
        <w:t xml:space="preserve"> Preventivo di massima sostituzione impianto secondo art.15 </w:t>
      </w:r>
      <w:proofErr w:type="spellStart"/>
      <w:r w:rsidRPr="00131EC4">
        <w:rPr>
          <w:rFonts w:cs="Arial"/>
          <w:sz w:val="16"/>
          <w:szCs w:val="16"/>
        </w:rPr>
        <w:t>Ruen</w:t>
      </w:r>
      <w:proofErr w:type="spellEnd"/>
      <w:r w:rsidRPr="00131EC4">
        <w:rPr>
          <w:rFonts w:cs="Arial"/>
          <w:sz w:val="16"/>
          <w:szCs w:val="16"/>
        </w:rPr>
        <w:t xml:space="preserve"> 2015.</w:t>
      </w:r>
    </w:p>
  </w:footnote>
  <w:footnote w:id="2">
    <w:p w:rsidR="0002550C" w:rsidRPr="00E614AE" w:rsidRDefault="0002550C" w:rsidP="0002550C">
      <w:pPr>
        <w:pStyle w:val="Testonotaapidipagina"/>
        <w:rPr>
          <w:rFonts w:cs="Arial"/>
          <w:sz w:val="14"/>
          <w:szCs w:val="14"/>
        </w:rPr>
      </w:pPr>
      <w:r w:rsidRPr="00E614AE">
        <w:rPr>
          <w:rStyle w:val="Rimandonotaapidipagina"/>
          <w:rFonts w:cs="Arial"/>
          <w:sz w:val="14"/>
          <w:szCs w:val="14"/>
        </w:rPr>
        <w:footnoteRef/>
      </w:r>
      <w:r w:rsidRPr="00E614AE">
        <w:rPr>
          <w:rFonts w:cs="Arial"/>
          <w:sz w:val="14"/>
          <w:szCs w:val="14"/>
        </w:rPr>
        <w:t xml:space="preserve"> Preventivo di massima sostituzione impianto secondo art.15 </w:t>
      </w:r>
      <w:proofErr w:type="spellStart"/>
      <w:r w:rsidRPr="00E614AE">
        <w:rPr>
          <w:rFonts w:cs="Arial"/>
          <w:sz w:val="14"/>
          <w:szCs w:val="14"/>
        </w:rPr>
        <w:t>Ruen</w:t>
      </w:r>
      <w:proofErr w:type="spellEnd"/>
      <w:r w:rsidRPr="00E614AE">
        <w:rPr>
          <w:rFonts w:cs="Arial"/>
          <w:sz w:val="14"/>
          <w:szCs w:val="14"/>
        </w:rPr>
        <w:t xml:space="preserve"> 2015.</w:t>
      </w:r>
    </w:p>
  </w:footnote>
  <w:footnote w:id="3">
    <w:p w:rsidR="0002550C" w:rsidRPr="00E614AE" w:rsidRDefault="0002550C" w:rsidP="0002550C">
      <w:pPr>
        <w:pStyle w:val="Testonotaapidipagina"/>
        <w:rPr>
          <w:rFonts w:cs="Arial"/>
          <w:sz w:val="14"/>
          <w:szCs w:val="14"/>
        </w:rPr>
      </w:pPr>
      <w:r w:rsidRPr="00E614AE">
        <w:rPr>
          <w:rStyle w:val="Rimandonotaapidipagina"/>
          <w:rFonts w:cs="Arial"/>
          <w:sz w:val="14"/>
          <w:szCs w:val="14"/>
        </w:rPr>
        <w:footnoteRef/>
      </w:r>
      <w:r w:rsidRPr="00E614AE">
        <w:rPr>
          <w:rFonts w:cs="Arial"/>
          <w:sz w:val="14"/>
          <w:szCs w:val="14"/>
        </w:rPr>
        <w:t xml:space="preserve"> Preventivo di massima sostituzione impianto secondo art.15 </w:t>
      </w:r>
      <w:proofErr w:type="spellStart"/>
      <w:r w:rsidRPr="00E614AE">
        <w:rPr>
          <w:rFonts w:cs="Arial"/>
          <w:sz w:val="14"/>
          <w:szCs w:val="14"/>
        </w:rPr>
        <w:t>Ruen</w:t>
      </w:r>
      <w:proofErr w:type="spellEnd"/>
      <w:r w:rsidRPr="00E614AE">
        <w:rPr>
          <w:rFonts w:cs="Arial"/>
          <w:sz w:val="14"/>
          <w:szCs w:val="14"/>
        </w:rPr>
        <w:t xml:space="preserve"> 2015.</w:t>
      </w:r>
    </w:p>
  </w:footnote>
  <w:footnote w:id="4">
    <w:p w:rsidR="0002550C" w:rsidRPr="00C13AE1" w:rsidRDefault="0002550C" w:rsidP="0002550C">
      <w:pPr>
        <w:shd w:val="clear" w:color="auto" w:fill="FFFFFF"/>
        <w:contextualSpacing/>
        <w:jc w:val="left"/>
        <w:rPr>
          <w:rFonts w:cs="Arial"/>
          <w:b/>
          <w:sz w:val="16"/>
          <w:szCs w:val="16"/>
          <w:lang w:eastAsia="it-CH"/>
        </w:rPr>
      </w:pPr>
      <w:r w:rsidRPr="00C13AE1">
        <w:rPr>
          <w:rStyle w:val="Rimandonotaapidipagina"/>
          <w:sz w:val="16"/>
          <w:szCs w:val="16"/>
        </w:rPr>
        <w:footnoteRef/>
      </w:r>
      <w:r w:rsidRPr="00C13AE1">
        <w:rPr>
          <w:sz w:val="16"/>
          <w:szCs w:val="16"/>
        </w:rPr>
        <w:t xml:space="preserve"> </w:t>
      </w:r>
      <w:bookmarkStart w:id="1" w:name="_Toc184385114"/>
      <w:bookmarkStart w:id="2" w:name="_Toc184522992"/>
      <w:r w:rsidRPr="00C13AE1">
        <w:rPr>
          <w:rFonts w:cs="Arial"/>
          <w:b/>
          <w:sz w:val="16"/>
          <w:szCs w:val="16"/>
          <w:lang w:eastAsia="it-CH"/>
        </w:rPr>
        <w:t>Esigenze accresciute per le energie rinnovabili</w:t>
      </w:r>
      <w:r>
        <w:rPr>
          <w:rFonts w:cs="Arial"/>
          <w:b/>
          <w:sz w:val="16"/>
          <w:szCs w:val="16"/>
          <w:lang w:eastAsia="it-CH"/>
        </w:rPr>
        <w:t xml:space="preserve"> </w:t>
      </w:r>
      <w:r w:rsidRPr="00C13AE1">
        <w:rPr>
          <w:rFonts w:cs="Arial"/>
          <w:b/>
          <w:sz w:val="16"/>
          <w:szCs w:val="16"/>
          <w:lang w:eastAsia="it-CH"/>
        </w:rPr>
        <w:t>negli edifici pubblici, parastatali o sussidiati</w:t>
      </w:r>
    </w:p>
    <w:p w:rsidR="0002550C" w:rsidRPr="00C13AE1" w:rsidRDefault="0002550C" w:rsidP="0002550C">
      <w:pPr>
        <w:shd w:val="clear" w:color="auto" w:fill="FFFFFF"/>
        <w:contextualSpacing/>
        <w:rPr>
          <w:rFonts w:cs="Arial"/>
          <w:sz w:val="16"/>
          <w:szCs w:val="16"/>
          <w:lang w:eastAsia="it-CH"/>
        </w:rPr>
      </w:pPr>
      <w:r w:rsidRPr="00C13AE1">
        <w:rPr>
          <w:rFonts w:cs="Arial"/>
          <w:b/>
          <w:sz w:val="16"/>
          <w:szCs w:val="16"/>
          <w:lang w:eastAsia="it-CH"/>
        </w:rPr>
        <w:t>Art. 15</w:t>
      </w:r>
      <w:r w:rsidRPr="00C13AE1">
        <w:rPr>
          <w:rFonts w:cs="Arial"/>
          <w:sz w:val="16"/>
          <w:szCs w:val="16"/>
          <w:lang w:eastAsia="it-CH"/>
        </w:rPr>
        <w:tab/>
      </w:r>
      <w:r w:rsidR="003A69CD" w:rsidRPr="003A69CD">
        <w:rPr>
          <w:rFonts w:cs="Arial"/>
          <w:sz w:val="16"/>
          <w:szCs w:val="16"/>
          <w:vertAlign w:val="superscript"/>
          <w:lang w:eastAsia="it-CH"/>
        </w:rPr>
        <w:t>1</w:t>
      </w:r>
      <w:r w:rsidR="003A69CD">
        <w:rPr>
          <w:rFonts w:cs="Arial"/>
          <w:sz w:val="16"/>
          <w:szCs w:val="16"/>
          <w:lang w:eastAsia="it-CH"/>
        </w:rPr>
        <w:t xml:space="preserve">Di </w:t>
      </w:r>
      <w:r w:rsidRPr="00C13AE1">
        <w:rPr>
          <w:rFonts w:cs="Arial"/>
          <w:sz w:val="16"/>
          <w:szCs w:val="16"/>
          <w:lang w:eastAsia="it-CH"/>
        </w:rPr>
        <w:t>principio non è ammessa l’installazione di sistemi alimentati con combustibili fossili per il riscaldamento e la produzione di acqua calda sanitaria in edifici pubblici, parastatali o sussidiati di nuova costruzione.</w:t>
      </w:r>
    </w:p>
    <w:p w:rsidR="0002550C" w:rsidRPr="00C13AE1" w:rsidRDefault="003A69CD" w:rsidP="0002550C">
      <w:pPr>
        <w:shd w:val="clear" w:color="auto" w:fill="FFFFFF"/>
        <w:contextualSpacing/>
        <w:rPr>
          <w:rFonts w:cs="Arial"/>
          <w:sz w:val="16"/>
          <w:szCs w:val="16"/>
          <w:lang w:eastAsia="it-CH"/>
        </w:rPr>
      </w:pPr>
      <w:r w:rsidRPr="003A69CD">
        <w:rPr>
          <w:rFonts w:cs="Arial"/>
          <w:sz w:val="16"/>
          <w:szCs w:val="16"/>
          <w:vertAlign w:val="superscript"/>
          <w:lang w:eastAsia="it-CH"/>
        </w:rPr>
        <w:t>2</w:t>
      </w:r>
      <w:r>
        <w:rPr>
          <w:rFonts w:cs="Arial"/>
          <w:sz w:val="16"/>
          <w:szCs w:val="16"/>
          <w:lang w:eastAsia="it-CH"/>
        </w:rPr>
        <w:t>N</w:t>
      </w:r>
      <w:r w:rsidR="0002550C" w:rsidRPr="00C13AE1">
        <w:rPr>
          <w:rFonts w:cs="Arial"/>
          <w:sz w:val="16"/>
          <w:szCs w:val="16"/>
          <w:lang w:eastAsia="it-CH"/>
        </w:rPr>
        <w:t>ella sostituzione di sistemi alimentati con combustibili fossili per il riscaldamento e la produzione di acqua calda sanitaria di edifici pubblici, parastatali o sussidiati esistenti, deve essere coperta una quota minima di sfruttamento di energia rinnovabile pari ad almeno il 40% del fabbisogno complessivo di energia per il riscaldamento presente prima della sostituzione dell’impianto, e il 50% del fabbisogno di energia per la produzione di acqua calda sanitaria. Nel computo della quota di energia rinnovabile necessaria per coprire il fabbisogno energetico per il riscaldamento è possibile tenere conto di riduzioni del fabbisogno energetico dell’edificio ottenute tramite interventi di coibentazione termica.</w:t>
      </w:r>
    </w:p>
    <w:p w:rsidR="0002550C" w:rsidRPr="00C13AE1" w:rsidRDefault="003A69CD" w:rsidP="0002550C">
      <w:pPr>
        <w:shd w:val="clear" w:color="auto" w:fill="FFFFFF"/>
        <w:contextualSpacing/>
        <w:rPr>
          <w:sz w:val="16"/>
          <w:szCs w:val="16"/>
        </w:rPr>
      </w:pPr>
      <w:r w:rsidRPr="003A69CD">
        <w:rPr>
          <w:rFonts w:cs="Arial"/>
          <w:sz w:val="16"/>
          <w:szCs w:val="16"/>
          <w:vertAlign w:val="superscript"/>
          <w:lang w:eastAsia="it-CH"/>
        </w:rPr>
        <w:t>3</w:t>
      </w:r>
      <w:r>
        <w:rPr>
          <w:rFonts w:cs="Arial"/>
          <w:sz w:val="16"/>
          <w:szCs w:val="16"/>
          <w:lang w:eastAsia="it-CH"/>
        </w:rPr>
        <w:t>Le</w:t>
      </w:r>
      <w:r w:rsidR="0002550C" w:rsidRPr="00C13AE1">
        <w:rPr>
          <w:rFonts w:cs="Arial"/>
          <w:sz w:val="16"/>
          <w:szCs w:val="16"/>
          <w:lang w:eastAsia="it-CH"/>
        </w:rPr>
        <w:t xml:space="preserve"> esigenze di cui ai cpv. 1 e 2 sono ritenute soddisfatte nel caso di allacciamenti a reti di teleriscaldamento alimentate da impianti di cogenerazione a gas naturale.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D7EE9"/>
    <w:multiLevelType w:val="multilevel"/>
    <w:tmpl w:val="F5D0E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AF48EB"/>
    <w:multiLevelType w:val="hybridMultilevel"/>
    <w:tmpl w:val="55BC740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5FCF"/>
    <w:multiLevelType w:val="hybridMultilevel"/>
    <w:tmpl w:val="E674861A"/>
    <w:lvl w:ilvl="0" w:tplc="32E01A3A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E2E9A"/>
    <w:multiLevelType w:val="multilevel"/>
    <w:tmpl w:val="25582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9466A05"/>
    <w:multiLevelType w:val="hybridMultilevel"/>
    <w:tmpl w:val="0316C274"/>
    <w:lvl w:ilvl="0" w:tplc="4EAC90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2550C"/>
    <w:rsid w:val="00076E70"/>
    <w:rsid w:val="001D1B2A"/>
    <w:rsid w:val="002E5E40"/>
    <w:rsid w:val="003A69CD"/>
    <w:rsid w:val="0052425A"/>
    <w:rsid w:val="00586A8D"/>
    <w:rsid w:val="005913EF"/>
    <w:rsid w:val="006D7A3B"/>
    <w:rsid w:val="006F7F78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2550C"/>
    <w:pPr>
      <w:keepNext/>
      <w:numPr>
        <w:numId w:val="5"/>
      </w:numPr>
      <w:tabs>
        <w:tab w:val="left" w:pos="567"/>
      </w:tabs>
      <w:spacing w:after="120"/>
      <w:ind w:hanging="720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2550C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02550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550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02550C"/>
    <w:rPr>
      <w:vertAlign w:val="superscript"/>
    </w:rPr>
  </w:style>
  <w:style w:type="paragraph" w:customStyle="1" w:styleId="Paragrafoelenco2">
    <w:name w:val="Paragrafo elenco2"/>
    <w:basedOn w:val="Normale"/>
    <w:rsid w:val="0002550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2550C"/>
    <w:pPr>
      <w:keepNext/>
      <w:numPr>
        <w:numId w:val="5"/>
      </w:numPr>
      <w:tabs>
        <w:tab w:val="left" w:pos="567"/>
      </w:tabs>
      <w:spacing w:after="120"/>
      <w:ind w:hanging="720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2550C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02550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550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02550C"/>
    <w:rPr>
      <w:vertAlign w:val="superscript"/>
    </w:rPr>
  </w:style>
  <w:style w:type="paragraph" w:customStyle="1" w:styleId="Paragrafoelenco2">
    <w:name w:val="Paragrafo elenco2"/>
    <w:basedOn w:val="Normale"/>
    <w:rsid w:val="0002550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E950-094F-4D33-9011-A7E8AA1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dcterms:created xsi:type="dcterms:W3CDTF">2017-05-16T09:50:00Z</dcterms:created>
  <dcterms:modified xsi:type="dcterms:W3CDTF">2017-05-23T12:54:00Z</dcterms:modified>
</cp:coreProperties>
</file>