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6D7A3B" w:rsidRDefault="00123D05">
      <w:pPr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066175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7304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7 giugno 2017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SANITÀ E SOCIALITÀ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066175" w:rsidRPr="003F1B6C" w:rsidRDefault="00066175" w:rsidP="00066175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:rsidR="00066175" w:rsidRPr="00911828" w:rsidRDefault="00066175" w:rsidP="00066175">
      <w:pPr>
        <w:ind w:right="-1"/>
        <w:rPr>
          <w:b/>
          <w:i/>
          <w:sz w:val="28"/>
          <w:szCs w:val="28"/>
        </w:rPr>
      </w:pPr>
      <w:bookmarkStart w:id="1" w:name="_Toc151192545"/>
      <w:bookmarkStart w:id="2" w:name="_Toc151192911"/>
      <w:r w:rsidRPr="003B08FC">
        <w:rPr>
          <w:b/>
          <w:sz w:val="28"/>
          <w:szCs w:val="28"/>
        </w:rPr>
        <w:t>su</w:t>
      </w:r>
      <w:r>
        <w:rPr>
          <w:b/>
          <w:sz w:val="28"/>
          <w:szCs w:val="28"/>
        </w:rPr>
        <w:t>lla mozione 25 gennaio 2016</w:t>
      </w:r>
      <w:r w:rsidRPr="003B08FC">
        <w:rPr>
          <w:b/>
          <w:sz w:val="28"/>
          <w:szCs w:val="28"/>
        </w:rPr>
        <w:t xml:space="preserve"> presentata da </w:t>
      </w:r>
      <w:r>
        <w:rPr>
          <w:b/>
          <w:sz w:val="28"/>
          <w:szCs w:val="28"/>
        </w:rPr>
        <w:t>Patrizia Ramsauer</w:t>
      </w:r>
      <w:r w:rsidRPr="003B08FC">
        <w:rPr>
          <w:b/>
          <w:sz w:val="28"/>
          <w:szCs w:val="28"/>
        </w:rPr>
        <w:t xml:space="preserve"> </w:t>
      </w:r>
      <w:r w:rsidRPr="00066175">
        <w:rPr>
          <w:b/>
          <w:sz w:val="28"/>
          <w:szCs w:val="28"/>
        </w:rPr>
        <w:t>"Il proprietario deve sapere e poter scegliere</w:t>
      </w:r>
      <w:r>
        <w:rPr>
          <w:b/>
          <w:sz w:val="28"/>
          <w:szCs w:val="28"/>
        </w:rPr>
        <w:t>!</w:t>
      </w:r>
      <w:r w:rsidRPr="00066175">
        <w:rPr>
          <w:b/>
          <w:sz w:val="28"/>
          <w:szCs w:val="28"/>
        </w:rPr>
        <w:t>"</w:t>
      </w:r>
    </w:p>
    <w:p w:rsidR="00066175" w:rsidRPr="002404E4" w:rsidRDefault="00066175" w:rsidP="00066175">
      <w:pPr>
        <w:tabs>
          <w:tab w:val="left" w:pos="426"/>
        </w:tabs>
        <w:spacing w:before="100"/>
        <w:rPr>
          <w:rFonts w:cs="Arial"/>
          <w:b/>
          <w:sz w:val="26"/>
          <w:szCs w:val="26"/>
        </w:rPr>
      </w:pPr>
      <w:r w:rsidRPr="002404E4">
        <w:rPr>
          <w:rFonts w:cs="Arial"/>
          <w:b/>
          <w:sz w:val="26"/>
          <w:szCs w:val="26"/>
        </w:rPr>
        <w:t>(v</w:t>
      </w:r>
      <w:r>
        <w:rPr>
          <w:rFonts w:cs="Arial"/>
          <w:b/>
          <w:sz w:val="26"/>
          <w:szCs w:val="26"/>
        </w:rPr>
        <w:t>.</w:t>
      </w:r>
      <w:r w:rsidRPr="002404E4">
        <w:rPr>
          <w:rFonts w:cs="Arial"/>
          <w:b/>
          <w:sz w:val="26"/>
          <w:szCs w:val="26"/>
        </w:rPr>
        <w:t xml:space="preserve"> messag</w:t>
      </w:r>
      <w:r w:rsidRPr="00A1316E">
        <w:rPr>
          <w:rFonts w:cs="Arial"/>
          <w:b/>
          <w:sz w:val="26"/>
          <w:szCs w:val="26"/>
        </w:rPr>
        <w:t xml:space="preserve">gio </w:t>
      </w:r>
      <w:r>
        <w:rPr>
          <w:b/>
          <w:sz w:val="26"/>
          <w:szCs w:val="26"/>
        </w:rPr>
        <w:t>12 aprile 2017</w:t>
      </w:r>
      <w:r w:rsidRPr="00A1316E">
        <w:rPr>
          <w:rFonts w:cs="Arial"/>
          <w:b/>
          <w:sz w:val="26"/>
          <w:szCs w:val="26"/>
        </w:rPr>
        <w:t xml:space="preserve"> n. </w:t>
      </w:r>
      <w:r w:rsidR="00E1737B">
        <w:rPr>
          <w:rFonts w:cs="Arial"/>
          <w:b/>
          <w:sz w:val="26"/>
          <w:szCs w:val="26"/>
        </w:rPr>
        <w:t>7304</w:t>
      </w:r>
      <w:r w:rsidRPr="00A1316E">
        <w:rPr>
          <w:rFonts w:cs="Arial"/>
          <w:b/>
          <w:sz w:val="26"/>
          <w:szCs w:val="26"/>
        </w:rPr>
        <w:t>)</w:t>
      </w:r>
    </w:p>
    <w:p w:rsidR="00066175" w:rsidRDefault="00066175" w:rsidP="0006617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066175" w:rsidRPr="004D78B1" w:rsidRDefault="00066175" w:rsidP="00066175">
      <w:pPr>
        <w:tabs>
          <w:tab w:val="left" w:pos="1985"/>
          <w:tab w:val="left" w:pos="4933"/>
        </w:tabs>
        <w:ind w:right="-1"/>
        <w:rPr>
          <w:rFonts w:cs="Arial"/>
          <w:szCs w:val="24"/>
        </w:rPr>
      </w:pPr>
    </w:p>
    <w:p w:rsidR="00066175" w:rsidRDefault="00066175" w:rsidP="00066175"/>
    <w:bookmarkEnd w:id="1"/>
    <w:bookmarkEnd w:id="2"/>
    <w:p w:rsidR="00066175" w:rsidRPr="00665149" w:rsidRDefault="00066175" w:rsidP="0006617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 w:rsidRPr="00665149">
        <w:rPr>
          <w:rFonts w:ascii="Arial Grassetto" w:eastAsia="MS Mincho" w:hAnsi="Arial Grassetto" w:cs="Arial"/>
          <w:b/>
          <w:caps/>
          <w:szCs w:val="24"/>
        </w:rPr>
        <w:t>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introduzione</w:t>
      </w:r>
    </w:p>
    <w:p w:rsidR="00066175" w:rsidRDefault="00066175" w:rsidP="00066175">
      <w:r>
        <w:t xml:space="preserve">Contattata per fissare l'audizione la collega Ramsauer ha dichiarato di non voler replicare le dichiarazioni già espresse in occasione dell'audizione sull'iniziativa generica </w:t>
      </w:r>
      <w:r>
        <w:rPr>
          <w:i/>
        </w:rPr>
        <w:t>"</w:t>
      </w:r>
      <w:r w:rsidRPr="00911828">
        <w:rPr>
          <w:i/>
        </w:rPr>
        <w:t>Gatti e microchip</w:t>
      </w:r>
      <w:r>
        <w:rPr>
          <w:i/>
        </w:rPr>
        <w:t>"</w:t>
      </w:r>
      <w:r>
        <w:t xml:space="preserve"> presentata il 3 novembre 2014 e ritenuta evasa positivamente con il rapporto della Commissione della legislazione del 20 maggio 2015.</w:t>
      </w:r>
    </w:p>
    <w:p w:rsidR="00066175" w:rsidRDefault="00066175" w:rsidP="00066175"/>
    <w:p w:rsidR="00066175" w:rsidRDefault="00066175" w:rsidP="00066175">
      <w:r>
        <w:t>Durante la discussione nel plenum l'</w:t>
      </w:r>
      <w:proofErr w:type="spellStart"/>
      <w:r>
        <w:t>iniziativista</w:t>
      </w:r>
      <w:proofErr w:type="spellEnd"/>
      <w:r>
        <w:t xml:space="preserve"> ha ritirato l'atto parlamentare.</w:t>
      </w:r>
    </w:p>
    <w:p w:rsidR="00066175" w:rsidRDefault="00066175" w:rsidP="00066175"/>
    <w:p w:rsidR="00066175" w:rsidRDefault="00066175" w:rsidP="00066175">
      <w:r>
        <w:t xml:space="preserve">Il 24 giugno 2015 la collega Ramsauer presentava una seconda iniziativa generica, questa volta denominata </w:t>
      </w:r>
      <w:r>
        <w:rPr>
          <w:i/>
        </w:rPr>
        <w:t>"</w:t>
      </w:r>
      <w:r w:rsidRPr="00911828">
        <w:rPr>
          <w:i/>
        </w:rPr>
        <w:t>Il proprietario deve sapere e poter scegliere</w:t>
      </w:r>
      <w:r>
        <w:rPr>
          <w:i/>
        </w:rPr>
        <w:t>"</w:t>
      </w:r>
      <w:r>
        <w:t>, sostenuta dalle medesime argomentazioni.</w:t>
      </w:r>
    </w:p>
    <w:p w:rsidR="00066175" w:rsidRDefault="00066175" w:rsidP="00066175"/>
    <w:p w:rsidR="00066175" w:rsidRDefault="00066175" w:rsidP="00066175">
      <w:r>
        <w:t>La Commissione della legislazione, con il rapporto del 2 dicembre 2015, riteneva positivamente evaso anche questo secondo atto parlamentare, che l'</w:t>
      </w:r>
      <w:proofErr w:type="spellStart"/>
      <w:r>
        <w:t>iniziativista</w:t>
      </w:r>
      <w:proofErr w:type="spellEnd"/>
      <w:r>
        <w:t xml:space="preserve"> nuovamente ritirava.</w:t>
      </w:r>
    </w:p>
    <w:p w:rsidR="00066175" w:rsidRDefault="00066175" w:rsidP="00066175"/>
    <w:p w:rsidR="00066175" w:rsidRPr="005704CC" w:rsidRDefault="00066175" w:rsidP="00066175">
      <w:pPr>
        <w:ind w:right="-1"/>
        <w:rPr>
          <w:szCs w:val="24"/>
        </w:rPr>
      </w:pPr>
      <w:r>
        <w:t xml:space="preserve">La mozione in esame ripropone le stesse proposte dei due atti precedenti. In sostanza chiede che si giunga a promulgare una base legale affinché per ogni ritrovamento di una carcassa di animale portatore di </w:t>
      </w:r>
      <w:proofErr w:type="spellStart"/>
      <w:r>
        <w:t>microcip</w:t>
      </w:r>
      <w:proofErr w:type="spellEnd"/>
      <w:r>
        <w:t xml:space="preserve"> sia individuato e avvisato il legittimo proprietario, che potrà poi decidere quale sorte dare al suo animale.</w:t>
      </w:r>
    </w:p>
    <w:p w:rsidR="00066175" w:rsidRPr="004D78B1" w:rsidRDefault="00066175" w:rsidP="00066175">
      <w:pPr>
        <w:ind w:right="-1"/>
        <w:rPr>
          <w:szCs w:val="24"/>
        </w:rPr>
      </w:pPr>
    </w:p>
    <w:p w:rsidR="00066175" w:rsidRPr="00665149" w:rsidRDefault="00066175" w:rsidP="00066175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066175" w:rsidRDefault="00066175" w:rsidP="0006617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</w:t>
      </w:r>
      <w:r w:rsidRPr="00665149">
        <w:rPr>
          <w:rFonts w:ascii="Arial Grassetto" w:eastAsia="MS Mincho" w:hAnsi="Arial Grassetto" w:cs="Arial"/>
          <w:b/>
          <w:caps/>
          <w:szCs w:val="24"/>
        </w:rPr>
        <w:t>I.</w:t>
      </w:r>
      <w:r w:rsidRPr="00665149">
        <w:rPr>
          <w:rFonts w:ascii="Arial Grassetto" w:eastAsia="MS Mincho" w:hAnsi="Arial Grassetto" w:cs="Arial"/>
          <w:b/>
          <w:caps/>
          <w:szCs w:val="24"/>
        </w:rPr>
        <w:tab/>
      </w:r>
      <w:r>
        <w:rPr>
          <w:rFonts w:ascii="Arial Grassetto" w:eastAsia="MS Mincho" w:hAnsi="Arial Grassetto" w:cs="Arial"/>
          <w:b/>
          <w:caps/>
          <w:szCs w:val="24"/>
        </w:rPr>
        <w:t>il messaggio del Consiglio di stato</w:t>
      </w:r>
    </w:p>
    <w:p w:rsidR="00066175" w:rsidRDefault="00066175" w:rsidP="00066175">
      <w:r>
        <w:t>Il Consiglio di Stato ripercorre l'iter delle due analoghe iniziative generiche presentate dalla deputata Ramsauer e ribadisce le precedenti prese di posizione.</w:t>
      </w:r>
    </w:p>
    <w:p w:rsidR="00066175" w:rsidRDefault="00066175" w:rsidP="00066175"/>
    <w:p w:rsidR="00066175" w:rsidRDefault="00066175" w:rsidP="00066175">
      <w:r>
        <w:t>La novità intervenuta dopo la presentazione di questo ulteriore atto parlamentare è sicuramente la comunicazione inviata ai Comuni nel settembre 2016 dall'Ufficio del veterinario cantonale. Nella missiva si afferma che l'obiettivo della mozione Ramsauer è condiviso ed è raggiungibile attraverso misure di facile applicazione:</w:t>
      </w:r>
    </w:p>
    <w:p w:rsidR="00066175" w:rsidRDefault="00066175" w:rsidP="004C15AD">
      <w:pPr>
        <w:pStyle w:val="Paragrafoelenco"/>
        <w:numPr>
          <w:ilvl w:val="0"/>
          <w:numId w:val="5"/>
        </w:numPr>
        <w:spacing w:before="80"/>
        <w:ind w:left="426" w:hanging="426"/>
      </w:pPr>
      <w:r>
        <w:t>ricerca sistematica della presenza di un microchip mediante l'apposito lettore in dotazione dei Comuni;</w:t>
      </w:r>
    </w:p>
    <w:p w:rsidR="00066175" w:rsidRDefault="00066175" w:rsidP="004C15AD">
      <w:pPr>
        <w:pStyle w:val="Paragrafoelenco"/>
        <w:numPr>
          <w:ilvl w:val="0"/>
          <w:numId w:val="5"/>
        </w:numPr>
        <w:spacing w:before="80"/>
        <w:ind w:left="426" w:hanging="426"/>
      </w:pPr>
      <w:r>
        <w:lastRenderedPageBreak/>
        <w:t xml:space="preserve">per i cani: ricerca online del proprietario attraverso la banca dati </w:t>
      </w:r>
      <w:proofErr w:type="spellStart"/>
      <w:r>
        <w:t>Amicus</w:t>
      </w:r>
      <w:proofErr w:type="spellEnd"/>
      <w:r>
        <w:t>;</w:t>
      </w:r>
    </w:p>
    <w:p w:rsidR="00066175" w:rsidRDefault="00066175" w:rsidP="004C15AD">
      <w:pPr>
        <w:pStyle w:val="Paragrafoelenco"/>
        <w:numPr>
          <w:ilvl w:val="0"/>
          <w:numId w:val="5"/>
        </w:numPr>
        <w:spacing w:before="80"/>
        <w:ind w:left="426" w:hanging="426"/>
      </w:pPr>
      <w:r>
        <w:t>per gatti e altri animali da compagnia: ricerca del proprietario attraverso la banca dati ANIS.</w:t>
      </w:r>
    </w:p>
    <w:p w:rsidR="00066175" w:rsidRDefault="00066175" w:rsidP="00066175"/>
    <w:p w:rsidR="00066175" w:rsidRDefault="00066175" w:rsidP="00066175">
      <w:r>
        <w:t>Vengono inoltre fornite altre utili informazioni sulle possibilità di sepoltura o cremazione di questi animali.</w:t>
      </w:r>
    </w:p>
    <w:p w:rsidR="00066175" w:rsidRDefault="00066175" w:rsidP="00066175"/>
    <w:p w:rsidR="00066175" w:rsidRDefault="00066175" w:rsidP="00066175">
      <w:r>
        <w:t>La misura di una modifica della Legge cantonale di applicazione all'OESA è valutata come eccessiva dal Governo, che potrebbe senz'altro tenerne conto in una futura revisione della normativa che definisce i compiti che spettano ai Comuni e ai gestori dei centri di raccolta regionali.</w:t>
      </w:r>
    </w:p>
    <w:p w:rsidR="00066175" w:rsidRPr="004D78B1" w:rsidRDefault="00066175" w:rsidP="00066175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066175" w:rsidRPr="004D78B1" w:rsidRDefault="00066175" w:rsidP="00066175">
      <w:pPr>
        <w:ind w:right="-1"/>
        <w:rPr>
          <w:szCs w:val="24"/>
        </w:rPr>
      </w:pPr>
    </w:p>
    <w:p w:rsidR="00066175" w:rsidRDefault="00066175" w:rsidP="0006617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iii.</w:t>
      </w:r>
      <w:r>
        <w:rPr>
          <w:rFonts w:ascii="Arial Grassetto" w:eastAsia="MS Mincho" w:hAnsi="Arial Grassetto" w:cs="Arial"/>
          <w:b/>
          <w:caps/>
          <w:szCs w:val="24"/>
        </w:rPr>
        <w:tab/>
      </w:r>
      <w:r w:rsidRPr="00665149">
        <w:rPr>
          <w:rFonts w:ascii="Arial Grassetto" w:eastAsia="MS Mincho" w:hAnsi="Arial Grassetto" w:cs="Arial"/>
          <w:b/>
          <w:caps/>
          <w:szCs w:val="24"/>
        </w:rPr>
        <w:t>Considerazioni commissionali</w:t>
      </w:r>
    </w:p>
    <w:p w:rsidR="00066175" w:rsidRDefault="00066175" w:rsidP="00066175">
      <w:r>
        <w:t>La Commissione della legislazione ribadisce le argomentazioni proposte con i due rapporti precedenti del 20 maggio e del 2 dicembre 2015, che concludevano affermando che gli atti parlamentari in parola erano da considerare positivamente evasi.</w:t>
      </w:r>
    </w:p>
    <w:p w:rsidR="00066175" w:rsidRDefault="00066175" w:rsidP="00066175"/>
    <w:p w:rsidR="00066175" w:rsidRDefault="00066175" w:rsidP="00066175">
      <w:r>
        <w:t>Si prende atto della comunicazione dell'Ufficio del veterinario cantonale che sono, a mente della Commissione, puntuali e significative direttive per tutti i Comuni.</w:t>
      </w:r>
    </w:p>
    <w:p w:rsidR="00066175" w:rsidRDefault="00066175" w:rsidP="00066175"/>
    <w:p w:rsidR="00066175" w:rsidRPr="005704CC" w:rsidRDefault="00066175" w:rsidP="00066175">
      <w:pPr>
        <w:ind w:right="-1"/>
        <w:rPr>
          <w:szCs w:val="24"/>
        </w:rPr>
      </w:pPr>
      <w:r>
        <w:t>Anche i commissari ritengono eccessiva una modifica della Legge cantonale di applicazione all'Ordinanza federale concernente l'eliminazione dei sottoprodotti di origine animale entrata in vigore il 1° gennaio 2016.</w:t>
      </w:r>
    </w:p>
    <w:p w:rsidR="00066175" w:rsidRPr="004D78B1" w:rsidRDefault="00066175" w:rsidP="00066175">
      <w:pPr>
        <w:tabs>
          <w:tab w:val="left" w:pos="284"/>
          <w:tab w:val="left" w:pos="426"/>
          <w:tab w:val="left" w:pos="4962"/>
        </w:tabs>
        <w:ind w:right="-1"/>
        <w:rPr>
          <w:szCs w:val="24"/>
        </w:rPr>
      </w:pPr>
    </w:p>
    <w:p w:rsidR="00066175" w:rsidRPr="004D78B1" w:rsidRDefault="00066175" w:rsidP="00066175">
      <w:pPr>
        <w:ind w:right="-1"/>
        <w:rPr>
          <w:szCs w:val="24"/>
        </w:rPr>
      </w:pPr>
    </w:p>
    <w:p w:rsidR="00066175" w:rsidRDefault="00066175" w:rsidP="0006617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>
        <w:rPr>
          <w:rFonts w:ascii="Arial Grassetto" w:eastAsia="MS Mincho" w:hAnsi="Arial Grassetto" w:cs="Arial"/>
          <w:b/>
          <w:caps/>
          <w:szCs w:val="24"/>
        </w:rPr>
        <w:t>IV.</w:t>
      </w:r>
      <w:r>
        <w:rPr>
          <w:rFonts w:ascii="Arial Grassetto" w:eastAsia="MS Mincho" w:hAnsi="Arial Grassetto" w:cs="Arial"/>
          <w:b/>
          <w:caps/>
          <w:szCs w:val="24"/>
        </w:rPr>
        <w:tab/>
      </w:r>
      <w:r w:rsidRPr="00665149">
        <w:rPr>
          <w:rFonts w:ascii="Arial Grassetto" w:eastAsia="MS Mincho" w:hAnsi="Arial Grassetto" w:cs="Arial"/>
          <w:b/>
          <w:caps/>
          <w:szCs w:val="24"/>
        </w:rPr>
        <w:t>conclusioni</w:t>
      </w:r>
    </w:p>
    <w:p w:rsidR="00066175" w:rsidRPr="00C85F5D" w:rsidRDefault="00066175" w:rsidP="00066175">
      <w:pPr>
        <w:tabs>
          <w:tab w:val="left" w:pos="426"/>
        </w:tabs>
        <w:spacing w:after="160"/>
        <w:ind w:right="-1"/>
        <w:rPr>
          <w:rFonts w:ascii="Arial Grassetto" w:eastAsia="MS Mincho" w:hAnsi="Arial Grassetto" w:cs="Arial"/>
          <w:b/>
          <w:caps/>
          <w:szCs w:val="24"/>
        </w:rPr>
      </w:pPr>
      <w:r>
        <w:t xml:space="preserve">Sulla scorta delle argomentazioni suesposte la Commissione della legislazione invita il Gran Consiglio a ritenere positivamente evasa la mozione 25 gennaio 2016 presentata da Patrizia Ramsauer </w:t>
      </w:r>
      <w:r>
        <w:rPr>
          <w:i/>
        </w:rPr>
        <w:t>"</w:t>
      </w:r>
      <w:r w:rsidRPr="008914FC">
        <w:rPr>
          <w:i/>
        </w:rPr>
        <w:t>Il proprietario deve sapere e poter scegliere</w:t>
      </w:r>
      <w:r>
        <w:rPr>
          <w:i/>
        </w:rPr>
        <w:t>!"</w:t>
      </w:r>
      <w:r>
        <w:t>.</w:t>
      </w:r>
    </w:p>
    <w:p w:rsidR="00066175" w:rsidRDefault="00066175" w:rsidP="00066175">
      <w:pPr>
        <w:ind w:right="-1"/>
        <w:rPr>
          <w:szCs w:val="24"/>
        </w:rPr>
      </w:pPr>
    </w:p>
    <w:p w:rsidR="00066175" w:rsidRDefault="00066175" w:rsidP="00066175">
      <w:pPr>
        <w:ind w:right="-1"/>
        <w:rPr>
          <w:rFonts w:cs="Arial"/>
          <w:szCs w:val="24"/>
        </w:rPr>
      </w:pPr>
    </w:p>
    <w:p w:rsidR="00066175" w:rsidRPr="00665149" w:rsidRDefault="00066175" w:rsidP="00066175">
      <w:pPr>
        <w:ind w:right="-1"/>
        <w:rPr>
          <w:rFonts w:cs="Arial"/>
          <w:szCs w:val="24"/>
        </w:rPr>
      </w:pPr>
    </w:p>
    <w:p w:rsidR="00066175" w:rsidRPr="00665149" w:rsidRDefault="00066175" w:rsidP="00066175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szCs w:val="24"/>
        </w:rPr>
      </w:pPr>
      <w:r w:rsidRPr="00665149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665149">
          <w:rPr>
            <w:rFonts w:cs="Arial"/>
            <w:szCs w:val="24"/>
          </w:rPr>
          <w:t>la Commissione</w:t>
        </w:r>
      </w:smartTag>
      <w:r w:rsidRPr="00665149">
        <w:rPr>
          <w:rFonts w:cs="Arial"/>
          <w:szCs w:val="24"/>
        </w:rPr>
        <w:t xml:space="preserve"> della legislazione:</w:t>
      </w:r>
    </w:p>
    <w:p w:rsidR="00066175" w:rsidRPr="00665149" w:rsidRDefault="00066175" w:rsidP="00066175">
      <w:pPr>
        <w:ind w:right="-1"/>
        <w:rPr>
          <w:rFonts w:cs="Arial"/>
          <w:szCs w:val="24"/>
        </w:rPr>
      </w:pPr>
      <w:r>
        <w:t>Giorgio Galusero</w:t>
      </w:r>
      <w:r w:rsidRPr="00665149">
        <w:rPr>
          <w:rFonts w:cs="Arial"/>
          <w:szCs w:val="24"/>
        </w:rPr>
        <w:t>, relatore</w:t>
      </w:r>
    </w:p>
    <w:p w:rsidR="00066175" w:rsidRDefault="00066175" w:rsidP="00066175">
      <w:pPr>
        <w:rPr>
          <w:rFonts w:cs="Arial"/>
        </w:rPr>
      </w:pPr>
      <w:r>
        <w:rPr>
          <w:rFonts w:cs="Arial"/>
        </w:rPr>
        <w:t xml:space="preserve">Agustoni - Bignasca - Celio - Corti - </w:t>
      </w:r>
    </w:p>
    <w:p w:rsidR="00066175" w:rsidRDefault="00066175" w:rsidP="00066175">
      <w:pPr>
        <w:rPr>
          <w:rFonts w:cs="Arial"/>
        </w:rPr>
      </w:pPr>
      <w:r>
        <w:rPr>
          <w:rFonts w:cs="Arial"/>
        </w:rPr>
        <w:t xml:space="preserve">Delcò Petralli - Filippini - Ghisolfi - </w:t>
      </w:r>
    </w:p>
    <w:p w:rsidR="00066175" w:rsidRPr="005E5056" w:rsidRDefault="00066175" w:rsidP="00066175">
      <w:pPr>
        <w:rPr>
          <w:rFonts w:cs="Arial"/>
        </w:rPr>
      </w:pPr>
      <w:r>
        <w:rPr>
          <w:rFonts w:cs="Arial"/>
        </w:rPr>
        <w:t>Giudici - Lepori - Minotti - Viscardi</w:t>
      </w:r>
    </w:p>
    <w:p w:rsidR="00066175" w:rsidRDefault="00066175" w:rsidP="00066175">
      <w:pPr>
        <w:pStyle w:val="Corpotesto"/>
        <w:tabs>
          <w:tab w:val="clear" w:pos="284"/>
          <w:tab w:val="clear" w:pos="426"/>
          <w:tab w:val="clear" w:pos="4962"/>
        </w:tabs>
        <w:ind w:right="-1"/>
        <w:rPr>
          <w:szCs w:val="24"/>
        </w:rPr>
      </w:pPr>
    </w:p>
    <w:sectPr w:rsidR="00066175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07" w:rsidRDefault="001A1707" w:rsidP="008E77C6">
      <w:r>
        <w:separator/>
      </w:r>
    </w:p>
  </w:endnote>
  <w:endnote w:type="continuationSeparator" w:id="0">
    <w:p w:rsidR="001A1707" w:rsidRDefault="001A1707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123D05" w:rsidRPr="00123D05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07" w:rsidRDefault="001A1707" w:rsidP="008E77C6">
      <w:r>
        <w:separator/>
      </w:r>
    </w:p>
  </w:footnote>
  <w:footnote w:type="continuationSeparator" w:id="0">
    <w:p w:rsidR="001A1707" w:rsidRDefault="001A1707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66559"/>
    <w:multiLevelType w:val="hybridMultilevel"/>
    <w:tmpl w:val="95A6AF6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66175"/>
    <w:rsid w:val="00076E70"/>
    <w:rsid w:val="00123D05"/>
    <w:rsid w:val="001A1707"/>
    <w:rsid w:val="001F10A2"/>
    <w:rsid w:val="002E5E40"/>
    <w:rsid w:val="004C15AD"/>
    <w:rsid w:val="0052425A"/>
    <w:rsid w:val="00586A8D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E1737B"/>
    <w:rsid w:val="00E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066175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66175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066175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66175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2349-7006-4051-9ED8-E76437A0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7</cp:revision>
  <cp:lastPrinted>2017-06-07T09:20:00Z</cp:lastPrinted>
  <dcterms:created xsi:type="dcterms:W3CDTF">2017-06-07T09:00:00Z</dcterms:created>
  <dcterms:modified xsi:type="dcterms:W3CDTF">2017-06-07T10:00:00Z</dcterms:modified>
</cp:coreProperties>
</file>