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660F63" w:rsidP="00F242E5">
      <w:pPr>
        <w:tabs>
          <w:tab w:val="left" w:pos="2495"/>
        </w:tabs>
        <w:spacing w:before="80" w:after="40"/>
        <w:rPr>
          <w:rFonts w:ascii="Gill Sans MT" w:hAnsi="Gill Sans MT"/>
          <w:b/>
          <w:sz w:val="56"/>
          <w:szCs w:val="56"/>
        </w:rPr>
      </w:pPr>
      <w:r>
        <w:rPr>
          <w:rFonts w:ascii="Gill Sans MT" w:hAnsi="Gill Sans MT"/>
          <w:b/>
          <w:sz w:val="56"/>
          <w:szCs w:val="56"/>
        </w:rPr>
        <w:t>Rapporto</w:t>
      </w:r>
      <w:r w:rsidRPr="005C669B">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E4021B">
        <w:rPr>
          <w:position w:val="4"/>
          <w:sz w:val="28"/>
        </w:rPr>
        <w:t>29 maggio 2017</w:t>
      </w:r>
      <w:r>
        <w:rPr>
          <w:position w:val="4"/>
          <w:sz w:val="28"/>
        </w:rPr>
        <w:tab/>
      </w:r>
      <w:r w:rsidR="00E4021B">
        <w:rPr>
          <w:position w:val="4"/>
          <w:sz w:val="28"/>
        </w:rPr>
        <w:t>FINANZE E ECONOMIA</w:t>
      </w:r>
    </w:p>
    <w:p w:rsidR="00F242E5" w:rsidRDefault="00F242E5" w:rsidP="00F242E5"/>
    <w:p w:rsidR="00F242E5" w:rsidRDefault="00F242E5" w:rsidP="00F242E5"/>
    <w:p w:rsidR="00F242E5" w:rsidRDefault="00F242E5" w:rsidP="00F242E5"/>
    <w:p w:rsidR="00E4021B" w:rsidRPr="00E4021B" w:rsidRDefault="00E4021B" w:rsidP="00E4021B">
      <w:pPr>
        <w:rPr>
          <w:b/>
          <w:sz w:val="28"/>
          <w:szCs w:val="28"/>
        </w:rPr>
      </w:pPr>
      <w:r w:rsidRPr="00E4021B">
        <w:rPr>
          <w:b/>
          <w:sz w:val="28"/>
          <w:szCs w:val="28"/>
        </w:rPr>
        <w:t>della Commissione speciale in materia tributaria</w:t>
      </w:r>
    </w:p>
    <w:p w:rsidR="00E4021B" w:rsidRPr="00E4021B" w:rsidRDefault="00E4021B" w:rsidP="00E4021B">
      <w:pPr>
        <w:rPr>
          <w:b/>
          <w:sz w:val="28"/>
          <w:szCs w:val="28"/>
        </w:rPr>
      </w:pPr>
      <w:r w:rsidRPr="00E4021B">
        <w:rPr>
          <w:b/>
          <w:sz w:val="28"/>
          <w:szCs w:val="28"/>
        </w:rPr>
        <w:t xml:space="preserve">sull’iniziativa parlamentare 17 settembre 2001 presentata nella forma generica da Iris Canonica (ripresa da Michele Guerra) </w:t>
      </w:r>
      <w:r w:rsidRPr="00FA1AFC">
        <w:rPr>
          <w:b/>
          <w:sz w:val="28"/>
          <w:szCs w:val="28"/>
        </w:rPr>
        <w:t>“</w:t>
      </w:r>
      <w:r w:rsidRPr="00FA1AFC">
        <w:rPr>
          <w:b/>
          <w:sz w:val="28"/>
          <w:szCs w:val="28"/>
          <w:lang w:eastAsia="it-CH"/>
        </w:rPr>
        <w:t>Favorire in Ticino una reale equità fiscale fra le diverse categorie di contribuenti, rivedendo i prelievi applicati ai singoli (aliquota B)”</w:t>
      </w:r>
    </w:p>
    <w:p w:rsidR="00F242E5" w:rsidRPr="008219F2" w:rsidRDefault="00F242E5" w:rsidP="00F242E5">
      <w:pPr>
        <w:rPr>
          <w:rFonts w:cs="Arial"/>
        </w:rPr>
      </w:pPr>
    </w:p>
    <w:p w:rsidR="00F242E5" w:rsidRDefault="00F242E5" w:rsidP="00F242E5">
      <w:pPr>
        <w:rPr>
          <w:rFonts w:cs="Arial"/>
        </w:rPr>
      </w:pPr>
    </w:p>
    <w:p w:rsidR="00E4021B" w:rsidRPr="008219F2" w:rsidRDefault="00E4021B" w:rsidP="00F242E5">
      <w:pPr>
        <w:rPr>
          <w:rFonts w:cs="Arial"/>
        </w:rPr>
      </w:pPr>
    </w:p>
    <w:p w:rsidR="00E4021B" w:rsidRPr="002726C1" w:rsidRDefault="00E4021B" w:rsidP="00E4021B">
      <w:pPr>
        <w:spacing w:line="360" w:lineRule="auto"/>
        <w:rPr>
          <w:rFonts w:cs="Arial"/>
          <w:szCs w:val="24"/>
          <w:lang w:val="en-GB"/>
        </w:rPr>
      </w:pPr>
      <w:r w:rsidRPr="002726C1">
        <w:rPr>
          <w:rFonts w:cs="Arial"/>
          <w:b/>
          <w:bCs/>
          <w:szCs w:val="24"/>
          <w:lang w:val="en-GB"/>
        </w:rPr>
        <w:t>INDICE</w:t>
      </w:r>
    </w:p>
    <w:p w:rsidR="00FA1AFC" w:rsidRPr="00FA1AFC" w:rsidRDefault="00FA1AFC">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sidRPr="00FA1AFC">
        <w:rPr>
          <w:sz w:val="22"/>
          <w:szCs w:val="22"/>
        </w:rPr>
        <w:fldChar w:fldCharType="begin"/>
      </w:r>
      <w:r w:rsidRPr="00FA1AFC">
        <w:rPr>
          <w:sz w:val="22"/>
          <w:szCs w:val="22"/>
        </w:rPr>
        <w:instrText xml:space="preserve"> TOC \o "1-1" \h \z \u </w:instrText>
      </w:r>
      <w:r w:rsidRPr="00FA1AFC">
        <w:rPr>
          <w:sz w:val="22"/>
          <w:szCs w:val="22"/>
        </w:rPr>
        <w:fldChar w:fldCharType="separate"/>
      </w:r>
      <w:hyperlink w:anchor="_Toc484099468" w:history="1">
        <w:r w:rsidRPr="00FA1AFC">
          <w:rPr>
            <w:rStyle w:val="Collegamentoipertestuale"/>
            <w:noProof/>
            <w:sz w:val="22"/>
            <w:szCs w:val="22"/>
            <w:lang w:val="it-CH"/>
          </w:rPr>
          <w:t>1.</w:t>
        </w:r>
        <w:r w:rsidRPr="00FA1AFC">
          <w:rPr>
            <w:rFonts w:asciiTheme="minorHAnsi" w:eastAsiaTheme="minorEastAsia" w:hAnsiTheme="minorHAnsi" w:cstheme="minorBidi"/>
            <w:caps w:val="0"/>
            <w:noProof/>
            <w:sz w:val="22"/>
            <w:szCs w:val="22"/>
            <w:lang w:val="it-CH" w:eastAsia="it-CH"/>
          </w:rPr>
          <w:tab/>
        </w:r>
        <w:r w:rsidRPr="00FA1AFC">
          <w:rPr>
            <w:rStyle w:val="Collegamentoipertestuale"/>
            <w:noProof/>
            <w:sz w:val="22"/>
            <w:szCs w:val="22"/>
            <w:lang w:val="it-CH"/>
          </w:rPr>
          <w:t>INTRODUZIONE</w:t>
        </w:r>
        <w:r w:rsidRPr="00FA1AFC">
          <w:rPr>
            <w:noProof/>
            <w:webHidden/>
            <w:sz w:val="22"/>
            <w:szCs w:val="22"/>
          </w:rPr>
          <w:tab/>
        </w:r>
        <w:r w:rsidRPr="00FA1AFC">
          <w:rPr>
            <w:noProof/>
            <w:webHidden/>
            <w:sz w:val="22"/>
            <w:szCs w:val="22"/>
          </w:rPr>
          <w:fldChar w:fldCharType="begin"/>
        </w:r>
        <w:r w:rsidRPr="00FA1AFC">
          <w:rPr>
            <w:noProof/>
            <w:webHidden/>
            <w:sz w:val="22"/>
            <w:szCs w:val="22"/>
          </w:rPr>
          <w:instrText xml:space="preserve"> PAGEREF _Toc484099468 \h </w:instrText>
        </w:r>
        <w:r w:rsidRPr="00FA1AFC">
          <w:rPr>
            <w:noProof/>
            <w:webHidden/>
            <w:sz w:val="22"/>
            <w:szCs w:val="22"/>
          </w:rPr>
        </w:r>
        <w:r w:rsidRPr="00FA1AFC">
          <w:rPr>
            <w:noProof/>
            <w:webHidden/>
            <w:sz w:val="22"/>
            <w:szCs w:val="22"/>
          </w:rPr>
          <w:fldChar w:fldCharType="separate"/>
        </w:r>
        <w:r w:rsidR="00555367">
          <w:rPr>
            <w:noProof/>
            <w:webHidden/>
            <w:sz w:val="22"/>
            <w:szCs w:val="22"/>
          </w:rPr>
          <w:t>1</w:t>
        </w:r>
        <w:r w:rsidRPr="00FA1AFC">
          <w:rPr>
            <w:noProof/>
            <w:webHidden/>
            <w:sz w:val="22"/>
            <w:szCs w:val="22"/>
          </w:rPr>
          <w:fldChar w:fldCharType="end"/>
        </w:r>
      </w:hyperlink>
    </w:p>
    <w:p w:rsidR="00FA1AFC" w:rsidRPr="00FA1AFC" w:rsidRDefault="0054358F">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84099469" w:history="1">
        <w:r w:rsidR="00FA1AFC" w:rsidRPr="00FA1AFC">
          <w:rPr>
            <w:rStyle w:val="Collegamentoipertestuale"/>
            <w:noProof/>
            <w:sz w:val="22"/>
            <w:szCs w:val="22"/>
            <w:lang w:val="it-CH"/>
          </w:rPr>
          <w:t>2.</w:t>
        </w:r>
        <w:r w:rsidR="00FA1AFC" w:rsidRPr="00FA1AFC">
          <w:rPr>
            <w:rFonts w:asciiTheme="minorHAnsi" w:eastAsiaTheme="minorEastAsia" w:hAnsiTheme="minorHAnsi" w:cstheme="minorBidi"/>
            <w:caps w:val="0"/>
            <w:noProof/>
            <w:sz w:val="22"/>
            <w:szCs w:val="22"/>
            <w:lang w:val="it-CH" w:eastAsia="it-CH"/>
          </w:rPr>
          <w:tab/>
        </w:r>
        <w:r w:rsidR="00FA1AFC" w:rsidRPr="00FA1AFC">
          <w:rPr>
            <w:rStyle w:val="Collegamentoipertestuale"/>
            <w:noProof/>
            <w:sz w:val="22"/>
            <w:szCs w:val="22"/>
            <w:lang w:val="it-CH"/>
          </w:rPr>
          <w:t>RAFFRONTO INTERCANTONALE</w:t>
        </w:r>
        <w:r w:rsidR="00FA1AFC" w:rsidRPr="00FA1AFC">
          <w:rPr>
            <w:noProof/>
            <w:webHidden/>
            <w:sz w:val="22"/>
            <w:szCs w:val="22"/>
          </w:rPr>
          <w:tab/>
        </w:r>
        <w:r w:rsidR="00FA1AFC" w:rsidRPr="00FA1AFC">
          <w:rPr>
            <w:noProof/>
            <w:webHidden/>
            <w:sz w:val="22"/>
            <w:szCs w:val="22"/>
          </w:rPr>
          <w:fldChar w:fldCharType="begin"/>
        </w:r>
        <w:r w:rsidR="00FA1AFC" w:rsidRPr="00FA1AFC">
          <w:rPr>
            <w:noProof/>
            <w:webHidden/>
            <w:sz w:val="22"/>
            <w:szCs w:val="22"/>
          </w:rPr>
          <w:instrText xml:space="preserve"> PAGEREF _Toc484099469 \h </w:instrText>
        </w:r>
        <w:r w:rsidR="00FA1AFC" w:rsidRPr="00FA1AFC">
          <w:rPr>
            <w:noProof/>
            <w:webHidden/>
            <w:sz w:val="22"/>
            <w:szCs w:val="22"/>
          </w:rPr>
        </w:r>
        <w:r w:rsidR="00FA1AFC" w:rsidRPr="00FA1AFC">
          <w:rPr>
            <w:noProof/>
            <w:webHidden/>
            <w:sz w:val="22"/>
            <w:szCs w:val="22"/>
          </w:rPr>
          <w:fldChar w:fldCharType="separate"/>
        </w:r>
        <w:r w:rsidR="00555367">
          <w:rPr>
            <w:noProof/>
            <w:webHidden/>
            <w:sz w:val="22"/>
            <w:szCs w:val="22"/>
          </w:rPr>
          <w:t>2</w:t>
        </w:r>
        <w:r w:rsidR="00FA1AFC" w:rsidRPr="00FA1AFC">
          <w:rPr>
            <w:noProof/>
            <w:webHidden/>
            <w:sz w:val="22"/>
            <w:szCs w:val="22"/>
          </w:rPr>
          <w:fldChar w:fldCharType="end"/>
        </w:r>
      </w:hyperlink>
    </w:p>
    <w:p w:rsidR="00FA1AFC" w:rsidRPr="00FA1AFC" w:rsidRDefault="0054358F">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84099470" w:history="1">
        <w:r w:rsidR="00FA1AFC" w:rsidRPr="00FA1AFC">
          <w:rPr>
            <w:rStyle w:val="Collegamentoipertestuale"/>
            <w:noProof/>
            <w:sz w:val="22"/>
            <w:szCs w:val="22"/>
            <w:lang w:val="it-CH"/>
          </w:rPr>
          <w:t>3.</w:t>
        </w:r>
        <w:r w:rsidR="00FA1AFC" w:rsidRPr="00FA1AFC">
          <w:rPr>
            <w:rFonts w:asciiTheme="minorHAnsi" w:eastAsiaTheme="minorEastAsia" w:hAnsiTheme="minorHAnsi" w:cstheme="minorBidi"/>
            <w:caps w:val="0"/>
            <w:noProof/>
            <w:sz w:val="22"/>
            <w:szCs w:val="22"/>
            <w:lang w:val="it-CH" w:eastAsia="it-CH"/>
          </w:rPr>
          <w:tab/>
        </w:r>
        <w:r w:rsidR="00FA1AFC" w:rsidRPr="00FA1AFC">
          <w:rPr>
            <w:rStyle w:val="Collegamentoipertestuale"/>
            <w:noProof/>
            <w:sz w:val="22"/>
            <w:szCs w:val="22"/>
            <w:lang w:val="it-CH"/>
          </w:rPr>
          <w:t>RAFFRONTO TRA CONIUGATI E CONCUBINI</w:t>
        </w:r>
        <w:r w:rsidR="00FA1AFC" w:rsidRPr="00FA1AFC">
          <w:rPr>
            <w:noProof/>
            <w:webHidden/>
            <w:sz w:val="22"/>
            <w:szCs w:val="22"/>
          </w:rPr>
          <w:tab/>
        </w:r>
        <w:r w:rsidR="00FA1AFC" w:rsidRPr="00FA1AFC">
          <w:rPr>
            <w:noProof/>
            <w:webHidden/>
            <w:sz w:val="22"/>
            <w:szCs w:val="22"/>
          </w:rPr>
          <w:fldChar w:fldCharType="begin"/>
        </w:r>
        <w:r w:rsidR="00FA1AFC" w:rsidRPr="00FA1AFC">
          <w:rPr>
            <w:noProof/>
            <w:webHidden/>
            <w:sz w:val="22"/>
            <w:szCs w:val="22"/>
          </w:rPr>
          <w:instrText xml:space="preserve"> PAGEREF _Toc484099470 \h </w:instrText>
        </w:r>
        <w:r w:rsidR="00FA1AFC" w:rsidRPr="00FA1AFC">
          <w:rPr>
            <w:noProof/>
            <w:webHidden/>
            <w:sz w:val="22"/>
            <w:szCs w:val="22"/>
          </w:rPr>
        </w:r>
        <w:r w:rsidR="00FA1AFC" w:rsidRPr="00FA1AFC">
          <w:rPr>
            <w:noProof/>
            <w:webHidden/>
            <w:sz w:val="22"/>
            <w:szCs w:val="22"/>
          </w:rPr>
          <w:fldChar w:fldCharType="separate"/>
        </w:r>
        <w:r w:rsidR="00555367">
          <w:rPr>
            <w:noProof/>
            <w:webHidden/>
            <w:sz w:val="22"/>
            <w:szCs w:val="22"/>
          </w:rPr>
          <w:t>3</w:t>
        </w:r>
        <w:r w:rsidR="00FA1AFC" w:rsidRPr="00FA1AFC">
          <w:rPr>
            <w:noProof/>
            <w:webHidden/>
            <w:sz w:val="22"/>
            <w:szCs w:val="22"/>
          </w:rPr>
          <w:fldChar w:fldCharType="end"/>
        </w:r>
      </w:hyperlink>
    </w:p>
    <w:p w:rsidR="00FA1AFC" w:rsidRPr="00FA1AFC" w:rsidRDefault="0054358F">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84099471" w:history="1">
        <w:r w:rsidR="00FA1AFC" w:rsidRPr="00FA1AFC">
          <w:rPr>
            <w:rStyle w:val="Collegamentoipertestuale"/>
            <w:noProof/>
            <w:sz w:val="22"/>
            <w:szCs w:val="22"/>
            <w:lang w:val="it-CH"/>
          </w:rPr>
          <w:t>4.</w:t>
        </w:r>
        <w:r w:rsidR="00FA1AFC" w:rsidRPr="00FA1AFC">
          <w:rPr>
            <w:rFonts w:asciiTheme="minorHAnsi" w:eastAsiaTheme="minorEastAsia" w:hAnsiTheme="minorHAnsi" w:cstheme="minorBidi"/>
            <w:caps w:val="0"/>
            <w:noProof/>
            <w:sz w:val="22"/>
            <w:szCs w:val="22"/>
            <w:lang w:val="it-CH" w:eastAsia="it-CH"/>
          </w:rPr>
          <w:tab/>
        </w:r>
        <w:r w:rsidR="00FA1AFC" w:rsidRPr="00FA1AFC">
          <w:rPr>
            <w:rStyle w:val="Collegamentoipertestuale"/>
            <w:noProof/>
            <w:sz w:val="22"/>
            <w:szCs w:val="22"/>
            <w:lang w:val="it-CH"/>
          </w:rPr>
          <w:t>STATO DELL’ERARIO CANTONALE</w:t>
        </w:r>
        <w:r w:rsidR="00FA1AFC" w:rsidRPr="00FA1AFC">
          <w:rPr>
            <w:noProof/>
            <w:webHidden/>
            <w:sz w:val="22"/>
            <w:szCs w:val="22"/>
          </w:rPr>
          <w:tab/>
        </w:r>
        <w:r w:rsidR="00FA1AFC" w:rsidRPr="00FA1AFC">
          <w:rPr>
            <w:noProof/>
            <w:webHidden/>
            <w:sz w:val="22"/>
            <w:szCs w:val="22"/>
          </w:rPr>
          <w:fldChar w:fldCharType="begin"/>
        </w:r>
        <w:r w:rsidR="00FA1AFC" w:rsidRPr="00FA1AFC">
          <w:rPr>
            <w:noProof/>
            <w:webHidden/>
            <w:sz w:val="22"/>
            <w:szCs w:val="22"/>
          </w:rPr>
          <w:instrText xml:space="preserve"> PAGEREF _Toc484099471 \h </w:instrText>
        </w:r>
        <w:r w:rsidR="00FA1AFC" w:rsidRPr="00FA1AFC">
          <w:rPr>
            <w:noProof/>
            <w:webHidden/>
            <w:sz w:val="22"/>
            <w:szCs w:val="22"/>
          </w:rPr>
        </w:r>
        <w:r w:rsidR="00FA1AFC" w:rsidRPr="00FA1AFC">
          <w:rPr>
            <w:noProof/>
            <w:webHidden/>
            <w:sz w:val="22"/>
            <w:szCs w:val="22"/>
          </w:rPr>
          <w:fldChar w:fldCharType="separate"/>
        </w:r>
        <w:r w:rsidR="00555367">
          <w:rPr>
            <w:noProof/>
            <w:webHidden/>
            <w:sz w:val="22"/>
            <w:szCs w:val="22"/>
          </w:rPr>
          <w:t>3</w:t>
        </w:r>
        <w:r w:rsidR="00FA1AFC" w:rsidRPr="00FA1AFC">
          <w:rPr>
            <w:noProof/>
            <w:webHidden/>
            <w:sz w:val="22"/>
            <w:szCs w:val="22"/>
          </w:rPr>
          <w:fldChar w:fldCharType="end"/>
        </w:r>
      </w:hyperlink>
    </w:p>
    <w:p w:rsidR="00FA1AFC" w:rsidRPr="00FA1AFC" w:rsidRDefault="0054358F">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84099472" w:history="1">
        <w:r w:rsidR="00FA1AFC" w:rsidRPr="00FA1AFC">
          <w:rPr>
            <w:rStyle w:val="Collegamentoipertestuale"/>
            <w:noProof/>
            <w:sz w:val="22"/>
            <w:szCs w:val="22"/>
            <w:lang w:val="it-CH"/>
          </w:rPr>
          <w:t>5.</w:t>
        </w:r>
        <w:r w:rsidR="00FA1AFC" w:rsidRPr="00FA1AFC">
          <w:rPr>
            <w:rFonts w:asciiTheme="minorHAnsi" w:eastAsiaTheme="minorEastAsia" w:hAnsiTheme="minorHAnsi" w:cstheme="minorBidi"/>
            <w:caps w:val="0"/>
            <w:noProof/>
            <w:sz w:val="22"/>
            <w:szCs w:val="22"/>
            <w:lang w:val="it-CH" w:eastAsia="it-CH"/>
          </w:rPr>
          <w:tab/>
        </w:r>
        <w:r w:rsidR="00FA1AFC" w:rsidRPr="00FA1AFC">
          <w:rPr>
            <w:rStyle w:val="Collegamentoipertestuale"/>
            <w:noProof/>
            <w:sz w:val="22"/>
            <w:szCs w:val="22"/>
            <w:lang w:val="it-CH"/>
          </w:rPr>
          <w:t>CONCLUSIONI</w:t>
        </w:r>
        <w:r w:rsidR="00FA1AFC" w:rsidRPr="00FA1AFC">
          <w:rPr>
            <w:noProof/>
            <w:webHidden/>
            <w:sz w:val="22"/>
            <w:szCs w:val="22"/>
          </w:rPr>
          <w:tab/>
        </w:r>
        <w:r w:rsidR="00FA1AFC" w:rsidRPr="00FA1AFC">
          <w:rPr>
            <w:noProof/>
            <w:webHidden/>
            <w:sz w:val="22"/>
            <w:szCs w:val="22"/>
          </w:rPr>
          <w:fldChar w:fldCharType="begin"/>
        </w:r>
        <w:r w:rsidR="00FA1AFC" w:rsidRPr="00FA1AFC">
          <w:rPr>
            <w:noProof/>
            <w:webHidden/>
            <w:sz w:val="22"/>
            <w:szCs w:val="22"/>
          </w:rPr>
          <w:instrText xml:space="preserve"> PAGEREF _Toc484099472 \h </w:instrText>
        </w:r>
        <w:r w:rsidR="00FA1AFC" w:rsidRPr="00FA1AFC">
          <w:rPr>
            <w:noProof/>
            <w:webHidden/>
            <w:sz w:val="22"/>
            <w:szCs w:val="22"/>
          </w:rPr>
        </w:r>
        <w:r w:rsidR="00FA1AFC" w:rsidRPr="00FA1AFC">
          <w:rPr>
            <w:noProof/>
            <w:webHidden/>
            <w:sz w:val="22"/>
            <w:szCs w:val="22"/>
          </w:rPr>
          <w:fldChar w:fldCharType="separate"/>
        </w:r>
        <w:r w:rsidR="00555367">
          <w:rPr>
            <w:noProof/>
            <w:webHidden/>
            <w:sz w:val="22"/>
            <w:szCs w:val="22"/>
          </w:rPr>
          <w:t>4</w:t>
        </w:r>
        <w:r w:rsidR="00FA1AFC" w:rsidRPr="00FA1AFC">
          <w:rPr>
            <w:noProof/>
            <w:webHidden/>
            <w:sz w:val="22"/>
            <w:szCs w:val="22"/>
          </w:rPr>
          <w:fldChar w:fldCharType="end"/>
        </w:r>
      </w:hyperlink>
    </w:p>
    <w:p w:rsidR="00E4021B" w:rsidRDefault="00FA1AFC" w:rsidP="00FA1AFC">
      <w:r w:rsidRPr="00FA1AFC">
        <w:rPr>
          <w:sz w:val="22"/>
        </w:rPr>
        <w:fldChar w:fldCharType="end"/>
      </w:r>
    </w:p>
    <w:p w:rsidR="00FA1AFC" w:rsidRDefault="00FA1AFC" w:rsidP="00FA1AFC"/>
    <w:p w:rsidR="00FA1AFC" w:rsidRDefault="00FA1AFC" w:rsidP="00FA1AFC"/>
    <w:p w:rsidR="00FA1AFC" w:rsidRDefault="00FA1AFC" w:rsidP="00FA1AFC">
      <w:pPr>
        <w:jc w:val="center"/>
        <w:rPr>
          <w:sz w:val="28"/>
        </w:rPr>
      </w:pP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p>
    <w:p w:rsidR="00FA1AFC" w:rsidRDefault="00FA1AFC" w:rsidP="00FA1AFC"/>
    <w:p w:rsidR="00E4021B" w:rsidRDefault="00E4021B" w:rsidP="00FA1AFC"/>
    <w:p w:rsidR="00E4021B" w:rsidRDefault="00E4021B" w:rsidP="00FA1AFC"/>
    <w:p w:rsidR="00E4021B" w:rsidRPr="002726C1" w:rsidRDefault="00E4021B" w:rsidP="00FA1AFC"/>
    <w:p w:rsidR="00E4021B" w:rsidRPr="002726C1" w:rsidRDefault="00E4021B" w:rsidP="00E4021B">
      <w:pPr>
        <w:pStyle w:val="Titolo1"/>
        <w:rPr>
          <w:lang w:val="it-CH"/>
        </w:rPr>
      </w:pPr>
      <w:bookmarkStart w:id="1" w:name="_Toc478044323"/>
      <w:bookmarkStart w:id="2" w:name="_Toc484099468"/>
      <w:r w:rsidRPr="002726C1">
        <w:rPr>
          <w:lang w:val="it-CH"/>
        </w:rPr>
        <w:t>INTRODUZIONE</w:t>
      </w:r>
      <w:bookmarkEnd w:id="1"/>
      <w:bookmarkEnd w:id="2"/>
    </w:p>
    <w:p w:rsidR="00E4021B" w:rsidRPr="002726C1" w:rsidRDefault="00E4021B" w:rsidP="00FA1AFC">
      <w:r w:rsidRPr="002726C1">
        <w:t>L’iniziativa parlamentare generica, depositata nel 2001, proponeva di diminuire le aliquote applicate alle persone sole in quanto la pressione fiscale nel Canton Ticino su questa categoria di contribuenti, in particolare sulla cerchia di persone con redditi medi, risultava più elevata nel confronto con gli altri Cantoni.</w:t>
      </w:r>
    </w:p>
    <w:p w:rsidR="00E4021B" w:rsidRPr="002726C1" w:rsidRDefault="00E4021B" w:rsidP="00FA1AFC"/>
    <w:p w:rsidR="00E4021B" w:rsidRDefault="00E4021B" w:rsidP="00FA1AFC">
      <w:r w:rsidRPr="002726C1">
        <w:t xml:space="preserve">L’iniziativa è stata </w:t>
      </w:r>
      <w:r>
        <w:t xml:space="preserve">oggetto di discussione </w:t>
      </w:r>
      <w:r w:rsidRPr="002726C1">
        <w:t>più v</w:t>
      </w:r>
      <w:r>
        <w:t xml:space="preserve">olte in Commissione tributaria. L’atto parlamentare è stato ripetutamente sospeso, </w:t>
      </w:r>
      <w:r w:rsidRPr="002726C1">
        <w:t>l’ultima volta in data 5 dicembre 2014 per volontà del gran</w:t>
      </w:r>
      <w:r>
        <w:t xml:space="preserve"> </w:t>
      </w:r>
      <w:r w:rsidRPr="002726C1">
        <w:t>consigliere che ha</w:t>
      </w:r>
      <w:r>
        <w:t xml:space="preserve"> ripreso l’atto parlamentare, il Collega deputato</w:t>
      </w:r>
      <w:r w:rsidRPr="002726C1">
        <w:t xml:space="preserve"> Michele Guerra</w:t>
      </w:r>
      <w:r>
        <w:t xml:space="preserve">, e, di conseguenza, riattivata </w:t>
      </w:r>
      <w:r w:rsidRPr="002726C1">
        <w:t>a più riprese</w:t>
      </w:r>
      <w:r>
        <w:t>, l’ultima volta lo scorso 21 ottobre 2016.</w:t>
      </w:r>
    </w:p>
    <w:p w:rsidR="00E4021B" w:rsidRDefault="00E4021B" w:rsidP="00FA1AFC"/>
    <w:p w:rsidR="00E4021B" w:rsidRDefault="00E4021B" w:rsidP="00FA1AFC">
      <w:r>
        <w:t>In molteplici occasioni, il Parlamento è stato invitato ad evadere in tempi adeguati gli atti parlamentari pendenti, obiettivo e auspicio legittimo, che si scontra purtroppo, alle volte, con la volontà degli stessi deputati promotori della proposta in questione, che insistono, anche a distanza di anni, a voler mantenere sospeso il proprio atto parlamentare.</w:t>
      </w:r>
    </w:p>
    <w:p w:rsidR="00E4021B" w:rsidRDefault="00E4021B" w:rsidP="00FA1AFC"/>
    <w:p w:rsidR="00E4021B" w:rsidRPr="002726C1" w:rsidRDefault="00E4021B" w:rsidP="00FA1AFC">
      <w:r w:rsidRPr="002726C1">
        <w:lastRenderedPageBreak/>
        <w:t xml:space="preserve">Considerato il lungo tempo trascorso, la Commissione tributaria ha pertanto deciso di evadere l’iniziativa, </w:t>
      </w:r>
      <w:r>
        <w:t xml:space="preserve">anche a fronte della </w:t>
      </w:r>
      <w:r w:rsidRPr="002726C1">
        <w:t xml:space="preserve">persistente </w:t>
      </w:r>
      <w:r>
        <w:t xml:space="preserve">(a 16 anni dalla presentazione) </w:t>
      </w:r>
      <w:r w:rsidRPr="002726C1">
        <w:t xml:space="preserve">mancanza del requisito posto dalla promotrice per l’attuazione della proposta di sgravio, ovvero il buono stato di salute delle finanze pubbliche. </w:t>
      </w:r>
    </w:p>
    <w:p w:rsidR="00E4021B" w:rsidRDefault="00E4021B" w:rsidP="00FA1AFC"/>
    <w:p w:rsidR="00E4021B" w:rsidRDefault="00E4021B" w:rsidP="00FA1AFC"/>
    <w:p w:rsidR="00E4021B" w:rsidRPr="002726C1" w:rsidRDefault="00E4021B" w:rsidP="00E4021B">
      <w:pPr>
        <w:pStyle w:val="Titolo1"/>
        <w:rPr>
          <w:lang w:val="it-CH"/>
        </w:rPr>
      </w:pPr>
      <w:bookmarkStart w:id="3" w:name="_Toc478044324"/>
      <w:bookmarkStart w:id="4" w:name="_Toc484099469"/>
      <w:r w:rsidRPr="002726C1">
        <w:rPr>
          <w:lang w:val="it-CH"/>
        </w:rPr>
        <w:t>RAFFRONTO INTERCANTONALE</w:t>
      </w:r>
      <w:bookmarkEnd w:id="3"/>
      <w:bookmarkEnd w:id="4"/>
    </w:p>
    <w:p w:rsidR="00E4021B" w:rsidRPr="002726C1" w:rsidRDefault="00E4021B" w:rsidP="00FA1AFC">
      <w:r w:rsidRPr="002726C1">
        <w:t xml:space="preserve">Nell’atto parlamentare, risalente al 17 settembre 2001, si menziona come argomento </w:t>
      </w:r>
      <w:r>
        <w:t xml:space="preserve">principe </w:t>
      </w:r>
      <w:r w:rsidRPr="002726C1">
        <w:t xml:space="preserve">a sostegno della proposta di sgravio a favore delle persone sole il fatto che in Ticino la pressione fiscale per i </w:t>
      </w:r>
      <w:r w:rsidRPr="002726C1">
        <w:rPr>
          <w:i/>
        </w:rPr>
        <w:t>single</w:t>
      </w:r>
      <w:r w:rsidRPr="002726C1">
        <w:t xml:space="preserve"> – soprattutto per quelli con redditi medi –</w:t>
      </w:r>
      <w:r>
        <w:t xml:space="preserve"> è</w:t>
      </w:r>
      <w:r w:rsidRPr="002726C1">
        <w:t xml:space="preserve"> più elevata rispetto agli altri Cantoni.</w:t>
      </w:r>
    </w:p>
    <w:p w:rsidR="00E4021B" w:rsidRPr="002726C1" w:rsidRDefault="00E4021B" w:rsidP="00FA1AFC"/>
    <w:p w:rsidR="00E4021B" w:rsidRDefault="00E4021B" w:rsidP="00FA1AFC">
      <w:r>
        <w:t>Ora, a distanza di quasi 16</w:t>
      </w:r>
      <w:r w:rsidRPr="002726C1">
        <w:t xml:space="preserve"> anni, lo scenario è tuttavia mutato</w:t>
      </w:r>
      <w:r>
        <w:t>, anche se parzialmente.</w:t>
      </w:r>
    </w:p>
    <w:p w:rsidR="00E4021B" w:rsidRDefault="00E4021B" w:rsidP="00FA1AFC"/>
    <w:p w:rsidR="00E4021B" w:rsidRPr="002726C1" w:rsidRDefault="00E4021B" w:rsidP="00FA1AFC">
      <w:r w:rsidRPr="002726C1">
        <w:t xml:space="preserve">Come si può evincere dal grafico sottostante (riferito al periodo fiscale 2015) sul raffronto della concorrenza fiscale nei capoluoghi cantonali, nel nostro Cantone le persone sole che si collocano nelle fasce di reddito basse e medio-basse beneficiano di un trattamento fiscale concorrenziale fino a dei redditi lordi di CHF 60'000 (7° rango) e nella media (13° rango) fino a redditi lordi di CHF 100'000. </w:t>
      </w:r>
      <w:r w:rsidRPr="00624EA5">
        <w:t xml:space="preserve">Al di là di tale soglia, il posizionamento </w:t>
      </w:r>
      <w:proofErr w:type="spellStart"/>
      <w:r w:rsidRPr="00624EA5">
        <w:t>intercantonale</w:t>
      </w:r>
      <w:proofErr w:type="spellEnd"/>
      <w:r w:rsidRPr="00624EA5">
        <w:t xml:space="preserve"> </w:t>
      </w:r>
      <w:r>
        <w:t>per</w:t>
      </w:r>
      <w:r w:rsidRPr="00624EA5">
        <w:t xml:space="preserve"> questa categoria di contribuenti peggiora</w:t>
      </w:r>
      <w:r>
        <w:t>,</w:t>
      </w:r>
      <w:r w:rsidRPr="00624EA5">
        <w:t xml:space="preserve"> ma</w:t>
      </w:r>
      <w:r>
        <w:t xml:space="preserve"> è comunque migliore </w:t>
      </w:r>
      <w:r w:rsidRPr="00624EA5">
        <w:t>rispetto a quell</w:t>
      </w:r>
      <w:r>
        <w:t>o</w:t>
      </w:r>
      <w:r w:rsidRPr="00624EA5">
        <w:t xml:space="preserve"> delle persone coniugate (con o senza figli). </w:t>
      </w:r>
    </w:p>
    <w:p w:rsidR="00E4021B" w:rsidRDefault="00E4021B" w:rsidP="00FA1AFC"/>
    <w:p w:rsidR="00E4021B" w:rsidRPr="002726C1" w:rsidRDefault="00E4021B" w:rsidP="00E4021B">
      <w:pPr>
        <w:rPr>
          <w:szCs w:val="24"/>
        </w:rPr>
      </w:pPr>
    </w:p>
    <w:p w:rsidR="00E4021B" w:rsidRPr="00FA1AFC" w:rsidRDefault="00E4021B" w:rsidP="00E4021B">
      <w:pPr>
        <w:spacing w:line="276" w:lineRule="auto"/>
        <w:rPr>
          <w:rFonts w:cs="Arial"/>
          <w:b/>
          <w:bCs/>
          <w:sz w:val="22"/>
          <w:lang w:bidi="ml-IN"/>
        </w:rPr>
      </w:pPr>
      <w:r w:rsidRPr="00FA1AFC">
        <w:rPr>
          <w:rFonts w:cs="Arial"/>
          <w:b/>
          <w:bCs/>
          <w:sz w:val="22"/>
          <w:lang w:bidi="ml-IN"/>
        </w:rPr>
        <w:t xml:space="preserve">Concorrenza fiscale </w:t>
      </w:r>
      <w:proofErr w:type="spellStart"/>
      <w:r w:rsidRPr="00FA1AFC">
        <w:rPr>
          <w:rFonts w:cs="Arial"/>
          <w:b/>
          <w:bCs/>
          <w:sz w:val="22"/>
          <w:lang w:bidi="ml-IN"/>
        </w:rPr>
        <w:t>intercantonale</w:t>
      </w:r>
      <w:proofErr w:type="spellEnd"/>
      <w:r w:rsidRPr="00FA1AFC">
        <w:rPr>
          <w:rFonts w:cs="Arial"/>
          <w:b/>
          <w:bCs/>
          <w:sz w:val="22"/>
          <w:lang w:bidi="ml-IN"/>
        </w:rPr>
        <w:t>: rango del Ticino nel 2015 per fasce di reddito lordo</w:t>
      </w:r>
    </w:p>
    <w:p w:rsidR="00E4021B" w:rsidRPr="00624EA5" w:rsidRDefault="00E4021B" w:rsidP="00E4021B">
      <w:pPr>
        <w:spacing w:line="276" w:lineRule="auto"/>
        <w:rPr>
          <w:rFonts w:cs="Arial"/>
          <w:b/>
          <w:bCs/>
          <w:szCs w:val="24"/>
          <w:lang w:bidi="ml-IN"/>
        </w:rPr>
      </w:pPr>
    </w:p>
    <w:p w:rsidR="00E4021B" w:rsidRPr="00624EA5" w:rsidRDefault="00E4021B" w:rsidP="00E4021B">
      <w:pPr>
        <w:spacing w:line="276" w:lineRule="auto"/>
        <w:rPr>
          <w:rFonts w:asciiTheme="majorHAnsi" w:hAnsiTheme="majorHAnsi" w:cs="Kartika"/>
          <w:b/>
          <w:bCs/>
          <w:szCs w:val="24"/>
          <w:lang w:bidi="ml-IN"/>
        </w:rPr>
      </w:pPr>
      <w:r w:rsidRPr="00624EA5">
        <w:rPr>
          <w:rFonts w:asciiTheme="majorHAnsi" w:hAnsiTheme="majorHAnsi" w:cs="Arial"/>
          <w:b/>
          <w:bCs/>
          <w:noProof/>
          <w:szCs w:val="24"/>
          <w:lang w:eastAsia="it-CH"/>
        </w:rPr>
        <w:drawing>
          <wp:inline distT="0" distB="0" distL="0" distR="0" wp14:anchorId="54CB153F" wp14:editId="0DFAFB3D">
            <wp:extent cx="5581650" cy="326670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4168" cy="3274034"/>
                    </a:xfrm>
                    <a:prstGeom prst="rect">
                      <a:avLst/>
                    </a:prstGeom>
                    <a:noFill/>
                  </pic:spPr>
                </pic:pic>
              </a:graphicData>
            </a:graphic>
          </wp:inline>
        </w:drawing>
      </w:r>
    </w:p>
    <w:p w:rsidR="00E4021B" w:rsidRPr="00E4021B" w:rsidRDefault="00E4021B" w:rsidP="00E4021B">
      <w:pPr>
        <w:spacing w:before="120"/>
        <w:rPr>
          <w:rFonts w:cs="Arial"/>
          <w:i/>
          <w:sz w:val="22"/>
          <w:lang w:val="fr-CH"/>
        </w:rPr>
      </w:pPr>
      <w:r w:rsidRPr="00E4021B">
        <w:rPr>
          <w:rFonts w:cs="Arial"/>
          <w:i/>
          <w:sz w:val="22"/>
          <w:lang w:val="fr-CH"/>
        </w:rPr>
        <w:t>Fonte: AFC, Charge fiscale en Suisse 2015</w:t>
      </w:r>
    </w:p>
    <w:p w:rsidR="00E4021B" w:rsidRPr="008353F7" w:rsidRDefault="00E4021B" w:rsidP="00E4021B">
      <w:pPr>
        <w:rPr>
          <w:szCs w:val="24"/>
          <w:lang w:val="fr-CH"/>
        </w:rPr>
      </w:pPr>
    </w:p>
    <w:p w:rsidR="00E4021B" w:rsidRDefault="00E4021B" w:rsidP="00FA1AFC"/>
    <w:p w:rsidR="00FA1AFC" w:rsidRDefault="00FA1AFC">
      <w:r>
        <w:br w:type="page"/>
      </w:r>
    </w:p>
    <w:p w:rsidR="00E4021B" w:rsidRPr="002726C1" w:rsidRDefault="00E4021B" w:rsidP="00FA1AFC">
      <w:r>
        <w:lastRenderedPageBreak/>
        <w:t xml:space="preserve">È importante rilevare come il </w:t>
      </w:r>
      <w:r w:rsidRPr="002726C1">
        <w:t xml:space="preserve">posizionamento </w:t>
      </w:r>
      <w:r>
        <w:t xml:space="preserve">negativo </w:t>
      </w:r>
      <w:r w:rsidRPr="002726C1">
        <w:t xml:space="preserve">del Ticino nelle fasce di reddito più basse </w:t>
      </w:r>
      <w:r>
        <w:t>scaturisca</w:t>
      </w:r>
      <w:r w:rsidRPr="002726C1">
        <w:t xml:space="preserve"> dal carico fiscale relativo all’imposta personale comunale (</w:t>
      </w:r>
      <w:r>
        <w:t xml:space="preserve">CHF 20 </w:t>
      </w:r>
      <w:r w:rsidRPr="002726C1">
        <w:t>nel 2015) che, a differenza di altri Cantoni</w:t>
      </w:r>
      <w:r w:rsidRPr="002E633D">
        <w:rPr>
          <w:rStyle w:val="Rimandonotaapidipagina"/>
        </w:rPr>
        <w:footnoteReference w:id="1"/>
      </w:r>
      <w:r w:rsidRPr="002726C1">
        <w:t>, in Ticino colpisce indistintamente tutti i contribuenti (anche le persone</w:t>
      </w:r>
      <w:r>
        <w:t xml:space="preserve"> esenti</w:t>
      </w:r>
      <w:r w:rsidRPr="002726C1">
        <w:t xml:space="preserve">) a partire dal compimento del 20° </w:t>
      </w:r>
      <w:r w:rsidRPr="002E633D">
        <w:t>anno</w:t>
      </w:r>
      <w:r w:rsidRPr="002726C1">
        <w:t xml:space="preserve"> di età</w:t>
      </w:r>
      <w:r w:rsidRPr="002E633D">
        <w:rPr>
          <w:rStyle w:val="Rimandonotaapidipagina"/>
        </w:rPr>
        <w:footnoteReference w:id="2"/>
      </w:r>
      <w:r>
        <w:t>.</w:t>
      </w:r>
      <w:r w:rsidRPr="002726C1">
        <w:t xml:space="preserve"> Facendo astrazione dell’imposta personale, il Ticino si posizionerebbe nei primissimi ranghi anche per</w:t>
      </w:r>
      <w:r>
        <w:t xml:space="preserve"> i redditi lordi compresi tra CHF 20'000 e CHF 50'000</w:t>
      </w:r>
      <w:r w:rsidRPr="002726C1">
        <w:t>, a conferma del carattere estremamente sociale del nostro ordinamento tributario.</w:t>
      </w:r>
    </w:p>
    <w:p w:rsidR="00E4021B" w:rsidRDefault="00E4021B" w:rsidP="00FA1AFC"/>
    <w:p w:rsidR="00E4021B" w:rsidRPr="002726C1" w:rsidRDefault="00E4021B" w:rsidP="00FA1AFC"/>
    <w:p w:rsidR="00E4021B" w:rsidRPr="002726C1" w:rsidRDefault="00E4021B" w:rsidP="00E4021B">
      <w:pPr>
        <w:pStyle w:val="Titolo1"/>
        <w:rPr>
          <w:lang w:val="it-CH"/>
        </w:rPr>
      </w:pPr>
      <w:bookmarkStart w:id="5" w:name="_Toc478044325"/>
      <w:bookmarkStart w:id="6" w:name="_Toc484099470"/>
      <w:r w:rsidRPr="002726C1">
        <w:rPr>
          <w:lang w:val="it-CH"/>
        </w:rPr>
        <w:t>RAFFRONTO TRA CONIUGATI E CONCUBINI</w:t>
      </w:r>
      <w:bookmarkEnd w:id="5"/>
      <w:bookmarkEnd w:id="6"/>
    </w:p>
    <w:p w:rsidR="00E4021B" w:rsidRPr="002726C1" w:rsidRDefault="00E4021B" w:rsidP="00FA1AFC">
      <w:r w:rsidRPr="002726C1">
        <w:t xml:space="preserve">Dal profilo giuridico è </w:t>
      </w:r>
      <w:r>
        <w:t xml:space="preserve">inoltre </w:t>
      </w:r>
      <w:r w:rsidRPr="002726C1">
        <w:t>opportuno rilevare che il Tribunale federale, pur r</w:t>
      </w:r>
      <w:r>
        <w:t xml:space="preserve">iconoscendo </w:t>
      </w:r>
      <w:r w:rsidRPr="002726C1">
        <w:t xml:space="preserve">le differenze connesse all’imposizione dei coniugi e dei concubini, </w:t>
      </w:r>
      <w:r>
        <w:t xml:space="preserve">ha riconosciuto il </w:t>
      </w:r>
      <w:r w:rsidRPr="002726C1">
        <w:t>principio secondo cui una coppia sposata non deve pagare più del 10% rispetto a due concubini con lo stesso reddito</w:t>
      </w:r>
      <w:r>
        <w:t>,</w:t>
      </w:r>
      <w:r w:rsidRPr="002726C1">
        <w:t xml:space="preserve"> ma tassati separatamente</w:t>
      </w:r>
      <w:r>
        <w:t>,</w:t>
      </w:r>
      <w:r w:rsidRPr="002726C1">
        <w:t xml:space="preserve"> ed aveva prescritto al legislatore cantonale di non imporre i coniugi in modo più oneroso di due concubini che guadagnano ciascuno la metà del reddito.</w:t>
      </w:r>
    </w:p>
    <w:p w:rsidR="00E4021B" w:rsidRPr="002726C1" w:rsidRDefault="00E4021B" w:rsidP="00FA1AFC"/>
    <w:p w:rsidR="00E4021B" w:rsidRPr="002726C1" w:rsidRDefault="00E4021B" w:rsidP="00FA1AFC">
      <w:r>
        <w:t>Successivamente l</w:t>
      </w:r>
      <w:r w:rsidRPr="002726C1">
        <w:t>a giurisprudenza ha</w:t>
      </w:r>
      <w:r>
        <w:t xml:space="preserve"> tuttavia subito un’</w:t>
      </w:r>
      <w:r w:rsidRPr="002726C1">
        <w:t>evoluzione</w:t>
      </w:r>
      <w:r>
        <w:t xml:space="preserve"> e il Tribunale federale, d</w:t>
      </w:r>
      <w:r w:rsidRPr="002726C1">
        <w:t xml:space="preserve">iscostandosi da quanto stabilito </w:t>
      </w:r>
      <w:r>
        <w:t xml:space="preserve">precedentemente, </w:t>
      </w:r>
      <w:r w:rsidRPr="002726C1">
        <w:t xml:space="preserve">ha negato che si possano tracciare dei limiti precisi all'interno dei quali l'onere fiscale tra </w:t>
      </w:r>
      <w:r>
        <w:t>i due</w:t>
      </w:r>
      <w:r w:rsidRPr="002726C1">
        <w:t xml:space="preserve"> gruppi di contribuenti dovrebbe situarsi per poter essere ancora giudicato costituzionale</w:t>
      </w:r>
      <w:r>
        <w:t>.</w:t>
      </w:r>
      <w:r>
        <w:rPr>
          <w:rStyle w:val="Rimandonotaapidipagina"/>
          <w:rFonts w:cs="Arial"/>
          <w:szCs w:val="24"/>
        </w:rPr>
        <w:footnoteReference w:id="3"/>
      </w:r>
    </w:p>
    <w:p w:rsidR="00E4021B" w:rsidRPr="002726C1" w:rsidRDefault="00E4021B" w:rsidP="00FA1AFC"/>
    <w:p w:rsidR="00E4021B" w:rsidRDefault="00E4021B" w:rsidP="00FA1AFC">
      <w:r>
        <w:t xml:space="preserve">L’Alta Corte elvetica </w:t>
      </w:r>
      <w:r w:rsidRPr="002726C1">
        <w:t xml:space="preserve">ha </w:t>
      </w:r>
      <w:r>
        <w:t xml:space="preserve">quindi </w:t>
      </w:r>
      <w:r w:rsidRPr="002726C1">
        <w:t xml:space="preserve">ammesso la costituzionalità d’inevitabili differenze nell'imposizione, senza precisare quale gruppo debba sopportare le conseguenze di tali incongruenze. </w:t>
      </w:r>
      <w:r>
        <w:t>I</w:t>
      </w:r>
      <w:r w:rsidRPr="002726C1">
        <w:t xml:space="preserve"> giudici f</w:t>
      </w:r>
      <w:r>
        <w:t>ederali sembrano attribuire</w:t>
      </w:r>
      <w:r w:rsidRPr="002726C1">
        <w:t xml:space="preserve"> al legislatore fiscale il compito di compensare, favorendo i concubini, gli svantaggi che essi patiscono in altri settori del diritto, in particolare in quello delle assicurazioni sociali, in quello patrimoniale ed in quello successorio</w:t>
      </w:r>
      <w:r>
        <w:t>.</w:t>
      </w:r>
    </w:p>
    <w:p w:rsidR="00E4021B" w:rsidRDefault="00E4021B" w:rsidP="00FA1AFC"/>
    <w:p w:rsidR="00E4021B" w:rsidRPr="002726C1" w:rsidRDefault="00E4021B" w:rsidP="00FA1AFC">
      <w:r>
        <w:t xml:space="preserve">Da quanto suesposto, uno sgravio </w:t>
      </w:r>
      <w:r w:rsidRPr="002726C1">
        <w:rPr>
          <w:i/>
        </w:rPr>
        <w:t>ad hoc</w:t>
      </w:r>
      <w:r>
        <w:t xml:space="preserve"> concepito per questa particolare categoria di persone sole non appare quindi giustificabile in quanto, in caso di redditi suddivisi equamente (50% ciascuno) tra le varie coppie, le aliquote attuali sono più favorevoli ai concubini rispetto ai coniugi.</w:t>
      </w:r>
    </w:p>
    <w:p w:rsidR="00E4021B" w:rsidRDefault="00E4021B" w:rsidP="00FA1AFC"/>
    <w:p w:rsidR="00E4021B" w:rsidRPr="002726C1" w:rsidRDefault="00E4021B" w:rsidP="00E4021B">
      <w:pPr>
        <w:rPr>
          <w:szCs w:val="24"/>
        </w:rPr>
      </w:pPr>
    </w:p>
    <w:p w:rsidR="00E4021B" w:rsidRPr="002726C1" w:rsidRDefault="00E4021B" w:rsidP="00E4021B">
      <w:pPr>
        <w:pStyle w:val="Titolo1"/>
        <w:rPr>
          <w:lang w:val="it-CH"/>
        </w:rPr>
      </w:pPr>
      <w:bookmarkStart w:id="7" w:name="_Toc478044326"/>
      <w:bookmarkStart w:id="8" w:name="_Toc484099471"/>
      <w:r w:rsidRPr="002726C1">
        <w:rPr>
          <w:lang w:val="it-CH"/>
        </w:rPr>
        <w:t>STATO DELL’ERARIO CANTONALE</w:t>
      </w:r>
      <w:bookmarkEnd w:id="7"/>
      <w:bookmarkEnd w:id="8"/>
    </w:p>
    <w:p w:rsidR="00E4021B" w:rsidRDefault="00E4021B" w:rsidP="00FA1AFC">
      <w:r w:rsidRPr="002726C1">
        <w:rPr>
          <w:rFonts w:cs="Arial"/>
        </w:rPr>
        <w:t>L’economia del Cantone sta attraversando un periodo delicato che mette sotto pressione le finanze</w:t>
      </w:r>
      <w:r w:rsidRPr="002726C1">
        <w:t xml:space="preserve"> pubbliche già confrontate ad importanti misure di rientro e alle incertezze legate alla bocciatura </w:t>
      </w:r>
      <w:r>
        <w:t xml:space="preserve">in votazione popolare </w:t>
      </w:r>
      <w:r w:rsidRPr="002726C1">
        <w:t xml:space="preserve">della </w:t>
      </w:r>
      <w:r>
        <w:t>R</w:t>
      </w:r>
      <w:r w:rsidRPr="002726C1">
        <w:t xml:space="preserve">iforma dell’imposizione delle imprese III. </w:t>
      </w:r>
    </w:p>
    <w:p w:rsidR="00E4021B" w:rsidRDefault="00E4021B" w:rsidP="00FA1AFC"/>
    <w:p w:rsidR="00E4021B" w:rsidRPr="002726C1" w:rsidRDefault="00E4021B" w:rsidP="00FA1AFC">
      <w:r w:rsidRPr="002726C1">
        <w:t>Inoltre, a seguito dell’adoz</w:t>
      </w:r>
      <w:r>
        <w:t>ione del meccanismo del freno al disavanzo</w:t>
      </w:r>
      <w:r w:rsidRPr="002726C1">
        <w:t>, dal 2014</w:t>
      </w:r>
      <w:r>
        <w:t>,</w:t>
      </w:r>
      <w:r w:rsidRPr="002726C1">
        <w:t xml:space="preserve"> eventuali alleggerimenti fiscali sono possibili solo se finanziariamente neutri nel loro complesso, pena l’aumento del coefficiente cantonale d’imposta.</w:t>
      </w:r>
      <w:r>
        <w:t xml:space="preserve"> Per rendere effettivi tali sgravi, occorrerebbe quindi identificare nuovi margini di manovra finanziari (contenimento della </w:t>
      </w:r>
      <w:r>
        <w:lastRenderedPageBreak/>
        <w:t xml:space="preserve">spesa o aumento delle entrate su altri fronti), compito non certo facile tenuto conto delle molteplici misure di risanamento già introdotte in tempi recenti </w:t>
      </w:r>
      <w:r>
        <w:rPr>
          <w:rStyle w:val="Rimandonotaapidipagina"/>
          <w:rFonts w:cs="Arial"/>
          <w:szCs w:val="24"/>
        </w:rPr>
        <w:footnoteReference w:id="4"/>
      </w:r>
      <w:r>
        <w:t>.</w:t>
      </w:r>
    </w:p>
    <w:p w:rsidR="00E4021B" w:rsidRDefault="00E4021B" w:rsidP="00FA1AFC">
      <w:pPr>
        <w:rPr>
          <w:rFonts w:cs="Arial"/>
        </w:rPr>
      </w:pPr>
    </w:p>
    <w:p w:rsidR="00E4021B" w:rsidRPr="002726C1" w:rsidRDefault="00E4021B" w:rsidP="00FA1AFC">
      <w:pPr>
        <w:rPr>
          <w:rFonts w:cs="Arial"/>
        </w:rPr>
      </w:pPr>
    </w:p>
    <w:p w:rsidR="00E4021B" w:rsidRPr="002726C1" w:rsidRDefault="00E4021B" w:rsidP="00E4021B">
      <w:pPr>
        <w:pStyle w:val="Titolo1"/>
        <w:rPr>
          <w:lang w:val="it-CH"/>
        </w:rPr>
      </w:pPr>
      <w:bookmarkStart w:id="9" w:name="_Toc478044327"/>
      <w:bookmarkStart w:id="10" w:name="_Toc484099472"/>
      <w:r w:rsidRPr="002726C1">
        <w:rPr>
          <w:lang w:val="it-CH"/>
        </w:rPr>
        <w:t>CONCLUSIONI</w:t>
      </w:r>
      <w:bookmarkEnd w:id="9"/>
      <w:bookmarkEnd w:id="10"/>
    </w:p>
    <w:p w:rsidR="00E4021B" w:rsidRDefault="00E4021B" w:rsidP="00FA1AFC">
      <w:pPr>
        <w:rPr>
          <w:color w:val="000000"/>
        </w:rPr>
      </w:pPr>
      <w:r>
        <w:t xml:space="preserve">Considerato </w:t>
      </w:r>
      <w:r w:rsidRPr="002726C1">
        <w:t>lo stato attuale delle finanze pubbliche, viene a mancare il requisito principale previsto nell’iniziativa stessa</w:t>
      </w:r>
      <w:r>
        <w:t>,</w:t>
      </w:r>
      <w:r w:rsidRPr="002726C1">
        <w:t xml:space="preserve"> secondo cui l’atto parlamentare può essere concretizzato solo in caso di una situazione finanziaria florida.</w:t>
      </w:r>
      <w:r>
        <w:t xml:space="preserve"> La maggioranza della Commissione tributaria ritiene pertanto che la proposta non possa trovare accoglimento ed invita il Gran Consiglio a respingere l’iniziativa.</w:t>
      </w:r>
    </w:p>
    <w:p w:rsidR="00F242E5" w:rsidRDefault="00F242E5" w:rsidP="00F242E5">
      <w:pPr>
        <w:rPr>
          <w:rFonts w:cs="Arial"/>
        </w:rPr>
      </w:pPr>
    </w:p>
    <w:p w:rsidR="00F242E5" w:rsidRDefault="00F242E5" w:rsidP="00F242E5">
      <w:pPr>
        <w:rPr>
          <w:rFonts w:cs="Arial"/>
        </w:rPr>
      </w:pPr>
    </w:p>
    <w:p w:rsidR="00F242E5" w:rsidRPr="008219F2" w:rsidRDefault="00F242E5" w:rsidP="00F242E5">
      <w:pPr>
        <w:rPr>
          <w:rFonts w:cs="Arial"/>
        </w:rPr>
      </w:pPr>
    </w:p>
    <w:p w:rsidR="00F242E5" w:rsidRPr="008219F2" w:rsidRDefault="00F242E5" w:rsidP="00F242E5">
      <w:pPr>
        <w:rPr>
          <w:rFonts w:cs="Arial"/>
        </w:rPr>
      </w:pPr>
    </w:p>
    <w:p w:rsidR="00F242E5" w:rsidRPr="008219F2" w:rsidRDefault="00F242E5" w:rsidP="00F242E5">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 xml:space="preserve">della Commissione </w:t>
      </w:r>
      <w:r w:rsidR="00E4021B">
        <w:rPr>
          <w:rFonts w:cs="Arial"/>
        </w:rPr>
        <w:t>speciale tributaria</w:t>
      </w:r>
      <w:r w:rsidRPr="008219F2">
        <w:rPr>
          <w:rFonts w:cs="Arial"/>
        </w:rPr>
        <w:t>:</w:t>
      </w:r>
    </w:p>
    <w:p w:rsidR="00F242E5" w:rsidRPr="008219F2" w:rsidRDefault="00E4021B" w:rsidP="00F242E5">
      <w:pPr>
        <w:rPr>
          <w:rFonts w:cs="Arial"/>
        </w:rPr>
      </w:pPr>
      <w:r>
        <w:rPr>
          <w:rFonts w:cs="Arial"/>
        </w:rPr>
        <w:t>Natalia Ferrar</w:t>
      </w:r>
      <w:r w:rsidR="00555367">
        <w:rPr>
          <w:rFonts w:cs="Arial"/>
        </w:rPr>
        <w:t>a</w:t>
      </w:r>
      <w:r>
        <w:rPr>
          <w:rFonts w:cs="Arial"/>
        </w:rPr>
        <w:t>, relat</w:t>
      </w:r>
      <w:r w:rsidR="00F242E5" w:rsidRPr="008219F2">
        <w:rPr>
          <w:rFonts w:cs="Arial"/>
        </w:rPr>
        <w:t>r</w:t>
      </w:r>
      <w:r>
        <w:rPr>
          <w:rFonts w:cs="Arial"/>
        </w:rPr>
        <w:t>ic</w:t>
      </w:r>
      <w:r w:rsidR="00F242E5" w:rsidRPr="008219F2">
        <w:rPr>
          <w:rFonts w:cs="Arial"/>
        </w:rPr>
        <w:t>e</w:t>
      </w:r>
    </w:p>
    <w:p w:rsidR="00520093" w:rsidRDefault="00520093" w:rsidP="00520093">
      <w:r>
        <w:t xml:space="preserve">Battaglioni (con riserva) - Censi - Delcò Petralli - </w:t>
      </w:r>
    </w:p>
    <w:p w:rsidR="00555367" w:rsidRDefault="00520093" w:rsidP="00520093">
      <w:r>
        <w:t>Garobbio - Gendotti (con riserva) - Ghisletta -</w:t>
      </w:r>
      <w:r w:rsidR="00555367">
        <w:t xml:space="preserve"> </w:t>
      </w:r>
    </w:p>
    <w:p w:rsidR="00520093" w:rsidRDefault="00520093" w:rsidP="00520093">
      <w:r>
        <w:t xml:space="preserve">Gianella - Kandemir Bordoli - Pagani G. - </w:t>
      </w:r>
    </w:p>
    <w:p w:rsidR="00520093" w:rsidRDefault="00520093" w:rsidP="00520093">
      <w:r>
        <w:t>Passalia (con riserva)</w:t>
      </w:r>
    </w:p>
    <w:p w:rsidR="00F242E5" w:rsidRPr="008219F2" w:rsidRDefault="00F242E5" w:rsidP="00F242E5">
      <w:pPr>
        <w:rPr>
          <w:rFonts w:cs="Arial"/>
        </w:rPr>
      </w:pPr>
    </w:p>
    <w:sectPr w:rsidR="00F242E5" w:rsidRPr="008219F2" w:rsidSect="00F242E5">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58F" w:rsidRDefault="0054358F" w:rsidP="008E77C6">
      <w:r>
        <w:separator/>
      </w:r>
    </w:p>
  </w:endnote>
  <w:endnote w:type="continuationSeparator" w:id="0">
    <w:p w:rsidR="0054358F" w:rsidRDefault="0054358F"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60F63" w:rsidRPr="00660F63">
          <w:rPr>
            <w:noProof/>
            <w:sz w:val="20"/>
            <w:szCs w:val="20"/>
            <w:lang w:val="it-IT"/>
          </w:rPr>
          <w:t>4</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58F" w:rsidRDefault="0054358F" w:rsidP="008E77C6">
      <w:r>
        <w:separator/>
      </w:r>
    </w:p>
  </w:footnote>
  <w:footnote w:type="continuationSeparator" w:id="0">
    <w:p w:rsidR="0054358F" w:rsidRDefault="0054358F" w:rsidP="008E77C6">
      <w:r>
        <w:continuationSeparator/>
      </w:r>
    </w:p>
  </w:footnote>
  <w:footnote w:id="1">
    <w:p w:rsidR="00E4021B" w:rsidRPr="00624EA5" w:rsidRDefault="00E4021B" w:rsidP="00E4021B">
      <w:pPr>
        <w:pStyle w:val="Testonotaapidipagina"/>
        <w:rPr>
          <w:rFonts w:cs="Arial"/>
          <w:sz w:val="18"/>
          <w:szCs w:val="18"/>
          <w:lang w:val="it-CH"/>
        </w:rPr>
      </w:pPr>
      <w:r w:rsidRPr="00624EA5">
        <w:rPr>
          <w:rStyle w:val="Rimandonotaapidipagina"/>
          <w:rFonts w:cs="Arial"/>
          <w:sz w:val="18"/>
          <w:szCs w:val="18"/>
        </w:rPr>
        <w:footnoteRef/>
      </w:r>
      <w:r w:rsidRPr="00624EA5">
        <w:rPr>
          <w:rFonts w:cs="Arial"/>
          <w:sz w:val="18"/>
          <w:szCs w:val="18"/>
        </w:rPr>
        <w:t xml:space="preserve"> Soltanto nove Cantoni in Svizzera conoscono un’imposta analoga, (Ginevra, Lucerna, </w:t>
      </w:r>
      <w:proofErr w:type="spellStart"/>
      <w:r w:rsidRPr="00624EA5">
        <w:rPr>
          <w:rFonts w:cs="Arial"/>
          <w:sz w:val="18"/>
          <w:szCs w:val="18"/>
        </w:rPr>
        <w:t>Nidvaldo</w:t>
      </w:r>
      <w:proofErr w:type="spellEnd"/>
      <w:r w:rsidRPr="00624EA5">
        <w:rPr>
          <w:rFonts w:cs="Arial"/>
          <w:sz w:val="18"/>
          <w:szCs w:val="18"/>
        </w:rPr>
        <w:t xml:space="preserve">, Sciaffusa, Soletta, Uri, Vallese, </w:t>
      </w:r>
      <w:proofErr w:type="spellStart"/>
      <w:r w:rsidRPr="00624EA5">
        <w:rPr>
          <w:rFonts w:cs="Arial"/>
          <w:sz w:val="18"/>
          <w:szCs w:val="18"/>
        </w:rPr>
        <w:t>Vaud</w:t>
      </w:r>
      <w:proofErr w:type="spellEnd"/>
      <w:r w:rsidRPr="00624EA5">
        <w:rPr>
          <w:rFonts w:cs="Arial"/>
          <w:sz w:val="18"/>
          <w:szCs w:val="18"/>
        </w:rPr>
        <w:t xml:space="preserve"> e Zurigo)</w:t>
      </w:r>
      <w:r>
        <w:rPr>
          <w:rFonts w:cs="Arial"/>
          <w:sz w:val="18"/>
          <w:szCs w:val="18"/>
        </w:rPr>
        <w:t>, con tariffe che variano tra CHF 10 e CHF 70</w:t>
      </w:r>
      <w:r w:rsidRPr="00624EA5">
        <w:rPr>
          <w:rFonts w:cs="Arial"/>
          <w:sz w:val="18"/>
          <w:szCs w:val="18"/>
        </w:rPr>
        <w:t>.</w:t>
      </w:r>
    </w:p>
  </w:footnote>
  <w:footnote w:id="2">
    <w:p w:rsidR="00E4021B" w:rsidRPr="00624EA5" w:rsidRDefault="00E4021B" w:rsidP="00E4021B">
      <w:pPr>
        <w:pStyle w:val="Testonotaapidipagina"/>
        <w:rPr>
          <w:lang w:val="it-CH"/>
        </w:rPr>
      </w:pPr>
      <w:r w:rsidRPr="00624EA5">
        <w:rPr>
          <w:rStyle w:val="Rimandonotaapidipagina"/>
          <w:rFonts w:cs="Arial"/>
          <w:sz w:val="18"/>
          <w:szCs w:val="18"/>
        </w:rPr>
        <w:footnoteRef/>
      </w:r>
      <w:r w:rsidRPr="00624EA5">
        <w:rPr>
          <w:rFonts w:cs="Arial"/>
          <w:sz w:val="18"/>
          <w:szCs w:val="18"/>
        </w:rPr>
        <w:t xml:space="preserve"> Ricordiamo che, </w:t>
      </w:r>
      <w:r w:rsidRPr="00624EA5">
        <w:rPr>
          <w:rFonts w:cs="Arial"/>
          <w:sz w:val="18"/>
          <w:szCs w:val="18"/>
          <w:lang w:val="it-CH"/>
        </w:rPr>
        <w:t>a contare dal periodo fiscale 2016, l’importo dell’i</w:t>
      </w:r>
      <w:r>
        <w:rPr>
          <w:rFonts w:cs="Arial"/>
          <w:sz w:val="18"/>
          <w:szCs w:val="18"/>
          <w:lang w:val="it-CH"/>
        </w:rPr>
        <w:t>mposta personale è stato aumentato</w:t>
      </w:r>
      <w:r w:rsidRPr="00624EA5">
        <w:rPr>
          <w:rFonts w:cs="Arial"/>
          <w:sz w:val="18"/>
          <w:szCs w:val="18"/>
          <w:lang w:val="it-CH"/>
        </w:rPr>
        <w:t xml:space="preserve"> a </w:t>
      </w:r>
      <w:r>
        <w:rPr>
          <w:rFonts w:cs="Arial"/>
          <w:sz w:val="18"/>
          <w:szCs w:val="18"/>
          <w:lang w:val="it-CH"/>
        </w:rPr>
        <w:t>CHF 40</w:t>
      </w:r>
      <w:r w:rsidRPr="00624EA5">
        <w:rPr>
          <w:rFonts w:cs="Arial"/>
          <w:sz w:val="18"/>
          <w:szCs w:val="18"/>
          <w:lang w:val="it-CH"/>
        </w:rPr>
        <w:t xml:space="preserve"> e il prelievo anticipato a partire dal 18° anno di età del contribuente (cfr. </w:t>
      </w:r>
      <w:r w:rsidRPr="00624EA5">
        <w:rPr>
          <w:rFonts w:cs="Arial"/>
          <w:i/>
          <w:sz w:val="18"/>
          <w:szCs w:val="18"/>
          <w:lang w:val="it-CH"/>
        </w:rPr>
        <w:t>Messaggio del 29 settembre 2015 concernente il preventivo 2016, n. 7121,</w:t>
      </w:r>
      <w:r w:rsidRPr="00624EA5">
        <w:rPr>
          <w:rFonts w:cs="Arial"/>
          <w:sz w:val="18"/>
          <w:szCs w:val="18"/>
          <w:lang w:val="it-CH"/>
        </w:rPr>
        <w:t xml:space="preserve"> p. 32).</w:t>
      </w:r>
    </w:p>
  </w:footnote>
  <w:footnote w:id="3">
    <w:p w:rsidR="00E4021B" w:rsidRPr="00E4021B" w:rsidRDefault="00E4021B" w:rsidP="00E4021B">
      <w:pPr>
        <w:pStyle w:val="Testonotaapidipagina"/>
        <w:rPr>
          <w:sz w:val="18"/>
          <w:szCs w:val="18"/>
          <w:lang w:val="it-CH"/>
        </w:rPr>
      </w:pPr>
      <w:r w:rsidRPr="00E4021B">
        <w:rPr>
          <w:rStyle w:val="Rimandonotaapidipagina"/>
          <w:sz w:val="18"/>
          <w:szCs w:val="18"/>
        </w:rPr>
        <w:footnoteRef/>
      </w:r>
      <w:r w:rsidRPr="00E4021B">
        <w:rPr>
          <w:sz w:val="18"/>
          <w:szCs w:val="18"/>
        </w:rPr>
        <w:t xml:space="preserve"> DTF 120 </w:t>
      </w:r>
      <w:proofErr w:type="spellStart"/>
      <w:r w:rsidRPr="00E4021B">
        <w:rPr>
          <w:sz w:val="18"/>
          <w:szCs w:val="18"/>
        </w:rPr>
        <w:t>Ia</w:t>
      </w:r>
      <w:proofErr w:type="spellEnd"/>
      <w:r w:rsidRPr="00E4021B">
        <w:rPr>
          <w:sz w:val="18"/>
          <w:szCs w:val="18"/>
        </w:rPr>
        <w:t xml:space="preserve"> 337, </w:t>
      </w:r>
      <w:proofErr w:type="spellStart"/>
      <w:r w:rsidRPr="00E4021B">
        <w:rPr>
          <w:sz w:val="18"/>
          <w:szCs w:val="18"/>
        </w:rPr>
        <w:t>consid</w:t>
      </w:r>
      <w:proofErr w:type="spellEnd"/>
      <w:r w:rsidRPr="00E4021B">
        <w:rPr>
          <w:sz w:val="18"/>
          <w:szCs w:val="18"/>
        </w:rPr>
        <w:t>. 4d.</w:t>
      </w:r>
    </w:p>
  </w:footnote>
  <w:footnote w:id="4">
    <w:p w:rsidR="00E4021B" w:rsidRPr="00E4021B" w:rsidRDefault="00E4021B" w:rsidP="00E4021B">
      <w:pPr>
        <w:pStyle w:val="Testonotaapidipagina"/>
        <w:rPr>
          <w:sz w:val="18"/>
          <w:szCs w:val="18"/>
          <w:lang w:val="it-CH"/>
        </w:rPr>
      </w:pPr>
      <w:r w:rsidRPr="00E4021B">
        <w:rPr>
          <w:rStyle w:val="Rimandonotaapidipagina"/>
          <w:sz w:val="18"/>
          <w:szCs w:val="18"/>
        </w:rPr>
        <w:footnoteRef/>
      </w:r>
      <w:r w:rsidRPr="00E4021B">
        <w:rPr>
          <w:sz w:val="18"/>
          <w:szCs w:val="18"/>
        </w:rPr>
        <w:t>. Messaggio n. 7184 e Preventivo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520093"/>
    <w:rsid w:val="0052425A"/>
    <w:rsid w:val="0054358F"/>
    <w:rsid w:val="00555367"/>
    <w:rsid w:val="00586A8D"/>
    <w:rsid w:val="00660F63"/>
    <w:rsid w:val="006D7A3B"/>
    <w:rsid w:val="007B5462"/>
    <w:rsid w:val="008034BD"/>
    <w:rsid w:val="00876352"/>
    <w:rsid w:val="008B4137"/>
    <w:rsid w:val="008C767A"/>
    <w:rsid w:val="008E77C6"/>
    <w:rsid w:val="009770BB"/>
    <w:rsid w:val="009A31E4"/>
    <w:rsid w:val="009E008D"/>
    <w:rsid w:val="00A5465F"/>
    <w:rsid w:val="00A77678"/>
    <w:rsid w:val="00BC4C95"/>
    <w:rsid w:val="00BD5944"/>
    <w:rsid w:val="00CF6858"/>
    <w:rsid w:val="00D377B5"/>
    <w:rsid w:val="00D93B31"/>
    <w:rsid w:val="00E4021B"/>
    <w:rsid w:val="00F242E5"/>
    <w:rsid w:val="00FA1AF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uiPriority w:val="99"/>
    <w:unhideWhenUsed/>
    <w:rsid w:val="00E4021B"/>
    <w:rPr>
      <w:color w:val="0000FF"/>
      <w:u w:val="single"/>
    </w:rPr>
  </w:style>
  <w:style w:type="paragraph" w:customStyle="1" w:styleId="IntestazioneepidipaginaA">
    <w:name w:val="Intestazione e piè di pagina A"/>
    <w:rsid w:val="00E4021B"/>
    <w:pPr>
      <w:tabs>
        <w:tab w:val="left" w:pos="540"/>
        <w:tab w:val="right" w:pos="9020"/>
      </w:tabs>
    </w:pPr>
    <w:rPr>
      <w:rFonts w:ascii="Helvetica" w:eastAsia="Arial Unicode MS" w:hAnsi="Arial Unicode MS" w:cs="Arial Unicode MS"/>
      <w:color w:val="000000"/>
      <w:sz w:val="24"/>
      <w:szCs w:val="24"/>
      <w:u w:color="000000"/>
      <w:lang w:val="it-IT" w:eastAsia="it-CH"/>
    </w:rPr>
  </w:style>
  <w:style w:type="paragraph" w:styleId="Testonotaapidipagina">
    <w:name w:val="footnote text"/>
    <w:basedOn w:val="Normale"/>
    <w:link w:val="TestonotaapidipaginaCarattere"/>
    <w:semiHidden/>
    <w:unhideWhenUsed/>
    <w:rsid w:val="00E4021B"/>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E4021B"/>
    <w:rPr>
      <w:rFonts w:ascii="Arial" w:eastAsia="Times New Roman" w:hAnsi="Arial" w:cs="Times New Roman"/>
      <w:sz w:val="20"/>
      <w:szCs w:val="20"/>
      <w:lang w:val="it-IT" w:eastAsia="it-IT"/>
    </w:rPr>
  </w:style>
  <w:style w:type="character" w:styleId="Rimandonotaapidipagina">
    <w:name w:val="footnote reference"/>
    <w:basedOn w:val="Carpredefinitoparagrafo"/>
    <w:unhideWhenUsed/>
    <w:rsid w:val="00E4021B"/>
    <w:rPr>
      <w:vertAlign w:val="superscript"/>
    </w:rPr>
  </w:style>
  <w:style w:type="paragraph" w:styleId="Testofumetto">
    <w:name w:val="Balloon Text"/>
    <w:basedOn w:val="Normale"/>
    <w:link w:val="TestofumettoCarattere"/>
    <w:uiPriority w:val="99"/>
    <w:semiHidden/>
    <w:unhideWhenUsed/>
    <w:rsid w:val="00E402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0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uiPriority w:val="99"/>
    <w:unhideWhenUsed/>
    <w:rsid w:val="00E4021B"/>
    <w:rPr>
      <w:color w:val="0000FF"/>
      <w:u w:val="single"/>
    </w:rPr>
  </w:style>
  <w:style w:type="paragraph" w:customStyle="1" w:styleId="IntestazioneepidipaginaA">
    <w:name w:val="Intestazione e piè di pagina A"/>
    <w:rsid w:val="00E4021B"/>
    <w:pPr>
      <w:tabs>
        <w:tab w:val="left" w:pos="540"/>
        <w:tab w:val="right" w:pos="9020"/>
      </w:tabs>
    </w:pPr>
    <w:rPr>
      <w:rFonts w:ascii="Helvetica" w:eastAsia="Arial Unicode MS" w:hAnsi="Arial Unicode MS" w:cs="Arial Unicode MS"/>
      <w:color w:val="000000"/>
      <w:sz w:val="24"/>
      <w:szCs w:val="24"/>
      <w:u w:color="000000"/>
      <w:lang w:val="it-IT" w:eastAsia="it-CH"/>
    </w:rPr>
  </w:style>
  <w:style w:type="paragraph" w:styleId="Testonotaapidipagina">
    <w:name w:val="footnote text"/>
    <w:basedOn w:val="Normale"/>
    <w:link w:val="TestonotaapidipaginaCarattere"/>
    <w:semiHidden/>
    <w:unhideWhenUsed/>
    <w:rsid w:val="00E4021B"/>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E4021B"/>
    <w:rPr>
      <w:rFonts w:ascii="Arial" w:eastAsia="Times New Roman" w:hAnsi="Arial" w:cs="Times New Roman"/>
      <w:sz w:val="20"/>
      <w:szCs w:val="20"/>
      <w:lang w:val="it-IT" w:eastAsia="it-IT"/>
    </w:rPr>
  </w:style>
  <w:style w:type="character" w:styleId="Rimandonotaapidipagina">
    <w:name w:val="footnote reference"/>
    <w:basedOn w:val="Carpredefinitoparagrafo"/>
    <w:unhideWhenUsed/>
    <w:rsid w:val="00E4021B"/>
    <w:rPr>
      <w:vertAlign w:val="superscript"/>
    </w:rPr>
  </w:style>
  <w:style w:type="paragraph" w:styleId="Testofumetto">
    <w:name w:val="Balloon Text"/>
    <w:basedOn w:val="Normale"/>
    <w:link w:val="TestofumettoCarattere"/>
    <w:uiPriority w:val="99"/>
    <w:semiHidden/>
    <w:unhideWhenUsed/>
    <w:rsid w:val="00E402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0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6E61E-71AA-423A-B0BE-F6DC4690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1081</Words>
  <Characters>6168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2017-06-01T15:32:00Z</cp:lastPrinted>
  <dcterms:created xsi:type="dcterms:W3CDTF">2017-06-01T14:54:00Z</dcterms:created>
  <dcterms:modified xsi:type="dcterms:W3CDTF">2017-06-07T10:03:00Z</dcterms:modified>
</cp:coreProperties>
</file>