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1032BB" w:rsidP="00076E70">
      <w:r>
        <w:rPr>
          <w:rFonts w:ascii="Gill Sans MT" w:hAnsi="Gill Sans MT"/>
          <w:b/>
          <w:sz w:val="56"/>
          <w:szCs w:val="56"/>
        </w:rPr>
        <w:t>Rapporto</w:t>
      </w:r>
      <w:bookmarkStart w:id="0" w:name="_GoBack"/>
      <w:bookmarkEnd w:id="0"/>
    </w:p>
    <w:p w:rsidR="008B4137" w:rsidRDefault="008B4137">
      <w:pPr>
        <w:rPr>
          <w:rFonts w:cs="Arial"/>
          <w:szCs w:val="24"/>
        </w:rPr>
      </w:pPr>
    </w:p>
    <w:p w:rsidR="000D233F" w:rsidRDefault="000D233F">
      <w:pPr>
        <w:rPr>
          <w:rFonts w:cs="Arial"/>
          <w:szCs w:val="24"/>
        </w:rPr>
      </w:pPr>
    </w:p>
    <w:p w:rsidR="00076E70" w:rsidRDefault="00076E70">
      <w:pPr>
        <w:rPr>
          <w:rFonts w:cs="Arial"/>
          <w:szCs w:val="24"/>
        </w:rPr>
      </w:pPr>
    </w:p>
    <w:p w:rsidR="00B370C8" w:rsidRDefault="00B370C8" w:rsidP="00B370C8">
      <w:pPr>
        <w:tabs>
          <w:tab w:val="left" w:pos="2098"/>
          <w:tab w:val="left" w:pos="4962"/>
        </w:tabs>
        <w:rPr>
          <w:rFonts w:cs="Arial"/>
          <w:position w:val="4"/>
          <w:sz w:val="28"/>
          <w:szCs w:val="28"/>
        </w:rPr>
      </w:pPr>
      <w:r>
        <w:rPr>
          <w:rFonts w:cs="Arial"/>
          <w:position w:val="4"/>
          <w:sz w:val="28"/>
          <w:szCs w:val="28"/>
        </w:rPr>
        <w:tab/>
        <w:t>29 maggio 2017</w:t>
      </w:r>
      <w:r>
        <w:rPr>
          <w:rFonts w:cs="Arial"/>
          <w:position w:val="4"/>
          <w:sz w:val="28"/>
          <w:szCs w:val="28"/>
        </w:rPr>
        <w:tab/>
        <w:t>GRAN CONSIGLIO</w:t>
      </w:r>
    </w:p>
    <w:p w:rsidR="00B370C8" w:rsidRDefault="00B370C8" w:rsidP="00B370C8">
      <w:pPr>
        <w:rPr>
          <w:rFonts w:cs="Arial"/>
          <w:szCs w:val="24"/>
        </w:rPr>
      </w:pPr>
    </w:p>
    <w:p w:rsidR="00B370C8" w:rsidRDefault="00B370C8" w:rsidP="00B370C8">
      <w:pPr>
        <w:rPr>
          <w:rFonts w:cs="Arial"/>
          <w:szCs w:val="24"/>
        </w:rPr>
      </w:pPr>
    </w:p>
    <w:p w:rsidR="00B370C8" w:rsidRDefault="00B370C8" w:rsidP="00B370C8">
      <w:pPr>
        <w:rPr>
          <w:rFonts w:cs="Arial"/>
          <w:szCs w:val="24"/>
        </w:rPr>
      </w:pPr>
    </w:p>
    <w:p w:rsidR="00B370C8" w:rsidRDefault="00B370C8" w:rsidP="00B370C8">
      <w:pPr>
        <w:rPr>
          <w:rFonts w:cs="Arial"/>
          <w:b/>
          <w:sz w:val="28"/>
          <w:szCs w:val="28"/>
        </w:rPr>
      </w:pPr>
      <w:r>
        <w:rPr>
          <w:rFonts w:cs="Arial"/>
          <w:b/>
          <w:sz w:val="28"/>
          <w:szCs w:val="28"/>
        </w:rPr>
        <w:t>della Commissione delle petizioni e dei ricorsi</w:t>
      </w:r>
    </w:p>
    <w:p w:rsidR="00B370C8" w:rsidRDefault="00B370C8" w:rsidP="00B370C8">
      <w:pPr>
        <w:tabs>
          <w:tab w:val="left" w:pos="4962"/>
        </w:tabs>
        <w:rPr>
          <w:rFonts w:cs="Arial"/>
          <w:sz w:val="22"/>
        </w:rPr>
      </w:pPr>
      <w:r>
        <w:rPr>
          <w:rFonts w:cs="Arial"/>
          <w:b/>
          <w:sz w:val="28"/>
        </w:rPr>
        <w:t xml:space="preserve">sul </w:t>
      </w:r>
      <w:r>
        <w:rPr>
          <w:rFonts w:cs="Arial"/>
          <w:b/>
          <w:sz w:val="28"/>
          <w:szCs w:val="28"/>
        </w:rPr>
        <w:t xml:space="preserve">ricorso 12 aprile 2017 presentato dal signor Renato Nanni, Bellinzona, avente per oggetto </w:t>
      </w:r>
      <w:r w:rsidRPr="00C66F6D">
        <w:rPr>
          <w:rFonts w:cs="Arial"/>
          <w:b/>
          <w:sz w:val="28"/>
          <w:szCs w:val="28"/>
        </w:rPr>
        <w:t>le votazioni del 2 aprile 2017 per</w:t>
      </w:r>
      <w:r>
        <w:rPr>
          <w:rFonts w:cs="Arial"/>
          <w:b/>
          <w:sz w:val="28"/>
          <w:szCs w:val="28"/>
        </w:rPr>
        <w:t xml:space="preserve"> </w:t>
      </w:r>
      <w:r w:rsidRPr="00C66F6D">
        <w:rPr>
          <w:rFonts w:cs="Arial"/>
          <w:b/>
          <w:sz w:val="28"/>
          <w:szCs w:val="28"/>
        </w:rPr>
        <w:t>l'elezione dei Municipi e dei Consigli comunali nei Comuni di</w:t>
      </w:r>
      <w:r>
        <w:rPr>
          <w:rFonts w:cs="Arial"/>
          <w:b/>
          <w:sz w:val="28"/>
          <w:szCs w:val="28"/>
        </w:rPr>
        <w:t xml:space="preserve"> Bellinzona, Riviera e Paradiso</w:t>
      </w:r>
    </w:p>
    <w:p w:rsidR="00B370C8" w:rsidRDefault="00B370C8" w:rsidP="00B370C8">
      <w:pPr>
        <w:rPr>
          <w:rFonts w:cs="Arial"/>
          <w:szCs w:val="24"/>
        </w:rPr>
      </w:pPr>
    </w:p>
    <w:p w:rsidR="00B370C8" w:rsidRDefault="00B370C8" w:rsidP="00B370C8">
      <w:pPr>
        <w:rPr>
          <w:rFonts w:cs="Arial"/>
          <w:szCs w:val="24"/>
        </w:rPr>
      </w:pPr>
    </w:p>
    <w:p w:rsidR="00B370C8" w:rsidRDefault="00B370C8" w:rsidP="00B370C8">
      <w:pPr>
        <w:rPr>
          <w:rFonts w:cs="Arial"/>
          <w:szCs w:val="24"/>
        </w:rPr>
      </w:pPr>
    </w:p>
    <w:p w:rsidR="00B370C8" w:rsidRDefault="00B370C8" w:rsidP="00B370C8">
      <w:pPr>
        <w:pStyle w:val="Capoverso"/>
        <w:spacing w:before="0"/>
        <w:rPr>
          <w:rFonts w:ascii="Arial" w:hAnsi="Arial" w:cs="Arial"/>
          <w:szCs w:val="24"/>
        </w:rPr>
      </w:pPr>
      <w:r>
        <w:rPr>
          <w:rFonts w:ascii="Arial" w:hAnsi="Arial" w:cs="Arial"/>
          <w:szCs w:val="24"/>
        </w:rPr>
        <w:t>Signor Presidente,</w:t>
      </w:r>
    </w:p>
    <w:p w:rsidR="00B370C8" w:rsidRDefault="00B370C8" w:rsidP="00B370C8">
      <w:pPr>
        <w:pStyle w:val="Capoverso"/>
        <w:spacing w:before="0"/>
        <w:rPr>
          <w:rFonts w:ascii="Arial" w:hAnsi="Arial" w:cs="Arial"/>
          <w:szCs w:val="24"/>
        </w:rPr>
      </w:pPr>
      <w:r>
        <w:rPr>
          <w:rFonts w:ascii="Arial" w:hAnsi="Arial" w:cs="Arial"/>
          <w:szCs w:val="24"/>
        </w:rPr>
        <w:t>signore e signori deputati,</w:t>
      </w:r>
    </w:p>
    <w:p w:rsidR="00B370C8" w:rsidRDefault="00B370C8" w:rsidP="00B370C8">
      <w:pPr>
        <w:pStyle w:val="Capoverso"/>
        <w:spacing w:before="0"/>
        <w:rPr>
          <w:rFonts w:ascii="Arial" w:hAnsi="Arial" w:cs="Arial"/>
          <w:szCs w:val="24"/>
        </w:rPr>
      </w:pPr>
    </w:p>
    <w:p w:rsidR="00B370C8" w:rsidRDefault="00B370C8" w:rsidP="00B370C8">
      <w:pPr>
        <w:pStyle w:val="Capoverso"/>
        <w:spacing w:before="0"/>
        <w:rPr>
          <w:rFonts w:ascii="Arial" w:hAnsi="Arial" w:cs="Arial"/>
          <w:szCs w:val="24"/>
        </w:rPr>
      </w:pPr>
      <w:r>
        <w:rPr>
          <w:rFonts w:ascii="Arial" w:hAnsi="Arial" w:cs="Arial"/>
          <w:szCs w:val="24"/>
        </w:rPr>
        <w:t>in allegato vi trasmettiamo il testo del progetto di decisione, approvato dalla Commissione delle petizioni e dei ricorsi nella seduta del 29 maggio 2017, in merito al ricorso di cui sopra.</w:t>
      </w:r>
    </w:p>
    <w:p w:rsidR="00B370C8" w:rsidRDefault="00B370C8" w:rsidP="00B370C8">
      <w:pPr>
        <w:rPr>
          <w:rFonts w:cs="Arial"/>
          <w:bCs/>
          <w:szCs w:val="24"/>
        </w:rPr>
      </w:pPr>
    </w:p>
    <w:p w:rsidR="00B370C8" w:rsidRDefault="00B370C8" w:rsidP="00B370C8">
      <w:pPr>
        <w:rPr>
          <w:rFonts w:cs="Arial"/>
          <w:bCs/>
          <w:szCs w:val="24"/>
        </w:rPr>
      </w:pPr>
    </w:p>
    <w:p w:rsidR="00B370C8" w:rsidRDefault="00B370C8" w:rsidP="00B370C8">
      <w:pPr>
        <w:rPr>
          <w:rFonts w:cs="Arial"/>
          <w:bCs/>
          <w:szCs w:val="24"/>
        </w:rPr>
      </w:pPr>
    </w:p>
    <w:p w:rsidR="00B370C8" w:rsidRDefault="00B370C8" w:rsidP="00B370C8">
      <w:pPr>
        <w:spacing w:after="120"/>
        <w:rPr>
          <w:rFonts w:cs="Arial"/>
          <w:bCs/>
          <w:szCs w:val="24"/>
        </w:rPr>
      </w:pPr>
      <w:r>
        <w:rPr>
          <w:rFonts w:cs="Arial"/>
          <w:bCs/>
          <w:szCs w:val="24"/>
        </w:rPr>
        <w:t>Per la Commissione petizioni e ricorsi:</w:t>
      </w:r>
    </w:p>
    <w:p w:rsidR="00B370C8" w:rsidRDefault="00B370C8" w:rsidP="00B370C8">
      <w:pPr>
        <w:rPr>
          <w:rFonts w:cs="Arial"/>
          <w:bCs/>
          <w:szCs w:val="24"/>
        </w:rPr>
      </w:pPr>
      <w:r>
        <w:rPr>
          <w:rFonts w:cs="Arial"/>
          <w:bCs/>
          <w:szCs w:val="24"/>
        </w:rPr>
        <w:t>Lelia Guscio, relatrice</w:t>
      </w:r>
    </w:p>
    <w:p w:rsidR="000D233F" w:rsidRDefault="00310D1F" w:rsidP="00310D1F">
      <w:r>
        <w:t xml:space="preserve">Ay - Balli - Campana - Cedraschi - </w:t>
      </w:r>
    </w:p>
    <w:p w:rsidR="000D233F" w:rsidRDefault="00310D1F" w:rsidP="00310D1F">
      <w:r>
        <w:t xml:space="preserve">Gaffuri - Galeazzi - Gianella - </w:t>
      </w:r>
    </w:p>
    <w:p w:rsidR="000D233F" w:rsidRDefault="00310D1F" w:rsidP="00310D1F">
      <w:r>
        <w:t xml:space="preserve">Jelmini - La Mantia - Lurati I. - </w:t>
      </w:r>
    </w:p>
    <w:p w:rsidR="00310D1F" w:rsidRDefault="00310D1F" w:rsidP="00310D1F">
      <w:r>
        <w:t xml:space="preserve">Lurati Grassi - Patuzzi - </w:t>
      </w:r>
    </w:p>
    <w:p w:rsidR="00310D1F" w:rsidRDefault="00310D1F" w:rsidP="00310D1F">
      <w:r>
        <w:t>Pellanda - Schnellmann</w:t>
      </w:r>
    </w:p>
    <w:p w:rsidR="00B370C8" w:rsidRDefault="00B370C8" w:rsidP="00B370C8">
      <w:pPr>
        <w:rPr>
          <w:rFonts w:cs="Arial"/>
          <w:bCs/>
          <w:szCs w:val="24"/>
        </w:rPr>
      </w:pPr>
    </w:p>
    <w:p w:rsidR="00B370C8" w:rsidRDefault="00B370C8" w:rsidP="00B370C8">
      <w:pPr>
        <w:rPr>
          <w:rFonts w:cs="Arial"/>
          <w:bCs/>
          <w:sz w:val="22"/>
        </w:rPr>
      </w:pPr>
    </w:p>
    <w:p w:rsidR="00B370C8" w:rsidRDefault="00B370C8" w:rsidP="00B370C8">
      <w:pPr>
        <w:tabs>
          <w:tab w:val="left" w:pos="5220"/>
        </w:tabs>
        <w:rPr>
          <w:rFonts w:asciiTheme="minorHAnsi" w:hAnsiTheme="minorHAnsi" w:cs="Arial"/>
        </w:rPr>
      </w:pPr>
    </w:p>
    <w:p w:rsidR="00B370C8" w:rsidRDefault="00B370C8" w:rsidP="00B370C8">
      <w:pPr>
        <w:rPr>
          <w:b/>
        </w:rPr>
        <w:sectPr w:rsidR="00B370C8" w:rsidSect="00E545CB">
          <w:pgSz w:w="11906" w:h="16838"/>
          <w:pgMar w:top="1134" w:right="1134" w:bottom="1134" w:left="1134" w:header="567" w:footer="567" w:gutter="0"/>
          <w:cols w:space="720"/>
        </w:sectPr>
      </w:pPr>
    </w:p>
    <w:p w:rsidR="00B370C8" w:rsidRDefault="00B370C8" w:rsidP="00B370C8">
      <w:pPr>
        <w:tabs>
          <w:tab w:val="right" w:pos="9639"/>
        </w:tabs>
        <w:rPr>
          <w:rFonts w:cs="Arial"/>
          <w:b/>
          <w:szCs w:val="24"/>
        </w:rPr>
      </w:pPr>
      <w:r>
        <w:rPr>
          <w:rFonts w:cs="Arial"/>
          <w:b/>
          <w:szCs w:val="24"/>
        </w:rPr>
        <w:lastRenderedPageBreak/>
        <w:t>PROGETTO DI DECISIONE</w:t>
      </w:r>
    </w:p>
    <w:p w:rsidR="00B370C8" w:rsidRDefault="00B370C8" w:rsidP="00B370C8">
      <w:pPr>
        <w:rPr>
          <w:rFonts w:cs="Arial"/>
          <w:szCs w:val="24"/>
        </w:rPr>
      </w:pPr>
    </w:p>
    <w:p w:rsidR="00B370C8" w:rsidRDefault="00B370C8" w:rsidP="00B370C8">
      <w:pPr>
        <w:rPr>
          <w:rFonts w:cs="Arial"/>
          <w:szCs w:val="24"/>
        </w:rPr>
      </w:pPr>
    </w:p>
    <w:p w:rsidR="00E545CB" w:rsidRDefault="00E545CB" w:rsidP="00B370C8">
      <w:pPr>
        <w:rPr>
          <w:rFonts w:cs="Arial"/>
          <w:szCs w:val="24"/>
        </w:rPr>
      </w:pPr>
    </w:p>
    <w:p w:rsidR="00B370C8" w:rsidRDefault="00B370C8" w:rsidP="00B370C8">
      <w:pPr>
        <w:rPr>
          <w:rFonts w:cs="Arial"/>
          <w:szCs w:val="24"/>
        </w:rPr>
      </w:pPr>
    </w:p>
    <w:p w:rsidR="00B370C8" w:rsidRPr="00E545CB" w:rsidRDefault="00B370C8" w:rsidP="00B370C8">
      <w:pPr>
        <w:rPr>
          <w:rFonts w:cs="Arial"/>
          <w:b/>
          <w:sz w:val="36"/>
          <w:szCs w:val="36"/>
        </w:rPr>
      </w:pPr>
      <w:r w:rsidRPr="00E545CB">
        <w:rPr>
          <w:rFonts w:cs="Arial"/>
          <w:b/>
          <w:sz w:val="36"/>
          <w:szCs w:val="36"/>
        </w:rPr>
        <w:t>Il Gran Consiglio</w:t>
      </w:r>
    </w:p>
    <w:p w:rsidR="00B370C8" w:rsidRPr="00E545CB" w:rsidRDefault="00B370C8" w:rsidP="00B370C8">
      <w:pPr>
        <w:rPr>
          <w:rFonts w:cs="Arial"/>
          <w:szCs w:val="24"/>
        </w:rPr>
      </w:pPr>
    </w:p>
    <w:p w:rsidR="00B370C8" w:rsidRPr="00E545CB" w:rsidRDefault="00B370C8" w:rsidP="00B370C8">
      <w:pPr>
        <w:rPr>
          <w:rFonts w:cs="Arial"/>
          <w:szCs w:val="24"/>
        </w:rPr>
      </w:pPr>
    </w:p>
    <w:p w:rsidR="00B370C8" w:rsidRPr="00E545CB" w:rsidRDefault="00B370C8" w:rsidP="00E545CB">
      <w:pPr>
        <w:tabs>
          <w:tab w:val="left" w:pos="284"/>
        </w:tabs>
        <w:ind w:left="284" w:hanging="284"/>
        <w:rPr>
          <w:rFonts w:cs="Arial"/>
          <w:sz w:val="23"/>
          <w:szCs w:val="23"/>
        </w:rPr>
      </w:pPr>
      <w:r w:rsidRPr="00E545CB">
        <w:rPr>
          <w:rFonts w:cs="Arial"/>
          <w:sz w:val="23"/>
          <w:szCs w:val="23"/>
        </w:rPr>
        <w:t>-</w:t>
      </w:r>
      <w:r w:rsidRPr="00E545CB">
        <w:rPr>
          <w:rFonts w:cs="Arial"/>
          <w:sz w:val="23"/>
          <w:szCs w:val="23"/>
        </w:rPr>
        <w:tab/>
        <w:t>statuendo sul ricorso presentato il 12 aprile 2017 dal signor Renato Nanni, Bellinzona, avente per oggetto "le votazioni del 2 aprile 2017 per l'elezione dei Municipi e dei Consigli comunali nei Comuni di Bellinzona, Riviera e Paradiso",</w:t>
      </w:r>
    </w:p>
    <w:p w:rsidR="00B370C8" w:rsidRPr="00E545CB" w:rsidRDefault="00B370C8" w:rsidP="00B370C8">
      <w:pPr>
        <w:tabs>
          <w:tab w:val="left" w:pos="426"/>
        </w:tabs>
        <w:ind w:left="420" w:hanging="420"/>
        <w:rPr>
          <w:rFonts w:cs="Arial"/>
          <w:sz w:val="20"/>
          <w:szCs w:val="20"/>
        </w:rPr>
      </w:pPr>
    </w:p>
    <w:p w:rsidR="00B370C8" w:rsidRPr="00E545CB" w:rsidRDefault="00B370C8" w:rsidP="00E545CB">
      <w:pPr>
        <w:tabs>
          <w:tab w:val="left" w:pos="284"/>
        </w:tabs>
        <w:ind w:left="420" w:hanging="420"/>
        <w:rPr>
          <w:rFonts w:cs="Arial"/>
          <w:sz w:val="23"/>
          <w:szCs w:val="23"/>
        </w:rPr>
      </w:pPr>
      <w:r w:rsidRPr="00E545CB">
        <w:rPr>
          <w:rFonts w:cs="Arial"/>
          <w:sz w:val="23"/>
          <w:szCs w:val="23"/>
        </w:rPr>
        <w:t>-</w:t>
      </w:r>
      <w:r w:rsidRPr="00E545CB">
        <w:rPr>
          <w:rFonts w:cs="Arial"/>
          <w:sz w:val="23"/>
          <w:szCs w:val="23"/>
        </w:rPr>
        <w:tab/>
        <w:t>letti ed esaminati gli atti;</w:t>
      </w:r>
    </w:p>
    <w:p w:rsidR="00B370C8" w:rsidRDefault="00B370C8" w:rsidP="00B370C8">
      <w:pPr>
        <w:tabs>
          <w:tab w:val="left" w:pos="1134"/>
        </w:tabs>
        <w:rPr>
          <w:rFonts w:cs="Arial"/>
          <w:szCs w:val="24"/>
        </w:rPr>
      </w:pPr>
    </w:p>
    <w:p w:rsidR="00B370C8" w:rsidRDefault="00B370C8" w:rsidP="00B370C8">
      <w:pPr>
        <w:tabs>
          <w:tab w:val="left" w:pos="1134"/>
        </w:tabs>
        <w:rPr>
          <w:rFonts w:cs="Arial"/>
          <w:szCs w:val="24"/>
        </w:rPr>
      </w:pPr>
    </w:p>
    <w:p w:rsidR="00B370C8" w:rsidRDefault="00B370C8" w:rsidP="00B370C8">
      <w:pPr>
        <w:tabs>
          <w:tab w:val="left" w:pos="426"/>
        </w:tabs>
        <w:ind w:left="420" w:hanging="420"/>
        <w:rPr>
          <w:rFonts w:cs="Arial"/>
          <w:b/>
          <w:szCs w:val="24"/>
        </w:rPr>
      </w:pPr>
      <w:r>
        <w:rPr>
          <w:rFonts w:cs="Arial"/>
          <w:b/>
          <w:szCs w:val="24"/>
        </w:rPr>
        <w:t>RITENUTO IN FATTO:</w:t>
      </w:r>
    </w:p>
    <w:p w:rsidR="00B370C8" w:rsidRPr="00E545CB" w:rsidRDefault="00B370C8" w:rsidP="00B370C8">
      <w:pPr>
        <w:tabs>
          <w:tab w:val="left" w:pos="426"/>
          <w:tab w:val="left" w:pos="993"/>
        </w:tabs>
        <w:rPr>
          <w:rFonts w:cs="Arial"/>
          <w:sz w:val="23"/>
          <w:szCs w:val="23"/>
        </w:rPr>
      </w:pPr>
    </w:p>
    <w:p w:rsidR="00B370C8" w:rsidRPr="00E545CB" w:rsidRDefault="00B370C8" w:rsidP="00B370C8">
      <w:pPr>
        <w:tabs>
          <w:tab w:val="left" w:pos="426"/>
          <w:tab w:val="left" w:pos="993"/>
        </w:tabs>
        <w:rPr>
          <w:rFonts w:cs="Arial"/>
          <w:sz w:val="23"/>
          <w:szCs w:val="23"/>
        </w:rPr>
      </w:pPr>
    </w:p>
    <w:p w:rsidR="00B370C8" w:rsidRPr="00E545CB" w:rsidRDefault="00B370C8" w:rsidP="00B370C8">
      <w:pPr>
        <w:tabs>
          <w:tab w:val="left" w:pos="567"/>
        </w:tabs>
        <w:ind w:left="567" w:hanging="567"/>
        <w:rPr>
          <w:rFonts w:cs="Arial"/>
          <w:sz w:val="23"/>
          <w:szCs w:val="23"/>
        </w:rPr>
      </w:pPr>
      <w:r w:rsidRPr="00E545CB">
        <w:rPr>
          <w:rFonts w:cs="Arial"/>
          <w:sz w:val="23"/>
          <w:szCs w:val="23"/>
        </w:rPr>
        <w:t>1.</w:t>
      </w:r>
      <w:r w:rsidRPr="00E545CB">
        <w:rPr>
          <w:rFonts w:cs="Arial"/>
          <w:sz w:val="23"/>
          <w:szCs w:val="23"/>
        </w:rPr>
        <w:tab/>
        <w:t xml:space="preserve">Con scritto del </w:t>
      </w:r>
      <w:r w:rsidRPr="00E545CB">
        <w:rPr>
          <w:rFonts w:cs="Arial"/>
          <w:bCs/>
          <w:sz w:val="23"/>
          <w:szCs w:val="23"/>
        </w:rPr>
        <w:t>12 aprile 2017, il signor Renato Nanni ha inoltrato all'Ufficio presidenziale al Gran Consiglio un «</w:t>
      </w:r>
      <w:r w:rsidRPr="00E545CB">
        <w:rPr>
          <w:rFonts w:cs="Arial"/>
          <w:bCs/>
          <w:i/>
          <w:sz w:val="23"/>
          <w:szCs w:val="23"/>
        </w:rPr>
        <w:t>ricorso etico epocale per ritardata giustizia</w:t>
      </w:r>
      <w:r w:rsidRPr="00E545CB">
        <w:rPr>
          <w:rFonts w:cs="Arial"/>
          <w:bCs/>
          <w:sz w:val="23"/>
          <w:szCs w:val="23"/>
        </w:rPr>
        <w:t>» nel quale fa genericamente riferimento alle «</w:t>
      </w:r>
      <w:r w:rsidRPr="00E545CB">
        <w:rPr>
          <w:rFonts w:cs="Arial"/>
          <w:bCs/>
          <w:i/>
          <w:sz w:val="23"/>
          <w:szCs w:val="23"/>
        </w:rPr>
        <w:t>votazioni del 2 aprile 2017 per l'elezione dei Municipi e dei Consigli comunali nei Comuni di Bellinzona, Riviera e Paradiso</w:t>
      </w:r>
      <w:r w:rsidRPr="00E545CB">
        <w:rPr>
          <w:rFonts w:cs="Arial"/>
          <w:bCs/>
          <w:sz w:val="23"/>
          <w:szCs w:val="23"/>
        </w:rPr>
        <w:t>». Il citato scritto richiama esplicitamente l'art. 86 della legge sul Gran Consiglio e sui rapporti con il Consiglio di Stato del 24 febbraio 2015, disposizione riguardante i ricorsi diretti al Gran Consiglio.</w:t>
      </w:r>
    </w:p>
    <w:p w:rsidR="00B370C8" w:rsidRPr="00E545CB" w:rsidRDefault="00B370C8" w:rsidP="00B370C8">
      <w:pPr>
        <w:tabs>
          <w:tab w:val="left" w:pos="567"/>
        </w:tabs>
        <w:ind w:left="567" w:hanging="567"/>
        <w:rPr>
          <w:rFonts w:cs="Arial"/>
          <w:bCs/>
          <w:sz w:val="23"/>
          <w:szCs w:val="23"/>
        </w:rPr>
      </w:pPr>
    </w:p>
    <w:p w:rsidR="00B370C8" w:rsidRPr="00E545CB" w:rsidRDefault="00B370C8" w:rsidP="00B370C8">
      <w:pPr>
        <w:tabs>
          <w:tab w:val="left" w:pos="567"/>
        </w:tabs>
        <w:ind w:left="567" w:hanging="567"/>
        <w:rPr>
          <w:rFonts w:cs="Arial"/>
          <w:bCs/>
          <w:sz w:val="23"/>
          <w:szCs w:val="23"/>
        </w:rPr>
      </w:pPr>
      <w:r w:rsidRPr="00E545CB">
        <w:rPr>
          <w:rFonts w:cs="Arial"/>
          <w:bCs/>
          <w:sz w:val="23"/>
          <w:szCs w:val="23"/>
        </w:rPr>
        <w:t>2.</w:t>
      </w:r>
      <w:r w:rsidRPr="00E545CB">
        <w:rPr>
          <w:rFonts w:cs="Arial"/>
          <w:bCs/>
          <w:sz w:val="23"/>
          <w:szCs w:val="23"/>
        </w:rPr>
        <w:tab/>
        <w:t>Giusta l'art. 12 cpv. 1 della legge sulla procedura amministrativa del 24 settembre 2013 (</w:t>
      </w:r>
      <w:proofErr w:type="spellStart"/>
      <w:r w:rsidRPr="00E545CB">
        <w:rPr>
          <w:rFonts w:cs="Arial"/>
          <w:bCs/>
          <w:sz w:val="23"/>
          <w:szCs w:val="23"/>
        </w:rPr>
        <w:t>LPAmm</w:t>
      </w:r>
      <w:proofErr w:type="spellEnd"/>
      <w:r w:rsidRPr="00E545CB">
        <w:rPr>
          <w:rFonts w:cs="Arial"/>
          <w:bCs/>
          <w:sz w:val="23"/>
          <w:szCs w:val="23"/>
        </w:rPr>
        <w:t xml:space="preserve">), il Segretario generale del Gran Consiglio, per ordine del Presidente del Gran Consiglio, con comunicazione del 13 aprile 2017 ha assegnato al signor Nanni un termine perentorio, scadente il 2 maggio 2017, per porre rimedio alle mancanze che caratterizzavano il suo scritto in quanto non adempiente i requisiti relativi al contenuto e alla forma del ricorso, sanciti dall'art. 104 cpv. 1 </w:t>
      </w:r>
      <w:proofErr w:type="spellStart"/>
      <w:r w:rsidRPr="00E545CB">
        <w:rPr>
          <w:rFonts w:cs="Arial"/>
          <w:bCs/>
          <w:sz w:val="23"/>
          <w:szCs w:val="23"/>
        </w:rPr>
        <w:t>LPAmm</w:t>
      </w:r>
      <w:proofErr w:type="spellEnd"/>
      <w:r w:rsidRPr="00E545CB">
        <w:rPr>
          <w:rFonts w:cs="Arial"/>
          <w:bCs/>
          <w:sz w:val="23"/>
          <w:szCs w:val="23"/>
        </w:rPr>
        <w:t>. Detta comunicazione precisava che, trascorso infruttuoso quel termine, il ricorso sarebbe stato dichiarato irricevibile.</w:t>
      </w:r>
    </w:p>
    <w:p w:rsidR="00B370C8" w:rsidRPr="00E545CB" w:rsidRDefault="00B370C8" w:rsidP="00B370C8">
      <w:pPr>
        <w:tabs>
          <w:tab w:val="left" w:pos="567"/>
        </w:tabs>
        <w:ind w:left="567" w:hanging="567"/>
        <w:rPr>
          <w:rFonts w:cs="Arial"/>
          <w:bCs/>
          <w:sz w:val="23"/>
          <w:szCs w:val="23"/>
        </w:rPr>
      </w:pPr>
    </w:p>
    <w:p w:rsidR="00B370C8" w:rsidRPr="00E545CB" w:rsidRDefault="00B370C8" w:rsidP="00B370C8">
      <w:pPr>
        <w:tabs>
          <w:tab w:val="left" w:pos="567"/>
        </w:tabs>
        <w:ind w:left="567" w:hanging="567"/>
        <w:rPr>
          <w:rFonts w:cs="Arial"/>
          <w:bCs/>
          <w:sz w:val="23"/>
          <w:szCs w:val="23"/>
        </w:rPr>
      </w:pPr>
      <w:r w:rsidRPr="00E545CB">
        <w:rPr>
          <w:rFonts w:cs="Arial"/>
          <w:bCs/>
          <w:sz w:val="23"/>
          <w:szCs w:val="23"/>
        </w:rPr>
        <w:t>3.</w:t>
      </w:r>
      <w:r w:rsidRPr="00E545CB">
        <w:rPr>
          <w:rFonts w:cs="Arial"/>
          <w:bCs/>
          <w:sz w:val="23"/>
          <w:szCs w:val="23"/>
        </w:rPr>
        <w:tab/>
        <w:t xml:space="preserve">Conformemente all'art. 106 cpv. 1 </w:t>
      </w:r>
      <w:r w:rsidRPr="00E545CB">
        <w:rPr>
          <w:rFonts w:cs="Arial"/>
          <w:bCs/>
          <w:i/>
          <w:iCs/>
          <w:sz w:val="23"/>
          <w:szCs w:val="23"/>
        </w:rPr>
        <w:t xml:space="preserve">ab </w:t>
      </w:r>
      <w:proofErr w:type="spellStart"/>
      <w:r w:rsidRPr="00E545CB">
        <w:rPr>
          <w:rFonts w:cs="Arial"/>
          <w:bCs/>
          <w:i/>
          <w:iCs/>
          <w:sz w:val="23"/>
          <w:szCs w:val="23"/>
        </w:rPr>
        <w:t>initio</w:t>
      </w:r>
      <w:proofErr w:type="spellEnd"/>
      <w:r w:rsidRPr="00E545CB">
        <w:rPr>
          <w:rFonts w:cs="Arial"/>
          <w:bCs/>
          <w:i/>
          <w:iCs/>
          <w:sz w:val="23"/>
          <w:szCs w:val="23"/>
        </w:rPr>
        <w:t xml:space="preserve"> </w:t>
      </w:r>
      <w:proofErr w:type="spellStart"/>
      <w:r w:rsidRPr="00E545CB">
        <w:rPr>
          <w:rFonts w:cs="Arial"/>
          <w:bCs/>
          <w:sz w:val="23"/>
          <w:szCs w:val="23"/>
        </w:rPr>
        <w:t>LPAmm</w:t>
      </w:r>
      <w:proofErr w:type="spellEnd"/>
      <w:r w:rsidRPr="00E545CB">
        <w:rPr>
          <w:rFonts w:cs="Arial"/>
          <w:bCs/>
          <w:sz w:val="23"/>
          <w:szCs w:val="23"/>
        </w:rPr>
        <w:t xml:space="preserve">, i Servizi del Gran Consiglio hanno ritenuto di attendere l'eventuale </w:t>
      </w:r>
      <w:proofErr w:type="spellStart"/>
      <w:r w:rsidRPr="00E545CB">
        <w:rPr>
          <w:rFonts w:cs="Arial"/>
          <w:bCs/>
          <w:sz w:val="23"/>
          <w:szCs w:val="23"/>
        </w:rPr>
        <w:t>completazione</w:t>
      </w:r>
      <w:proofErr w:type="spellEnd"/>
      <w:r w:rsidRPr="00E545CB">
        <w:rPr>
          <w:rFonts w:cs="Arial"/>
          <w:bCs/>
          <w:sz w:val="23"/>
          <w:szCs w:val="23"/>
        </w:rPr>
        <w:t xml:space="preserve"> del ricorso prima di intimarlo, se del caso, all'autorità che avrebbe pronunciato la decisione impugnata.</w:t>
      </w:r>
    </w:p>
    <w:p w:rsidR="00B370C8" w:rsidRPr="00E545CB" w:rsidRDefault="00B370C8" w:rsidP="00B370C8">
      <w:pPr>
        <w:tabs>
          <w:tab w:val="left" w:pos="567"/>
        </w:tabs>
        <w:ind w:left="567" w:hanging="567"/>
        <w:rPr>
          <w:rFonts w:cs="Arial"/>
          <w:bCs/>
          <w:sz w:val="23"/>
          <w:szCs w:val="23"/>
        </w:rPr>
      </w:pPr>
    </w:p>
    <w:p w:rsidR="00B370C8" w:rsidRPr="00E545CB" w:rsidRDefault="00B370C8" w:rsidP="00B370C8">
      <w:pPr>
        <w:tabs>
          <w:tab w:val="left" w:pos="567"/>
        </w:tabs>
        <w:ind w:left="567" w:hanging="567"/>
        <w:rPr>
          <w:rFonts w:cs="Arial"/>
          <w:bCs/>
          <w:sz w:val="23"/>
          <w:szCs w:val="23"/>
        </w:rPr>
      </w:pPr>
      <w:r w:rsidRPr="00E545CB">
        <w:rPr>
          <w:rFonts w:cs="Arial"/>
          <w:bCs/>
          <w:sz w:val="23"/>
          <w:szCs w:val="23"/>
        </w:rPr>
        <w:t>4.</w:t>
      </w:r>
      <w:r w:rsidRPr="00E545CB">
        <w:rPr>
          <w:rFonts w:cs="Arial"/>
          <w:bCs/>
          <w:sz w:val="23"/>
          <w:szCs w:val="23"/>
        </w:rPr>
        <w:tab/>
        <w:t xml:space="preserve">Con scritto del 18 aprile 2017, rivolto all'Ufficio presidenziale del Gran Consiglio, il signor Nanni ha sollecitato una proroga del termine assegnatogli per la </w:t>
      </w:r>
      <w:proofErr w:type="spellStart"/>
      <w:r w:rsidRPr="00E545CB">
        <w:rPr>
          <w:rFonts w:cs="Arial"/>
          <w:bCs/>
          <w:sz w:val="23"/>
          <w:szCs w:val="23"/>
        </w:rPr>
        <w:t>completazione</w:t>
      </w:r>
      <w:proofErr w:type="spellEnd"/>
      <w:r w:rsidRPr="00E545CB">
        <w:rPr>
          <w:rFonts w:cs="Arial"/>
          <w:bCs/>
          <w:sz w:val="23"/>
          <w:szCs w:val="23"/>
        </w:rPr>
        <w:t xml:space="preserve"> del suo atto, nonché una sospensione della procedura ai sensi dell'art. 24 </w:t>
      </w:r>
      <w:proofErr w:type="spellStart"/>
      <w:r w:rsidRPr="00E545CB">
        <w:rPr>
          <w:rFonts w:cs="Arial"/>
          <w:bCs/>
          <w:sz w:val="23"/>
          <w:szCs w:val="23"/>
        </w:rPr>
        <w:t>LPAmm</w:t>
      </w:r>
      <w:proofErr w:type="spellEnd"/>
      <w:r w:rsidRPr="00E545CB">
        <w:rPr>
          <w:rFonts w:cs="Arial"/>
          <w:bCs/>
          <w:sz w:val="23"/>
          <w:szCs w:val="23"/>
        </w:rPr>
        <w:t>.</w:t>
      </w:r>
    </w:p>
    <w:p w:rsidR="00B370C8" w:rsidRPr="00E545CB" w:rsidRDefault="00B370C8" w:rsidP="00B370C8">
      <w:pPr>
        <w:tabs>
          <w:tab w:val="left" w:pos="567"/>
        </w:tabs>
        <w:ind w:left="567" w:hanging="567"/>
        <w:rPr>
          <w:rFonts w:cs="Arial"/>
          <w:bCs/>
          <w:sz w:val="23"/>
          <w:szCs w:val="23"/>
        </w:rPr>
      </w:pPr>
    </w:p>
    <w:p w:rsidR="00B370C8" w:rsidRPr="00E545CB" w:rsidRDefault="00B370C8" w:rsidP="00B370C8">
      <w:pPr>
        <w:tabs>
          <w:tab w:val="left" w:pos="567"/>
        </w:tabs>
        <w:ind w:left="567" w:hanging="567"/>
        <w:rPr>
          <w:rFonts w:cs="Arial"/>
          <w:bCs/>
          <w:sz w:val="23"/>
          <w:szCs w:val="23"/>
        </w:rPr>
      </w:pPr>
      <w:r w:rsidRPr="00E545CB">
        <w:rPr>
          <w:rFonts w:cs="Arial"/>
          <w:bCs/>
          <w:sz w:val="23"/>
          <w:szCs w:val="23"/>
        </w:rPr>
        <w:t>5.</w:t>
      </w:r>
      <w:r w:rsidRPr="00E545CB">
        <w:rPr>
          <w:rFonts w:cs="Arial"/>
          <w:bCs/>
          <w:sz w:val="23"/>
          <w:szCs w:val="23"/>
        </w:rPr>
        <w:tab/>
        <w:t xml:space="preserve">Con lettera del 19 aprile 2017, il Segretario generale del Gran Consiglio, sempre per ordine del Presidente del Gran Consiglio, ha comunicato al signor Nanni che non si ravvisavano fondati motivi per la concessione di una proroga del termine giusta l'art. 14 cpv. 2 </w:t>
      </w:r>
      <w:proofErr w:type="spellStart"/>
      <w:r w:rsidRPr="00E545CB">
        <w:rPr>
          <w:rFonts w:cs="Arial"/>
          <w:bCs/>
          <w:sz w:val="23"/>
          <w:szCs w:val="23"/>
        </w:rPr>
        <w:t>LPAmm</w:t>
      </w:r>
      <w:proofErr w:type="spellEnd"/>
      <w:r w:rsidRPr="00E545CB">
        <w:rPr>
          <w:rFonts w:cs="Arial"/>
          <w:bCs/>
          <w:sz w:val="23"/>
          <w:szCs w:val="23"/>
        </w:rPr>
        <w:t xml:space="preserve"> e che la sua richiesta di sospensione della procedura sarebbe semmai stata trasmessa, per esame, alla Commissione incaricata dell'istruzione del ricorso.</w:t>
      </w:r>
    </w:p>
    <w:p w:rsidR="00B370C8" w:rsidRPr="00E545CB" w:rsidRDefault="00B370C8" w:rsidP="00B370C8">
      <w:pPr>
        <w:tabs>
          <w:tab w:val="left" w:pos="567"/>
        </w:tabs>
        <w:ind w:left="567" w:hanging="567"/>
        <w:rPr>
          <w:rFonts w:cs="Arial"/>
          <w:bCs/>
          <w:sz w:val="23"/>
          <w:szCs w:val="23"/>
        </w:rPr>
      </w:pPr>
    </w:p>
    <w:p w:rsidR="00B370C8" w:rsidRPr="00E545CB" w:rsidRDefault="00B370C8" w:rsidP="00B370C8">
      <w:pPr>
        <w:tabs>
          <w:tab w:val="left" w:pos="567"/>
        </w:tabs>
        <w:ind w:left="567" w:hanging="567"/>
        <w:rPr>
          <w:rFonts w:cs="Arial"/>
          <w:bCs/>
          <w:sz w:val="23"/>
          <w:szCs w:val="23"/>
        </w:rPr>
      </w:pPr>
      <w:r w:rsidRPr="00E545CB">
        <w:rPr>
          <w:rFonts w:cs="Arial"/>
          <w:bCs/>
          <w:sz w:val="23"/>
          <w:szCs w:val="23"/>
        </w:rPr>
        <w:t>6.</w:t>
      </w:r>
      <w:r w:rsidRPr="00E545CB">
        <w:rPr>
          <w:rFonts w:cs="Arial"/>
          <w:bCs/>
          <w:sz w:val="23"/>
          <w:szCs w:val="23"/>
        </w:rPr>
        <w:tab/>
        <w:t>L'interessato ha omesso di completare il proprio scritto entro il termine perentorio del 2 maggio 2017.</w:t>
      </w:r>
    </w:p>
    <w:p w:rsidR="00E545CB" w:rsidRDefault="00E545CB" w:rsidP="00B370C8">
      <w:pPr>
        <w:tabs>
          <w:tab w:val="left" w:pos="567"/>
        </w:tabs>
        <w:ind w:left="567" w:hanging="567"/>
        <w:rPr>
          <w:rFonts w:cs="Arial"/>
          <w:bCs/>
          <w:szCs w:val="24"/>
        </w:rPr>
      </w:pPr>
    </w:p>
    <w:p w:rsidR="00E545CB" w:rsidRDefault="00E545CB">
      <w:pPr>
        <w:rPr>
          <w:rFonts w:cs="Arial"/>
          <w:b/>
          <w:szCs w:val="24"/>
        </w:rPr>
      </w:pPr>
      <w:r>
        <w:rPr>
          <w:rFonts w:cs="Arial"/>
          <w:b/>
          <w:szCs w:val="24"/>
        </w:rPr>
        <w:br w:type="page"/>
      </w:r>
    </w:p>
    <w:p w:rsidR="00B370C8" w:rsidRDefault="00B370C8" w:rsidP="00B370C8">
      <w:pPr>
        <w:tabs>
          <w:tab w:val="left" w:pos="426"/>
          <w:tab w:val="left" w:pos="993"/>
          <w:tab w:val="left" w:pos="1701"/>
        </w:tabs>
        <w:rPr>
          <w:rFonts w:cs="Arial"/>
          <w:b/>
          <w:szCs w:val="24"/>
        </w:rPr>
      </w:pPr>
      <w:r>
        <w:rPr>
          <w:rFonts w:cs="Arial"/>
          <w:b/>
          <w:szCs w:val="24"/>
        </w:rPr>
        <w:lastRenderedPageBreak/>
        <w:t>CONSIDERANDO IN DIRITTO:</w:t>
      </w:r>
    </w:p>
    <w:p w:rsidR="00B370C8" w:rsidRPr="00E545CB" w:rsidRDefault="00B370C8" w:rsidP="00B370C8">
      <w:pPr>
        <w:tabs>
          <w:tab w:val="left" w:pos="426"/>
          <w:tab w:val="left" w:pos="993"/>
        </w:tabs>
        <w:rPr>
          <w:rFonts w:cs="Arial"/>
          <w:sz w:val="20"/>
          <w:szCs w:val="20"/>
        </w:rPr>
      </w:pPr>
    </w:p>
    <w:p w:rsidR="00B370C8" w:rsidRPr="00E545CB" w:rsidRDefault="00B370C8" w:rsidP="00B370C8">
      <w:pPr>
        <w:tabs>
          <w:tab w:val="left" w:pos="426"/>
          <w:tab w:val="left" w:pos="993"/>
        </w:tabs>
        <w:rPr>
          <w:rFonts w:cs="Arial"/>
          <w:sz w:val="20"/>
          <w:szCs w:val="20"/>
        </w:rPr>
      </w:pPr>
    </w:p>
    <w:p w:rsidR="00B370C8" w:rsidRPr="00E545CB" w:rsidRDefault="00B370C8" w:rsidP="00E545CB">
      <w:pPr>
        <w:pStyle w:val="Paragrafoelenco"/>
        <w:numPr>
          <w:ilvl w:val="0"/>
          <w:numId w:val="5"/>
        </w:numPr>
        <w:tabs>
          <w:tab w:val="left" w:pos="426"/>
          <w:tab w:val="left" w:pos="993"/>
        </w:tabs>
        <w:spacing w:after="60"/>
        <w:ind w:left="426" w:hanging="426"/>
        <w:rPr>
          <w:rFonts w:cs="Arial"/>
          <w:sz w:val="23"/>
          <w:szCs w:val="23"/>
        </w:rPr>
      </w:pPr>
      <w:r w:rsidRPr="00E545CB">
        <w:rPr>
          <w:rFonts w:cs="Arial"/>
          <w:sz w:val="23"/>
          <w:szCs w:val="23"/>
        </w:rPr>
        <w:t xml:space="preserve">L'art. 104 </w:t>
      </w:r>
      <w:proofErr w:type="spellStart"/>
      <w:r w:rsidRPr="00E545CB">
        <w:rPr>
          <w:rFonts w:cs="Arial"/>
          <w:sz w:val="23"/>
          <w:szCs w:val="23"/>
        </w:rPr>
        <w:t>LPamm</w:t>
      </w:r>
      <w:proofErr w:type="spellEnd"/>
      <w:r w:rsidRPr="00E545CB">
        <w:rPr>
          <w:rFonts w:cs="Arial"/>
          <w:sz w:val="23"/>
          <w:szCs w:val="23"/>
        </w:rPr>
        <w:t xml:space="preserve"> stabilisce i requisiti riguardanti il contenuto e la forma dei ricorsi inoltrati al Gran Consiglio. Il cpv. 1 prescrive, al riguardo:</w:t>
      </w:r>
    </w:p>
    <w:p w:rsidR="00B370C8" w:rsidRPr="00E545CB" w:rsidRDefault="00E545CB" w:rsidP="00E545CB">
      <w:pPr>
        <w:tabs>
          <w:tab w:val="left" w:pos="426"/>
          <w:tab w:val="left" w:pos="993"/>
        </w:tabs>
        <w:ind w:left="426" w:hanging="426"/>
        <w:rPr>
          <w:rFonts w:cs="Arial"/>
          <w:sz w:val="23"/>
          <w:szCs w:val="23"/>
        </w:rPr>
      </w:pPr>
      <w:r w:rsidRPr="00E545CB">
        <w:rPr>
          <w:rFonts w:cs="Arial"/>
          <w:sz w:val="23"/>
          <w:szCs w:val="23"/>
        </w:rPr>
        <w:tab/>
      </w:r>
      <w:r w:rsidR="00B370C8" w:rsidRPr="00E545CB">
        <w:rPr>
          <w:rFonts w:cs="Arial"/>
          <w:sz w:val="23"/>
          <w:szCs w:val="23"/>
        </w:rPr>
        <w:t>«</w:t>
      </w:r>
      <w:r w:rsidR="00B370C8" w:rsidRPr="00E545CB">
        <w:rPr>
          <w:rFonts w:cs="Arial"/>
          <w:i/>
          <w:sz w:val="23"/>
          <w:szCs w:val="23"/>
        </w:rPr>
        <w:t>Il ricorso, in tanti esemplari quanti sono le parti, più una per il Gran Consiglio, deve contenere le conclusioni, i motivi, l'indicazione dei mezzi di prova richiesti e la forma del ricorrente o del suo patrocinatore. Devono essere allegati la decisione impugnata e i documenti indicati come mezzi di prova, se sono in possesso del ricorrente</w:t>
      </w:r>
      <w:r w:rsidR="00B370C8" w:rsidRPr="00E545CB">
        <w:rPr>
          <w:rFonts w:cs="Arial"/>
          <w:sz w:val="23"/>
          <w:szCs w:val="23"/>
        </w:rPr>
        <w:t>».</w:t>
      </w:r>
    </w:p>
    <w:p w:rsidR="00B370C8" w:rsidRPr="00E545CB" w:rsidRDefault="00B370C8" w:rsidP="00E545CB">
      <w:pPr>
        <w:pStyle w:val="Paragrafoelenco"/>
        <w:tabs>
          <w:tab w:val="left" w:pos="426"/>
          <w:tab w:val="left" w:pos="709"/>
          <w:tab w:val="left" w:pos="993"/>
        </w:tabs>
        <w:ind w:left="426" w:hanging="426"/>
        <w:rPr>
          <w:rFonts w:cs="Arial"/>
          <w:sz w:val="12"/>
          <w:szCs w:val="12"/>
        </w:rPr>
      </w:pPr>
    </w:p>
    <w:p w:rsidR="00B370C8" w:rsidRPr="00E545CB" w:rsidRDefault="00E545CB" w:rsidP="00E545CB">
      <w:pPr>
        <w:pStyle w:val="Paragrafoelenco"/>
        <w:tabs>
          <w:tab w:val="left" w:pos="426"/>
          <w:tab w:val="left" w:pos="709"/>
          <w:tab w:val="left" w:pos="993"/>
        </w:tabs>
        <w:ind w:left="426" w:hanging="426"/>
        <w:rPr>
          <w:rFonts w:cs="Arial"/>
          <w:sz w:val="23"/>
          <w:szCs w:val="23"/>
        </w:rPr>
      </w:pPr>
      <w:r w:rsidRPr="00E545CB">
        <w:rPr>
          <w:rFonts w:cs="Arial"/>
          <w:sz w:val="23"/>
          <w:szCs w:val="23"/>
        </w:rPr>
        <w:tab/>
      </w:r>
      <w:r w:rsidR="00B370C8" w:rsidRPr="00E545CB">
        <w:rPr>
          <w:rFonts w:cs="Arial"/>
          <w:sz w:val="23"/>
          <w:szCs w:val="23"/>
        </w:rPr>
        <w:t xml:space="preserve">Secondo l'art. 12 </w:t>
      </w:r>
      <w:proofErr w:type="spellStart"/>
      <w:r w:rsidR="00B370C8" w:rsidRPr="00E545CB">
        <w:rPr>
          <w:rFonts w:cs="Arial"/>
          <w:sz w:val="23"/>
          <w:szCs w:val="23"/>
        </w:rPr>
        <w:t>LPamm</w:t>
      </w:r>
      <w:proofErr w:type="spellEnd"/>
      <w:r w:rsidR="00B370C8" w:rsidRPr="00E545CB">
        <w:rPr>
          <w:rFonts w:cs="Arial"/>
          <w:sz w:val="23"/>
          <w:szCs w:val="23"/>
        </w:rPr>
        <w:t>, «</w:t>
      </w:r>
      <w:r w:rsidR="00B370C8" w:rsidRPr="00E545CB">
        <w:rPr>
          <w:rFonts w:cs="Arial"/>
          <w:i/>
          <w:sz w:val="23"/>
          <w:szCs w:val="23"/>
        </w:rPr>
        <w:t>[istanze o ricorsi che non adempiono i requisiti di legge, che sono illeggibili o sconvenienti vengono rinviati all'interessato con l'invito a rifarli entro un termine perentorio, sotto comminatoria che, trascorso infruttuoso tale termine, saranno dichiarati irricevibili</w:t>
      </w:r>
      <w:r w:rsidR="00B370C8" w:rsidRPr="00E545CB">
        <w:rPr>
          <w:rFonts w:cs="Arial"/>
          <w:sz w:val="23"/>
          <w:szCs w:val="23"/>
        </w:rPr>
        <w:t>».</w:t>
      </w:r>
    </w:p>
    <w:p w:rsidR="00B370C8" w:rsidRPr="00E545CB" w:rsidRDefault="00B370C8" w:rsidP="00E545CB">
      <w:pPr>
        <w:pStyle w:val="Paragrafoelenco"/>
        <w:tabs>
          <w:tab w:val="left" w:pos="426"/>
          <w:tab w:val="left" w:pos="709"/>
          <w:tab w:val="left" w:pos="993"/>
        </w:tabs>
        <w:ind w:left="426" w:hanging="426"/>
        <w:rPr>
          <w:rFonts w:cs="Arial"/>
          <w:sz w:val="20"/>
          <w:szCs w:val="20"/>
        </w:rPr>
      </w:pPr>
    </w:p>
    <w:p w:rsidR="00B370C8" w:rsidRPr="00E545CB" w:rsidRDefault="00B370C8" w:rsidP="00E545CB">
      <w:pPr>
        <w:pStyle w:val="Paragrafoelenco"/>
        <w:numPr>
          <w:ilvl w:val="0"/>
          <w:numId w:val="5"/>
        </w:numPr>
        <w:tabs>
          <w:tab w:val="left" w:pos="426"/>
          <w:tab w:val="left" w:pos="993"/>
        </w:tabs>
        <w:ind w:left="426" w:hanging="426"/>
        <w:rPr>
          <w:rFonts w:cs="Arial"/>
          <w:sz w:val="23"/>
          <w:szCs w:val="23"/>
        </w:rPr>
      </w:pPr>
      <w:r w:rsidRPr="00E545CB">
        <w:rPr>
          <w:rFonts w:cs="Arial"/>
          <w:sz w:val="23"/>
          <w:szCs w:val="23"/>
        </w:rPr>
        <w:t xml:space="preserve">Non vi è dubbio che lo scritto del signor Nanni del 12 aprile 2017 non adempie i requisiti prescritti dall'art. 104 </w:t>
      </w:r>
      <w:proofErr w:type="spellStart"/>
      <w:r w:rsidRPr="00E545CB">
        <w:rPr>
          <w:rFonts w:cs="Arial"/>
          <w:sz w:val="23"/>
          <w:szCs w:val="23"/>
        </w:rPr>
        <w:t>LPAmm</w:t>
      </w:r>
      <w:proofErr w:type="spellEnd"/>
      <w:r w:rsidRPr="00E545CB">
        <w:rPr>
          <w:rFonts w:cs="Arial"/>
          <w:sz w:val="23"/>
          <w:szCs w:val="23"/>
        </w:rPr>
        <w:t>, giacché</w:t>
      </w:r>
      <w:r w:rsidRPr="00E545CB">
        <w:rPr>
          <w:rFonts w:cs="Arial"/>
          <w:bCs/>
          <w:sz w:val="23"/>
          <w:szCs w:val="23"/>
        </w:rPr>
        <w:t xml:space="preserve">, oltre a non identificare la decisione impugnata, non contiene alcuna motivazione o conclusione. Non avendo l'interessato posto rimedio a tali mancanze entro il termine assegnatogli sotto la comminatoria di cui all'art. 12 </w:t>
      </w:r>
      <w:proofErr w:type="spellStart"/>
      <w:r w:rsidRPr="00E545CB">
        <w:rPr>
          <w:rFonts w:cs="Arial"/>
          <w:bCs/>
          <w:sz w:val="23"/>
          <w:szCs w:val="23"/>
        </w:rPr>
        <w:t>LPAmm</w:t>
      </w:r>
      <w:proofErr w:type="spellEnd"/>
      <w:r w:rsidRPr="00E545CB">
        <w:rPr>
          <w:rFonts w:cs="Arial"/>
          <w:bCs/>
          <w:sz w:val="23"/>
          <w:szCs w:val="23"/>
        </w:rPr>
        <w:t>, il di lui ricorso, nella misura in cui possa essere effettivamente considerato come tale, non può che essere dichiarato irricevibile.</w:t>
      </w:r>
    </w:p>
    <w:p w:rsidR="00B370C8" w:rsidRPr="00E545CB" w:rsidRDefault="00B370C8" w:rsidP="00E545CB">
      <w:pPr>
        <w:pStyle w:val="Paragrafoelenco"/>
        <w:tabs>
          <w:tab w:val="left" w:pos="426"/>
          <w:tab w:val="left" w:pos="993"/>
        </w:tabs>
        <w:ind w:left="426" w:hanging="426"/>
        <w:rPr>
          <w:rFonts w:cs="Arial"/>
          <w:sz w:val="20"/>
          <w:szCs w:val="20"/>
        </w:rPr>
      </w:pPr>
    </w:p>
    <w:p w:rsidR="00B370C8" w:rsidRPr="00E545CB" w:rsidRDefault="00B370C8" w:rsidP="00E545CB">
      <w:pPr>
        <w:pStyle w:val="Paragrafoelenco"/>
        <w:numPr>
          <w:ilvl w:val="0"/>
          <w:numId w:val="5"/>
        </w:numPr>
        <w:tabs>
          <w:tab w:val="left" w:pos="426"/>
          <w:tab w:val="left" w:pos="993"/>
        </w:tabs>
        <w:ind w:left="426" w:hanging="426"/>
        <w:rPr>
          <w:rFonts w:cs="Arial"/>
          <w:sz w:val="23"/>
          <w:szCs w:val="23"/>
        </w:rPr>
      </w:pPr>
      <w:r w:rsidRPr="00E545CB">
        <w:rPr>
          <w:rFonts w:cs="Arial"/>
          <w:bCs/>
          <w:sz w:val="23"/>
          <w:szCs w:val="23"/>
        </w:rPr>
        <w:t>Alla luce della determinazione che precede, la richiesta di sospensione della procedura formulata dall'interessato diviene priva di oggetto.</w:t>
      </w:r>
    </w:p>
    <w:p w:rsidR="00B370C8" w:rsidRPr="00E545CB" w:rsidRDefault="00B370C8" w:rsidP="00B370C8">
      <w:pPr>
        <w:tabs>
          <w:tab w:val="left" w:pos="426"/>
          <w:tab w:val="left" w:pos="993"/>
        </w:tabs>
        <w:rPr>
          <w:rFonts w:cs="Arial"/>
          <w:sz w:val="20"/>
          <w:szCs w:val="20"/>
        </w:rPr>
      </w:pPr>
    </w:p>
    <w:p w:rsidR="00B370C8" w:rsidRPr="00E545CB" w:rsidRDefault="00B370C8" w:rsidP="00B370C8">
      <w:pPr>
        <w:tabs>
          <w:tab w:val="left" w:pos="426"/>
          <w:tab w:val="left" w:pos="993"/>
        </w:tabs>
        <w:rPr>
          <w:rFonts w:cs="Arial"/>
          <w:sz w:val="20"/>
          <w:szCs w:val="20"/>
        </w:rPr>
      </w:pPr>
    </w:p>
    <w:p w:rsidR="00B370C8" w:rsidRPr="00E35016" w:rsidRDefault="00B370C8" w:rsidP="00B370C8">
      <w:pPr>
        <w:tabs>
          <w:tab w:val="left" w:pos="426"/>
          <w:tab w:val="left" w:pos="993"/>
        </w:tabs>
        <w:rPr>
          <w:rFonts w:cs="Arial"/>
          <w:b/>
          <w:szCs w:val="24"/>
        </w:rPr>
      </w:pPr>
      <w:r>
        <w:rPr>
          <w:rFonts w:cs="Arial"/>
          <w:b/>
          <w:szCs w:val="24"/>
        </w:rPr>
        <w:t>P</w:t>
      </w:r>
      <w:r w:rsidRPr="00E35016">
        <w:rPr>
          <w:rFonts w:cs="Arial"/>
          <w:b/>
          <w:szCs w:val="24"/>
        </w:rPr>
        <w:t>er questi motivi,</w:t>
      </w:r>
    </w:p>
    <w:p w:rsidR="00B370C8" w:rsidRPr="00E35016" w:rsidRDefault="00B370C8" w:rsidP="00B370C8">
      <w:pPr>
        <w:tabs>
          <w:tab w:val="left" w:pos="426"/>
          <w:tab w:val="left" w:pos="993"/>
        </w:tabs>
        <w:rPr>
          <w:rFonts w:cs="Arial"/>
          <w:szCs w:val="24"/>
        </w:rPr>
      </w:pPr>
    </w:p>
    <w:p w:rsidR="00B370C8" w:rsidRPr="00E545CB" w:rsidRDefault="00B370C8" w:rsidP="00B370C8">
      <w:pPr>
        <w:tabs>
          <w:tab w:val="left" w:pos="426"/>
          <w:tab w:val="left" w:pos="993"/>
        </w:tabs>
        <w:rPr>
          <w:rFonts w:cs="Arial"/>
          <w:sz w:val="23"/>
          <w:szCs w:val="23"/>
        </w:rPr>
      </w:pPr>
      <w:r w:rsidRPr="00E545CB">
        <w:rPr>
          <w:rFonts w:cs="Arial"/>
          <w:sz w:val="23"/>
          <w:szCs w:val="23"/>
        </w:rPr>
        <w:t>su proposta della Commissione delle petizioni e dei ricorsi,</w:t>
      </w:r>
    </w:p>
    <w:p w:rsidR="00B370C8" w:rsidRDefault="00B370C8" w:rsidP="00B370C8">
      <w:pPr>
        <w:tabs>
          <w:tab w:val="left" w:pos="426"/>
          <w:tab w:val="left" w:pos="993"/>
        </w:tabs>
        <w:rPr>
          <w:rFonts w:cs="Arial"/>
          <w:szCs w:val="24"/>
        </w:rPr>
      </w:pPr>
    </w:p>
    <w:p w:rsidR="00B370C8" w:rsidRDefault="00B370C8" w:rsidP="00B370C8">
      <w:pPr>
        <w:tabs>
          <w:tab w:val="left" w:pos="426"/>
          <w:tab w:val="left" w:pos="993"/>
        </w:tabs>
        <w:rPr>
          <w:rFonts w:cs="Arial"/>
          <w:b/>
          <w:szCs w:val="24"/>
        </w:rPr>
      </w:pPr>
      <w:r>
        <w:rPr>
          <w:rFonts w:cs="Arial"/>
          <w:b/>
          <w:szCs w:val="24"/>
        </w:rPr>
        <w:t>d e c i d e :</w:t>
      </w:r>
    </w:p>
    <w:p w:rsidR="00B370C8" w:rsidRDefault="00B370C8" w:rsidP="00B370C8">
      <w:pPr>
        <w:tabs>
          <w:tab w:val="left" w:pos="426"/>
          <w:tab w:val="left" w:pos="993"/>
        </w:tabs>
        <w:rPr>
          <w:rFonts w:cs="Arial"/>
          <w:szCs w:val="24"/>
        </w:rPr>
      </w:pPr>
    </w:p>
    <w:p w:rsidR="00B370C8" w:rsidRPr="00E545CB" w:rsidRDefault="00B370C8" w:rsidP="00B370C8">
      <w:pPr>
        <w:tabs>
          <w:tab w:val="left" w:pos="426"/>
          <w:tab w:val="left" w:pos="993"/>
        </w:tabs>
        <w:ind w:left="420" w:hanging="420"/>
        <w:rPr>
          <w:rFonts w:cs="Arial"/>
          <w:sz w:val="23"/>
          <w:szCs w:val="23"/>
        </w:rPr>
      </w:pPr>
      <w:r w:rsidRPr="00E545CB">
        <w:rPr>
          <w:rFonts w:cs="Arial"/>
          <w:b/>
          <w:sz w:val="23"/>
          <w:szCs w:val="23"/>
        </w:rPr>
        <w:t>1.</w:t>
      </w:r>
      <w:r w:rsidRPr="00E545CB">
        <w:rPr>
          <w:rFonts w:cs="Arial"/>
          <w:b/>
          <w:sz w:val="23"/>
          <w:szCs w:val="23"/>
        </w:rPr>
        <w:tab/>
      </w:r>
      <w:r w:rsidRPr="00E545CB">
        <w:rPr>
          <w:rFonts w:cs="Arial"/>
          <w:sz w:val="23"/>
          <w:szCs w:val="23"/>
        </w:rPr>
        <w:t>Il ricorso è irricevibile.</w:t>
      </w:r>
    </w:p>
    <w:p w:rsidR="00B370C8" w:rsidRPr="00E545CB" w:rsidRDefault="00B370C8" w:rsidP="00B370C8">
      <w:pPr>
        <w:tabs>
          <w:tab w:val="left" w:pos="426"/>
          <w:tab w:val="left" w:pos="993"/>
        </w:tabs>
        <w:rPr>
          <w:rFonts w:cs="Arial"/>
          <w:sz w:val="20"/>
          <w:szCs w:val="20"/>
        </w:rPr>
      </w:pPr>
    </w:p>
    <w:p w:rsidR="00B370C8" w:rsidRPr="00E545CB" w:rsidRDefault="00B370C8" w:rsidP="00B370C8">
      <w:pPr>
        <w:tabs>
          <w:tab w:val="left" w:pos="426"/>
          <w:tab w:val="left" w:pos="993"/>
        </w:tabs>
        <w:ind w:left="420" w:hanging="420"/>
        <w:rPr>
          <w:rFonts w:cs="Arial"/>
          <w:sz w:val="23"/>
          <w:szCs w:val="23"/>
        </w:rPr>
      </w:pPr>
      <w:r w:rsidRPr="00E545CB">
        <w:rPr>
          <w:rFonts w:cs="Arial"/>
          <w:b/>
          <w:sz w:val="23"/>
          <w:szCs w:val="23"/>
        </w:rPr>
        <w:t>2.</w:t>
      </w:r>
      <w:r w:rsidRPr="00E545CB">
        <w:rPr>
          <w:rFonts w:cs="Arial"/>
          <w:b/>
          <w:sz w:val="23"/>
          <w:szCs w:val="23"/>
        </w:rPr>
        <w:tab/>
      </w:r>
      <w:r w:rsidRPr="00E545CB">
        <w:rPr>
          <w:rFonts w:cs="Arial"/>
          <w:sz w:val="23"/>
          <w:szCs w:val="23"/>
        </w:rPr>
        <w:t>La richiesta di sospensione della procedura è divenuta priva di oggetto.</w:t>
      </w:r>
      <w:r w:rsidRPr="00E545CB">
        <w:rPr>
          <w:rFonts w:cs="Arial"/>
          <w:b/>
          <w:sz w:val="23"/>
          <w:szCs w:val="23"/>
        </w:rPr>
        <w:t xml:space="preserve"> </w:t>
      </w:r>
    </w:p>
    <w:p w:rsidR="00B370C8" w:rsidRPr="00E545CB" w:rsidRDefault="00B370C8" w:rsidP="00B370C8">
      <w:pPr>
        <w:tabs>
          <w:tab w:val="left" w:pos="426"/>
          <w:tab w:val="left" w:pos="993"/>
        </w:tabs>
        <w:rPr>
          <w:rFonts w:cs="Arial"/>
          <w:sz w:val="20"/>
          <w:szCs w:val="20"/>
        </w:rPr>
      </w:pPr>
    </w:p>
    <w:p w:rsidR="00B370C8" w:rsidRPr="00E545CB" w:rsidRDefault="00B370C8" w:rsidP="00B370C8">
      <w:pPr>
        <w:tabs>
          <w:tab w:val="left" w:pos="426"/>
          <w:tab w:val="left" w:pos="993"/>
        </w:tabs>
        <w:rPr>
          <w:rFonts w:cs="Arial"/>
          <w:sz w:val="23"/>
          <w:szCs w:val="23"/>
        </w:rPr>
      </w:pPr>
      <w:r w:rsidRPr="00E545CB">
        <w:rPr>
          <w:rFonts w:cs="Arial"/>
          <w:b/>
          <w:sz w:val="23"/>
          <w:szCs w:val="23"/>
        </w:rPr>
        <w:t>3.</w:t>
      </w:r>
      <w:r w:rsidRPr="00E545CB">
        <w:rPr>
          <w:rFonts w:cs="Arial"/>
          <w:b/>
          <w:sz w:val="23"/>
          <w:szCs w:val="23"/>
        </w:rPr>
        <w:tab/>
      </w:r>
      <w:r w:rsidRPr="00E545CB">
        <w:rPr>
          <w:rFonts w:cs="Arial"/>
          <w:sz w:val="23"/>
          <w:szCs w:val="23"/>
        </w:rPr>
        <w:t>Non si prelevano spese, né si assegnano ripetibili.</w:t>
      </w:r>
    </w:p>
    <w:p w:rsidR="00B370C8" w:rsidRPr="00E545CB" w:rsidRDefault="00B370C8" w:rsidP="00B370C8">
      <w:pPr>
        <w:tabs>
          <w:tab w:val="left" w:pos="426"/>
          <w:tab w:val="left" w:pos="993"/>
        </w:tabs>
        <w:rPr>
          <w:rFonts w:cs="Arial"/>
          <w:sz w:val="20"/>
          <w:szCs w:val="20"/>
        </w:rPr>
      </w:pPr>
    </w:p>
    <w:p w:rsidR="00B370C8" w:rsidRPr="00E545CB" w:rsidRDefault="00B370C8" w:rsidP="00B370C8">
      <w:pPr>
        <w:tabs>
          <w:tab w:val="left" w:pos="426"/>
          <w:tab w:val="left" w:pos="993"/>
        </w:tabs>
        <w:ind w:left="420" w:hanging="420"/>
        <w:rPr>
          <w:rFonts w:cs="Arial"/>
          <w:sz w:val="23"/>
          <w:szCs w:val="23"/>
        </w:rPr>
      </w:pPr>
      <w:r w:rsidRPr="00E545CB">
        <w:rPr>
          <w:rFonts w:cs="Arial"/>
          <w:b/>
          <w:sz w:val="23"/>
          <w:szCs w:val="23"/>
        </w:rPr>
        <w:t>4.</w:t>
      </w:r>
      <w:r w:rsidRPr="00E545CB">
        <w:rPr>
          <w:rFonts w:cs="Arial"/>
          <w:b/>
          <w:sz w:val="23"/>
          <w:szCs w:val="23"/>
        </w:rPr>
        <w:tab/>
      </w:r>
      <w:r w:rsidRPr="00E545CB">
        <w:rPr>
          <w:rFonts w:cs="Arial"/>
          <w:sz w:val="23"/>
          <w:szCs w:val="23"/>
        </w:rPr>
        <w:t>Contro la presente decisione è dato ricorso in materia di diritto pubblico al Tribunale federale di Losanna entro il termine di 30 giorni dalla sua notifica (art. 82 e segg. della Legge sul Tribunale federale del 17 giugno 2005).</w:t>
      </w:r>
    </w:p>
    <w:p w:rsidR="00B370C8" w:rsidRPr="00E545CB" w:rsidRDefault="00B370C8" w:rsidP="00B370C8">
      <w:pPr>
        <w:tabs>
          <w:tab w:val="left" w:pos="426"/>
          <w:tab w:val="left" w:pos="993"/>
        </w:tabs>
        <w:rPr>
          <w:rFonts w:cs="Arial"/>
          <w:sz w:val="20"/>
          <w:szCs w:val="20"/>
        </w:rPr>
      </w:pPr>
    </w:p>
    <w:p w:rsidR="00B370C8" w:rsidRPr="00E545CB" w:rsidRDefault="00B370C8" w:rsidP="00B370C8">
      <w:pPr>
        <w:tabs>
          <w:tab w:val="left" w:pos="426"/>
          <w:tab w:val="left" w:pos="993"/>
        </w:tabs>
        <w:rPr>
          <w:rFonts w:cs="Arial"/>
          <w:sz w:val="23"/>
          <w:szCs w:val="23"/>
        </w:rPr>
      </w:pPr>
      <w:r w:rsidRPr="00E545CB">
        <w:rPr>
          <w:rFonts w:cs="Arial"/>
          <w:b/>
          <w:sz w:val="23"/>
          <w:szCs w:val="23"/>
        </w:rPr>
        <w:t>5.</w:t>
      </w:r>
      <w:r w:rsidRPr="00E545CB">
        <w:rPr>
          <w:rFonts w:cs="Arial"/>
          <w:b/>
          <w:sz w:val="23"/>
          <w:szCs w:val="23"/>
        </w:rPr>
        <w:tab/>
      </w:r>
      <w:r w:rsidRPr="00E545CB">
        <w:rPr>
          <w:rFonts w:cs="Arial"/>
          <w:sz w:val="23"/>
          <w:szCs w:val="23"/>
        </w:rPr>
        <w:t>Intimazione:</w:t>
      </w:r>
    </w:p>
    <w:p w:rsidR="00B370C8" w:rsidRPr="00E545CB" w:rsidRDefault="00B370C8" w:rsidP="00E545CB">
      <w:pPr>
        <w:tabs>
          <w:tab w:val="left" w:pos="709"/>
        </w:tabs>
        <w:spacing w:before="40"/>
        <w:ind w:left="426"/>
        <w:rPr>
          <w:rFonts w:cs="Arial"/>
          <w:sz w:val="23"/>
          <w:szCs w:val="23"/>
        </w:rPr>
      </w:pPr>
      <w:r w:rsidRPr="00E545CB">
        <w:rPr>
          <w:rFonts w:cs="Arial"/>
          <w:sz w:val="23"/>
          <w:szCs w:val="23"/>
        </w:rPr>
        <w:t>-</w:t>
      </w:r>
      <w:r w:rsidRPr="00E545CB">
        <w:rPr>
          <w:rFonts w:cs="Arial"/>
          <w:sz w:val="23"/>
          <w:szCs w:val="23"/>
        </w:rPr>
        <w:tab/>
        <w:t>al ricorrente;</w:t>
      </w:r>
    </w:p>
    <w:p w:rsidR="00B370C8" w:rsidRPr="00E545CB" w:rsidRDefault="00B370C8" w:rsidP="00E545CB">
      <w:pPr>
        <w:tabs>
          <w:tab w:val="left" w:pos="709"/>
        </w:tabs>
        <w:spacing w:before="40"/>
        <w:ind w:left="709" w:hanging="283"/>
        <w:rPr>
          <w:rFonts w:cs="Arial"/>
          <w:sz w:val="23"/>
          <w:szCs w:val="23"/>
        </w:rPr>
      </w:pPr>
      <w:r w:rsidRPr="00E545CB">
        <w:rPr>
          <w:rFonts w:cs="Arial"/>
          <w:sz w:val="23"/>
          <w:szCs w:val="23"/>
        </w:rPr>
        <w:t>-</w:t>
      </w:r>
      <w:r w:rsidRPr="00E545CB">
        <w:rPr>
          <w:rFonts w:cs="Arial"/>
          <w:sz w:val="23"/>
          <w:szCs w:val="23"/>
        </w:rPr>
        <w:tab/>
        <w:t>per conoscenza, alla Cancelleria dello Stato.</w:t>
      </w:r>
    </w:p>
    <w:p w:rsidR="00B370C8" w:rsidRPr="00E545CB" w:rsidRDefault="00B370C8" w:rsidP="00B370C8">
      <w:pPr>
        <w:tabs>
          <w:tab w:val="left" w:pos="426"/>
          <w:tab w:val="left" w:pos="993"/>
        </w:tabs>
        <w:rPr>
          <w:rFonts w:cs="Arial"/>
          <w:sz w:val="20"/>
          <w:szCs w:val="20"/>
        </w:rPr>
      </w:pPr>
    </w:p>
    <w:p w:rsidR="00B370C8" w:rsidRPr="00E545CB" w:rsidRDefault="00B370C8" w:rsidP="00B370C8">
      <w:pPr>
        <w:rPr>
          <w:rFonts w:cs="Arial"/>
          <w:sz w:val="20"/>
          <w:szCs w:val="20"/>
        </w:rPr>
      </w:pPr>
    </w:p>
    <w:p w:rsidR="00B370C8" w:rsidRPr="00E545CB" w:rsidRDefault="00B370C8" w:rsidP="00B370C8">
      <w:pPr>
        <w:tabs>
          <w:tab w:val="left" w:pos="426"/>
          <w:tab w:val="left" w:pos="993"/>
        </w:tabs>
        <w:rPr>
          <w:rFonts w:cs="Arial"/>
          <w:sz w:val="23"/>
          <w:szCs w:val="23"/>
        </w:rPr>
      </w:pPr>
      <w:r w:rsidRPr="00E545CB">
        <w:rPr>
          <w:rFonts w:cs="Arial"/>
          <w:sz w:val="23"/>
          <w:szCs w:val="23"/>
        </w:rPr>
        <w:t>Bellinzona,</w:t>
      </w:r>
    </w:p>
    <w:p w:rsidR="00B370C8" w:rsidRPr="00E545CB" w:rsidRDefault="00B370C8" w:rsidP="00B370C8">
      <w:pPr>
        <w:tabs>
          <w:tab w:val="left" w:pos="426"/>
          <w:tab w:val="left" w:pos="993"/>
        </w:tabs>
        <w:rPr>
          <w:rFonts w:cs="Arial"/>
          <w:sz w:val="23"/>
          <w:szCs w:val="23"/>
        </w:rPr>
      </w:pPr>
    </w:p>
    <w:p w:rsidR="00B370C8" w:rsidRPr="00E545CB" w:rsidRDefault="00B370C8" w:rsidP="00B370C8">
      <w:pPr>
        <w:tabs>
          <w:tab w:val="left" w:pos="426"/>
          <w:tab w:val="left" w:pos="993"/>
          <w:tab w:val="left" w:pos="4678"/>
        </w:tabs>
        <w:ind w:right="-347"/>
        <w:jc w:val="center"/>
        <w:rPr>
          <w:rFonts w:cs="Arial"/>
          <w:sz w:val="23"/>
          <w:szCs w:val="23"/>
        </w:rPr>
      </w:pPr>
      <w:r w:rsidRPr="00E545CB">
        <w:rPr>
          <w:rFonts w:cs="Arial"/>
          <w:sz w:val="23"/>
          <w:szCs w:val="23"/>
        </w:rPr>
        <w:t>PER IL GRAN CONSIGLIO</w:t>
      </w:r>
    </w:p>
    <w:p w:rsidR="00B370C8" w:rsidRPr="00E545CB" w:rsidRDefault="00B370C8" w:rsidP="00B370C8">
      <w:pPr>
        <w:tabs>
          <w:tab w:val="left" w:pos="426"/>
          <w:tab w:val="left" w:pos="993"/>
          <w:tab w:val="left" w:pos="4678"/>
        </w:tabs>
        <w:spacing w:before="120"/>
        <w:ind w:right="-346"/>
        <w:rPr>
          <w:rFonts w:cs="Arial"/>
          <w:sz w:val="12"/>
          <w:szCs w:val="12"/>
        </w:rPr>
      </w:pPr>
    </w:p>
    <w:p w:rsidR="00B370C8" w:rsidRPr="00E545CB" w:rsidRDefault="00B370C8" w:rsidP="00B370C8">
      <w:pPr>
        <w:tabs>
          <w:tab w:val="left" w:pos="426"/>
          <w:tab w:val="left" w:pos="993"/>
          <w:tab w:val="left" w:pos="6804"/>
        </w:tabs>
        <w:ind w:right="-347"/>
        <w:rPr>
          <w:rFonts w:cs="Arial"/>
          <w:sz w:val="23"/>
          <w:szCs w:val="23"/>
        </w:rPr>
      </w:pPr>
      <w:r w:rsidRPr="00E545CB">
        <w:rPr>
          <w:rFonts w:cs="Arial"/>
          <w:sz w:val="23"/>
          <w:szCs w:val="23"/>
        </w:rPr>
        <w:t>Il Presidente:</w:t>
      </w:r>
      <w:r w:rsidRPr="00E545CB">
        <w:rPr>
          <w:rFonts w:cs="Arial"/>
          <w:sz w:val="23"/>
          <w:szCs w:val="23"/>
        </w:rPr>
        <w:tab/>
        <w:t>Il Segretario generale:</w:t>
      </w:r>
    </w:p>
    <w:p w:rsidR="00B370C8" w:rsidRPr="00E545CB" w:rsidRDefault="00B370C8" w:rsidP="00B370C8">
      <w:pPr>
        <w:tabs>
          <w:tab w:val="left" w:pos="426"/>
          <w:tab w:val="left" w:pos="993"/>
          <w:tab w:val="left" w:pos="4678"/>
          <w:tab w:val="left" w:pos="7230"/>
        </w:tabs>
        <w:ind w:right="-347"/>
        <w:rPr>
          <w:rFonts w:cs="Arial"/>
          <w:sz w:val="23"/>
          <w:szCs w:val="23"/>
        </w:rPr>
      </w:pPr>
    </w:p>
    <w:p w:rsidR="00B370C8" w:rsidRPr="00E545CB" w:rsidRDefault="00B370C8" w:rsidP="00B370C8">
      <w:pPr>
        <w:tabs>
          <w:tab w:val="left" w:pos="426"/>
          <w:tab w:val="left" w:pos="993"/>
          <w:tab w:val="left" w:pos="4678"/>
          <w:tab w:val="left" w:pos="7230"/>
        </w:tabs>
        <w:ind w:right="-347"/>
        <w:rPr>
          <w:rFonts w:cs="Arial"/>
          <w:sz w:val="23"/>
          <w:szCs w:val="23"/>
        </w:rPr>
      </w:pPr>
    </w:p>
    <w:p w:rsidR="006D7A3B" w:rsidRPr="00E545CB" w:rsidRDefault="00B370C8" w:rsidP="00E545CB">
      <w:pPr>
        <w:tabs>
          <w:tab w:val="left" w:pos="426"/>
          <w:tab w:val="left" w:pos="993"/>
          <w:tab w:val="left" w:pos="6804"/>
        </w:tabs>
        <w:ind w:right="-285"/>
        <w:rPr>
          <w:rFonts w:cs="Arial"/>
          <w:sz w:val="23"/>
          <w:szCs w:val="23"/>
        </w:rPr>
      </w:pPr>
      <w:r w:rsidRPr="00E545CB">
        <w:rPr>
          <w:rFonts w:cs="Arial"/>
          <w:sz w:val="23"/>
          <w:szCs w:val="23"/>
        </w:rPr>
        <w:t>W. Gianora</w:t>
      </w:r>
      <w:r w:rsidRPr="00E545CB">
        <w:rPr>
          <w:rFonts w:cs="Arial"/>
          <w:sz w:val="23"/>
          <w:szCs w:val="23"/>
        </w:rPr>
        <w:tab/>
        <w:t>G. Buzzini</w:t>
      </w:r>
    </w:p>
    <w:sectPr w:rsidR="006D7A3B" w:rsidRPr="00E545C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26" w:rsidRDefault="00A01426" w:rsidP="008E77C6">
      <w:r>
        <w:separator/>
      </w:r>
    </w:p>
  </w:endnote>
  <w:endnote w:type="continuationSeparator" w:id="0">
    <w:p w:rsidR="00A01426" w:rsidRDefault="00A0142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032BB" w:rsidRPr="001032BB">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26" w:rsidRDefault="00A01426" w:rsidP="008E77C6">
      <w:r>
        <w:separator/>
      </w:r>
    </w:p>
  </w:footnote>
  <w:footnote w:type="continuationSeparator" w:id="0">
    <w:p w:rsidR="00A01426" w:rsidRDefault="00A0142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C0F52EA"/>
    <w:multiLevelType w:val="hybridMultilevel"/>
    <w:tmpl w:val="4E2EA7C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D233F"/>
    <w:rsid w:val="001032BB"/>
    <w:rsid w:val="002E5E40"/>
    <w:rsid w:val="00310D1F"/>
    <w:rsid w:val="0052425A"/>
    <w:rsid w:val="00586A8D"/>
    <w:rsid w:val="006D7A3B"/>
    <w:rsid w:val="007B5462"/>
    <w:rsid w:val="008034BD"/>
    <w:rsid w:val="00876352"/>
    <w:rsid w:val="008B4137"/>
    <w:rsid w:val="008C767A"/>
    <w:rsid w:val="008E77C6"/>
    <w:rsid w:val="009770BB"/>
    <w:rsid w:val="009E008D"/>
    <w:rsid w:val="00A01426"/>
    <w:rsid w:val="00A5465F"/>
    <w:rsid w:val="00A77678"/>
    <w:rsid w:val="00B370C8"/>
    <w:rsid w:val="00BC4C95"/>
    <w:rsid w:val="00BD5944"/>
    <w:rsid w:val="00CF6858"/>
    <w:rsid w:val="00D377B5"/>
    <w:rsid w:val="00D93B31"/>
    <w:rsid w:val="00E545C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Capoverso">
    <w:name w:val="Capoverso"/>
    <w:basedOn w:val="Normale"/>
    <w:rsid w:val="00B370C8"/>
    <w:pPr>
      <w:spacing w:before="120"/>
    </w:pPr>
    <w:rPr>
      <w:rFonts w:ascii="Helvetica" w:eastAsia="Times New Roman" w:hAnsi="Helvetica" w:cs="Times New Roman"/>
      <w:szCs w:val="20"/>
      <w:lang w:val="it-IT" w:eastAsia="it-IT"/>
    </w:rPr>
  </w:style>
  <w:style w:type="paragraph" w:styleId="Testofumetto">
    <w:name w:val="Balloon Text"/>
    <w:basedOn w:val="Normale"/>
    <w:link w:val="TestofumettoCarattere"/>
    <w:uiPriority w:val="99"/>
    <w:semiHidden/>
    <w:unhideWhenUsed/>
    <w:rsid w:val="000D23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2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Capoverso">
    <w:name w:val="Capoverso"/>
    <w:basedOn w:val="Normale"/>
    <w:rsid w:val="00B370C8"/>
    <w:pPr>
      <w:spacing w:before="120"/>
    </w:pPr>
    <w:rPr>
      <w:rFonts w:ascii="Helvetica" w:eastAsia="Times New Roman" w:hAnsi="Helvetica" w:cs="Times New Roman"/>
      <w:szCs w:val="20"/>
      <w:lang w:val="it-IT" w:eastAsia="it-IT"/>
    </w:rPr>
  </w:style>
  <w:style w:type="paragraph" w:styleId="Testofumetto">
    <w:name w:val="Balloon Text"/>
    <w:basedOn w:val="Normale"/>
    <w:link w:val="TestofumettoCarattere"/>
    <w:uiPriority w:val="99"/>
    <w:semiHidden/>
    <w:unhideWhenUsed/>
    <w:rsid w:val="000D23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2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48FF-22A7-4DBE-8506-7B6F1DE1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2017-06-02T12:39:00Z</cp:lastPrinted>
  <dcterms:created xsi:type="dcterms:W3CDTF">2017-06-02T12:03:00Z</dcterms:created>
  <dcterms:modified xsi:type="dcterms:W3CDTF">2017-06-07T10:05:00Z</dcterms:modified>
</cp:coreProperties>
</file>