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967A5F" w:rsidP="00076E70">
      <w:r>
        <w:rPr>
          <w:rFonts w:ascii="Gill Sans MT" w:hAnsi="Gill Sans MT"/>
          <w:b/>
          <w:sz w:val="56"/>
          <w:szCs w:val="56"/>
        </w:rPr>
        <w:t>Rapporto</w:t>
      </w:r>
    </w:p>
    <w:p w:rsidR="008B4137" w:rsidRDefault="008B4137">
      <w:pPr>
        <w:rPr>
          <w:rFonts w:cs="Arial"/>
          <w:szCs w:val="24"/>
        </w:rPr>
      </w:pPr>
    </w:p>
    <w:p w:rsidR="00076E70" w:rsidRDefault="00076E70">
      <w:pPr>
        <w:rPr>
          <w:rFonts w:cs="Arial"/>
          <w:szCs w:val="24"/>
        </w:rPr>
      </w:pPr>
    </w:p>
    <w:p w:rsidR="008B4137" w:rsidRDefault="0001476A" w:rsidP="006D7A3B">
      <w:pPr>
        <w:tabs>
          <w:tab w:val="left" w:pos="2098"/>
          <w:tab w:val="left" w:pos="4933"/>
        </w:tabs>
        <w:rPr>
          <w:rFonts w:cs="Arial"/>
          <w:szCs w:val="24"/>
        </w:rPr>
      </w:pPr>
      <w:r>
        <w:rPr>
          <w:rFonts w:cs="Arial"/>
          <w:b/>
          <w:sz w:val="32"/>
          <w:szCs w:val="32"/>
        </w:rPr>
        <w:t>73</w:t>
      </w:r>
      <w:r w:rsidR="008B4137" w:rsidRPr="008B4137">
        <w:rPr>
          <w:rFonts w:cs="Arial"/>
          <w:b/>
          <w:sz w:val="32"/>
          <w:szCs w:val="32"/>
        </w:rPr>
        <w:t>0</w:t>
      </w:r>
      <w:r>
        <w:rPr>
          <w:rFonts w:cs="Arial"/>
          <w:b/>
          <w:sz w:val="32"/>
          <w:szCs w:val="32"/>
        </w:rPr>
        <w:t>2</w:t>
      </w:r>
      <w:r w:rsidR="008B4137" w:rsidRPr="008B4137">
        <w:rPr>
          <w:rFonts w:cs="Arial"/>
          <w:b/>
          <w:sz w:val="32"/>
          <w:szCs w:val="32"/>
        </w:rPr>
        <w:t xml:space="preserve"> R</w:t>
      </w:r>
      <w:r w:rsidR="008B4137" w:rsidRPr="008B4137">
        <w:rPr>
          <w:rFonts w:cs="Arial"/>
          <w:sz w:val="28"/>
          <w:szCs w:val="28"/>
        </w:rPr>
        <w:tab/>
      </w:r>
      <w:r>
        <w:rPr>
          <w:rFonts w:cs="Arial"/>
          <w:sz w:val="28"/>
          <w:szCs w:val="28"/>
        </w:rPr>
        <w:t>13 giugno 2017</w:t>
      </w:r>
      <w:r w:rsidR="008B4137" w:rsidRPr="008B4137">
        <w:rPr>
          <w:rFonts w:cs="Arial"/>
          <w:sz w:val="28"/>
          <w:szCs w:val="28"/>
        </w:rPr>
        <w:tab/>
      </w:r>
      <w:r>
        <w:rPr>
          <w:rFonts w:cs="Arial"/>
          <w:sz w:val="28"/>
          <w:szCs w:val="28"/>
        </w:rPr>
        <w:t>FINANZE E ECONOMIA</w:t>
      </w:r>
    </w:p>
    <w:p w:rsidR="008B4137" w:rsidRDefault="008B4137">
      <w:pPr>
        <w:rPr>
          <w:rFonts w:cs="Arial"/>
          <w:szCs w:val="24"/>
        </w:rPr>
      </w:pPr>
    </w:p>
    <w:p w:rsidR="008B4137" w:rsidRDefault="008B4137">
      <w:pPr>
        <w:rPr>
          <w:rFonts w:cs="Arial"/>
          <w:szCs w:val="24"/>
        </w:rPr>
      </w:pPr>
    </w:p>
    <w:p w:rsidR="00D377B5" w:rsidRDefault="00D377B5">
      <w:pPr>
        <w:rPr>
          <w:rFonts w:cs="Arial"/>
          <w:szCs w:val="24"/>
        </w:rPr>
      </w:pPr>
    </w:p>
    <w:p w:rsidR="008B4137" w:rsidRPr="008B4137" w:rsidRDefault="008B4137">
      <w:pPr>
        <w:rPr>
          <w:rFonts w:cs="Arial"/>
          <w:b/>
          <w:sz w:val="28"/>
          <w:szCs w:val="28"/>
        </w:rPr>
      </w:pPr>
      <w:r w:rsidRPr="008B4137">
        <w:rPr>
          <w:rFonts w:cs="Arial"/>
          <w:b/>
          <w:sz w:val="28"/>
          <w:szCs w:val="28"/>
        </w:rPr>
        <w:t>della Commissione della gestione e delle finanze</w:t>
      </w:r>
    </w:p>
    <w:p w:rsidR="008B4137" w:rsidRPr="008B4137" w:rsidRDefault="008B4137">
      <w:pPr>
        <w:rPr>
          <w:rFonts w:cs="Arial"/>
          <w:b/>
          <w:sz w:val="28"/>
          <w:szCs w:val="28"/>
        </w:rPr>
      </w:pPr>
      <w:r w:rsidRPr="008B4137">
        <w:rPr>
          <w:rFonts w:cs="Arial"/>
          <w:b/>
          <w:sz w:val="28"/>
          <w:szCs w:val="28"/>
        </w:rPr>
        <w:t>sul messaggio</w:t>
      </w:r>
      <w:r w:rsidR="00BD7BB0">
        <w:rPr>
          <w:rFonts w:cs="Arial"/>
          <w:b/>
          <w:sz w:val="28"/>
          <w:szCs w:val="28"/>
        </w:rPr>
        <w:t xml:space="preserve"> 12 aprile 2017 concernente il Consuntivo 2016</w:t>
      </w:r>
    </w:p>
    <w:p w:rsidR="008B4137" w:rsidRDefault="008B4137">
      <w:pPr>
        <w:rPr>
          <w:rFonts w:cs="Arial"/>
          <w:szCs w:val="24"/>
        </w:rPr>
      </w:pPr>
    </w:p>
    <w:p w:rsidR="008B4137" w:rsidRDefault="008B4137">
      <w:pPr>
        <w:rPr>
          <w:rFonts w:cs="Arial"/>
          <w:szCs w:val="24"/>
        </w:rPr>
      </w:pPr>
    </w:p>
    <w:p w:rsidR="008B4137" w:rsidRDefault="008B4137">
      <w:pPr>
        <w:rPr>
          <w:rFonts w:cs="Arial"/>
          <w:szCs w:val="24"/>
        </w:rPr>
      </w:pPr>
    </w:p>
    <w:p w:rsidR="008B4137" w:rsidRPr="00DB0EF3" w:rsidRDefault="00BD7BB0">
      <w:pPr>
        <w:rPr>
          <w:rFonts w:cs="Arial"/>
          <w:b/>
          <w:szCs w:val="24"/>
        </w:rPr>
      </w:pPr>
      <w:r w:rsidRPr="00DB0EF3">
        <w:rPr>
          <w:rFonts w:cs="Arial"/>
          <w:b/>
          <w:szCs w:val="24"/>
        </w:rPr>
        <w:t>INDICE</w:t>
      </w:r>
    </w:p>
    <w:p w:rsidR="008B4137" w:rsidRDefault="008B4137">
      <w:pPr>
        <w:rPr>
          <w:rFonts w:cs="Arial"/>
          <w:szCs w:val="24"/>
        </w:rPr>
      </w:pPr>
    </w:p>
    <w:p w:rsidR="005F66A0" w:rsidRPr="005F66A0" w:rsidRDefault="005F66A0" w:rsidP="008432CB">
      <w:pPr>
        <w:pStyle w:val="Sommario1"/>
        <w:tabs>
          <w:tab w:val="left" w:pos="660"/>
          <w:tab w:val="right" w:leader="dot" w:pos="9628"/>
        </w:tabs>
        <w:spacing w:before="120"/>
        <w:rPr>
          <w:rFonts w:asciiTheme="minorHAnsi" w:eastAsiaTheme="minorEastAsia" w:hAnsiTheme="minorHAnsi" w:cstheme="minorBidi"/>
          <w:caps w:val="0"/>
          <w:noProof/>
          <w:sz w:val="22"/>
          <w:szCs w:val="22"/>
          <w:lang w:val="it-CH" w:eastAsia="it-CH"/>
        </w:rPr>
      </w:pPr>
      <w:r w:rsidRPr="005F66A0">
        <w:rPr>
          <w:sz w:val="22"/>
          <w:szCs w:val="22"/>
        </w:rPr>
        <w:fldChar w:fldCharType="begin"/>
      </w:r>
      <w:r w:rsidRPr="005F66A0">
        <w:rPr>
          <w:sz w:val="22"/>
          <w:szCs w:val="22"/>
        </w:rPr>
        <w:instrText xml:space="preserve"> TOC \o "1-2" \h \z \u </w:instrText>
      </w:r>
      <w:r w:rsidRPr="005F66A0">
        <w:rPr>
          <w:sz w:val="22"/>
          <w:szCs w:val="22"/>
        </w:rPr>
        <w:fldChar w:fldCharType="separate"/>
      </w:r>
      <w:hyperlink w:anchor="_Toc485131122" w:history="1">
        <w:r w:rsidRPr="005F66A0">
          <w:rPr>
            <w:rStyle w:val="Collegamentoipertestuale"/>
            <w:noProof/>
            <w:sz w:val="22"/>
            <w:szCs w:val="22"/>
          </w:rPr>
          <w:t>1.</w:t>
        </w:r>
        <w:r w:rsidRPr="005F66A0">
          <w:rPr>
            <w:rFonts w:asciiTheme="minorHAnsi" w:eastAsiaTheme="minorEastAsia" w:hAnsiTheme="minorHAnsi" w:cstheme="minorBidi"/>
            <w:caps w:val="0"/>
            <w:noProof/>
            <w:sz w:val="22"/>
            <w:szCs w:val="22"/>
            <w:lang w:val="it-CH" w:eastAsia="it-CH"/>
          </w:rPr>
          <w:tab/>
        </w:r>
        <w:r w:rsidRPr="005F66A0">
          <w:rPr>
            <w:rStyle w:val="Collegamentoipertestuale"/>
            <w:noProof/>
            <w:sz w:val="22"/>
            <w:szCs w:val="22"/>
          </w:rPr>
          <w:t>Introduzione</w:t>
        </w:r>
        <w:r w:rsidRPr="005F66A0">
          <w:rPr>
            <w:noProof/>
            <w:webHidden/>
            <w:sz w:val="22"/>
            <w:szCs w:val="22"/>
          </w:rPr>
          <w:tab/>
        </w:r>
        <w:r w:rsidRPr="005F66A0">
          <w:rPr>
            <w:noProof/>
            <w:webHidden/>
            <w:sz w:val="22"/>
            <w:szCs w:val="22"/>
          </w:rPr>
          <w:fldChar w:fldCharType="begin"/>
        </w:r>
        <w:r w:rsidRPr="005F66A0">
          <w:rPr>
            <w:noProof/>
            <w:webHidden/>
            <w:sz w:val="22"/>
            <w:szCs w:val="22"/>
          </w:rPr>
          <w:instrText xml:space="preserve"> PAGEREF _Toc485131122 \h </w:instrText>
        </w:r>
        <w:r w:rsidRPr="005F66A0">
          <w:rPr>
            <w:noProof/>
            <w:webHidden/>
            <w:sz w:val="22"/>
            <w:szCs w:val="22"/>
          </w:rPr>
        </w:r>
        <w:r w:rsidRPr="005F66A0">
          <w:rPr>
            <w:noProof/>
            <w:webHidden/>
            <w:sz w:val="22"/>
            <w:szCs w:val="22"/>
          </w:rPr>
          <w:fldChar w:fldCharType="separate"/>
        </w:r>
        <w:r w:rsidR="00B3148F">
          <w:rPr>
            <w:noProof/>
            <w:webHidden/>
            <w:sz w:val="22"/>
            <w:szCs w:val="22"/>
          </w:rPr>
          <w:t>1</w:t>
        </w:r>
        <w:r w:rsidRPr="005F66A0">
          <w:rPr>
            <w:noProof/>
            <w:webHidden/>
            <w:sz w:val="22"/>
            <w:szCs w:val="22"/>
          </w:rPr>
          <w:fldChar w:fldCharType="end"/>
        </w:r>
      </w:hyperlink>
    </w:p>
    <w:p w:rsidR="005F66A0" w:rsidRPr="005F66A0" w:rsidRDefault="00BF6C96">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485131123" w:history="1">
        <w:r w:rsidR="005F66A0" w:rsidRPr="005F66A0">
          <w:rPr>
            <w:rStyle w:val="Collegamentoipertestuale"/>
            <w:noProof/>
            <w:sz w:val="22"/>
            <w:szCs w:val="22"/>
          </w:rPr>
          <w:t>2.</w:t>
        </w:r>
        <w:r w:rsidR="005F66A0" w:rsidRPr="005F66A0">
          <w:rPr>
            <w:rFonts w:asciiTheme="minorHAnsi" w:eastAsiaTheme="minorEastAsia" w:hAnsiTheme="minorHAnsi" w:cstheme="minorBidi"/>
            <w:caps w:val="0"/>
            <w:noProof/>
            <w:sz w:val="22"/>
            <w:szCs w:val="22"/>
            <w:lang w:val="it-CH" w:eastAsia="it-CH"/>
          </w:rPr>
          <w:tab/>
        </w:r>
        <w:r w:rsidR="005F66A0" w:rsidRPr="005F66A0">
          <w:rPr>
            <w:rStyle w:val="Collegamentoipertestuale"/>
            <w:noProof/>
            <w:sz w:val="22"/>
            <w:szCs w:val="22"/>
          </w:rPr>
          <w:t>Dati principali</w:t>
        </w:r>
        <w:r w:rsidR="005F66A0" w:rsidRPr="005F66A0">
          <w:rPr>
            <w:noProof/>
            <w:webHidden/>
            <w:sz w:val="22"/>
            <w:szCs w:val="22"/>
          </w:rPr>
          <w:tab/>
        </w:r>
        <w:r w:rsidR="005F66A0" w:rsidRPr="005F66A0">
          <w:rPr>
            <w:noProof/>
            <w:webHidden/>
            <w:sz w:val="22"/>
            <w:szCs w:val="22"/>
          </w:rPr>
          <w:fldChar w:fldCharType="begin"/>
        </w:r>
        <w:r w:rsidR="005F66A0" w:rsidRPr="005F66A0">
          <w:rPr>
            <w:noProof/>
            <w:webHidden/>
            <w:sz w:val="22"/>
            <w:szCs w:val="22"/>
          </w:rPr>
          <w:instrText xml:space="preserve"> PAGEREF _Toc485131123 \h </w:instrText>
        </w:r>
        <w:r w:rsidR="005F66A0" w:rsidRPr="005F66A0">
          <w:rPr>
            <w:noProof/>
            <w:webHidden/>
            <w:sz w:val="22"/>
            <w:szCs w:val="22"/>
          </w:rPr>
        </w:r>
        <w:r w:rsidR="005F66A0" w:rsidRPr="005F66A0">
          <w:rPr>
            <w:noProof/>
            <w:webHidden/>
            <w:sz w:val="22"/>
            <w:szCs w:val="22"/>
          </w:rPr>
          <w:fldChar w:fldCharType="separate"/>
        </w:r>
        <w:r w:rsidR="00B3148F">
          <w:rPr>
            <w:noProof/>
            <w:webHidden/>
            <w:sz w:val="22"/>
            <w:szCs w:val="22"/>
          </w:rPr>
          <w:t>2</w:t>
        </w:r>
        <w:r w:rsidR="005F66A0" w:rsidRPr="005F66A0">
          <w:rPr>
            <w:noProof/>
            <w:webHidden/>
            <w:sz w:val="22"/>
            <w:szCs w:val="22"/>
          </w:rPr>
          <w:fldChar w:fldCharType="end"/>
        </w:r>
      </w:hyperlink>
    </w:p>
    <w:p w:rsidR="005F66A0" w:rsidRPr="005F66A0" w:rsidRDefault="00BF6C96" w:rsidP="005F66A0">
      <w:pPr>
        <w:pStyle w:val="Sommario2"/>
        <w:tabs>
          <w:tab w:val="left" w:pos="660"/>
          <w:tab w:val="right" w:leader="dot" w:pos="9628"/>
        </w:tabs>
        <w:spacing w:before="80"/>
        <w:rPr>
          <w:rFonts w:asciiTheme="minorHAnsi" w:eastAsiaTheme="minorEastAsia" w:hAnsiTheme="minorHAnsi" w:cstheme="minorBidi"/>
          <w:noProof/>
          <w:sz w:val="22"/>
          <w:szCs w:val="22"/>
          <w:lang w:val="it-CH" w:eastAsia="it-CH"/>
        </w:rPr>
      </w:pPr>
      <w:hyperlink w:anchor="_Toc485131124" w:history="1">
        <w:r w:rsidR="005F66A0" w:rsidRPr="005F66A0">
          <w:rPr>
            <w:rStyle w:val="Collegamentoipertestuale"/>
            <w:noProof/>
            <w:sz w:val="22"/>
            <w:szCs w:val="22"/>
          </w:rPr>
          <w:t>2.1</w:t>
        </w:r>
        <w:r w:rsidR="005F66A0" w:rsidRPr="005F66A0">
          <w:rPr>
            <w:rFonts w:asciiTheme="minorHAnsi" w:eastAsiaTheme="minorEastAsia" w:hAnsiTheme="minorHAnsi" w:cstheme="minorBidi"/>
            <w:noProof/>
            <w:sz w:val="22"/>
            <w:szCs w:val="22"/>
            <w:lang w:val="it-CH" w:eastAsia="it-CH"/>
          </w:rPr>
          <w:tab/>
        </w:r>
        <w:r w:rsidR="005F66A0" w:rsidRPr="005F66A0">
          <w:rPr>
            <w:rStyle w:val="Collegamentoipertestuale"/>
            <w:noProof/>
            <w:sz w:val="22"/>
            <w:szCs w:val="22"/>
          </w:rPr>
          <w:t>Conto economico</w:t>
        </w:r>
        <w:r w:rsidR="005F66A0" w:rsidRPr="005F66A0">
          <w:rPr>
            <w:noProof/>
            <w:webHidden/>
            <w:sz w:val="22"/>
            <w:szCs w:val="22"/>
          </w:rPr>
          <w:tab/>
        </w:r>
        <w:r w:rsidR="005F66A0" w:rsidRPr="005F66A0">
          <w:rPr>
            <w:noProof/>
            <w:webHidden/>
            <w:sz w:val="22"/>
            <w:szCs w:val="22"/>
          </w:rPr>
          <w:fldChar w:fldCharType="begin"/>
        </w:r>
        <w:r w:rsidR="005F66A0" w:rsidRPr="005F66A0">
          <w:rPr>
            <w:noProof/>
            <w:webHidden/>
            <w:sz w:val="22"/>
            <w:szCs w:val="22"/>
          </w:rPr>
          <w:instrText xml:space="preserve"> PAGEREF _Toc485131124 \h </w:instrText>
        </w:r>
        <w:r w:rsidR="005F66A0" w:rsidRPr="005F66A0">
          <w:rPr>
            <w:noProof/>
            <w:webHidden/>
            <w:sz w:val="22"/>
            <w:szCs w:val="22"/>
          </w:rPr>
        </w:r>
        <w:r w:rsidR="005F66A0" w:rsidRPr="005F66A0">
          <w:rPr>
            <w:noProof/>
            <w:webHidden/>
            <w:sz w:val="22"/>
            <w:szCs w:val="22"/>
          </w:rPr>
          <w:fldChar w:fldCharType="separate"/>
        </w:r>
        <w:r w:rsidR="00B3148F">
          <w:rPr>
            <w:noProof/>
            <w:webHidden/>
            <w:sz w:val="22"/>
            <w:szCs w:val="22"/>
          </w:rPr>
          <w:t>3</w:t>
        </w:r>
        <w:r w:rsidR="005F66A0" w:rsidRPr="005F66A0">
          <w:rPr>
            <w:noProof/>
            <w:webHidden/>
            <w:sz w:val="22"/>
            <w:szCs w:val="22"/>
          </w:rPr>
          <w:fldChar w:fldCharType="end"/>
        </w:r>
      </w:hyperlink>
    </w:p>
    <w:p w:rsidR="005F66A0" w:rsidRPr="005F66A0" w:rsidRDefault="00BF6C96" w:rsidP="005F66A0">
      <w:pPr>
        <w:pStyle w:val="Sommario2"/>
        <w:tabs>
          <w:tab w:val="left" w:pos="660"/>
          <w:tab w:val="right" w:leader="dot" w:pos="9628"/>
        </w:tabs>
        <w:spacing w:before="80"/>
        <w:rPr>
          <w:rFonts w:asciiTheme="minorHAnsi" w:eastAsiaTheme="minorEastAsia" w:hAnsiTheme="minorHAnsi" w:cstheme="minorBidi"/>
          <w:noProof/>
          <w:sz w:val="22"/>
          <w:szCs w:val="22"/>
          <w:lang w:val="it-CH" w:eastAsia="it-CH"/>
        </w:rPr>
      </w:pPr>
      <w:hyperlink w:anchor="_Toc485131125" w:history="1">
        <w:r w:rsidR="005F66A0" w:rsidRPr="005F66A0">
          <w:rPr>
            <w:rStyle w:val="Collegamentoipertestuale"/>
            <w:noProof/>
            <w:sz w:val="22"/>
            <w:szCs w:val="22"/>
          </w:rPr>
          <w:t>2.2</w:t>
        </w:r>
        <w:r w:rsidR="005F66A0" w:rsidRPr="005F66A0">
          <w:rPr>
            <w:rFonts w:asciiTheme="minorHAnsi" w:eastAsiaTheme="minorEastAsia" w:hAnsiTheme="minorHAnsi" w:cstheme="minorBidi"/>
            <w:noProof/>
            <w:sz w:val="22"/>
            <w:szCs w:val="22"/>
            <w:lang w:val="it-CH" w:eastAsia="it-CH"/>
          </w:rPr>
          <w:tab/>
        </w:r>
        <w:r w:rsidR="005F66A0" w:rsidRPr="005F66A0">
          <w:rPr>
            <w:rStyle w:val="Collegamentoipertestuale"/>
            <w:noProof/>
            <w:sz w:val="22"/>
            <w:szCs w:val="22"/>
          </w:rPr>
          <w:t>Freno al disavanzo</w:t>
        </w:r>
        <w:r w:rsidR="005F66A0" w:rsidRPr="005F66A0">
          <w:rPr>
            <w:noProof/>
            <w:webHidden/>
            <w:sz w:val="22"/>
            <w:szCs w:val="22"/>
          </w:rPr>
          <w:tab/>
        </w:r>
        <w:r w:rsidR="005F66A0" w:rsidRPr="005F66A0">
          <w:rPr>
            <w:noProof/>
            <w:webHidden/>
            <w:sz w:val="22"/>
            <w:szCs w:val="22"/>
          </w:rPr>
          <w:fldChar w:fldCharType="begin"/>
        </w:r>
        <w:r w:rsidR="005F66A0" w:rsidRPr="005F66A0">
          <w:rPr>
            <w:noProof/>
            <w:webHidden/>
            <w:sz w:val="22"/>
            <w:szCs w:val="22"/>
          </w:rPr>
          <w:instrText xml:space="preserve"> PAGEREF _Toc485131125 \h </w:instrText>
        </w:r>
        <w:r w:rsidR="005F66A0" w:rsidRPr="005F66A0">
          <w:rPr>
            <w:noProof/>
            <w:webHidden/>
            <w:sz w:val="22"/>
            <w:szCs w:val="22"/>
          </w:rPr>
        </w:r>
        <w:r w:rsidR="005F66A0" w:rsidRPr="005F66A0">
          <w:rPr>
            <w:noProof/>
            <w:webHidden/>
            <w:sz w:val="22"/>
            <w:szCs w:val="22"/>
          </w:rPr>
          <w:fldChar w:fldCharType="separate"/>
        </w:r>
        <w:r w:rsidR="00B3148F">
          <w:rPr>
            <w:noProof/>
            <w:webHidden/>
            <w:sz w:val="22"/>
            <w:szCs w:val="22"/>
          </w:rPr>
          <w:t>3</w:t>
        </w:r>
        <w:r w:rsidR="005F66A0" w:rsidRPr="005F66A0">
          <w:rPr>
            <w:noProof/>
            <w:webHidden/>
            <w:sz w:val="22"/>
            <w:szCs w:val="22"/>
          </w:rPr>
          <w:fldChar w:fldCharType="end"/>
        </w:r>
      </w:hyperlink>
    </w:p>
    <w:p w:rsidR="005F66A0" w:rsidRPr="005F66A0" w:rsidRDefault="00BF6C96" w:rsidP="005F66A0">
      <w:pPr>
        <w:pStyle w:val="Sommario2"/>
        <w:tabs>
          <w:tab w:val="left" w:pos="660"/>
          <w:tab w:val="right" w:leader="dot" w:pos="9628"/>
        </w:tabs>
        <w:spacing w:before="80"/>
        <w:rPr>
          <w:rFonts w:asciiTheme="minorHAnsi" w:eastAsiaTheme="minorEastAsia" w:hAnsiTheme="minorHAnsi" w:cstheme="minorBidi"/>
          <w:noProof/>
          <w:sz w:val="22"/>
          <w:szCs w:val="22"/>
          <w:lang w:val="it-CH" w:eastAsia="it-CH"/>
        </w:rPr>
      </w:pPr>
      <w:hyperlink w:anchor="_Toc485131126" w:history="1">
        <w:r w:rsidR="005F66A0" w:rsidRPr="005F66A0">
          <w:rPr>
            <w:rStyle w:val="Collegamentoipertestuale"/>
            <w:noProof/>
            <w:sz w:val="22"/>
            <w:szCs w:val="22"/>
          </w:rPr>
          <w:t>2.3</w:t>
        </w:r>
        <w:r w:rsidR="005F66A0" w:rsidRPr="005F66A0">
          <w:rPr>
            <w:rFonts w:asciiTheme="minorHAnsi" w:eastAsiaTheme="minorEastAsia" w:hAnsiTheme="minorHAnsi" w:cstheme="minorBidi"/>
            <w:noProof/>
            <w:sz w:val="22"/>
            <w:szCs w:val="22"/>
            <w:lang w:val="it-CH" w:eastAsia="it-CH"/>
          </w:rPr>
          <w:tab/>
        </w:r>
        <w:r w:rsidR="005F66A0" w:rsidRPr="005F66A0">
          <w:rPr>
            <w:rStyle w:val="Collegamentoipertestuale"/>
            <w:noProof/>
            <w:sz w:val="22"/>
            <w:szCs w:val="22"/>
          </w:rPr>
          <w:t>Rendiconto del Consiglio di Stato</w:t>
        </w:r>
        <w:r w:rsidR="005F66A0" w:rsidRPr="005F66A0">
          <w:rPr>
            <w:noProof/>
            <w:webHidden/>
            <w:sz w:val="22"/>
            <w:szCs w:val="22"/>
          </w:rPr>
          <w:tab/>
        </w:r>
        <w:r w:rsidR="005F66A0" w:rsidRPr="005F66A0">
          <w:rPr>
            <w:noProof/>
            <w:webHidden/>
            <w:sz w:val="22"/>
            <w:szCs w:val="22"/>
          </w:rPr>
          <w:fldChar w:fldCharType="begin"/>
        </w:r>
        <w:r w:rsidR="005F66A0" w:rsidRPr="005F66A0">
          <w:rPr>
            <w:noProof/>
            <w:webHidden/>
            <w:sz w:val="22"/>
            <w:szCs w:val="22"/>
          </w:rPr>
          <w:instrText xml:space="preserve"> PAGEREF _Toc485131126 \h </w:instrText>
        </w:r>
        <w:r w:rsidR="005F66A0" w:rsidRPr="005F66A0">
          <w:rPr>
            <w:noProof/>
            <w:webHidden/>
            <w:sz w:val="22"/>
            <w:szCs w:val="22"/>
          </w:rPr>
        </w:r>
        <w:r w:rsidR="005F66A0" w:rsidRPr="005F66A0">
          <w:rPr>
            <w:noProof/>
            <w:webHidden/>
            <w:sz w:val="22"/>
            <w:szCs w:val="22"/>
          </w:rPr>
          <w:fldChar w:fldCharType="separate"/>
        </w:r>
        <w:r w:rsidR="00B3148F">
          <w:rPr>
            <w:noProof/>
            <w:webHidden/>
            <w:sz w:val="22"/>
            <w:szCs w:val="22"/>
          </w:rPr>
          <w:t>4</w:t>
        </w:r>
        <w:r w:rsidR="005F66A0" w:rsidRPr="005F66A0">
          <w:rPr>
            <w:noProof/>
            <w:webHidden/>
            <w:sz w:val="22"/>
            <w:szCs w:val="22"/>
          </w:rPr>
          <w:fldChar w:fldCharType="end"/>
        </w:r>
      </w:hyperlink>
    </w:p>
    <w:p w:rsidR="005F66A0" w:rsidRPr="005F66A0" w:rsidRDefault="00BF6C96">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485131127" w:history="1">
        <w:r w:rsidR="005F66A0" w:rsidRPr="005F66A0">
          <w:rPr>
            <w:rStyle w:val="Collegamentoipertestuale"/>
            <w:iCs/>
            <w:noProof/>
            <w:sz w:val="22"/>
            <w:szCs w:val="22"/>
          </w:rPr>
          <w:t>3.</w:t>
        </w:r>
        <w:r w:rsidR="005F66A0" w:rsidRPr="005F66A0">
          <w:rPr>
            <w:rFonts w:asciiTheme="minorHAnsi" w:eastAsiaTheme="minorEastAsia" w:hAnsiTheme="minorHAnsi" w:cstheme="minorBidi"/>
            <w:caps w:val="0"/>
            <w:noProof/>
            <w:sz w:val="22"/>
            <w:szCs w:val="22"/>
            <w:lang w:val="it-CH" w:eastAsia="it-CH"/>
          </w:rPr>
          <w:tab/>
        </w:r>
        <w:r w:rsidR="005F66A0" w:rsidRPr="005F66A0">
          <w:rPr>
            <w:rStyle w:val="Collegamentoipertestuale"/>
            <w:noProof/>
            <w:sz w:val="22"/>
            <w:szCs w:val="22"/>
          </w:rPr>
          <w:t>Esame commissionale</w:t>
        </w:r>
        <w:r w:rsidR="005F66A0" w:rsidRPr="005F66A0">
          <w:rPr>
            <w:noProof/>
            <w:webHidden/>
            <w:sz w:val="22"/>
            <w:szCs w:val="22"/>
          </w:rPr>
          <w:tab/>
        </w:r>
        <w:r w:rsidR="005F66A0" w:rsidRPr="005F66A0">
          <w:rPr>
            <w:noProof/>
            <w:webHidden/>
            <w:sz w:val="22"/>
            <w:szCs w:val="22"/>
          </w:rPr>
          <w:fldChar w:fldCharType="begin"/>
        </w:r>
        <w:r w:rsidR="005F66A0" w:rsidRPr="005F66A0">
          <w:rPr>
            <w:noProof/>
            <w:webHidden/>
            <w:sz w:val="22"/>
            <w:szCs w:val="22"/>
          </w:rPr>
          <w:instrText xml:space="preserve"> PAGEREF _Toc485131127 \h </w:instrText>
        </w:r>
        <w:r w:rsidR="005F66A0" w:rsidRPr="005F66A0">
          <w:rPr>
            <w:noProof/>
            <w:webHidden/>
            <w:sz w:val="22"/>
            <w:szCs w:val="22"/>
          </w:rPr>
        </w:r>
        <w:r w:rsidR="005F66A0" w:rsidRPr="005F66A0">
          <w:rPr>
            <w:noProof/>
            <w:webHidden/>
            <w:sz w:val="22"/>
            <w:szCs w:val="22"/>
          </w:rPr>
          <w:fldChar w:fldCharType="separate"/>
        </w:r>
        <w:r w:rsidR="00B3148F">
          <w:rPr>
            <w:noProof/>
            <w:webHidden/>
            <w:sz w:val="22"/>
            <w:szCs w:val="22"/>
          </w:rPr>
          <w:t>5</w:t>
        </w:r>
        <w:r w:rsidR="005F66A0" w:rsidRPr="005F66A0">
          <w:rPr>
            <w:noProof/>
            <w:webHidden/>
            <w:sz w:val="22"/>
            <w:szCs w:val="22"/>
          </w:rPr>
          <w:fldChar w:fldCharType="end"/>
        </w:r>
      </w:hyperlink>
    </w:p>
    <w:p w:rsidR="005F66A0" w:rsidRPr="005F66A0" w:rsidRDefault="00BF6C96">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485131128" w:history="1">
        <w:r w:rsidR="005F66A0" w:rsidRPr="005F66A0">
          <w:rPr>
            <w:rStyle w:val="Collegamentoipertestuale"/>
            <w:noProof/>
            <w:sz w:val="22"/>
            <w:szCs w:val="22"/>
          </w:rPr>
          <w:t>4.</w:t>
        </w:r>
        <w:r w:rsidR="005F66A0" w:rsidRPr="005F66A0">
          <w:rPr>
            <w:rFonts w:asciiTheme="minorHAnsi" w:eastAsiaTheme="minorEastAsia" w:hAnsiTheme="minorHAnsi" w:cstheme="minorBidi"/>
            <w:caps w:val="0"/>
            <w:noProof/>
            <w:sz w:val="22"/>
            <w:szCs w:val="22"/>
            <w:lang w:val="it-CH" w:eastAsia="it-CH"/>
          </w:rPr>
          <w:tab/>
        </w:r>
        <w:r w:rsidR="005F66A0" w:rsidRPr="005F66A0">
          <w:rPr>
            <w:rStyle w:val="Collegamentoipertestuale"/>
            <w:noProof/>
            <w:sz w:val="22"/>
            <w:szCs w:val="22"/>
          </w:rPr>
          <w:t>Approfondimento commissionale: assistenza e sostegno sociale</w:t>
        </w:r>
        <w:r w:rsidR="005F66A0" w:rsidRPr="005F66A0">
          <w:rPr>
            <w:noProof/>
            <w:webHidden/>
            <w:sz w:val="22"/>
            <w:szCs w:val="22"/>
          </w:rPr>
          <w:tab/>
        </w:r>
        <w:r w:rsidR="005F66A0" w:rsidRPr="005F66A0">
          <w:rPr>
            <w:noProof/>
            <w:webHidden/>
            <w:sz w:val="22"/>
            <w:szCs w:val="22"/>
          </w:rPr>
          <w:fldChar w:fldCharType="begin"/>
        </w:r>
        <w:r w:rsidR="005F66A0" w:rsidRPr="005F66A0">
          <w:rPr>
            <w:noProof/>
            <w:webHidden/>
            <w:sz w:val="22"/>
            <w:szCs w:val="22"/>
          </w:rPr>
          <w:instrText xml:space="preserve"> PAGEREF _Toc485131128 \h </w:instrText>
        </w:r>
        <w:r w:rsidR="005F66A0" w:rsidRPr="005F66A0">
          <w:rPr>
            <w:noProof/>
            <w:webHidden/>
            <w:sz w:val="22"/>
            <w:szCs w:val="22"/>
          </w:rPr>
        </w:r>
        <w:r w:rsidR="005F66A0" w:rsidRPr="005F66A0">
          <w:rPr>
            <w:noProof/>
            <w:webHidden/>
            <w:sz w:val="22"/>
            <w:szCs w:val="22"/>
          </w:rPr>
          <w:fldChar w:fldCharType="separate"/>
        </w:r>
        <w:r w:rsidR="00B3148F">
          <w:rPr>
            <w:noProof/>
            <w:webHidden/>
            <w:sz w:val="22"/>
            <w:szCs w:val="22"/>
          </w:rPr>
          <w:t>10</w:t>
        </w:r>
        <w:r w:rsidR="005F66A0" w:rsidRPr="005F66A0">
          <w:rPr>
            <w:noProof/>
            <w:webHidden/>
            <w:sz w:val="22"/>
            <w:szCs w:val="22"/>
          </w:rPr>
          <w:fldChar w:fldCharType="end"/>
        </w:r>
      </w:hyperlink>
    </w:p>
    <w:p w:rsidR="005F66A0" w:rsidRPr="005F66A0" w:rsidRDefault="00BF6C96">
      <w:pPr>
        <w:pStyle w:val="Sommario1"/>
        <w:tabs>
          <w:tab w:val="left" w:pos="660"/>
          <w:tab w:val="right" w:leader="dot" w:pos="9628"/>
        </w:tabs>
        <w:rPr>
          <w:rFonts w:asciiTheme="minorHAnsi" w:eastAsiaTheme="minorEastAsia" w:hAnsiTheme="minorHAnsi" w:cstheme="minorBidi"/>
          <w:caps w:val="0"/>
          <w:noProof/>
          <w:sz w:val="22"/>
          <w:szCs w:val="22"/>
          <w:lang w:val="it-CH" w:eastAsia="it-CH"/>
        </w:rPr>
      </w:pPr>
      <w:hyperlink w:anchor="_Toc485131129" w:history="1">
        <w:r w:rsidR="005F66A0" w:rsidRPr="005F66A0">
          <w:rPr>
            <w:rStyle w:val="Collegamentoipertestuale"/>
            <w:noProof/>
            <w:sz w:val="22"/>
            <w:szCs w:val="22"/>
          </w:rPr>
          <w:t>5.</w:t>
        </w:r>
        <w:r w:rsidR="005F66A0" w:rsidRPr="005F66A0">
          <w:rPr>
            <w:rFonts w:asciiTheme="minorHAnsi" w:eastAsiaTheme="minorEastAsia" w:hAnsiTheme="minorHAnsi" w:cstheme="minorBidi"/>
            <w:caps w:val="0"/>
            <w:noProof/>
            <w:sz w:val="22"/>
            <w:szCs w:val="22"/>
            <w:lang w:val="it-CH" w:eastAsia="it-CH"/>
          </w:rPr>
          <w:tab/>
        </w:r>
        <w:r w:rsidR="005F66A0" w:rsidRPr="005F66A0">
          <w:rPr>
            <w:rStyle w:val="Collegamentoipertestuale"/>
            <w:noProof/>
            <w:sz w:val="22"/>
            <w:szCs w:val="22"/>
          </w:rPr>
          <w:t>Conclusioni</w:t>
        </w:r>
        <w:r w:rsidR="005F66A0" w:rsidRPr="005F66A0">
          <w:rPr>
            <w:noProof/>
            <w:webHidden/>
            <w:sz w:val="22"/>
            <w:szCs w:val="22"/>
          </w:rPr>
          <w:tab/>
        </w:r>
        <w:r w:rsidR="005F66A0" w:rsidRPr="005F66A0">
          <w:rPr>
            <w:noProof/>
            <w:webHidden/>
            <w:sz w:val="22"/>
            <w:szCs w:val="22"/>
          </w:rPr>
          <w:fldChar w:fldCharType="begin"/>
        </w:r>
        <w:r w:rsidR="005F66A0" w:rsidRPr="005F66A0">
          <w:rPr>
            <w:noProof/>
            <w:webHidden/>
            <w:sz w:val="22"/>
            <w:szCs w:val="22"/>
          </w:rPr>
          <w:instrText xml:space="preserve"> PAGEREF _Toc485131129 \h </w:instrText>
        </w:r>
        <w:r w:rsidR="005F66A0" w:rsidRPr="005F66A0">
          <w:rPr>
            <w:noProof/>
            <w:webHidden/>
            <w:sz w:val="22"/>
            <w:szCs w:val="22"/>
          </w:rPr>
        </w:r>
        <w:r w:rsidR="005F66A0" w:rsidRPr="005F66A0">
          <w:rPr>
            <w:noProof/>
            <w:webHidden/>
            <w:sz w:val="22"/>
            <w:szCs w:val="22"/>
          </w:rPr>
          <w:fldChar w:fldCharType="separate"/>
        </w:r>
        <w:r w:rsidR="00B3148F">
          <w:rPr>
            <w:noProof/>
            <w:webHidden/>
            <w:sz w:val="22"/>
            <w:szCs w:val="22"/>
          </w:rPr>
          <w:t>19</w:t>
        </w:r>
        <w:r w:rsidR="005F66A0" w:rsidRPr="005F66A0">
          <w:rPr>
            <w:noProof/>
            <w:webHidden/>
            <w:sz w:val="22"/>
            <w:szCs w:val="22"/>
          </w:rPr>
          <w:fldChar w:fldCharType="end"/>
        </w:r>
      </w:hyperlink>
    </w:p>
    <w:p w:rsidR="00A92189" w:rsidRPr="00C62C05" w:rsidRDefault="005F66A0" w:rsidP="00A92189">
      <w:r w:rsidRPr="005F66A0">
        <w:rPr>
          <w:sz w:val="22"/>
        </w:rPr>
        <w:fldChar w:fldCharType="end"/>
      </w:r>
    </w:p>
    <w:p w:rsidR="00A92189" w:rsidRPr="00C62C05" w:rsidRDefault="00A92189" w:rsidP="00A92189"/>
    <w:p w:rsidR="00BD7BB0" w:rsidRPr="00076E70" w:rsidRDefault="00BD7BB0" w:rsidP="00BD7BB0">
      <w:pPr>
        <w:rPr>
          <w:rFonts w:cs="Arial"/>
          <w:szCs w:val="24"/>
        </w:rPr>
      </w:pPr>
    </w:p>
    <w:p w:rsidR="00BD7BB0" w:rsidRPr="00586A8D" w:rsidRDefault="00BD7BB0" w:rsidP="00BD7BB0">
      <w:pPr>
        <w:pStyle w:val="Nessunaspaziatura"/>
        <w:jc w:val="center"/>
        <w:rPr>
          <w:rFonts w:ascii="Arial" w:hAnsi="Arial" w:cs="Arial"/>
          <w:sz w:val="28"/>
          <w:szCs w:val="28"/>
        </w:rPr>
      </w:pP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p>
    <w:p w:rsidR="00BD7BB0" w:rsidRPr="00076E70" w:rsidRDefault="00BD7BB0" w:rsidP="00BD7BB0">
      <w:pPr>
        <w:rPr>
          <w:rFonts w:cs="Arial"/>
          <w:szCs w:val="24"/>
        </w:rPr>
      </w:pPr>
    </w:p>
    <w:p w:rsidR="00A92189" w:rsidRDefault="00A92189" w:rsidP="00A92189">
      <w:bookmarkStart w:id="0" w:name="_GoBack"/>
      <w:bookmarkEnd w:id="0"/>
    </w:p>
    <w:p w:rsidR="00BD7BB0" w:rsidRDefault="00BD7BB0" w:rsidP="00A92189"/>
    <w:p w:rsidR="00A92189" w:rsidRPr="00C62C05" w:rsidRDefault="00A92189" w:rsidP="00BD7BB0">
      <w:pPr>
        <w:pStyle w:val="Titolo1"/>
      </w:pPr>
      <w:bookmarkStart w:id="1" w:name="_Toc485131122"/>
      <w:r w:rsidRPr="00C62C05">
        <w:t>Introduzione</w:t>
      </w:r>
      <w:bookmarkEnd w:id="1"/>
    </w:p>
    <w:p w:rsidR="00A92189" w:rsidRPr="00C62C05" w:rsidRDefault="00A92189" w:rsidP="00A92189">
      <w:pPr>
        <w:autoSpaceDE w:val="0"/>
        <w:autoSpaceDN w:val="0"/>
        <w:adjustRightInd w:val="0"/>
        <w:rPr>
          <w:rFonts w:cs="Arial"/>
        </w:rPr>
      </w:pPr>
      <w:r w:rsidRPr="00C62C05">
        <w:rPr>
          <w:rFonts w:cs="Arial"/>
        </w:rPr>
        <w:t>Agrodolce. È una caratteristica fondamentale della cucina cinese ed è anche ciò che contraddistingue il bilancio finanziario 2016 che ci presenta il Consiglio di Stato.</w:t>
      </w:r>
    </w:p>
    <w:p w:rsidR="00A92189" w:rsidRPr="00C62C05" w:rsidRDefault="00A92189" w:rsidP="00A92189">
      <w:pPr>
        <w:autoSpaceDE w:val="0"/>
        <w:autoSpaceDN w:val="0"/>
        <w:adjustRightInd w:val="0"/>
        <w:rPr>
          <w:rFonts w:cs="Arial"/>
        </w:rPr>
      </w:pPr>
      <w:r w:rsidRPr="00C62C05">
        <w:rPr>
          <w:rFonts w:cs="Arial"/>
        </w:rPr>
        <w:t>Un bilancio per l’appunto agrodolce.</w:t>
      </w:r>
    </w:p>
    <w:p w:rsidR="00A92189" w:rsidRPr="00C62C05" w:rsidRDefault="00A92189" w:rsidP="008432CB">
      <w:pPr>
        <w:autoSpaceDE w:val="0"/>
        <w:autoSpaceDN w:val="0"/>
        <w:adjustRightInd w:val="0"/>
        <w:spacing w:before="120"/>
        <w:rPr>
          <w:rFonts w:cs="Arial"/>
        </w:rPr>
      </w:pPr>
      <w:r w:rsidRPr="00C62C05">
        <w:rPr>
          <w:rFonts w:cs="Arial"/>
          <w:i/>
        </w:rPr>
        <w:t>Amaro</w:t>
      </w:r>
      <w:r w:rsidRPr="00C62C05">
        <w:rPr>
          <w:rFonts w:cs="Arial"/>
        </w:rPr>
        <w:t xml:space="preserve"> poiché ancora una volta siamo confrontati con un disavanzo che porta il debito pubblico a rasentare i due miliardi.</w:t>
      </w:r>
    </w:p>
    <w:p w:rsidR="00A92189" w:rsidRPr="00C62C05" w:rsidRDefault="00A92189" w:rsidP="008432CB">
      <w:pPr>
        <w:autoSpaceDE w:val="0"/>
        <w:autoSpaceDN w:val="0"/>
        <w:adjustRightInd w:val="0"/>
        <w:spacing w:before="120"/>
        <w:rPr>
          <w:rFonts w:cs="Arial"/>
        </w:rPr>
      </w:pPr>
      <w:r w:rsidRPr="00C62C05">
        <w:rPr>
          <w:rFonts w:cs="Arial"/>
          <w:i/>
        </w:rPr>
        <w:t>Dolce</w:t>
      </w:r>
      <w:r w:rsidRPr="00C62C05">
        <w:rPr>
          <w:rFonts w:cs="Arial"/>
        </w:rPr>
        <w:t xml:space="preserve"> poiché la previsione negativa si è quasi dimezzata segnalando un trend che induce ad un cauto ottimismo.</w:t>
      </w:r>
    </w:p>
    <w:p w:rsidR="00A92189" w:rsidRPr="00C62C05" w:rsidRDefault="00A92189" w:rsidP="008432CB">
      <w:pPr>
        <w:autoSpaceDE w:val="0"/>
        <w:autoSpaceDN w:val="0"/>
        <w:adjustRightInd w:val="0"/>
        <w:spacing w:before="120"/>
        <w:rPr>
          <w:rFonts w:cs="Arial"/>
        </w:rPr>
      </w:pPr>
      <w:r w:rsidRPr="00C62C05">
        <w:rPr>
          <w:rFonts w:cs="Arial"/>
        </w:rPr>
        <w:t>Ma riassumiamo i dati complessivi.</w:t>
      </w:r>
    </w:p>
    <w:p w:rsidR="00BD7BB0" w:rsidRDefault="00A92189" w:rsidP="008432CB">
      <w:pPr>
        <w:autoSpaceDE w:val="0"/>
        <w:autoSpaceDN w:val="0"/>
        <w:adjustRightInd w:val="0"/>
        <w:spacing w:before="120"/>
        <w:rPr>
          <w:rFonts w:cs="Arial"/>
          <w:bCs/>
        </w:rPr>
      </w:pPr>
      <w:r w:rsidRPr="00C62C05">
        <w:rPr>
          <w:rFonts w:cs="Arial"/>
        </w:rPr>
        <w:t>I conti chiudono</w:t>
      </w:r>
      <w:r w:rsidRPr="00C62C05">
        <w:rPr>
          <w:rFonts w:cs="Arial"/>
          <w:bCs/>
        </w:rPr>
        <w:t xml:space="preserve"> con un disavanzo d’esercizio di 47.4 milioni di franchi, rispetto agli 87.9 preventivati</w:t>
      </w:r>
      <w:r w:rsidR="00BD7BB0">
        <w:rPr>
          <w:rFonts w:cs="Arial"/>
          <w:bCs/>
        </w:rPr>
        <w:t>.</w:t>
      </w:r>
    </w:p>
    <w:p w:rsidR="009E0EB1" w:rsidRDefault="00A92189" w:rsidP="008432CB">
      <w:pPr>
        <w:autoSpaceDE w:val="0"/>
        <w:autoSpaceDN w:val="0"/>
        <w:adjustRightInd w:val="0"/>
        <w:spacing w:before="120"/>
        <w:rPr>
          <w:rFonts w:cs="Arial"/>
          <w:bCs/>
        </w:rPr>
      </w:pPr>
      <w:r w:rsidRPr="00C62C05">
        <w:rPr>
          <w:rFonts w:cs="Arial"/>
          <w:bCs/>
        </w:rPr>
        <w:t xml:space="preserve">L’autofinanziamento si attesta a 142.5 milioni di franchi (85.5%), mentre il risultato totale ammonta a meno 24.1 milioni di franchi, a fronte di un valore negativo di 105.8 milioni di </w:t>
      </w:r>
      <w:r w:rsidRPr="00C62C05">
        <w:rPr>
          <w:rFonts w:cs="Arial"/>
          <w:bCs/>
        </w:rPr>
        <w:lastRenderedPageBreak/>
        <w:t>franchi (49.8%) stimato in sede di preventivo. Il messaggio governativo evidenzia una crescita delle spese di16 milioni di franchi (+0.4%) e l’ incremento dei ricavi di 56.5milioni di franchi (+1.6%).</w:t>
      </w:r>
    </w:p>
    <w:p w:rsidR="00A92189" w:rsidRPr="008432CB" w:rsidRDefault="00A92189" w:rsidP="008432CB">
      <w:pPr>
        <w:autoSpaceDE w:val="0"/>
        <w:autoSpaceDN w:val="0"/>
        <w:adjustRightInd w:val="0"/>
        <w:spacing w:before="120"/>
        <w:rPr>
          <w:rFonts w:cs="Arial"/>
        </w:rPr>
      </w:pPr>
      <w:r w:rsidRPr="008432CB">
        <w:rPr>
          <w:rFonts w:cs="Arial"/>
        </w:rPr>
        <w:t>Gli investimenti netti ammontano a 166.6 milioni di franchi, inferiori di 44.1 milioni di franchi rispetto al preventivo 2016.</w:t>
      </w:r>
    </w:p>
    <w:p w:rsidR="00A92189" w:rsidRDefault="00A92189" w:rsidP="00A92189">
      <w:pPr>
        <w:autoSpaceDE w:val="0"/>
        <w:autoSpaceDN w:val="0"/>
        <w:adjustRightInd w:val="0"/>
        <w:rPr>
          <w:rFonts w:cs="Arial"/>
          <w:bCs/>
        </w:rPr>
      </w:pPr>
    </w:p>
    <w:p w:rsidR="00BD7BB0" w:rsidRDefault="00BD7BB0" w:rsidP="00A92189">
      <w:pPr>
        <w:autoSpaceDE w:val="0"/>
        <w:autoSpaceDN w:val="0"/>
        <w:adjustRightInd w:val="0"/>
        <w:rPr>
          <w:rFonts w:cs="Arial"/>
          <w:bCs/>
        </w:rPr>
      </w:pPr>
    </w:p>
    <w:p w:rsidR="00BD7BB0" w:rsidRPr="00C62C05" w:rsidRDefault="00BD7BB0" w:rsidP="00A92189">
      <w:pPr>
        <w:autoSpaceDE w:val="0"/>
        <w:autoSpaceDN w:val="0"/>
        <w:adjustRightInd w:val="0"/>
        <w:rPr>
          <w:rFonts w:cs="Arial"/>
          <w:bCs/>
        </w:rPr>
      </w:pPr>
    </w:p>
    <w:p w:rsidR="00A92189" w:rsidRPr="00C62C05" w:rsidRDefault="00A92189" w:rsidP="00BD7BB0">
      <w:pPr>
        <w:pStyle w:val="Titolo1"/>
      </w:pPr>
      <w:bookmarkStart w:id="2" w:name="_Toc485131123"/>
      <w:r w:rsidRPr="00C62C05">
        <w:t>Dati principali</w:t>
      </w:r>
      <w:bookmarkEnd w:id="2"/>
    </w:p>
    <w:p w:rsidR="00A92189" w:rsidRPr="00250939" w:rsidRDefault="00A92189" w:rsidP="00A92189">
      <w:pPr>
        <w:autoSpaceDE w:val="0"/>
        <w:autoSpaceDN w:val="0"/>
        <w:adjustRightInd w:val="0"/>
        <w:rPr>
          <w:rFonts w:cs="Arial"/>
          <w:bCs/>
          <w:sz w:val="12"/>
          <w:szCs w:val="12"/>
        </w:rPr>
      </w:pPr>
    </w:p>
    <w:tbl>
      <w:tblPr>
        <w:tblW w:w="4482" w:type="pct"/>
        <w:tblCellSpacing w:w="15" w:type="dxa"/>
        <w:tblCellMar>
          <w:top w:w="15" w:type="dxa"/>
          <w:left w:w="15" w:type="dxa"/>
          <w:bottom w:w="15" w:type="dxa"/>
          <w:right w:w="15" w:type="dxa"/>
        </w:tblCellMar>
        <w:tblLook w:val="04A0" w:firstRow="1" w:lastRow="0" w:firstColumn="1" w:lastColumn="0" w:noHBand="0" w:noVBand="1"/>
      </w:tblPr>
      <w:tblGrid>
        <w:gridCol w:w="3696"/>
        <w:gridCol w:w="1256"/>
        <w:gridCol w:w="1256"/>
        <w:gridCol w:w="1256"/>
        <w:gridCol w:w="1256"/>
      </w:tblGrid>
      <w:tr w:rsidR="00A92189" w:rsidRPr="00BD7BB0" w:rsidTr="00BD7BB0">
        <w:trPr>
          <w:tblCellSpacing w:w="15" w:type="dxa"/>
        </w:trPr>
        <w:tc>
          <w:tcPr>
            <w:tcW w:w="0" w:type="auto"/>
            <w:vAlign w:val="bottom"/>
            <w:hideMark/>
          </w:tcPr>
          <w:p w:rsidR="00A92189" w:rsidRPr="00BD7BB0" w:rsidRDefault="00A92189" w:rsidP="00BD7BB0">
            <w:pPr>
              <w:spacing w:before="60"/>
              <w:jc w:val="left"/>
              <w:rPr>
                <w:rFonts w:cs="Arial"/>
                <w:sz w:val="22"/>
                <w:lang w:eastAsia="it-CH"/>
              </w:rPr>
            </w:pPr>
            <w:r w:rsidRPr="00BD7BB0">
              <w:rPr>
                <w:rFonts w:cs="Arial"/>
                <w:sz w:val="22"/>
                <w:lang w:eastAsia="it-CH"/>
              </w:rPr>
              <w:t>Importi in milioni di CHF</w:t>
            </w:r>
            <w:r w:rsidRPr="00BD7BB0">
              <w:rPr>
                <w:rFonts w:cs="Arial"/>
                <w:sz w:val="22"/>
                <w:lang w:eastAsia="it-CH"/>
              </w:rPr>
              <w:br/>
            </w:r>
          </w:p>
        </w:tc>
        <w:tc>
          <w:tcPr>
            <w:tcW w:w="718" w:type="pct"/>
            <w:shd w:val="clear" w:color="auto" w:fill="F0BD9B"/>
            <w:hideMark/>
          </w:tcPr>
          <w:p w:rsidR="00A92189" w:rsidRPr="00BD7BB0" w:rsidRDefault="00A92189" w:rsidP="00BD7BB0">
            <w:pPr>
              <w:spacing w:before="60"/>
              <w:jc w:val="right"/>
              <w:rPr>
                <w:rFonts w:cs="Arial"/>
                <w:sz w:val="22"/>
                <w:lang w:eastAsia="it-CH"/>
              </w:rPr>
            </w:pPr>
            <w:r w:rsidRPr="00BD7BB0">
              <w:rPr>
                <w:rFonts w:cs="Arial"/>
                <w:sz w:val="22"/>
                <w:lang w:eastAsia="it-CH"/>
              </w:rPr>
              <w:t>C2015</w:t>
            </w:r>
          </w:p>
        </w:tc>
        <w:tc>
          <w:tcPr>
            <w:tcW w:w="718" w:type="pct"/>
            <w:shd w:val="clear" w:color="auto" w:fill="FFE479"/>
            <w:hideMark/>
          </w:tcPr>
          <w:p w:rsidR="00A92189" w:rsidRPr="00BD7BB0" w:rsidRDefault="00A92189" w:rsidP="00BD7BB0">
            <w:pPr>
              <w:spacing w:before="60"/>
              <w:jc w:val="right"/>
              <w:rPr>
                <w:rFonts w:cs="Arial"/>
                <w:sz w:val="22"/>
                <w:lang w:eastAsia="it-CH"/>
              </w:rPr>
            </w:pPr>
            <w:r w:rsidRPr="00BD7BB0">
              <w:rPr>
                <w:rFonts w:cs="Arial"/>
                <w:sz w:val="22"/>
                <w:lang w:eastAsia="it-CH"/>
              </w:rPr>
              <w:t>P2016</w:t>
            </w:r>
          </w:p>
        </w:tc>
        <w:tc>
          <w:tcPr>
            <w:tcW w:w="718" w:type="pct"/>
            <w:shd w:val="clear" w:color="auto" w:fill="FFF7D5"/>
            <w:hideMark/>
          </w:tcPr>
          <w:p w:rsidR="00A92189" w:rsidRPr="00BD7BB0" w:rsidRDefault="00A92189" w:rsidP="00BD7BB0">
            <w:pPr>
              <w:spacing w:before="60"/>
              <w:jc w:val="right"/>
              <w:rPr>
                <w:rFonts w:cs="Arial"/>
                <w:sz w:val="22"/>
                <w:lang w:eastAsia="it-CH"/>
              </w:rPr>
            </w:pPr>
            <w:r w:rsidRPr="00BD7BB0">
              <w:rPr>
                <w:rFonts w:cs="Arial"/>
                <w:sz w:val="22"/>
                <w:lang w:eastAsia="it-CH"/>
              </w:rPr>
              <w:t>C2016</w:t>
            </w:r>
          </w:p>
        </w:tc>
        <w:tc>
          <w:tcPr>
            <w:tcW w:w="709" w:type="pct"/>
            <w:shd w:val="clear" w:color="auto" w:fill="EDEEEF"/>
            <w:hideMark/>
          </w:tcPr>
          <w:p w:rsidR="00A92189" w:rsidRPr="00BD7BB0" w:rsidRDefault="00A92189" w:rsidP="00BD7BB0">
            <w:pPr>
              <w:spacing w:before="60"/>
              <w:jc w:val="right"/>
              <w:rPr>
                <w:rFonts w:cs="Arial"/>
                <w:sz w:val="22"/>
                <w:lang w:eastAsia="it-CH"/>
              </w:rPr>
            </w:pPr>
            <w:r w:rsidRPr="00BD7BB0">
              <w:rPr>
                <w:rFonts w:cs="Arial"/>
                <w:sz w:val="22"/>
                <w:lang w:eastAsia="it-CH"/>
              </w:rPr>
              <w:t xml:space="preserve">C16 - P16 </w:t>
            </w:r>
          </w:p>
        </w:tc>
      </w:tr>
      <w:tr w:rsidR="00A92189" w:rsidRPr="00BD7BB0" w:rsidTr="00250939">
        <w:trPr>
          <w:trHeight w:val="275"/>
          <w:tblCellSpacing w:w="15" w:type="dxa"/>
        </w:trPr>
        <w:tc>
          <w:tcPr>
            <w:tcW w:w="0" w:type="auto"/>
            <w:tcBorders>
              <w:top w:val="single" w:sz="4" w:space="0" w:color="666666"/>
            </w:tcBorders>
            <w:vAlign w:val="center"/>
            <w:hideMark/>
          </w:tcPr>
          <w:p w:rsidR="00A92189" w:rsidRPr="00BD7BB0" w:rsidRDefault="00A92189" w:rsidP="00250939">
            <w:pPr>
              <w:rPr>
                <w:rFonts w:cs="Arial"/>
                <w:sz w:val="22"/>
                <w:lang w:eastAsia="it-CH"/>
              </w:rPr>
            </w:pPr>
            <w:r w:rsidRPr="00BD7BB0">
              <w:rPr>
                <w:rFonts w:cs="Arial"/>
                <w:sz w:val="22"/>
                <w:lang w:eastAsia="it-CH"/>
              </w:rPr>
              <w:t>Spese</w:t>
            </w:r>
          </w:p>
        </w:tc>
        <w:tc>
          <w:tcPr>
            <w:tcW w:w="718" w:type="pct"/>
            <w:tcBorders>
              <w:top w:val="single" w:sz="4" w:space="0" w:color="666666"/>
            </w:tcBorders>
            <w:shd w:val="clear" w:color="auto" w:fill="F0BD9B"/>
            <w:vAlign w:val="center"/>
            <w:hideMark/>
          </w:tcPr>
          <w:p w:rsidR="00A92189" w:rsidRPr="00BD7BB0" w:rsidRDefault="00A92189" w:rsidP="00250939">
            <w:pPr>
              <w:jc w:val="right"/>
              <w:rPr>
                <w:rFonts w:cs="Arial"/>
                <w:sz w:val="22"/>
                <w:lang w:eastAsia="it-CH"/>
              </w:rPr>
            </w:pPr>
            <w:r w:rsidRPr="00BD7BB0">
              <w:rPr>
                <w:rFonts w:cs="Arial"/>
                <w:sz w:val="22"/>
                <w:lang w:eastAsia="it-CH"/>
              </w:rPr>
              <w:t>3'577</w:t>
            </w:r>
          </w:p>
        </w:tc>
        <w:tc>
          <w:tcPr>
            <w:tcW w:w="718" w:type="pct"/>
            <w:tcBorders>
              <w:top w:val="single" w:sz="4" w:space="0" w:color="666666"/>
            </w:tcBorders>
            <w:shd w:val="clear" w:color="auto" w:fill="FFE479"/>
            <w:vAlign w:val="center"/>
            <w:hideMark/>
          </w:tcPr>
          <w:p w:rsidR="00A92189" w:rsidRPr="00BD7BB0" w:rsidRDefault="00A92189" w:rsidP="00250939">
            <w:pPr>
              <w:jc w:val="right"/>
              <w:rPr>
                <w:rFonts w:cs="Arial"/>
                <w:sz w:val="22"/>
                <w:lang w:eastAsia="it-CH"/>
              </w:rPr>
            </w:pPr>
            <w:r w:rsidRPr="00BD7BB0">
              <w:rPr>
                <w:rFonts w:cs="Arial"/>
                <w:sz w:val="22"/>
                <w:lang w:eastAsia="it-CH"/>
              </w:rPr>
              <w:t>3'605</w:t>
            </w:r>
          </w:p>
        </w:tc>
        <w:tc>
          <w:tcPr>
            <w:tcW w:w="718" w:type="pct"/>
            <w:tcBorders>
              <w:top w:val="single" w:sz="4" w:space="0" w:color="666666"/>
            </w:tcBorders>
            <w:shd w:val="clear" w:color="auto" w:fill="FFF7D5"/>
            <w:vAlign w:val="center"/>
            <w:hideMark/>
          </w:tcPr>
          <w:p w:rsidR="00A92189" w:rsidRPr="00BD7BB0" w:rsidRDefault="00A92189" w:rsidP="00250939">
            <w:pPr>
              <w:jc w:val="right"/>
              <w:rPr>
                <w:rFonts w:cs="Arial"/>
                <w:sz w:val="22"/>
                <w:lang w:eastAsia="it-CH"/>
              </w:rPr>
            </w:pPr>
            <w:r w:rsidRPr="00BD7BB0">
              <w:rPr>
                <w:rFonts w:cs="Arial"/>
                <w:sz w:val="22"/>
                <w:lang w:eastAsia="it-CH"/>
              </w:rPr>
              <w:t>3'621</w:t>
            </w:r>
          </w:p>
        </w:tc>
        <w:tc>
          <w:tcPr>
            <w:tcW w:w="709" w:type="pct"/>
            <w:tcBorders>
              <w:top w:val="single" w:sz="4" w:space="0" w:color="666666"/>
            </w:tcBorders>
            <w:shd w:val="clear" w:color="auto" w:fill="EDEEEF"/>
            <w:vAlign w:val="center"/>
            <w:hideMark/>
          </w:tcPr>
          <w:p w:rsidR="00A92189" w:rsidRPr="00BD7BB0" w:rsidRDefault="00A92189" w:rsidP="00250939">
            <w:pPr>
              <w:jc w:val="right"/>
              <w:rPr>
                <w:rFonts w:cs="Arial"/>
                <w:sz w:val="22"/>
                <w:lang w:eastAsia="it-CH"/>
              </w:rPr>
            </w:pPr>
            <w:r w:rsidRPr="00BD7BB0">
              <w:rPr>
                <w:rFonts w:cs="Arial"/>
                <w:sz w:val="22"/>
                <w:lang w:eastAsia="it-CH"/>
              </w:rPr>
              <w:t>16</w:t>
            </w:r>
          </w:p>
        </w:tc>
      </w:tr>
      <w:tr w:rsidR="00A92189" w:rsidRPr="00BD7BB0" w:rsidTr="00250939">
        <w:trPr>
          <w:trHeight w:val="288"/>
          <w:tblCellSpacing w:w="15" w:type="dxa"/>
        </w:trPr>
        <w:tc>
          <w:tcPr>
            <w:tcW w:w="0" w:type="auto"/>
            <w:tcBorders>
              <w:top w:val="single" w:sz="4" w:space="0" w:color="C0C0C0"/>
            </w:tcBorders>
            <w:vAlign w:val="center"/>
            <w:hideMark/>
          </w:tcPr>
          <w:p w:rsidR="00A92189" w:rsidRPr="00BD7BB0" w:rsidRDefault="00A92189" w:rsidP="00250939">
            <w:pPr>
              <w:rPr>
                <w:rFonts w:cs="Arial"/>
                <w:sz w:val="22"/>
                <w:lang w:eastAsia="it-CH"/>
              </w:rPr>
            </w:pPr>
            <w:r w:rsidRPr="00BD7BB0">
              <w:rPr>
                <w:rFonts w:cs="Arial"/>
                <w:sz w:val="22"/>
                <w:lang w:eastAsia="it-CH"/>
              </w:rPr>
              <w:t>Ricavi</w:t>
            </w:r>
          </w:p>
        </w:tc>
        <w:tc>
          <w:tcPr>
            <w:tcW w:w="718" w:type="pct"/>
            <w:tcBorders>
              <w:top w:val="single" w:sz="4" w:space="0" w:color="C0C0C0"/>
            </w:tcBorders>
            <w:shd w:val="clear" w:color="auto" w:fill="F0BD9B"/>
            <w:vAlign w:val="center"/>
            <w:hideMark/>
          </w:tcPr>
          <w:p w:rsidR="00A92189" w:rsidRPr="00BD7BB0" w:rsidRDefault="00A92189" w:rsidP="00250939">
            <w:pPr>
              <w:jc w:val="right"/>
              <w:rPr>
                <w:rFonts w:cs="Arial"/>
                <w:sz w:val="22"/>
                <w:lang w:eastAsia="it-CH"/>
              </w:rPr>
            </w:pPr>
            <w:r w:rsidRPr="00BD7BB0">
              <w:rPr>
                <w:rFonts w:cs="Arial"/>
                <w:sz w:val="22"/>
                <w:lang w:eastAsia="it-CH"/>
              </w:rPr>
              <w:t>3'487</w:t>
            </w:r>
          </w:p>
        </w:tc>
        <w:tc>
          <w:tcPr>
            <w:tcW w:w="718" w:type="pct"/>
            <w:tcBorders>
              <w:top w:val="single" w:sz="4" w:space="0" w:color="C0C0C0"/>
            </w:tcBorders>
            <w:shd w:val="clear" w:color="auto" w:fill="FFE479"/>
            <w:vAlign w:val="center"/>
            <w:hideMark/>
          </w:tcPr>
          <w:p w:rsidR="00A92189" w:rsidRPr="00BD7BB0" w:rsidRDefault="00A92189" w:rsidP="00250939">
            <w:pPr>
              <w:jc w:val="right"/>
              <w:rPr>
                <w:rFonts w:cs="Arial"/>
                <w:sz w:val="22"/>
                <w:lang w:eastAsia="it-CH"/>
              </w:rPr>
            </w:pPr>
            <w:r w:rsidRPr="00BD7BB0">
              <w:rPr>
                <w:rFonts w:cs="Arial"/>
                <w:sz w:val="22"/>
                <w:lang w:eastAsia="it-CH"/>
              </w:rPr>
              <w:t>3'517</w:t>
            </w:r>
          </w:p>
        </w:tc>
        <w:tc>
          <w:tcPr>
            <w:tcW w:w="718" w:type="pct"/>
            <w:tcBorders>
              <w:top w:val="single" w:sz="4" w:space="0" w:color="C0C0C0"/>
            </w:tcBorders>
            <w:shd w:val="clear" w:color="auto" w:fill="FFF7D5"/>
            <w:vAlign w:val="center"/>
            <w:hideMark/>
          </w:tcPr>
          <w:p w:rsidR="00A92189" w:rsidRPr="00BD7BB0" w:rsidRDefault="00A92189" w:rsidP="00250939">
            <w:pPr>
              <w:jc w:val="right"/>
              <w:rPr>
                <w:rFonts w:cs="Arial"/>
                <w:sz w:val="22"/>
                <w:lang w:eastAsia="it-CH"/>
              </w:rPr>
            </w:pPr>
            <w:r w:rsidRPr="00BD7BB0">
              <w:rPr>
                <w:rFonts w:cs="Arial"/>
                <w:sz w:val="22"/>
                <w:lang w:eastAsia="it-CH"/>
              </w:rPr>
              <w:t>3'574</w:t>
            </w:r>
          </w:p>
        </w:tc>
        <w:tc>
          <w:tcPr>
            <w:tcW w:w="709" w:type="pct"/>
            <w:tcBorders>
              <w:top w:val="single" w:sz="4" w:space="0" w:color="C0C0C0"/>
            </w:tcBorders>
            <w:shd w:val="clear" w:color="auto" w:fill="EDEEEF"/>
            <w:vAlign w:val="center"/>
            <w:hideMark/>
          </w:tcPr>
          <w:p w:rsidR="00A92189" w:rsidRPr="00BD7BB0" w:rsidRDefault="00A92189" w:rsidP="00250939">
            <w:pPr>
              <w:jc w:val="right"/>
              <w:rPr>
                <w:rFonts w:cs="Arial"/>
                <w:sz w:val="22"/>
                <w:lang w:eastAsia="it-CH"/>
              </w:rPr>
            </w:pPr>
            <w:r w:rsidRPr="00BD7BB0">
              <w:rPr>
                <w:rFonts w:cs="Arial"/>
                <w:sz w:val="22"/>
                <w:lang w:eastAsia="it-CH"/>
              </w:rPr>
              <w:t>57</w:t>
            </w:r>
          </w:p>
        </w:tc>
      </w:tr>
      <w:tr w:rsidR="00A92189" w:rsidRPr="00BD7BB0" w:rsidTr="00250939">
        <w:trPr>
          <w:trHeight w:val="275"/>
          <w:tblCellSpacing w:w="15" w:type="dxa"/>
        </w:trPr>
        <w:tc>
          <w:tcPr>
            <w:tcW w:w="0" w:type="auto"/>
            <w:tcBorders>
              <w:top w:val="single" w:sz="4" w:space="0" w:color="666666"/>
              <w:bottom w:val="single" w:sz="4" w:space="0" w:color="666666"/>
            </w:tcBorders>
            <w:vAlign w:val="center"/>
            <w:hideMark/>
          </w:tcPr>
          <w:p w:rsidR="00A92189" w:rsidRPr="00BD7BB0" w:rsidRDefault="00A92189" w:rsidP="00250939">
            <w:pPr>
              <w:rPr>
                <w:rFonts w:cs="Arial"/>
                <w:sz w:val="22"/>
                <w:lang w:eastAsia="it-CH"/>
              </w:rPr>
            </w:pPr>
            <w:r w:rsidRPr="00BD7BB0">
              <w:rPr>
                <w:rFonts w:cs="Arial"/>
                <w:b/>
                <w:bCs/>
                <w:sz w:val="22"/>
                <w:lang w:eastAsia="it-CH"/>
              </w:rPr>
              <w:t>Risultato d'esercizio</w:t>
            </w:r>
          </w:p>
        </w:tc>
        <w:tc>
          <w:tcPr>
            <w:tcW w:w="718" w:type="pct"/>
            <w:tcBorders>
              <w:top w:val="single" w:sz="4" w:space="0" w:color="666666"/>
              <w:bottom w:val="single" w:sz="4" w:space="0" w:color="666666"/>
            </w:tcBorders>
            <w:shd w:val="clear" w:color="auto" w:fill="F0BD9B"/>
            <w:vAlign w:val="center"/>
            <w:hideMark/>
          </w:tcPr>
          <w:p w:rsidR="00A92189" w:rsidRPr="00BD7BB0" w:rsidRDefault="00A92189" w:rsidP="00250939">
            <w:pPr>
              <w:jc w:val="right"/>
              <w:rPr>
                <w:rFonts w:cs="Arial"/>
                <w:sz w:val="22"/>
                <w:lang w:eastAsia="it-CH"/>
              </w:rPr>
            </w:pPr>
            <w:r w:rsidRPr="00BD7BB0">
              <w:rPr>
                <w:rFonts w:cs="Arial"/>
                <w:b/>
                <w:bCs/>
                <w:sz w:val="22"/>
                <w:lang w:eastAsia="it-CH"/>
              </w:rPr>
              <w:t>-91</w:t>
            </w:r>
          </w:p>
        </w:tc>
        <w:tc>
          <w:tcPr>
            <w:tcW w:w="718" w:type="pct"/>
            <w:tcBorders>
              <w:top w:val="single" w:sz="4" w:space="0" w:color="666666"/>
              <w:bottom w:val="single" w:sz="4" w:space="0" w:color="666666"/>
            </w:tcBorders>
            <w:shd w:val="clear" w:color="auto" w:fill="FFE479"/>
            <w:vAlign w:val="center"/>
            <w:hideMark/>
          </w:tcPr>
          <w:p w:rsidR="00A92189" w:rsidRPr="00BD7BB0" w:rsidRDefault="00A92189" w:rsidP="00250939">
            <w:pPr>
              <w:jc w:val="right"/>
              <w:rPr>
                <w:rFonts w:cs="Arial"/>
                <w:sz w:val="22"/>
                <w:lang w:eastAsia="it-CH"/>
              </w:rPr>
            </w:pPr>
            <w:r w:rsidRPr="00BD7BB0">
              <w:rPr>
                <w:rFonts w:cs="Arial"/>
                <w:b/>
                <w:bCs/>
                <w:sz w:val="22"/>
                <w:lang w:eastAsia="it-CH"/>
              </w:rPr>
              <w:t>-88</w:t>
            </w:r>
          </w:p>
        </w:tc>
        <w:tc>
          <w:tcPr>
            <w:tcW w:w="718" w:type="pct"/>
            <w:tcBorders>
              <w:top w:val="single" w:sz="4" w:space="0" w:color="666666"/>
              <w:bottom w:val="single" w:sz="4" w:space="0" w:color="666666"/>
            </w:tcBorders>
            <w:shd w:val="clear" w:color="auto" w:fill="FFF7D5"/>
            <w:vAlign w:val="center"/>
            <w:hideMark/>
          </w:tcPr>
          <w:p w:rsidR="00A92189" w:rsidRPr="00BD7BB0" w:rsidRDefault="00A92189" w:rsidP="00250939">
            <w:pPr>
              <w:jc w:val="right"/>
              <w:rPr>
                <w:rFonts w:cs="Arial"/>
                <w:sz w:val="22"/>
                <w:lang w:eastAsia="it-CH"/>
              </w:rPr>
            </w:pPr>
            <w:r w:rsidRPr="00BD7BB0">
              <w:rPr>
                <w:rFonts w:cs="Arial"/>
                <w:b/>
                <w:bCs/>
                <w:sz w:val="22"/>
                <w:lang w:eastAsia="it-CH"/>
              </w:rPr>
              <w:t>-47</w:t>
            </w:r>
          </w:p>
        </w:tc>
        <w:tc>
          <w:tcPr>
            <w:tcW w:w="709" w:type="pct"/>
            <w:tcBorders>
              <w:top w:val="single" w:sz="4" w:space="0" w:color="666666"/>
              <w:bottom w:val="single" w:sz="4" w:space="0" w:color="666666"/>
            </w:tcBorders>
            <w:shd w:val="clear" w:color="auto" w:fill="EDEEEF"/>
            <w:vAlign w:val="center"/>
            <w:hideMark/>
          </w:tcPr>
          <w:p w:rsidR="00A92189" w:rsidRPr="00BD7BB0" w:rsidRDefault="00A92189" w:rsidP="00250939">
            <w:pPr>
              <w:jc w:val="right"/>
              <w:rPr>
                <w:rFonts w:cs="Arial"/>
                <w:sz w:val="22"/>
                <w:lang w:eastAsia="it-CH"/>
              </w:rPr>
            </w:pPr>
            <w:r w:rsidRPr="00BD7BB0">
              <w:rPr>
                <w:rFonts w:cs="Arial"/>
                <w:sz w:val="22"/>
                <w:lang w:eastAsia="it-CH"/>
              </w:rPr>
              <w:t>41</w:t>
            </w:r>
          </w:p>
        </w:tc>
      </w:tr>
      <w:tr w:rsidR="00A92189" w:rsidRPr="00BD7BB0" w:rsidTr="00250939">
        <w:trPr>
          <w:trHeight w:val="288"/>
          <w:tblCellSpacing w:w="15" w:type="dxa"/>
        </w:trPr>
        <w:tc>
          <w:tcPr>
            <w:tcW w:w="0" w:type="auto"/>
            <w:tcBorders>
              <w:top w:val="single" w:sz="4" w:space="0" w:color="666666"/>
            </w:tcBorders>
            <w:vAlign w:val="center"/>
            <w:hideMark/>
          </w:tcPr>
          <w:p w:rsidR="00A92189" w:rsidRPr="00BD7BB0" w:rsidRDefault="00A92189" w:rsidP="00250939">
            <w:pPr>
              <w:rPr>
                <w:rFonts w:cs="Arial"/>
                <w:sz w:val="22"/>
                <w:lang w:eastAsia="it-CH"/>
              </w:rPr>
            </w:pPr>
            <w:r w:rsidRPr="00BD7BB0">
              <w:rPr>
                <w:rFonts w:cs="Arial"/>
                <w:b/>
                <w:bCs/>
                <w:sz w:val="22"/>
                <w:lang w:eastAsia="it-CH"/>
              </w:rPr>
              <w:t>Investimenti netti</w:t>
            </w:r>
          </w:p>
        </w:tc>
        <w:tc>
          <w:tcPr>
            <w:tcW w:w="718" w:type="pct"/>
            <w:tcBorders>
              <w:top w:val="single" w:sz="4" w:space="0" w:color="666666"/>
            </w:tcBorders>
            <w:shd w:val="clear" w:color="auto" w:fill="F0BD9B"/>
            <w:vAlign w:val="center"/>
            <w:hideMark/>
          </w:tcPr>
          <w:p w:rsidR="00A92189" w:rsidRPr="00BD7BB0" w:rsidRDefault="00A92189" w:rsidP="00250939">
            <w:pPr>
              <w:jc w:val="right"/>
              <w:rPr>
                <w:rFonts w:cs="Arial"/>
                <w:sz w:val="22"/>
                <w:lang w:eastAsia="it-CH"/>
              </w:rPr>
            </w:pPr>
            <w:r w:rsidRPr="00BD7BB0">
              <w:rPr>
                <w:rFonts w:cs="Arial"/>
                <w:b/>
                <w:bCs/>
                <w:sz w:val="22"/>
                <w:lang w:eastAsia="it-CH"/>
              </w:rPr>
              <w:t>206</w:t>
            </w:r>
          </w:p>
        </w:tc>
        <w:tc>
          <w:tcPr>
            <w:tcW w:w="718" w:type="pct"/>
            <w:tcBorders>
              <w:top w:val="single" w:sz="4" w:space="0" w:color="666666"/>
            </w:tcBorders>
            <w:shd w:val="clear" w:color="auto" w:fill="FFE479"/>
            <w:vAlign w:val="center"/>
            <w:hideMark/>
          </w:tcPr>
          <w:p w:rsidR="00A92189" w:rsidRPr="00BD7BB0" w:rsidRDefault="00A92189" w:rsidP="00250939">
            <w:pPr>
              <w:jc w:val="right"/>
              <w:rPr>
                <w:rFonts w:cs="Arial"/>
                <w:sz w:val="22"/>
                <w:lang w:eastAsia="it-CH"/>
              </w:rPr>
            </w:pPr>
            <w:r w:rsidRPr="00BD7BB0">
              <w:rPr>
                <w:rFonts w:cs="Arial"/>
                <w:b/>
                <w:bCs/>
                <w:sz w:val="22"/>
                <w:lang w:eastAsia="it-CH"/>
              </w:rPr>
              <w:t>211</w:t>
            </w:r>
          </w:p>
        </w:tc>
        <w:tc>
          <w:tcPr>
            <w:tcW w:w="718" w:type="pct"/>
            <w:tcBorders>
              <w:top w:val="single" w:sz="4" w:space="0" w:color="666666"/>
            </w:tcBorders>
            <w:shd w:val="clear" w:color="auto" w:fill="FFF7D5"/>
            <w:vAlign w:val="center"/>
            <w:hideMark/>
          </w:tcPr>
          <w:p w:rsidR="00A92189" w:rsidRPr="00BD7BB0" w:rsidRDefault="00A92189" w:rsidP="00250939">
            <w:pPr>
              <w:jc w:val="right"/>
              <w:rPr>
                <w:rFonts w:cs="Arial"/>
                <w:sz w:val="22"/>
                <w:lang w:eastAsia="it-CH"/>
              </w:rPr>
            </w:pPr>
            <w:r w:rsidRPr="00BD7BB0">
              <w:rPr>
                <w:rFonts w:cs="Arial"/>
                <w:b/>
                <w:bCs/>
                <w:sz w:val="22"/>
                <w:lang w:eastAsia="it-CH"/>
              </w:rPr>
              <w:t>167</w:t>
            </w:r>
          </w:p>
        </w:tc>
        <w:tc>
          <w:tcPr>
            <w:tcW w:w="709" w:type="pct"/>
            <w:tcBorders>
              <w:top w:val="single" w:sz="4" w:space="0" w:color="666666"/>
            </w:tcBorders>
            <w:shd w:val="clear" w:color="auto" w:fill="EDEEEF"/>
            <w:vAlign w:val="center"/>
            <w:hideMark/>
          </w:tcPr>
          <w:p w:rsidR="00A92189" w:rsidRPr="00BD7BB0" w:rsidRDefault="00A92189" w:rsidP="00250939">
            <w:pPr>
              <w:jc w:val="right"/>
              <w:rPr>
                <w:rFonts w:cs="Arial"/>
                <w:sz w:val="22"/>
                <w:lang w:eastAsia="it-CH"/>
              </w:rPr>
            </w:pPr>
            <w:r w:rsidRPr="00BD7BB0">
              <w:rPr>
                <w:rFonts w:cs="Arial"/>
                <w:sz w:val="22"/>
                <w:lang w:eastAsia="it-CH"/>
              </w:rPr>
              <w:t>-44</w:t>
            </w:r>
          </w:p>
        </w:tc>
      </w:tr>
      <w:tr w:rsidR="00A92189" w:rsidRPr="00BD7BB0" w:rsidTr="00250939">
        <w:trPr>
          <w:trHeight w:val="275"/>
          <w:tblCellSpacing w:w="15" w:type="dxa"/>
        </w:trPr>
        <w:tc>
          <w:tcPr>
            <w:tcW w:w="0" w:type="auto"/>
            <w:tcBorders>
              <w:top w:val="double" w:sz="4" w:space="0" w:color="666666"/>
              <w:bottom w:val="single" w:sz="4" w:space="0" w:color="666666"/>
            </w:tcBorders>
            <w:vAlign w:val="center"/>
            <w:hideMark/>
          </w:tcPr>
          <w:p w:rsidR="00A92189" w:rsidRPr="00BD7BB0" w:rsidRDefault="00A92189" w:rsidP="00250939">
            <w:pPr>
              <w:rPr>
                <w:rFonts w:cs="Arial"/>
                <w:sz w:val="22"/>
                <w:lang w:eastAsia="it-CH"/>
              </w:rPr>
            </w:pPr>
            <w:r w:rsidRPr="00BD7BB0">
              <w:rPr>
                <w:rFonts w:cs="Arial"/>
                <w:b/>
                <w:bCs/>
                <w:sz w:val="22"/>
                <w:lang w:eastAsia="it-CH"/>
              </w:rPr>
              <w:t>Risultato totale</w:t>
            </w:r>
          </w:p>
        </w:tc>
        <w:tc>
          <w:tcPr>
            <w:tcW w:w="718" w:type="pct"/>
            <w:tcBorders>
              <w:top w:val="double" w:sz="4" w:space="0" w:color="666666"/>
              <w:bottom w:val="single" w:sz="4" w:space="0" w:color="666666"/>
            </w:tcBorders>
            <w:shd w:val="clear" w:color="auto" w:fill="F0BD9B"/>
            <w:vAlign w:val="center"/>
            <w:hideMark/>
          </w:tcPr>
          <w:p w:rsidR="00A92189" w:rsidRPr="00BD7BB0" w:rsidRDefault="00A92189" w:rsidP="00250939">
            <w:pPr>
              <w:jc w:val="right"/>
              <w:rPr>
                <w:rFonts w:cs="Arial"/>
                <w:sz w:val="22"/>
                <w:lang w:eastAsia="it-CH"/>
              </w:rPr>
            </w:pPr>
            <w:r w:rsidRPr="00BD7BB0">
              <w:rPr>
                <w:rFonts w:cs="Arial"/>
                <w:b/>
                <w:bCs/>
                <w:sz w:val="22"/>
                <w:lang w:eastAsia="it-CH"/>
              </w:rPr>
              <w:t>-114</w:t>
            </w:r>
          </w:p>
        </w:tc>
        <w:tc>
          <w:tcPr>
            <w:tcW w:w="718" w:type="pct"/>
            <w:tcBorders>
              <w:top w:val="double" w:sz="4" w:space="0" w:color="666666"/>
              <w:bottom w:val="single" w:sz="4" w:space="0" w:color="666666"/>
            </w:tcBorders>
            <w:shd w:val="clear" w:color="auto" w:fill="FFE479"/>
            <w:vAlign w:val="center"/>
            <w:hideMark/>
          </w:tcPr>
          <w:p w:rsidR="00A92189" w:rsidRPr="00BD7BB0" w:rsidRDefault="00A92189" w:rsidP="00250939">
            <w:pPr>
              <w:jc w:val="right"/>
              <w:rPr>
                <w:rFonts w:cs="Arial"/>
                <w:sz w:val="22"/>
                <w:lang w:eastAsia="it-CH"/>
              </w:rPr>
            </w:pPr>
            <w:r w:rsidRPr="00BD7BB0">
              <w:rPr>
                <w:rFonts w:cs="Arial"/>
                <w:b/>
                <w:bCs/>
                <w:sz w:val="22"/>
                <w:lang w:eastAsia="it-CH"/>
              </w:rPr>
              <w:t>-106</w:t>
            </w:r>
          </w:p>
        </w:tc>
        <w:tc>
          <w:tcPr>
            <w:tcW w:w="718" w:type="pct"/>
            <w:tcBorders>
              <w:top w:val="double" w:sz="4" w:space="0" w:color="666666"/>
              <w:bottom w:val="single" w:sz="4" w:space="0" w:color="666666"/>
            </w:tcBorders>
            <w:shd w:val="clear" w:color="auto" w:fill="FFF7D5"/>
            <w:vAlign w:val="center"/>
            <w:hideMark/>
          </w:tcPr>
          <w:p w:rsidR="00A92189" w:rsidRPr="00BD7BB0" w:rsidRDefault="00A92189" w:rsidP="00250939">
            <w:pPr>
              <w:jc w:val="right"/>
              <w:rPr>
                <w:rFonts w:cs="Arial"/>
                <w:sz w:val="22"/>
                <w:lang w:eastAsia="it-CH"/>
              </w:rPr>
            </w:pPr>
            <w:r w:rsidRPr="00BD7BB0">
              <w:rPr>
                <w:rFonts w:cs="Arial"/>
                <w:b/>
                <w:bCs/>
                <w:sz w:val="22"/>
                <w:lang w:eastAsia="it-CH"/>
              </w:rPr>
              <w:t>-24</w:t>
            </w:r>
          </w:p>
        </w:tc>
        <w:tc>
          <w:tcPr>
            <w:tcW w:w="709" w:type="pct"/>
            <w:tcBorders>
              <w:top w:val="double" w:sz="4" w:space="0" w:color="666666"/>
              <w:bottom w:val="single" w:sz="4" w:space="0" w:color="666666"/>
            </w:tcBorders>
            <w:shd w:val="clear" w:color="auto" w:fill="EDEEEF"/>
            <w:vAlign w:val="center"/>
            <w:hideMark/>
          </w:tcPr>
          <w:p w:rsidR="00A92189" w:rsidRPr="00BD7BB0" w:rsidRDefault="00A92189" w:rsidP="00250939">
            <w:pPr>
              <w:jc w:val="right"/>
              <w:rPr>
                <w:rFonts w:cs="Arial"/>
                <w:sz w:val="22"/>
                <w:lang w:eastAsia="it-CH"/>
              </w:rPr>
            </w:pPr>
            <w:r w:rsidRPr="00BD7BB0">
              <w:rPr>
                <w:rFonts w:cs="Arial"/>
                <w:sz w:val="22"/>
                <w:lang w:eastAsia="it-CH"/>
              </w:rPr>
              <w:t>82</w:t>
            </w:r>
          </w:p>
        </w:tc>
      </w:tr>
    </w:tbl>
    <w:p w:rsidR="00A92189" w:rsidRPr="00C62C05" w:rsidRDefault="00A92189" w:rsidP="00A92189">
      <w:pPr>
        <w:autoSpaceDE w:val="0"/>
        <w:autoSpaceDN w:val="0"/>
        <w:adjustRightInd w:val="0"/>
        <w:rPr>
          <w:rFonts w:cs="Arial"/>
          <w:bCs/>
        </w:rPr>
      </w:pPr>
    </w:p>
    <w:p w:rsidR="00A92189" w:rsidRPr="00C62C05" w:rsidRDefault="00A92189" w:rsidP="00A92189">
      <w:pPr>
        <w:autoSpaceDE w:val="0"/>
        <w:autoSpaceDN w:val="0"/>
        <w:adjustRightInd w:val="0"/>
        <w:rPr>
          <w:rFonts w:cs="Arial"/>
          <w:bCs/>
        </w:rPr>
      </w:pPr>
    </w:p>
    <w:p w:rsidR="00A92189" w:rsidRPr="00C62C05" w:rsidRDefault="00A92189" w:rsidP="00A92189">
      <w:pPr>
        <w:autoSpaceDE w:val="0"/>
        <w:autoSpaceDN w:val="0"/>
        <w:adjustRightInd w:val="0"/>
        <w:ind w:right="-143"/>
        <w:rPr>
          <w:rFonts w:cs="Arial"/>
          <w:bCs/>
        </w:rPr>
      </w:pPr>
      <w:r w:rsidRPr="00C62C05">
        <w:rPr>
          <w:rFonts w:cs="Arial"/>
          <w:bCs/>
        </w:rPr>
        <w:t>Siamo dunque di fronte ad un miglioramento complessivo di 40 milioni e mezzo.</w:t>
      </w:r>
      <w:r w:rsidRPr="00C62C05">
        <w:rPr>
          <w:rFonts w:cs="Arial"/>
          <w:bCs/>
        </w:rPr>
        <w:br/>
        <w:t xml:space="preserve">Risultato che trae origine dalle accresciute entrate fiscali, che registrano un incremento rispetto alle previsioni di 58 milioni e mezzo, dovuto in buona parte al forte aumento delle autodenunce esenti da </w:t>
      </w:r>
      <w:r>
        <w:rPr>
          <w:rFonts w:cs="Arial"/>
          <w:bCs/>
        </w:rPr>
        <w:t>multa</w:t>
      </w:r>
      <w:r w:rsidRPr="00C62C05">
        <w:rPr>
          <w:rFonts w:cs="Arial"/>
          <w:bCs/>
        </w:rPr>
        <w:t xml:space="preserve"> legate alla </w:t>
      </w:r>
      <w:proofErr w:type="spellStart"/>
      <w:r w:rsidRPr="00C62C05">
        <w:rPr>
          <w:rFonts w:cs="Arial"/>
          <w:bCs/>
        </w:rPr>
        <w:t>miniamnistia</w:t>
      </w:r>
      <w:proofErr w:type="spellEnd"/>
      <w:r w:rsidRPr="00C62C05">
        <w:rPr>
          <w:rFonts w:cs="Arial"/>
          <w:bCs/>
        </w:rPr>
        <w:t xml:space="preserve"> federale. Autodenunce che nel 2016 hanno segnato un record, con 963 casi per una riemersione complessiva di un miliardo e 368 milioni.</w:t>
      </w:r>
    </w:p>
    <w:p w:rsidR="00A92189" w:rsidRDefault="00A92189" w:rsidP="00A92189">
      <w:pPr>
        <w:autoSpaceDE w:val="0"/>
        <w:autoSpaceDN w:val="0"/>
        <w:adjustRightInd w:val="0"/>
        <w:ind w:right="-143"/>
        <w:rPr>
          <w:rFonts w:cs="Arial"/>
          <w:bCs/>
        </w:rPr>
      </w:pPr>
    </w:p>
    <w:p w:rsidR="00A92189" w:rsidRPr="00C62C05" w:rsidRDefault="00A92189" w:rsidP="00A92189">
      <w:pPr>
        <w:autoSpaceDE w:val="0"/>
        <w:autoSpaceDN w:val="0"/>
        <w:adjustRightInd w:val="0"/>
        <w:ind w:right="-143"/>
        <w:rPr>
          <w:rFonts w:cs="Arial"/>
          <w:bCs/>
        </w:rPr>
      </w:pPr>
      <w:r w:rsidRPr="00C62C05">
        <w:rPr>
          <w:rFonts w:cs="Arial"/>
          <w:bCs/>
        </w:rPr>
        <w:t>Nel loro insieme questo importante aumento si suddivide come segue:</w:t>
      </w:r>
    </w:p>
    <w:p w:rsidR="00A92189" w:rsidRPr="00C62C05" w:rsidRDefault="00A92189" w:rsidP="00BD7BB0">
      <w:pPr>
        <w:pStyle w:val="Paragrafoelenco"/>
        <w:numPr>
          <w:ilvl w:val="0"/>
          <w:numId w:val="5"/>
        </w:numPr>
        <w:autoSpaceDE w:val="0"/>
        <w:autoSpaceDN w:val="0"/>
        <w:adjustRightInd w:val="0"/>
        <w:spacing w:before="80"/>
        <w:ind w:left="284" w:right="-142" w:hanging="284"/>
        <w:jc w:val="left"/>
        <w:rPr>
          <w:rFonts w:cs="Arial"/>
          <w:bCs/>
        </w:rPr>
      </w:pPr>
      <w:r w:rsidRPr="00C62C05">
        <w:rPr>
          <w:rFonts w:cs="Arial"/>
          <w:bCs/>
        </w:rPr>
        <w:t>imposte suppletorie +30.2 milioni;</w:t>
      </w:r>
    </w:p>
    <w:p w:rsidR="00A92189" w:rsidRPr="00C62C05" w:rsidRDefault="00A92189" w:rsidP="00BD7BB0">
      <w:pPr>
        <w:pStyle w:val="Paragrafoelenco"/>
        <w:numPr>
          <w:ilvl w:val="0"/>
          <w:numId w:val="5"/>
        </w:numPr>
        <w:autoSpaceDE w:val="0"/>
        <w:autoSpaceDN w:val="0"/>
        <w:adjustRightInd w:val="0"/>
        <w:spacing w:before="80"/>
        <w:ind w:left="284" w:right="-142" w:hanging="284"/>
        <w:jc w:val="left"/>
        <w:rPr>
          <w:rFonts w:cs="Arial"/>
          <w:bCs/>
        </w:rPr>
      </w:pPr>
      <w:r w:rsidRPr="00C62C05">
        <w:rPr>
          <w:rFonts w:cs="Arial"/>
          <w:bCs/>
        </w:rPr>
        <w:t>imposta sugli utili immobiliari +17.4 milioni;</w:t>
      </w:r>
    </w:p>
    <w:p w:rsidR="00A92189" w:rsidRPr="00C62C05" w:rsidRDefault="00A92189" w:rsidP="00BD7BB0">
      <w:pPr>
        <w:pStyle w:val="Paragrafoelenco"/>
        <w:numPr>
          <w:ilvl w:val="0"/>
          <w:numId w:val="5"/>
        </w:numPr>
        <w:autoSpaceDE w:val="0"/>
        <w:autoSpaceDN w:val="0"/>
        <w:adjustRightInd w:val="0"/>
        <w:spacing w:before="80"/>
        <w:ind w:left="284" w:right="-142" w:hanging="284"/>
        <w:jc w:val="left"/>
        <w:rPr>
          <w:rFonts w:cs="Arial"/>
          <w:bCs/>
        </w:rPr>
      </w:pPr>
      <w:r w:rsidRPr="00C62C05">
        <w:rPr>
          <w:rFonts w:cs="Arial"/>
          <w:bCs/>
        </w:rPr>
        <w:t xml:space="preserve">imposta di successione e donazione +10.9 milioni. </w:t>
      </w:r>
    </w:p>
    <w:p w:rsidR="00A92189" w:rsidRPr="00C62C05" w:rsidRDefault="00A92189" w:rsidP="00A92189">
      <w:pPr>
        <w:autoSpaceDE w:val="0"/>
        <w:autoSpaceDN w:val="0"/>
        <w:adjustRightInd w:val="0"/>
        <w:rPr>
          <w:rFonts w:cs="Arial"/>
          <w:bCs/>
        </w:rPr>
      </w:pPr>
    </w:p>
    <w:p w:rsidR="00A92189" w:rsidRPr="00C62C05" w:rsidRDefault="00A92189" w:rsidP="00A92189">
      <w:pPr>
        <w:autoSpaceDE w:val="0"/>
        <w:autoSpaceDN w:val="0"/>
        <w:adjustRightInd w:val="0"/>
        <w:ind w:right="-143"/>
        <w:rPr>
          <w:rFonts w:cs="Arial"/>
          <w:bCs/>
        </w:rPr>
      </w:pPr>
      <w:r w:rsidRPr="00C62C05">
        <w:rPr>
          <w:rFonts w:cs="Arial"/>
          <w:bCs/>
        </w:rPr>
        <w:t>Sul fronte della spesa si nota una crescita contenuta (+16 milioni di franchi rispetto al preventivo)</w:t>
      </w:r>
      <w:r>
        <w:rPr>
          <w:rFonts w:cs="Arial"/>
          <w:bCs/>
        </w:rPr>
        <w:t xml:space="preserve"> </w:t>
      </w:r>
      <w:r w:rsidRPr="00C62C05">
        <w:rPr>
          <w:rFonts w:cs="Arial"/>
          <w:bCs/>
        </w:rPr>
        <w:t xml:space="preserve">legata alla voce beni e servizi (+19.4 milioni di franchi), e causata da un maggiore accantonamento (+14.6 milioni di franchi imprevisti per il fondo di risanamento dei siti contaminati, senza il quale la spesa sarebbe restata stabile, a +1,4 milioni su un totale di 3,6 miliardi) e dalle perdite su imposte di persone fisiche e giuridiche (+3.2 milioni di franchi). </w:t>
      </w:r>
    </w:p>
    <w:p w:rsidR="00A92189" w:rsidRDefault="00A92189" w:rsidP="00A92189">
      <w:pPr>
        <w:autoSpaceDE w:val="0"/>
        <w:autoSpaceDN w:val="0"/>
        <w:adjustRightInd w:val="0"/>
        <w:ind w:right="-143"/>
        <w:rPr>
          <w:rFonts w:cs="Arial"/>
          <w:bCs/>
        </w:rPr>
      </w:pPr>
    </w:p>
    <w:p w:rsidR="00BD7BB0" w:rsidRPr="00C62C05" w:rsidRDefault="00BD7BB0" w:rsidP="00A92189">
      <w:pPr>
        <w:autoSpaceDE w:val="0"/>
        <w:autoSpaceDN w:val="0"/>
        <w:adjustRightInd w:val="0"/>
        <w:ind w:right="-143"/>
        <w:rPr>
          <w:rFonts w:cs="Arial"/>
          <w:bCs/>
        </w:rPr>
      </w:pPr>
    </w:p>
    <w:p w:rsidR="00A92189" w:rsidRPr="00C62C05" w:rsidRDefault="00A92189" w:rsidP="00BD7BB0">
      <w:pPr>
        <w:pStyle w:val="Titolo2"/>
      </w:pPr>
      <w:bookmarkStart w:id="3" w:name="_Toc485131124"/>
      <w:r>
        <w:lastRenderedPageBreak/>
        <w:t>2.1</w:t>
      </w:r>
      <w:r w:rsidR="00BD7BB0">
        <w:tab/>
      </w:r>
      <w:r w:rsidRPr="00C62C05">
        <w:t>Conto economico</w:t>
      </w:r>
      <w:bookmarkEnd w:id="3"/>
    </w:p>
    <w:p w:rsidR="00A92189" w:rsidRPr="00C62C05" w:rsidRDefault="00A92189" w:rsidP="00A92189">
      <w:pPr>
        <w:autoSpaceDE w:val="0"/>
        <w:autoSpaceDN w:val="0"/>
        <w:adjustRightInd w:val="0"/>
        <w:ind w:right="-143"/>
        <w:rPr>
          <w:rFonts w:cs="Arial"/>
          <w:bCs/>
        </w:rPr>
      </w:pPr>
      <w:r w:rsidRPr="00C62C05">
        <w:rPr>
          <w:rFonts w:cs="Arial"/>
          <w:bCs/>
          <w:noProof/>
          <w:lang w:eastAsia="it-CH"/>
        </w:rPr>
        <w:drawing>
          <wp:inline distT="0" distB="0" distL="0" distR="0" wp14:anchorId="70B6A7A4" wp14:editId="2A4A27DB">
            <wp:extent cx="6058894" cy="5513426"/>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067831" cy="5521558"/>
                    </a:xfrm>
                    <a:prstGeom prst="rect">
                      <a:avLst/>
                    </a:prstGeom>
                  </pic:spPr>
                </pic:pic>
              </a:graphicData>
            </a:graphic>
          </wp:inline>
        </w:drawing>
      </w:r>
    </w:p>
    <w:p w:rsidR="00BD7BB0" w:rsidRDefault="00BD7BB0" w:rsidP="00A92189">
      <w:pPr>
        <w:autoSpaceDE w:val="0"/>
        <w:autoSpaceDN w:val="0"/>
        <w:adjustRightInd w:val="0"/>
        <w:ind w:right="-143"/>
        <w:rPr>
          <w:rFonts w:cs="Arial"/>
          <w:bCs/>
        </w:rPr>
      </w:pPr>
    </w:p>
    <w:p w:rsidR="00A92189" w:rsidRPr="00C62C05" w:rsidRDefault="00A92189" w:rsidP="00A92189">
      <w:pPr>
        <w:autoSpaceDE w:val="0"/>
        <w:autoSpaceDN w:val="0"/>
        <w:adjustRightInd w:val="0"/>
        <w:ind w:right="-143"/>
        <w:rPr>
          <w:rFonts w:cs="Arial"/>
          <w:bCs/>
        </w:rPr>
      </w:pPr>
      <w:r w:rsidRPr="00C62C05">
        <w:rPr>
          <w:rFonts w:cs="Arial"/>
          <w:bCs/>
        </w:rPr>
        <w:t>A pagina 72 del messaggio governativo vengono presentati in dettaglio gli scostamenti significativi rispetto al Preventivo 2016.</w:t>
      </w:r>
    </w:p>
    <w:p w:rsidR="00A92189" w:rsidRDefault="00A92189" w:rsidP="00A92189">
      <w:pPr>
        <w:autoSpaceDE w:val="0"/>
        <w:autoSpaceDN w:val="0"/>
        <w:adjustRightInd w:val="0"/>
        <w:ind w:right="-143"/>
        <w:rPr>
          <w:rFonts w:cs="Arial"/>
          <w:bCs/>
        </w:rPr>
      </w:pPr>
    </w:p>
    <w:p w:rsidR="00BD7BB0" w:rsidRPr="00C62C05" w:rsidRDefault="00BD7BB0" w:rsidP="00A92189">
      <w:pPr>
        <w:autoSpaceDE w:val="0"/>
        <w:autoSpaceDN w:val="0"/>
        <w:adjustRightInd w:val="0"/>
        <w:ind w:right="-143"/>
        <w:rPr>
          <w:rFonts w:cs="Arial"/>
          <w:bCs/>
        </w:rPr>
      </w:pPr>
    </w:p>
    <w:p w:rsidR="00A92189" w:rsidRPr="00C62C05" w:rsidRDefault="00BD7BB0" w:rsidP="00BD7BB0">
      <w:pPr>
        <w:pStyle w:val="Titolo2"/>
      </w:pPr>
      <w:bookmarkStart w:id="4" w:name="_Toc485131125"/>
      <w:r>
        <w:t>2.2</w:t>
      </w:r>
      <w:r>
        <w:tab/>
      </w:r>
      <w:r w:rsidR="00A92189" w:rsidRPr="00C62C05">
        <w:t>Freno al disavanzo</w:t>
      </w:r>
      <w:bookmarkEnd w:id="4"/>
    </w:p>
    <w:p w:rsidR="00A92189" w:rsidRPr="00C62C05" w:rsidRDefault="00A92189" w:rsidP="00A92189">
      <w:pPr>
        <w:autoSpaceDE w:val="0"/>
        <w:autoSpaceDN w:val="0"/>
        <w:adjustRightInd w:val="0"/>
        <w:ind w:right="-143"/>
        <w:rPr>
          <w:rFonts w:cs="Arial"/>
          <w:bCs/>
        </w:rPr>
      </w:pPr>
      <w:r w:rsidRPr="00C62C05">
        <w:rPr>
          <w:rFonts w:cs="Arial"/>
          <w:bCs/>
          <w:noProof/>
          <w:lang w:eastAsia="it-CH"/>
        </w:rPr>
        <w:drawing>
          <wp:inline distT="0" distB="0" distL="0" distR="0" wp14:anchorId="47963D6B" wp14:editId="69BF197F">
            <wp:extent cx="6080335" cy="1948069"/>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091183" cy="1951544"/>
                    </a:xfrm>
                    <a:prstGeom prst="rect">
                      <a:avLst/>
                    </a:prstGeom>
                  </pic:spPr>
                </pic:pic>
              </a:graphicData>
            </a:graphic>
          </wp:inline>
        </w:drawing>
      </w:r>
    </w:p>
    <w:p w:rsidR="00A92189" w:rsidRPr="00C62C05" w:rsidRDefault="00A92189" w:rsidP="00A92189">
      <w:pPr>
        <w:autoSpaceDE w:val="0"/>
        <w:autoSpaceDN w:val="0"/>
        <w:adjustRightInd w:val="0"/>
        <w:ind w:right="-143"/>
        <w:rPr>
          <w:rFonts w:cs="Arial"/>
          <w:bCs/>
        </w:rPr>
      </w:pPr>
      <w:r w:rsidRPr="00C62C05">
        <w:rPr>
          <w:rFonts w:cs="Arial"/>
          <w:bCs/>
        </w:rPr>
        <w:lastRenderedPageBreak/>
        <w:t>L’esercizio 2016 chiude nel rispetto nel vincolo finanziario approvato in votazione popolare ed entrato in vigore nel 2015, con un debito pubblico di 1.9 miliardi di franchi ed un capitale proprio negativo di 486.9 milioni di franchi.</w:t>
      </w:r>
    </w:p>
    <w:p w:rsidR="00A92189" w:rsidRPr="00C62C05" w:rsidRDefault="00A92189" w:rsidP="00A92189">
      <w:pPr>
        <w:autoSpaceDE w:val="0"/>
        <w:autoSpaceDN w:val="0"/>
        <w:adjustRightInd w:val="0"/>
        <w:ind w:right="-143"/>
        <w:rPr>
          <w:rFonts w:cs="Arial"/>
          <w:bCs/>
        </w:rPr>
      </w:pPr>
    </w:p>
    <w:p w:rsidR="00A92189" w:rsidRPr="00C62C05" w:rsidRDefault="00A92189" w:rsidP="00A92189">
      <w:pPr>
        <w:autoSpaceDE w:val="0"/>
        <w:autoSpaceDN w:val="0"/>
        <w:adjustRightInd w:val="0"/>
        <w:ind w:right="-143"/>
        <w:rPr>
          <w:rFonts w:cs="Arial"/>
          <w:bCs/>
        </w:rPr>
      </w:pPr>
    </w:p>
    <w:p w:rsidR="00A92189" w:rsidRPr="00C62C05" w:rsidRDefault="00BD7BB0" w:rsidP="00BD7BB0">
      <w:pPr>
        <w:pStyle w:val="Titolo2"/>
      </w:pPr>
      <w:bookmarkStart w:id="5" w:name="_Toc485131126"/>
      <w:r>
        <w:t>2.3</w:t>
      </w:r>
      <w:r>
        <w:tab/>
      </w:r>
      <w:r w:rsidR="00A92189" w:rsidRPr="00C62C05">
        <w:t>Rendiconto del Consiglio di Stato</w:t>
      </w:r>
      <w:bookmarkEnd w:id="5"/>
    </w:p>
    <w:p w:rsidR="00A92189" w:rsidRPr="00C62C05" w:rsidRDefault="00A92189" w:rsidP="00A92189">
      <w:pPr>
        <w:autoSpaceDE w:val="0"/>
        <w:autoSpaceDN w:val="0"/>
        <w:adjustRightInd w:val="0"/>
        <w:ind w:right="-143"/>
        <w:rPr>
          <w:rFonts w:cs="Arial"/>
          <w:bCs/>
        </w:rPr>
      </w:pPr>
      <w:r w:rsidRPr="00C62C05">
        <w:rPr>
          <w:rFonts w:cs="Arial"/>
          <w:bCs/>
        </w:rPr>
        <w:t>Nella presentazione delle attività 2016 il Governo elenca i temi principali che hanno contraddistinto il proprio operato e le sfide future che attendono il Cantone.</w:t>
      </w:r>
    </w:p>
    <w:p w:rsidR="00A92189" w:rsidRPr="00C62C05" w:rsidRDefault="00A92189" w:rsidP="00A92189">
      <w:pPr>
        <w:autoSpaceDE w:val="0"/>
        <w:autoSpaceDN w:val="0"/>
        <w:adjustRightInd w:val="0"/>
        <w:ind w:right="-143"/>
        <w:rPr>
          <w:rFonts w:cs="Arial"/>
          <w:iCs/>
        </w:rPr>
      </w:pPr>
      <w:r w:rsidRPr="00C62C05">
        <w:rPr>
          <w:rFonts w:cs="Arial"/>
          <w:bCs/>
        </w:rPr>
        <w:t xml:space="preserve">L’attività politica di esecutivo e legislativo è stata fortemente </w:t>
      </w:r>
      <w:r w:rsidRPr="00C62C05">
        <w:rPr>
          <w:rFonts w:cs="Arial"/>
        </w:rPr>
        <w:t xml:space="preserve">caratterizzata dal perseguimento dell’obiettivo strategico di riequilibrio finanziario dei conti del Cantone nell’arco della presente Legislatura. Strategia che ha portato alla presentazione e all’approvazione da parte della maggioranza parlamentare del </w:t>
      </w:r>
      <w:r w:rsidRPr="00C62C05">
        <w:rPr>
          <w:rFonts w:cs="Arial"/>
          <w:iCs/>
        </w:rPr>
        <w:t>pacchetto di misure per il risanamento ed il pareggio dei conti entro il 2019.</w:t>
      </w:r>
    </w:p>
    <w:p w:rsidR="00BD7BB0" w:rsidRDefault="00A92189" w:rsidP="00A92189">
      <w:pPr>
        <w:autoSpaceDE w:val="0"/>
        <w:autoSpaceDN w:val="0"/>
        <w:adjustRightInd w:val="0"/>
        <w:ind w:right="-143"/>
        <w:rPr>
          <w:rFonts w:cs="Arial"/>
        </w:rPr>
      </w:pPr>
      <w:r w:rsidRPr="00C62C05">
        <w:rPr>
          <w:rFonts w:cs="Arial"/>
        </w:rPr>
        <w:t>La ricerca dei miglioramenti nell’intervento dell’ente pubblico va, a mente del Governo, perseguita anche attraverso nuovi progetti quali ad esempio</w:t>
      </w:r>
      <w:r w:rsidRPr="00C62C05">
        <w:rPr>
          <w:rFonts w:cs="Arial"/>
          <w:i/>
        </w:rPr>
        <w:t xml:space="preserve"> Ticino 2020, </w:t>
      </w:r>
      <w:r w:rsidRPr="00C62C05">
        <w:rPr>
          <w:rFonts w:cs="Arial"/>
        </w:rPr>
        <w:t>volto a riordinare e razionalizzare le attività gestite congiuntamente da Cantone e Comuni nell’intento di meglio definire i compiti e i ruoli dei due livelli istituzionali garantendo prossimità, solidarie</w:t>
      </w:r>
      <w:r w:rsidR="00BD7BB0">
        <w:rPr>
          <w:rFonts w:cs="Arial"/>
        </w:rPr>
        <w:t>tà e sostenibilità finanziaria.</w:t>
      </w:r>
    </w:p>
    <w:p w:rsidR="009F3C6A" w:rsidRDefault="009F3C6A" w:rsidP="00A92189">
      <w:pPr>
        <w:autoSpaceDE w:val="0"/>
        <w:autoSpaceDN w:val="0"/>
        <w:adjustRightInd w:val="0"/>
        <w:ind w:right="-143"/>
        <w:rPr>
          <w:rFonts w:cs="Arial"/>
        </w:rPr>
      </w:pPr>
    </w:p>
    <w:p w:rsidR="00A92189" w:rsidRPr="00C62C05" w:rsidRDefault="00A92189" w:rsidP="00A92189">
      <w:pPr>
        <w:autoSpaceDE w:val="0"/>
        <w:autoSpaceDN w:val="0"/>
        <w:adjustRightInd w:val="0"/>
        <w:ind w:right="-143"/>
        <w:rPr>
          <w:rFonts w:cs="Arial"/>
          <w:b/>
          <w:bCs/>
          <w:i/>
        </w:rPr>
      </w:pPr>
      <w:r w:rsidRPr="00C62C05">
        <w:rPr>
          <w:rFonts w:cs="Arial"/>
        </w:rPr>
        <w:t xml:space="preserve">Nella sua introduzione il presidente del Governo ricorda pure come </w:t>
      </w:r>
      <w:r w:rsidRPr="009F3C6A">
        <w:rPr>
          <w:rFonts w:cs="Arial"/>
          <w:i/>
          <w:sz w:val="23"/>
          <w:szCs w:val="23"/>
        </w:rPr>
        <w:t>le implicazioni economiche dell’invecchiamento della popolazione, delle migrazioni e dei cambiamenti nel mondo del lavoro sono solo alcuni esempi di come in futuro la sostenibilità delle assicurazioni sociali e della spesa per sanità e socialità saranno fortemente sollecitate. Nonostante gli indicatori economici del Canton Ticino siano in linea con l’evoluzione del resto della Svizzera, sappiamo che fenomeni come la precarietà nel mondo del lavoro e la marginalizzazione sociale nel nostro territorio sono in aumento. È con questa attenzione e sensibilità che il Consiglio di Stato guarda al futuro cercando di garantire stabilità, consapevole che in una società moderna non può esistere una sana crescita economica senza un’equa politica sociale</w:t>
      </w:r>
      <w:r w:rsidRPr="00C62C05">
        <w:rPr>
          <w:rFonts w:cs="Arial"/>
          <w:i/>
        </w:rPr>
        <w:t>.</w:t>
      </w:r>
    </w:p>
    <w:p w:rsidR="009F3C6A" w:rsidRDefault="009F3C6A" w:rsidP="00BD7BB0">
      <w:pPr>
        <w:pStyle w:val="Default"/>
        <w:jc w:val="both"/>
      </w:pPr>
    </w:p>
    <w:p w:rsidR="00A92189" w:rsidRPr="009F3C6A" w:rsidRDefault="00A92189" w:rsidP="00BD7BB0">
      <w:pPr>
        <w:pStyle w:val="Default"/>
        <w:jc w:val="both"/>
      </w:pPr>
      <w:r w:rsidRPr="009F3C6A">
        <w:t xml:space="preserve">In questo contesto deve essere pure sottolineato il momento storico che ha rappresentato per la Svizzera, ma soprattutto per chi risiede in Ticino, l’apertura di </w:t>
      </w:r>
      <w:proofErr w:type="spellStart"/>
      <w:r w:rsidRPr="009F3C6A">
        <w:rPr>
          <w:i/>
          <w:iCs/>
        </w:rPr>
        <w:t>Alptransit</w:t>
      </w:r>
      <w:proofErr w:type="spellEnd"/>
      <w:r w:rsidRPr="009F3C6A">
        <w:t xml:space="preserve">. Un’opera nazionale, fortemente voluta anche dal Governo e dal Parlamento ticinese, che ha accorciato le distanze con il resto della Svizzera e che permetterà, in relazione soprattutto con la prossima apertura della nuova galleria ferroviaria del Monte Ceneri, di migliorare sensibilmente la mobilità pubblica all’interno del nostro territorio. E, come dimostrano i primi dati di forte aumento dell’affluenza sulla linea, di incrementare l’attrattiva del nostro Cantone e far riprendere l’economia turistica che ha languito per molti anni. </w:t>
      </w:r>
    </w:p>
    <w:p w:rsidR="00A92189" w:rsidRPr="00C62C05" w:rsidRDefault="00A92189" w:rsidP="00A92189">
      <w:pPr>
        <w:autoSpaceDE w:val="0"/>
        <w:autoSpaceDN w:val="0"/>
        <w:adjustRightInd w:val="0"/>
        <w:ind w:right="-143"/>
        <w:rPr>
          <w:rFonts w:cs="Arial"/>
        </w:rPr>
      </w:pPr>
    </w:p>
    <w:p w:rsidR="00A92189" w:rsidRPr="00C62C05" w:rsidRDefault="00A92189" w:rsidP="00A92189">
      <w:pPr>
        <w:autoSpaceDE w:val="0"/>
        <w:autoSpaceDN w:val="0"/>
        <w:adjustRightInd w:val="0"/>
        <w:ind w:right="-143"/>
        <w:rPr>
          <w:rFonts w:cs="Arial"/>
        </w:rPr>
      </w:pPr>
      <w:r w:rsidRPr="00C62C05">
        <w:rPr>
          <w:rFonts w:cs="Arial"/>
        </w:rPr>
        <w:t>Vi sono numerosi altri progetti aperti e in divenire che saranno certamente oggetto di valutazione politica ed economica, progetti di rilancio dai quali si auspica un impatto importante sul nostro Cantone. Ricordiamo pure alcune iniziative pendenti: l’applicazione, come sappiamo non semplice, dell’iniziativa “Prima i nostri”, l’iniziativa per l’introduzione di salari minimi “Salviamo il lavoro”, il controprogetto all’iniziativa “Basta con il dumping salariale”. A livello federale va ricordata la Riforma III delle imprese bocciata in votazione popolare e l’approvazione della Legge di applicazione del nuovo articolo 121a della Costituzione per la quale si è ora in attesa dell’ordinanza federale che stabilirà le condizioni di esecuzione e alla quale dovrà prepararsi anche il nostro Cantone per rispondere alle nuove disposizioni federali.</w:t>
      </w:r>
    </w:p>
    <w:p w:rsidR="00A92189" w:rsidRPr="00C62C05" w:rsidRDefault="00A92189" w:rsidP="00A92189">
      <w:pPr>
        <w:autoSpaceDE w:val="0"/>
        <w:autoSpaceDN w:val="0"/>
        <w:adjustRightInd w:val="0"/>
        <w:ind w:right="-143"/>
        <w:rPr>
          <w:rFonts w:cs="Arial"/>
        </w:rPr>
      </w:pPr>
    </w:p>
    <w:p w:rsidR="00A92189" w:rsidRDefault="00A92189" w:rsidP="00A92189">
      <w:pPr>
        <w:autoSpaceDE w:val="0"/>
        <w:autoSpaceDN w:val="0"/>
        <w:adjustRightInd w:val="0"/>
        <w:ind w:right="-143"/>
        <w:rPr>
          <w:rFonts w:cs="Arial"/>
          <w:bCs/>
        </w:rPr>
      </w:pPr>
      <w:r w:rsidRPr="00C62C05">
        <w:rPr>
          <w:rFonts w:cs="Arial"/>
          <w:bCs/>
        </w:rPr>
        <w:t xml:space="preserve">In questo contesto vanno pure richiamate le incognite di rilievo che potrebbero avere un impatto sulle politiche e sui conti dello Stato: l’esito dei ricorsi pendenti presso il Tribunale </w:t>
      </w:r>
      <w:r w:rsidRPr="00C62C05">
        <w:rPr>
          <w:rFonts w:cs="Arial"/>
          <w:bCs/>
        </w:rPr>
        <w:lastRenderedPageBreak/>
        <w:t>Federale relativi alla nuova tassa di collegamento e al prelievo retroattivo della tassa sugli utili immobiliari.</w:t>
      </w:r>
    </w:p>
    <w:p w:rsidR="00BD7BB0" w:rsidRDefault="00BD7BB0" w:rsidP="00A92189">
      <w:pPr>
        <w:autoSpaceDE w:val="0"/>
        <w:autoSpaceDN w:val="0"/>
        <w:adjustRightInd w:val="0"/>
        <w:ind w:right="-143"/>
        <w:rPr>
          <w:rFonts w:cs="Arial"/>
          <w:bCs/>
        </w:rPr>
      </w:pPr>
    </w:p>
    <w:p w:rsidR="00BD7BB0" w:rsidRDefault="00BD7BB0" w:rsidP="00A92189">
      <w:pPr>
        <w:autoSpaceDE w:val="0"/>
        <w:autoSpaceDN w:val="0"/>
        <w:adjustRightInd w:val="0"/>
        <w:ind w:right="-143"/>
        <w:rPr>
          <w:rFonts w:cs="Arial"/>
          <w:bCs/>
        </w:rPr>
      </w:pPr>
    </w:p>
    <w:p w:rsidR="00BD7BB0" w:rsidRPr="00C62C05" w:rsidRDefault="00BD7BB0" w:rsidP="00A92189">
      <w:pPr>
        <w:autoSpaceDE w:val="0"/>
        <w:autoSpaceDN w:val="0"/>
        <w:adjustRightInd w:val="0"/>
        <w:ind w:right="-143"/>
        <w:rPr>
          <w:rFonts w:cs="Arial"/>
          <w:bCs/>
        </w:rPr>
      </w:pPr>
    </w:p>
    <w:p w:rsidR="00A92189" w:rsidRPr="00772E80" w:rsidRDefault="00A92189" w:rsidP="00BD7BB0">
      <w:pPr>
        <w:pStyle w:val="Titolo1"/>
        <w:rPr>
          <w:iCs/>
        </w:rPr>
      </w:pPr>
      <w:bookmarkStart w:id="6" w:name="_Toc485131127"/>
      <w:r w:rsidRPr="00772E80">
        <w:t>Esame commissionale</w:t>
      </w:r>
      <w:bookmarkEnd w:id="6"/>
    </w:p>
    <w:p w:rsidR="00A92189" w:rsidRPr="00772E80" w:rsidRDefault="00A92189" w:rsidP="00A92189">
      <w:pPr>
        <w:autoSpaceDE w:val="0"/>
        <w:autoSpaceDN w:val="0"/>
        <w:adjustRightInd w:val="0"/>
        <w:ind w:right="-143"/>
        <w:rPr>
          <w:rFonts w:cs="Arial"/>
          <w:iCs/>
        </w:rPr>
      </w:pPr>
      <w:r w:rsidRPr="00772E80">
        <w:rPr>
          <w:rFonts w:cs="Arial"/>
          <w:bCs/>
        </w:rPr>
        <w:t xml:space="preserve">La discussione sul Preventivo 2016 è stata preceduta dal confronto sul </w:t>
      </w:r>
      <w:r w:rsidRPr="00772E80">
        <w:rPr>
          <w:rFonts w:cs="Arial"/>
          <w:iCs/>
        </w:rPr>
        <w:t>pacchetto di misure per il riequilibrio finanziario (messaggio n. 7184). Su questo oggetto si rinvia ai rapporti e alla discussione parlamentare.</w:t>
      </w:r>
    </w:p>
    <w:p w:rsidR="00A92189" w:rsidRPr="00C62C05" w:rsidRDefault="00A92189" w:rsidP="00A92189">
      <w:pPr>
        <w:autoSpaceDE w:val="0"/>
        <w:autoSpaceDN w:val="0"/>
        <w:adjustRightInd w:val="0"/>
        <w:ind w:right="-143"/>
        <w:rPr>
          <w:rFonts w:cs="Arial"/>
          <w:iCs/>
        </w:rPr>
      </w:pPr>
    </w:p>
    <w:p w:rsidR="00A92189" w:rsidRDefault="00A92189" w:rsidP="00A92189">
      <w:pPr>
        <w:autoSpaceDE w:val="0"/>
        <w:autoSpaceDN w:val="0"/>
        <w:adjustRightInd w:val="0"/>
        <w:ind w:right="-143"/>
        <w:rPr>
          <w:rFonts w:cs="Arial"/>
          <w:iCs/>
        </w:rPr>
      </w:pPr>
      <w:r w:rsidRPr="00C62C05">
        <w:rPr>
          <w:rFonts w:cs="Arial"/>
          <w:iCs/>
        </w:rPr>
        <w:t>Nell’esame del Consuntivo 2016 la</w:t>
      </w:r>
      <w:r w:rsidR="00B3148F">
        <w:rPr>
          <w:rFonts w:cs="Arial"/>
          <w:iCs/>
        </w:rPr>
        <w:t xml:space="preserve"> Commissione</w:t>
      </w:r>
      <w:r w:rsidRPr="00C62C05">
        <w:rPr>
          <w:rFonts w:cs="Arial"/>
          <w:iCs/>
        </w:rPr>
        <w:t xml:space="preserve"> della gestione e delle finanze ha approfondito, per il tramite delle domande dei gruppi parlamentari al Consiglio di Stato, alcuni temi già emersi in precedenti discussioni.</w:t>
      </w:r>
    </w:p>
    <w:p w:rsidR="00BD7BB0" w:rsidRPr="00C62C05" w:rsidRDefault="00BD7BB0" w:rsidP="00A92189">
      <w:pPr>
        <w:autoSpaceDE w:val="0"/>
        <w:autoSpaceDN w:val="0"/>
        <w:adjustRightInd w:val="0"/>
        <w:ind w:right="-143"/>
        <w:rPr>
          <w:rFonts w:cs="Arial"/>
          <w:iCs/>
        </w:rPr>
      </w:pPr>
    </w:p>
    <w:p w:rsidR="00A92189" w:rsidRPr="00C62C05" w:rsidRDefault="00A92189" w:rsidP="00A92189">
      <w:pPr>
        <w:autoSpaceDE w:val="0"/>
        <w:autoSpaceDN w:val="0"/>
        <w:adjustRightInd w:val="0"/>
        <w:ind w:right="-143"/>
        <w:rPr>
          <w:rFonts w:cs="Arial"/>
          <w:iCs/>
        </w:rPr>
      </w:pPr>
      <w:r w:rsidRPr="00C62C05">
        <w:rPr>
          <w:rFonts w:cs="Arial"/>
          <w:iCs/>
        </w:rPr>
        <w:t>Riportiamo alcuni aspetti principali:</w:t>
      </w:r>
    </w:p>
    <w:p w:rsidR="00A92189" w:rsidRPr="00C62C05" w:rsidRDefault="00A92189" w:rsidP="00A92189">
      <w:pPr>
        <w:autoSpaceDE w:val="0"/>
        <w:autoSpaceDN w:val="0"/>
        <w:adjustRightInd w:val="0"/>
        <w:ind w:right="-143"/>
        <w:rPr>
          <w:rFonts w:cs="Arial"/>
          <w:b/>
          <w:i/>
          <w:iCs/>
        </w:rPr>
      </w:pPr>
    </w:p>
    <w:p w:rsidR="00A92189" w:rsidRPr="00BD7BB0" w:rsidRDefault="00A92189" w:rsidP="00BD7BB0">
      <w:pPr>
        <w:autoSpaceDE w:val="0"/>
        <w:autoSpaceDN w:val="0"/>
        <w:adjustRightInd w:val="0"/>
        <w:spacing w:after="80"/>
        <w:ind w:right="-142"/>
        <w:rPr>
          <w:rFonts w:cs="Arial"/>
          <w:b/>
          <w:i/>
          <w:iCs/>
          <w:sz w:val="23"/>
          <w:szCs w:val="23"/>
        </w:rPr>
      </w:pPr>
      <w:r w:rsidRPr="00BD7BB0">
        <w:rPr>
          <w:rFonts w:cs="Arial"/>
          <w:b/>
          <w:i/>
          <w:iCs/>
          <w:sz w:val="23"/>
          <w:szCs w:val="23"/>
        </w:rPr>
        <w:t>Efficacia, Efficienza e Gestione per obiettivi (quesito gruppo PLRT)</w:t>
      </w:r>
    </w:p>
    <w:p w:rsidR="00A92189" w:rsidRPr="00BD7BB0" w:rsidRDefault="00A92189" w:rsidP="00A92189">
      <w:pPr>
        <w:autoSpaceDE w:val="0"/>
        <w:autoSpaceDN w:val="0"/>
        <w:adjustRightInd w:val="0"/>
        <w:ind w:right="-143"/>
        <w:rPr>
          <w:rFonts w:cs="Arial"/>
          <w:i/>
          <w:iCs/>
          <w:sz w:val="23"/>
          <w:szCs w:val="23"/>
        </w:rPr>
      </w:pPr>
      <w:r w:rsidRPr="00BD7BB0">
        <w:rPr>
          <w:rFonts w:cs="Arial"/>
          <w:i/>
          <w:iCs/>
          <w:sz w:val="23"/>
          <w:szCs w:val="23"/>
        </w:rPr>
        <w:t>Richiamatigli intendimenti del Governo e l’esigenza di stabilire progressivamente per ogni servizio o prestazione che lo Stato fornisce (internamente o esternamente) chiari indicatori, oggettivi e misurabili, che possano consentire di implementare quanto auspicato (in questo senso si suggerisce che i dati contenuti nell’allegato statistico al Rendiconto annuale siano integrati nel consuntivo), si chiede al Consiglio di Stato di riferire quanto è stato fatto finora in questo ambito, con quali modalità intende agire e quali scadenze si è dato.</w:t>
      </w:r>
    </w:p>
    <w:p w:rsidR="00A92189" w:rsidRPr="00C62C05" w:rsidRDefault="00A92189" w:rsidP="00A92189">
      <w:pPr>
        <w:autoSpaceDE w:val="0"/>
        <w:autoSpaceDN w:val="0"/>
        <w:adjustRightInd w:val="0"/>
        <w:ind w:right="-143"/>
        <w:rPr>
          <w:rFonts w:cs="Arial"/>
          <w:iCs/>
        </w:rPr>
      </w:pPr>
    </w:p>
    <w:p w:rsidR="00A92189" w:rsidRPr="00C62C05" w:rsidRDefault="00A92189" w:rsidP="00A92189">
      <w:pPr>
        <w:autoSpaceDE w:val="0"/>
        <w:autoSpaceDN w:val="0"/>
        <w:adjustRightInd w:val="0"/>
        <w:ind w:right="-143"/>
        <w:rPr>
          <w:rFonts w:cs="Arial"/>
          <w:iCs/>
        </w:rPr>
      </w:pPr>
      <w:r w:rsidRPr="00C62C05">
        <w:rPr>
          <w:rFonts w:cs="Arial"/>
          <w:iCs/>
        </w:rPr>
        <w:t>Negli ultimi anni il Consiglio di Stato informa di aver intrapreso importanti passi nella direzione auspicata dal Parlamento. Un primo obiettivo, stabilito nel 2013, era l’introduzione di un nuovo documento di presentazione dei conti che fornisse non solo ai parlamentari ma anche ai cittadini maggiori e migliori (qualitativamente) informazioni sulle attività svolte dall’Amministrazione cantonale. Il Rapporto conti previsionali 2014 ha portato a una nuova presentazione dei dati finanziari maggiormente fruibile, completata con l’introduzione di informazioni puntuali inerenti ai compiti e ai progetti svolti nei diversi ambiti. Con il rapporto d’esercizio 2015 sono stati apportati ulteriori affinamenti per quanto riguarda la valutazione sull’andamento dei progetti, permettendo di raggiungere un primo importante obiettivo.</w:t>
      </w:r>
    </w:p>
    <w:p w:rsidR="00A92189" w:rsidRPr="00C62C05" w:rsidRDefault="00A92189" w:rsidP="00A92189">
      <w:pPr>
        <w:autoSpaceDE w:val="0"/>
        <w:autoSpaceDN w:val="0"/>
        <w:adjustRightInd w:val="0"/>
        <w:ind w:right="-143"/>
        <w:rPr>
          <w:rFonts w:cs="Arial"/>
          <w:iCs/>
        </w:rPr>
      </w:pPr>
    </w:p>
    <w:p w:rsidR="00A92189" w:rsidRPr="00C62C05" w:rsidRDefault="00A92189" w:rsidP="00A92189">
      <w:pPr>
        <w:autoSpaceDE w:val="0"/>
        <w:autoSpaceDN w:val="0"/>
        <w:adjustRightInd w:val="0"/>
        <w:ind w:right="-143"/>
        <w:rPr>
          <w:rFonts w:cs="Arial"/>
          <w:iCs/>
        </w:rPr>
      </w:pPr>
      <w:r w:rsidRPr="00C62C05">
        <w:rPr>
          <w:rFonts w:cs="Arial"/>
          <w:iCs/>
        </w:rPr>
        <w:t>Il processo di revisione della presentazione dei conti è poi proseguito con l’unificazione, il consolidamento ma anche la razionalizzazione in un solo documento delle principali informazioni finanziarie. Ciò ha permesso, nell’ambito della pubblicazione del preventivo 2017, di integrare anche l’aggiornamento del piano finanziario di gestione corrente, fornendo al Parlamento una visione finanziaria più ampia e completa, che comprendesse quindi sistematicamente anche le stime evolutive per i tre anni successivi. Con la recente presentazione del rapporto d’esercizio 2016 (messaggio n. 7302 del 12 aprile 2017) può considerarsi raggiunto anche questo secondo importante obiettivo.</w:t>
      </w:r>
    </w:p>
    <w:p w:rsidR="00A92189" w:rsidRPr="00C62C05" w:rsidRDefault="00A92189" w:rsidP="00A92189">
      <w:pPr>
        <w:autoSpaceDE w:val="0"/>
        <w:autoSpaceDN w:val="0"/>
        <w:adjustRightInd w:val="0"/>
        <w:ind w:right="-143"/>
        <w:rPr>
          <w:rFonts w:cs="Arial"/>
          <w:iCs/>
        </w:rPr>
      </w:pPr>
    </w:p>
    <w:p w:rsidR="00A92189" w:rsidRPr="00C62C05" w:rsidRDefault="00A92189" w:rsidP="00A92189">
      <w:pPr>
        <w:autoSpaceDE w:val="0"/>
        <w:autoSpaceDN w:val="0"/>
        <w:adjustRightInd w:val="0"/>
        <w:ind w:right="-143"/>
        <w:rPr>
          <w:rFonts w:cs="Arial"/>
          <w:iCs/>
        </w:rPr>
      </w:pPr>
      <w:r w:rsidRPr="00C62C05">
        <w:rPr>
          <w:rFonts w:cs="Arial"/>
          <w:iCs/>
        </w:rPr>
        <w:t xml:space="preserve">Le modifiche fino ad ora adottate costituiscono tuttavia solo una prima serie di passi concreti nella direzione tracciata dal Gran Consiglio. Un’ulteriore tappa di consolidamento, razionalizzazione e miglioramento della qualità e della trasparenza delle informazioni (finanziarie e non) sarà assicurata grazie all’introduzione di una gestione per obiettivi tramite indicatori di efficacia ed efficienza, richiesta più volte dal Parlamento e fatta propria dal Governo nell’ambito dell’approvazione di Linee direttive e Piano finanziario per la presente legislatura. Infatti il rapporto concernente le ulteriori misure di riequilibrio </w:t>
      </w:r>
      <w:r w:rsidRPr="00C62C05">
        <w:rPr>
          <w:rFonts w:cs="Arial"/>
          <w:iCs/>
        </w:rPr>
        <w:lastRenderedPageBreak/>
        <w:t>finanziario, fatto pervenire alla Commissione della gestione e delle finanze nella seconda metà di aprile 2017 contiene una specifica scheda al riguardo.</w:t>
      </w:r>
    </w:p>
    <w:p w:rsidR="00A92189" w:rsidRPr="00C62C05" w:rsidRDefault="00A92189" w:rsidP="00A92189">
      <w:pPr>
        <w:autoSpaceDE w:val="0"/>
        <w:autoSpaceDN w:val="0"/>
        <w:adjustRightInd w:val="0"/>
        <w:ind w:right="-143"/>
        <w:rPr>
          <w:rFonts w:cs="Arial"/>
          <w:iCs/>
        </w:rPr>
      </w:pPr>
    </w:p>
    <w:p w:rsidR="00A92189" w:rsidRPr="00C62C05" w:rsidRDefault="00A92189" w:rsidP="00A92189">
      <w:pPr>
        <w:autoSpaceDE w:val="0"/>
        <w:autoSpaceDN w:val="0"/>
        <w:adjustRightInd w:val="0"/>
        <w:ind w:right="-143"/>
        <w:rPr>
          <w:rFonts w:cs="Arial"/>
          <w:iCs/>
        </w:rPr>
      </w:pPr>
      <w:r w:rsidRPr="00C62C05">
        <w:rPr>
          <w:rFonts w:cs="Arial"/>
          <w:iCs/>
        </w:rPr>
        <w:t>Il Governo prevede in un primo momento di sviluppare, nell’ambito della presentazione dei rapporti previsionali e dei rendiconti finanziari, degli indicatori quantitativi specifici per ogni settore di attività dell’Amministrazione. Allo stato attuale si può ipotizzare che lo sviluppo di questi indicatori e la loro presentazione nei rendiconti finanziari, tenuto conto delle risorse a disposizione e delle tempistiche imposte per l’allestimento del preventivo, non potranno avvenire prima del 2018, contestualmente alla presentazione del preventivo 2019.</w:t>
      </w:r>
    </w:p>
    <w:p w:rsidR="00A92189" w:rsidRPr="00C62C05" w:rsidRDefault="00A92189" w:rsidP="00A92189">
      <w:pPr>
        <w:autoSpaceDE w:val="0"/>
        <w:autoSpaceDN w:val="0"/>
        <w:adjustRightInd w:val="0"/>
        <w:ind w:right="-143"/>
        <w:rPr>
          <w:rFonts w:cs="Arial"/>
          <w:iCs/>
        </w:rPr>
      </w:pPr>
    </w:p>
    <w:p w:rsidR="00A92189" w:rsidRPr="00C62C05" w:rsidRDefault="00A92189" w:rsidP="00A92189">
      <w:pPr>
        <w:autoSpaceDE w:val="0"/>
        <w:autoSpaceDN w:val="0"/>
        <w:adjustRightInd w:val="0"/>
        <w:ind w:right="-143"/>
        <w:rPr>
          <w:rFonts w:cs="Arial"/>
          <w:iCs/>
        </w:rPr>
      </w:pPr>
      <w:r w:rsidRPr="00C62C05">
        <w:rPr>
          <w:rFonts w:cs="Arial"/>
          <w:iCs/>
        </w:rPr>
        <w:t>La diffusione più estesa di questo concetto richiede una profonda riflessione per quanto riguarda l’impostazione attuale dei documenti programmatici del Consiglio di Stato, in primis Linee direttive e Piano finanziario. Questa riflessione potrebbe comportare un cambiamento sostanziale nel modo di concepire e presentare questi documenti. Per questa ragione, l’esecutivo ritiene che una soluzione globale potrà essere proposta soltanto con l’allestimento delle Linee direttive della prossima legislatura.</w:t>
      </w:r>
    </w:p>
    <w:p w:rsidR="00A92189" w:rsidRPr="00C62C05" w:rsidRDefault="00A92189" w:rsidP="00A92189">
      <w:pPr>
        <w:autoSpaceDE w:val="0"/>
        <w:autoSpaceDN w:val="0"/>
        <w:adjustRightInd w:val="0"/>
        <w:ind w:right="-143"/>
        <w:rPr>
          <w:rFonts w:cs="Arial"/>
          <w:iCs/>
        </w:rPr>
      </w:pPr>
    </w:p>
    <w:p w:rsidR="00A92189" w:rsidRPr="00C62C05" w:rsidRDefault="00A92189" w:rsidP="00A92189">
      <w:pPr>
        <w:autoSpaceDE w:val="0"/>
        <w:autoSpaceDN w:val="0"/>
        <w:adjustRightInd w:val="0"/>
        <w:ind w:right="-143"/>
        <w:rPr>
          <w:rFonts w:cs="Arial"/>
          <w:iCs/>
        </w:rPr>
      </w:pPr>
      <w:r w:rsidRPr="00C62C05">
        <w:rPr>
          <w:rFonts w:cs="Arial"/>
          <w:iCs/>
        </w:rPr>
        <w:t xml:space="preserve">Si è altresì chiesto al governo se, tenuto conto della delicatezza e dell’ampiezza del compito, volendo anche mantenere una certa uniformità nella sua applicazione, non abbia valutato la possibilità di rivolgersi a un consulente esterno come peraltro già fatto da altri Cantoni. </w:t>
      </w:r>
    </w:p>
    <w:p w:rsidR="00A92189" w:rsidRPr="00C62C05" w:rsidRDefault="00A92189" w:rsidP="00A92189">
      <w:pPr>
        <w:autoSpaceDE w:val="0"/>
        <w:autoSpaceDN w:val="0"/>
        <w:adjustRightInd w:val="0"/>
        <w:ind w:right="-143"/>
        <w:rPr>
          <w:rFonts w:cs="Arial"/>
          <w:iCs/>
        </w:rPr>
      </w:pPr>
      <w:r w:rsidRPr="00C62C05">
        <w:rPr>
          <w:rFonts w:cs="Arial"/>
          <w:iCs/>
        </w:rPr>
        <w:t>La risposta  è che non si esclude a priori di far capo a consulenti esterni in caso di necessità; allo stato attuale tuttavia, le riflessioni sono condotte internamente.</w:t>
      </w:r>
    </w:p>
    <w:p w:rsidR="00A92189" w:rsidRPr="00C62C05" w:rsidRDefault="00A92189" w:rsidP="00A92189">
      <w:pPr>
        <w:autoSpaceDE w:val="0"/>
        <w:autoSpaceDN w:val="0"/>
        <w:adjustRightInd w:val="0"/>
        <w:ind w:right="-143"/>
        <w:rPr>
          <w:rFonts w:cs="Arial"/>
          <w:iCs/>
        </w:rPr>
      </w:pPr>
      <w:r w:rsidRPr="00C62C05">
        <w:rPr>
          <w:rFonts w:cs="Arial"/>
          <w:iCs/>
        </w:rPr>
        <w:t>Da ultimo, ritenendo che la diffusione del modello delle UAA persegue anche questi obiettivi, si sono chieste delucidazioni sui passi fatti e sui prossimi sviluppi.</w:t>
      </w:r>
    </w:p>
    <w:p w:rsidR="00A92189" w:rsidRPr="00C62C05" w:rsidRDefault="00A92189" w:rsidP="00A92189">
      <w:pPr>
        <w:autoSpaceDE w:val="0"/>
        <w:autoSpaceDN w:val="0"/>
        <w:adjustRightInd w:val="0"/>
        <w:ind w:right="-143"/>
        <w:rPr>
          <w:rFonts w:cs="Arial"/>
          <w:iCs/>
        </w:rPr>
      </w:pPr>
    </w:p>
    <w:p w:rsidR="00A92189" w:rsidRPr="00C62C05" w:rsidRDefault="00A92189" w:rsidP="00A92189">
      <w:pPr>
        <w:autoSpaceDE w:val="0"/>
        <w:autoSpaceDN w:val="0"/>
        <w:adjustRightInd w:val="0"/>
        <w:ind w:right="-143"/>
        <w:rPr>
          <w:rFonts w:cs="Arial"/>
          <w:iCs/>
        </w:rPr>
      </w:pPr>
      <w:r w:rsidRPr="00C62C05">
        <w:rPr>
          <w:rFonts w:cs="Arial"/>
          <w:iCs/>
        </w:rPr>
        <w:t>Per quanto attiene alle Unità amministrative autonome, viene segnalato come i servizi stiano attualmente redigendo il reporting annuale per quanto di loro competenza e che il documento consolidato verrà in seguito posto al vaglio della Commissione tecnica delle UAA, prima dell’approvazione da parte del Consiglio di Stato. Entro fine maggio/inizio giugno – come stabilito all’articolo 16 del Regolamento concernente la legge sul finanziamento tramite il budget globale e il mandato di prestazione delle Unità amministrative autonome (RLUAA) – il rapporto annuale consolidato, redatto per la prima volta con i dati al 31.12.2016, sarà trasmesso alla nostra Commissione gestione e finanze. Dal prossimo anno l’allestimento del reporting sarà anticipato, al fine di poterlo integrare nel messaggio di consuntivo.</w:t>
      </w:r>
    </w:p>
    <w:p w:rsidR="00A92189" w:rsidRPr="00C62C05" w:rsidRDefault="00A92189" w:rsidP="00A92189">
      <w:pPr>
        <w:autoSpaceDE w:val="0"/>
        <w:autoSpaceDN w:val="0"/>
        <w:adjustRightInd w:val="0"/>
        <w:ind w:right="-143"/>
        <w:rPr>
          <w:rFonts w:cs="Arial"/>
          <w:iCs/>
        </w:rPr>
      </w:pPr>
    </w:p>
    <w:p w:rsidR="00A92189" w:rsidRPr="009E0EB1" w:rsidRDefault="00A92189" w:rsidP="009E0EB1">
      <w:pPr>
        <w:autoSpaceDE w:val="0"/>
        <w:autoSpaceDN w:val="0"/>
        <w:adjustRightInd w:val="0"/>
        <w:spacing w:after="80"/>
        <w:ind w:right="-142"/>
        <w:rPr>
          <w:rFonts w:cs="Arial"/>
          <w:b/>
          <w:i/>
          <w:iCs/>
          <w:sz w:val="23"/>
          <w:szCs w:val="23"/>
        </w:rPr>
      </w:pPr>
      <w:r w:rsidRPr="009E0EB1">
        <w:rPr>
          <w:rFonts w:cs="Arial"/>
          <w:b/>
          <w:i/>
          <w:iCs/>
          <w:sz w:val="23"/>
          <w:szCs w:val="23"/>
        </w:rPr>
        <w:t>Ospedalizzazioni fuori Cantone (quesiti gruppo PPD e gruppo PS)</w:t>
      </w:r>
    </w:p>
    <w:p w:rsidR="00A92189" w:rsidRPr="00BD7BB0" w:rsidRDefault="00A92189" w:rsidP="00A92189">
      <w:pPr>
        <w:rPr>
          <w:rFonts w:cs="Arial"/>
          <w:i/>
          <w:sz w:val="23"/>
          <w:szCs w:val="23"/>
        </w:rPr>
      </w:pPr>
      <w:r w:rsidRPr="00BD7BB0">
        <w:rPr>
          <w:rFonts w:cs="Arial"/>
          <w:i/>
          <w:sz w:val="23"/>
          <w:szCs w:val="23"/>
        </w:rPr>
        <w:t xml:space="preserve">A pag. 201 del messaggio sul C2016 figura una tabella relativa alle Ospedalizzazioni fuori Cantone, con un indicatore, definito stabile, che si attesta nel 2015 a 3740 pazienti che ne hanno usufruito. </w:t>
      </w:r>
      <w:r w:rsidRPr="00BD7BB0">
        <w:rPr>
          <w:rFonts w:cs="Arial"/>
          <w:i/>
          <w:sz w:val="23"/>
          <w:szCs w:val="23"/>
          <w:u w:val="single"/>
        </w:rPr>
        <w:t>Quante di queste persone hanno usufruito di cure non disponibili in Ticino e quante invece hanno optato per cure in Svizzera interna, sebbene la possibilità di cura sussista anche in Ticino? A quanto ammontano le spese effettive del Cantone per i pazienti di quest’ultima categoria?</w:t>
      </w:r>
    </w:p>
    <w:p w:rsidR="00A92189" w:rsidRPr="00C62C05" w:rsidRDefault="00A92189" w:rsidP="00A92189">
      <w:pPr>
        <w:ind w:right="-1"/>
        <w:rPr>
          <w:rFonts w:cs="Arial"/>
        </w:rPr>
      </w:pPr>
    </w:p>
    <w:p w:rsidR="00A92189" w:rsidRPr="00C62C05" w:rsidRDefault="00A92189" w:rsidP="00A92189">
      <w:pPr>
        <w:rPr>
          <w:rFonts w:cs="Arial"/>
        </w:rPr>
      </w:pPr>
      <w:r w:rsidRPr="00C62C05">
        <w:rPr>
          <w:rFonts w:cs="Arial"/>
        </w:rPr>
        <w:t xml:space="preserve">Dei 3'740 pazienti ricoverati nel 2015 fuori cantone, 3'080 risultano a carico della </w:t>
      </w:r>
      <w:proofErr w:type="spellStart"/>
      <w:r w:rsidRPr="00C62C05">
        <w:rPr>
          <w:rFonts w:cs="Arial"/>
        </w:rPr>
        <w:t>LAMal</w:t>
      </w:r>
      <w:proofErr w:type="spellEnd"/>
      <w:r w:rsidRPr="00C62C05">
        <w:rPr>
          <w:rFonts w:cs="Arial"/>
        </w:rPr>
        <w:t xml:space="preserve"> e 256 a carico dell’AI, il resto sono pazienti a carico delle assicurazioni infortuni e militare o che pagano di tasca propria. Il Cantone copre il 55% del costo delle degenze a carico della </w:t>
      </w:r>
      <w:proofErr w:type="spellStart"/>
      <w:r w:rsidRPr="00C62C05">
        <w:rPr>
          <w:rFonts w:cs="Arial"/>
        </w:rPr>
        <w:t>LAMal</w:t>
      </w:r>
      <w:proofErr w:type="spellEnd"/>
      <w:r w:rsidRPr="00C62C05">
        <w:rPr>
          <w:rFonts w:cs="Arial"/>
        </w:rPr>
        <w:t xml:space="preserve"> e il 20% di quelle a carico dell’AI. C’è un’estrema variabilità delle singole fatture (che dipende dalla gravità dei casi trattati). Si osserva che nel 2016 la fattura più bassa ammontava a </w:t>
      </w:r>
      <w:proofErr w:type="spellStart"/>
      <w:r w:rsidRPr="00C62C05">
        <w:rPr>
          <w:rFonts w:cs="Arial"/>
        </w:rPr>
        <w:t>fr</w:t>
      </w:r>
      <w:proofErr w:type="spellEnd"/>
      <w:r w:rsidRPr="00C62C05">
        <w:rPr>
          <w:rFonts w:cs="Arial"/>
        </w:rPr>
        <w:t xml:space="preserve">. 290.95 e la più alta a </w:t>
      </w:r>
      <w:proofErr w:type="spellStart"/>
      <w:r w:rsidRPr="00C62C05">
        <w:rPr>
          <w:rFonts w:cs="Arial"/>
        </w:rPr>
        <w:t>fr</w:t>
      </w:r>
      <w:proofErr w:type="spellEnd"/>
      <w:r w:rsidRPr="00C62C05">
        <w:rPr>
          <w:rFonts w:cs="Arial"/>
        </w:rPr>
        <w:t xml:space="preserve">. 395'366.75 (per singolo caso). Su una </w:t>
      </w:r>
      <w:r w:rsidRPr="00C62C05">
        <w:rPr>
          <w:rFonts w:cs="Arial"/>
        </w:rPr>
        <w:lastRenderedPageBreak/>
        <w:t xml:space="preserve">spesa media annua di 25 milioni di franchi per prestazioni a carico della </w:t>
      </w:r>
      <w:proofErr w:type="spellStart"/>
      <w:r w:rsidRPr="00C62C05">
        <w:rPr>
          <w:rFonts w:cs="Arial"/>
        </w:rPr>
        <w:t>LAMal</w:t>
      </w:r>
      <w:proofErr w:type="spellEnd"/>
      <w:r w:rsidRPr="00C62C05">
        <w:rPr>
          <w:rFonts w:cs="Arial"/>
        </w:rPr>
        <w:t>, circa 17 milioni di franchi concernono ricoveri su indicazione medica (urgenza o prestazione non disponibile in Ticino, 60% dei casi), mentre 8 milioni di franchi riguardano ricoveri per libera scelta (40% dei casi), che vengono riconosciuti tramite la tariffa più bassa applicata per la stessa prestazione in un ospedale dell’elenco cantonale.</w:t>
      </w:r>
    </w:p>
    <w:p w:rsidR="00A92189" w:rsidRPr="00C62C05" w:rsidRDefault="00A92189" w:rsidP="00A92189">
      <w:pPr>
        <w:autoSpaceDE w:val="0"/>
        <w:autoSpaceDN w:val="0"/>
        <w:adjustRightInd w:val="0"/>
        <w:ind w:right="-143"/>
        <w:rPr>
          <w:rFonts w:cs="Arial"/>
          <w:iCs/>
        </w:rPr>
      </w:pPr>
    </w:p>
    <w:p w:rsidR="00A92189" w:rsidRPr="00C62C05" w:rsidRDefault="00A92189" w:rsidP="00A92189">
      <w:pPr>
        <w:rPr>
          <w:rFonts w:cs="Arial"/>
          <w:i/>
        </w:rPr>
      </w:pPr>
      <w:r w:rsidRPr="00C62C05">
        <w:rPr>
          <w:rFonts w:cs="Arial"/>
          <w:i/>
        </w:rPr>
        <w:t xml:space="preserve">Conto 36340015 (Contributi per ospedalizzazioni fuori Cantone): La spesa per ospedalizzazioni fuori Cantone sta aumentando in maniera importante. </w:t>
      </w:r>
      <w:r w:rsidRPr="00C62C05">
        <w:rPr>
          <w:rFonts w:cs="Arial"/>
          <w:i/>
          <w:u w:val="single"/>
        </w:rPr>
        <w:t>Si conoscono i motivi? Qual è la ripartizione tra privato e pubblico?</w:t>
      </w:r>
    </w:p>
    <w:p w:rsidR="00A92189" w:rsidRPr="00C62C05" w:rsidRDefault="00A92189" w:rsidP="00A92189">
      <w:pPr>
        <w:rPr>
          <w:rFonts w:cs="Arial"/>
          <w:i/>
        </w:rPr>
      </w:pPr>
    </w:p>
    <w:p w:rsidR="00A92189" w:rsidRPr="00C62C05" w:rsidRDefault="00A92189" w:rsidP="00A92189">
      <w:pPr>
        <w:rPr>
          <w:rFonts w:cs="Arial"/>
        </w:rPr>
      </w:pPr>
      <w:r w:rsidRPr="00C62C05">
        <w:rPr>
          <w:rFonts w:cs="Arial"/>
        </w:rPr>
        <w:t xml:space="preserve">La tabella con le cifre dei pazienti trattati fuori Cantone, riportata a pagina 201, attesta una crescita dei pazienti in linea con quanto avviene per le ospedalizzazioni nel Cantone. </w:t>
      </w:r>
    </w:p>
    <w:p w:rsidR="00A92189" w:rsidRPr="00C62C05" w:rsidRDefault="00A92189" w:rsidP="00A92189">
      <w:pPr>
        <w:rPr>
          <w:rFonts w:cs="Arial"/>
        </w:rPr>
      </w:pPr>
      <w:r w:rsidRPr="00C62C05">
        <w:rPr>
          <w:rFonts w:cs="Arial"/>
        </w:rPr>
        <w:t xml:space="preserve">La spesa per le ospedalizzazioni fuori Cantone che figura nei consuntivi dello Stato non è la spesa di competenza dell’anno in questione e non va quindi messa in relazione con il numero dei pazienti ricoverati. </w:t>
      </w:r>
    </w:p>
    <w:p w:rsidR="00A92189" w:rsidRPr="00C62C05" w:rsidRDefault="00A92189" w:rsidP="00A92189">
      <w:pPr>
        <w:rPr>
          <w:rFonts w:cs="Arial"/>
        </w:rPr>
      </w:pPr>
    </w:p>
    <w:p w:rsidR="00A92189" w:rsidRPr="00C62C05" w:rsidRDefault="00A92189" w:rsidP="00A92189">
      <w:pPr>
        <w:rPr>
          <w:rFonts w:cs="Arial"/>
        </w:rPr>
      </w:pPr>
      <w:r w:rsidRPr="00C62C05">
        <w:rPr>
          <w:rFonts w:cs="Arial"/>
        </w:rPr>
        <w:t>La cifra inserita a consuntivo è influenzata fondamentalmente da due fattori:</w:t>
      </w:r>
    </w:p>
    <w:p w:rsidR="00A92189" w:rsidRPr="00C62C05" w:rsidRDefault="00A92189" w:rsidP="00BD7BB0">
      <w:pPr>
        <w:pStyle w:val="Paragrafoelenco"/>
        <w:numPr>
          <w:ilvl w:val="0"/>
          <w:numId w:val="6"/>
        </w:numPr>
        <w:spacing w:before="80"/>
        <w:ind w:left="284" w:hanging="284"/>
        <w:rPr>
          <w:rFonts w:cs="Arial"/>
        </w:rPr>
      </w:pPr>
      <w:r w:rsidRPr="00C62C05">
        <w:rPr>
          <w:rFonts w:cs="Arial"/>
        </w:rPr>
        <w:t>dal pagamento di fatture per prestazioni effettuate negli anni precedenti, di difficile valutazione al momento della chiusura dei conti. Infatti, non in tutti i Cantoni sono state approvate tariffe definitive e alcuni ospedali attendono l’esito delle vertenze giuridiche prima di emettere le fatture corrette, onde evitare conguagli ex-post, onerosi per tutti;</w:t>
      </w:r>
    </w:p>
    <w:p w:rsidR="00A92189" w:rsidRPr="00C62C05" w:rsidRDefault="00A92189" w:rsidP="00BD7BB0">
      <w:pPr>
        <w:pStyle w:val="Paragrafoelenco"/>
        <w:numPr>
          <w:ilvl w:val="0"/>
          <w:numId w:val="6"/>
        </w:numPr>
        <w:spacing w:before="80"/>
        <w:ind w:left="284" w:hanging="284"/>
        <w:rPr>
          <w:rFonts w:cs="Arial"/>
        </w:rPr>
      </w:pPr>
      <w:r w:rsidRPr="00C62C05">
        <w:rPr>
          <w:rFonts w:cs="Arial"/>
        </w:rPr>
        <w:t xml:space="preserve">dall’estrema variabilità delle singole fatture (che dipendono dalla gravità dei casi trattati). Si osserva che nel 2016 la fattura più bassa ammontava a </w:t>
      </w:r>
      <w:proofErr w:type="spellStart"/>
      <w:r w:rsidRPr="00C62C05">
        <w:rPr>
          <w:rFonts w:cs="Arial"/>
        </w:rPr>
        <w:t>fr</w:t>
      </w:r>
      <w:proofErr w:type="spellEnd"/>
      <w:r w:rsidRPr="00C62C05">
        <w:rPr>
          <w:rFonts w:cs="Arial"/>
        </w:rPr>
        <w:t xml:space="preserve">. 290.95 e la più alta a </w:t>
      </w:r>
      <w:proofErr w:type="spellStart"/>
      <w:r w:rsidRPr="00C62C05">
        <w:rPr>
          <w:rFonts w:cs="Arial"/>
        </w:rPr>
        <w:t>fr</w:t>
      </w:r>
      <w:proofErr w:type="spellEnd"/>
      <w:r w:rsidRPr="00C62C05">
        <w:rPr>
          <w:rFonts w:cs="Arial"/>
        </w:rPr>
        <w:t>. 395'366.75 (per singolo caso).</w:t>
      </w:r>
    </w:p>
    <w:p w:rsidR="00A92189" w:rsidRPr="00C62C05" w:rsidRDefault="00A92189" w:rsidP="00A92189">
      <w:pPr>
        <w:rPr>
          <w:rFonts w:cs="Arial"/>
        </w:rPr>
      </w:pPr>
    </w:p>
    <w:p w:rsidR="00A92189" w:rsidRPr="00C62C05" w:rsidRDefault="00A92189" w:rsidP="00A92189">
      <w:pPr>
        <w:rPr>
          <w:rFonts w:cs="Arial"/>
        </w:rPr>
      </w:pPr>
      <w:r w:rsidRPr="00C62C05">
        <w:rPr>
          <w:rFonts w:cs="Arial"/>
        </w:rPr>
        <w:t xml:space="preserve">Il contributo del Cantone è destinato ai pazienti a carico della </w:t>
      </w:r>
      <w:proofErr w:type="spellStart"/>
      <w:r w:rsidRPr="00C62C05">
        <w:rPr>
          <w:rFonts w:cs="Arial"/>
        </w:rPr>
        <w:t>LAMal</w:t>
      </w:r>
      <w:proofErr w:type="spellEnd"/>
      <w:r w:rsidRPr="00C62C05">
        <w:rPr>
          <w:rFonts w:cs="Arial"/>
        </w:rPr>
        <w:t xml:space="preserve"> (3'080 – 55% della fattura) e ai casi AI (256 - 20% della fattura, secondo l’art. 14bis LAI entrato in vigore il</w:t>
      </w:r>
      <w:r w:rsidR="00BD7BB0">
        <w:rPr>
          <w:rFonts w:cs="Arial"/>
        </w:rPr>
        <w:t xml:space="preserve"> </w:t>
      </w:r>
      <w:r w:rsidRPr="00C62C05">
        <w:rPr>
          <w:rFonts w:cs="Arial"/>
        </w:rPr>
        <w:br/>
        <w:t>1</w:t>
      </w:r>
      <w:r w:rsidR="00BD7BB0">
        <w:rPr>
          <w:rFonts w:cs="Arial"/>
        </w:rPr>
        <w:t>°</w:t>
      </w:r>
      <w:r w:rsidRPr="00C62C05">
        <w:rPr>
          <w:rFonts w:cs="Arial"/>
        </w:rPr>
        <w:t xml:space="preserve"> gennaio 2013). Dei 3'740 pazienti riportati nella statistica, 404 sono quindi a carico delle assicurazioni infortuni e militare o </w:t>
      </w:r>
      <w:proofErr w:type="spellStart"/>
      <w:r w:rsidRPr="00C62C05">
        <w:rPr>
          <w:rFonts w:cs="Arial"/>
        </w:rPr>
        <w:t>autopaganti</w:t>
      </w:r>
      <w:proofErr w:type="spellEnd"/>
      <w:r w:rsidRPr="00C62C05">
        <w:rPr>
          <w:rFonts w:cs="Arial"/>
        </w:rPr>
        <w:t>.</w:t>
      </w:r>
    </w:p>
    <w:p w:rsidR="00A92189" w:rsidRPr="00C62C05" w:rsidRDefault="00A92189" w:rsidP="00A92189">
      <w:pPr>
        <w:rPr>
          <w:rFonts w:cs="Arial"/>
        </w:rPr>
      </w:pPr>
      <w:r w:rsidRPr="00C62C05">
        <w:rPr>
          <w:rFonts w:cs="Arial"/>
        </w:rPr>
        <w:t>Si rileva infine che dal 1</w:t>
      </w:r>
      <w:r w:rsidR="00BD7BB0">
        <w:rPr>
          <w:rFonts w:cs="Arial"/>
        </w:rPr>
        <w:t>°</w:t>
      </w:r>
      <w:r w:rsidRPr="00C62C05">
        <w:rPr>
          <w:rFonts w:cs="Arial"/>
        </w:rPr>
        <w:t xml:space="preserve"> gennaio 2012, la distinzione tra pubblico e privato non ha più ragione di esistere, dal momento che se un istituto figura sulla lista di un altro Cantone, il Cantone di domicilio è tenuto a pagare la sua quota parte (art. 41 cpv. 1 bis </w:t>
      </w:r>
      <w:proofErr w:type="spellStart"/>
      <w:r w:rsidRPr="00C62C05">
        <w:rPr>
          <w:rFonts w:cs="Arial"/>
        </w:rPr>
        <w:t>LAMal</w:t>
      </w:r>
      <w:proofErr w:type="spellEnd"/>
      <w:r w:rsidRPr="00C62C05">
        <w:rPr>
          <w:rFonts w:cs="Arial"/>
        </w:rPr>
        <w:t>). Inoltre il Consiglio di Stato sottolinea come non sia solo oneroso ricercare, ma anche difficile poi definire lo statuto di ogni singolo istituto, considerata la diversità delle forme giuridiche e di partenariato che possono essere attuate. Ad ogni modo, nel 2015 i ricoveri fuori Cantone si sono verificati in 187 istituti diversi. Di seguito sono indicati quelli che nel 2015 hanno ricoverato più di venti pazienti residenti in Ticino (i dati si riferiscono all’insieme dei pazienti ricoverati, indipendentemente dal finanziatore) e rappresentano il 78% del totale dei pazienti curati fuori Cantone.</w:t>
      </w:r>
    </w:p>
    <w:p w:rsidR="00A92189" w:rsidRPr="00C62C05" w:rsidRDefault="00A92189" w:rsidP="00A92189">
      <w:pPr>
        <w:rPr>
          <w:rFonts w:cs="Arial"/>
        </w:rPr>
      </w:pPr>
    </w:p>
    <w:tbl>
      <w:tblPr>
        <w:tblW w:w="5000" w:type="pct"/>
        <w:tblCellMar>
          <w:left w:w="70" w:type="dxa"/>
          <w:right w:w="70" w:type="dxa"/>
        </w:tblCellMar>
        <w:tblLook w:val="04A0" w:firstRow="1" w:lastRow="0" w:firstColumn="1" w:lastColumn="0" w:noHBand="0" w:noVBand="1"/>
      </w:tblPr>
      <w:tblGrid>
        <w:gridCol w:w="741"/>
        <w:gridCol w:w="7519"/>
        <w:gridCol w:w="1518"/>
      </w:tblGrid>
      <w:tr w:rsidR="00A92189" w:rsidRPr="00C62C05" w:rsidTr="00250939">
        <w:trPr>
          <w:trHeight w:val="225"/>
        </w:trPr>
        <w:tc>
          <w:tcPr>
            <w:tcW w:w="379" w:type="pct"/>
            <w:tcBorders>
              <w:top w:val="nil"/>
              <w:left w:val="nil"/>
              <w:bottom w:val="single" w:sz="4" w:space="0" w:color="auto"/>
              <w:right w:val="nil"/>
            </w:tcBorders>
            <w:shd w:val="clear" w:color="auto" w:fill="auto"/>
            <w:noWrap/>
            <w:vAlign w:val="bottom"/>
            <w:hideMark/>
          </w:tcPr>
          <w:p w:rsidR="00A92189" w:rsidRPr="00BD7BB0" w:rsidRDefault="00A92189" w:rsidP="00250939">
            <w:pPr>
              <w:rPr>
                <w:rFonts w:cs="Arial"/>
                <w:color w:val="000000"/>
                <w:sz w:val="22"/>
                <w:lang w:eastAsia="it-CH"/>
              </w:rPr>
            </w:pPr>
            <w:r w:rsidRPr="00BD7BB0">
              <w:rPr>
                <w:rFonts w:cs="Arial"/>
                <w:color w:val="000000"/>
                <w:sz w:val="22"/>
                <w:lang w:eastAsia="it-CH"/>
              </w:rPr>
              <w:t>LU</w:t>
            </w:r>
          </w:p>
        </w:tc>
        <w:tc>
          <w:tcPr>
            <w:tcW w:w="3845" w:type="pct"/>
            <w:tcBorders>
              <w:top w:val="nil"/>
              <w:left w:val="nil"/>
              <w:bottom w:val="single" w:sz="4" w:space="0" w:color="auto"/>
              <w:right w:val="nil"/>
            </w:tcBorders>
            <w:shd w:val="clear" w:color="auto" w:fill="auto"/>
            <w:noWrap/>
            <w:vAlign w:val="bottom"/>
            <w:hideMark/>
          </w:tcPr>
          <w:p w:rsidR="00A92189" w:rsidRPr="00BD7BB0" w:rsidRDefault="00A92189" w:rsidP="00250939">
            <w:pPr>
              <w:rPr>
                <w:rFonts w:cs="Arial"/>
                <w:color w:val="000000"/>
                <w:sz w:val="22"/>
                <w:lang w:eastAsia="it-CH"/>
              </w:rPr>
            </w:pPr>
            <w:proofErr w:type="spellStart"/>
            <w:r w:rsidRPr="00BD7BB0">
              <w:rPr>
                <w:rFonts w:cs="Arial"/>
                <w:color w:val="000000"/>
                <w:sz w:val="22"/>
                <w:lang w:eastAsia="it-CH"/>
              </w:rPr>
              <w:t>Kantonsspital</w:t>
            </w:r>
            <w:proofErr w:type="spellEnd"/>
          </w:p>
        </w:tc>
        <w:tc>
          <w:tcPr>
            <w:tcW w:w="776" w:type="pct"/>
            <w:tcBorders>
              <w:top w:val="nil"/>
              <w:left w:val="nil"/>
              <w:bottom w:val="single" w:sz="4" w:space="0" w:color="auto"/>
              <w:right w:val="nil"/>
            </w:tcBorders>
            <w:shd w:val="clear" w:color="auto" w:fill="auto"/>
            <w:vAlign w:val="bottom"/>
          </w:tcPr>
          <w:p w:rsidR="00A92189" w:rsidRPr="00BD7BB0" w:rsidRDefault="00A92189" w:rsidP="00250939">
            <w:pPr>
              <w:ind w:right="148"/>
              <w:jc w:val="right"/>
              <w:rPr>
                <w:rFonts w:cs="Arial"/>
                <w:sz w:val="22"/>
              </w:rPr>
            </w:pPr>
            <w:r w:rsidRPr="00BD7BB0">
              <w:rPr>
                <w:rFonts w:cs="Arial"/>
                <w:sz w:val="22"/>
              </w:rPr>
              <w:t>372</w:t>
            </w:r>
          </w:p>
        </w:tc>
      </w:tr>
      <w:tr w:rsidR="00A92189" w:rsidRPr="00C62C05" w:rsidTr="00250939">
        <w:trPr>
          <w:trHeight w:val="225"/>
        </w:trPr>
        <w:tc>
          <w:tcPr>
            <w:tcW w:w="379" w:type="pct"/>
            <w:tcBorders>
              <w:top w:val="nil"/>
              <w:left w:val="nil"/>
              <w:bottom w:val="single" w:sz="4" w:space="0" w:color="auto"/>
              <w:right w:val="nil"/>
            </w:tcBorders>
            <w:shd w:val="clear" w:color="auto" w:fill="auto"/>
            <w:noWrap/>
            <w:vAlign w:val="bottom"/>
            <w:hideMark/>
          </w:tcPr>
          <w:p w:rsidR="00A92189" w:rsidRPr="00BD7BB0" w:rsidRDefault="00A92189" w:rsidP="00250939">
            <w:pPr>
              <w:rPr>
                <w:rFonts w:cs="Arial"/>
                <w:color w:val="000000"/>
                <w:sz w:val="22"/>
                <w:lang w:eastAsia="it-CH"/>
              </w:rPr>
            </w:pPr>
            <w:r w:rsidRPr="00BD7BB0">
              <w:rPr>
                <w:rFonts w:cs="Arial"/>
                <w:color w:val="000000"/>
                <w:sz w:val="22"/>
                <w:lang w:eastAsia="it-CH"/>
              </w:rPr>
              <w:t>ZH</w:t>
            </w:r>
          </w:p>
        </w:tc>
        <w:tc>
          <w:tcPr>
            <w:tcW w:w="3845" w:type="pct"/>
            <w:tcBorders>
              <w:top w:val="nil"/>
              <w:left w:val="nil"/>
              <w:bottom w:val="single" w:sz="4" w:space="0" w:color="auto"/>
              <w:right w:val="nil"/>
            </w:tcBorders>
            <w:shd w:val="clear" w:color="auto" w:fill="auto"/>
            <w:noWrap/>
            <w:vAlign w:val="bottom"/>
            <w:hideMark/>
          </w:tcPr>
          <w:p w:rsidR="00A92189" w:rsidRPr="00BD7BB0" w:rsidRDefault="00A92189" w:rsidP="00250939">
            <w:pPr>
              <w:rPr>
                <w:rFonts w:cs="Arial"/>
                <w:color w:val="000000"/>
                <w:sz w:val="22"/>
                <w:lang w:eastAsia="it-CH"/>
              </w:rPr>
            </w:pPr>
            <w:proofErr w:type="spellStart"/>
            <w:r w:rsidRPr="00BD7BB0">
              <w:rPr>
                <w:rFonts w:cs="Arial"/>
                <w:color w:val="000000"/>
                <w:sz w:val="22"/>
                <w:lang w:eastAsia="it-CH"/>
              </w:rPr>
              <w:t>Universitätsspital</w:t>
            </w:r>
            <w:proofErr w:type="spellEnd"/>
          </w:p>
        </w:tc>
        <w:tc>
          <w:tcPr>
            <w:tcW w:w="776" w:type="pct"/>
            <w:tcBorders>
              <w:top w:val="nil"/>
              <w:left w:val="nil"/>
              <w:bottom w:val="single" w:sz="4" w:space="0" w:color="auto"/>
              <w:right w:val="nil"/>
            </w:tcBorders>
            <w:shd w:val="clear" w:color="auto" w:fill="auto"/>
            <w:vAlign w:val="bottom"/>
          </w:tcPr>
          <w:p w:rsidR="00A92189" w:rsidRPr="00BD7BB0" w:rsidRDefault="00A92189" w:rsidP="00250939">
            <w:pPr>
              <w:ind w:right="148"/>
              <w:jc w:val="right"/>
              <w:rPr>
                <w:rFonts w:cs="Arial"/>
                <w:sz w:val="22"/>
              </w:rPr>
            </w:pPr>
            <w:r w:rsidRPr="00BD7BB0">
              <w:rPr>
                <w:rFonts w:cs="Arial"/>
                <w:sz w:val="22"/>
              </w:rPr>
              <w:t>321</w:t>
            </w:r>
          </w:p>
        </w:tc>
      </w:tr>
      <w:tr w:rsidR="00A92189" w:rsidRPr="00C62C05" w:rsidTr="00250939">
        <w:trPr>
          <w:trHeight w:val="225"/>
        </w:trPr>
        <w:tc>
          <w:tcPr>
            <w:tcW w:w="379" w:type="pct"/>
            <w:tcBorders>
              <w:top w:val="nil"/>
              <w:left w:val="nil"/>
              <w:bottom w:val="nil"/>
              <w:right w:val="nil"/>
            </w:tcBorders>
            <w:shd w:val="clear" w:color="auto" w:fill="auto"/>
            <w:noWrap/>
            <w:vAlign w:val="bottom"/>
            <w:hideMark/>
          </w:tcPr>
          <w:p w:rsidR="00A92189" w:rsidRPr="00BD7BB0" w:rsidRDefault="00A92189" w:rsidP="00250939">
            <w:pPr>
              <w:rPr>
                <w:rFonts w:cs="Arial"/>
                <w:color w:val="000000"/>
                <w:sz w:val="22"/>
                <w:lang w:eastAsia="it-CH"/>
              </w:rPr>
            </w:pPr>
            <w:r w:rsidRPr="00BD7BB0">
              <w:rPr>
                <w:rFonts w:cs="Arial"/>
                <w:color w:val="000000"/>
                <w:sz w:val="22"/>
                <w:lang w:eastAsia="it-CH"/>
              </w:rPr>
              <w:t>BE</w:t>
            </w:r>
          </w:p>
        </w:tc>
        <w:tc>
          <w:tcPr>
            <w:tcW w:w="3845" w:type="pct"/>
            <w:tcBorders>
              <w:top w:val="nil"/>
              <w:left w:val="nil"/>
              <w:bottom w:val="nil"/>
              <w:right w:val="nil"/>
            </w:tcBorders>
            <w:shd w:val="clear" w:color="auto" w:fill="auto"/>
            <w:noWrap/>
            <w:vAlign w:val="bottom"/>
            <w:hideMark/>
          </w:tcPr>
          <w:p w:rsidR="00A92189" w:rsidRPr="00BD7BB0" w:rsidRDefault="00A92189" w:rsidP="00250939">
            <w:pPr>
              <w:rPr>
                <w:rFonts w:cs="Arial"/>
                <w:color w:val="000000"/>
                <w:sz w:val="22"/>
                <w:lang w:eastAsia="it-CH"/>
              </w:rPr>
            </w:pPr>
            <w:proofErr w:type="spellStart"/>
            <w:r w:rsidRPr="00BD7BB0">
              <w:rPr>
                <w:rFonts w:cs="Arial"/>
                <w:color w:val="000000"/>
                <w:sz w:val="22"/>
                <w:lang w:eastAsia="it-CH"/>
              </w:rPr>
              <w:t>Inselspital</w:t>
            </w:r>
            <w:proofErr w:type="spellEnd"/>
          </w:p>
        </w:tc>
        <w:tc>
          <w:tcPr>
            <w:tcW w:w="776" w:type="pct"/>
            <w:tcBorders>
              <w:top w:val="nil"/>
              <w:left w:val="nil"/>
              <w:bottom w:val="nil"/>
              <w:right w:val="nil"/>
            </w:tcBorders>
            <w:shd w:val="clear" w:color="auto" w:fill="auto"/>
            <w:vAlign w:val="bottom"/>
          </w:tcPr>
          <w:p w:rsidR="00A92189" w:rsidRPr="00BD7BB0" w:rsidRDefault="00A92189" w:rsidP="00250939">
            <w:pPr>
              <w:ind w:right="148"/>
              <w:jc w:val="right"/>
              <w:rPr>
                <w:rFonts w:cs="Arial"/>
                <w:sz w:val="22"/>
              </w:rPr>
            </w:pPr>
            <w:r w:rsidRPr="00BD7BB0">
              <w:rPr>
                <w:rFonts w:cs="Arial"/>
                <w:sz w:val="22"/>
              </w:rPr>
              <w:t>301</w:t>
            </w:r>
          </w:p>
        </w:tc>
      </w:tr>
      <w:tr w:rsidR="00A92189" w:rsidRPr="00C62C05" w:rsidTr="00250939">
        <w:trPr>
          <w:trHeight w:val="225"/>
        </w:trPr>
        <w:tc>
          <w:tcPr>
            <w:tcW w:w="379" w:type="pct"/>
            <w:tcBorders>
              <w:top w:val="single" w:sz="4" w:space="0" w:color="auto"/>
              <w:left w:val="nil"/>
              <w:bottom w:val="single" w:sz="4" w:space="0" w:color="auto"/>
              <w:right w:val="nil"/>
            </w:tcBorders>
            <w:shd w:val="clear" w:color="auto" w:fill="auto"/>
            <w:noWrap/>
            <w:vAlign w:val="bottom"/>
            <w:hideMark/>
          </w:tcPr>
          <w:p w:rsidR="00A92189" w:rsidRPr="00BD7BB0" w:rsidRDefault="00A92189" w:rsidP="00250939">
            <w:pPr>
              <w:rPr>
                <w:rFonts w:cs="Arial"/>
                <w:color w:val="000000"/>
                <w:sz w:val="22"/>
                <w:lang w:eastAsia="it-CH"/>
              </w:rPr>
            </w:pPr>
            <w:r w:rsidRPr="00BD7BB0">
              <w:rPr>
                <w:rFonts w:cs="Arial"/>
                <w:color w:val="000000"/>
                <w:sz w:val="22"/>
                <w:lang w:eastAsia="it-CH"/>
              </w:rPr>
              <w:t>ZH</w:t>
            </w:r>
          </w:p>
        </w:tc>
        <w:tc>
          <w:tcPr>
            <w:tcW w:w="3845" w:type="pct"/>
            <w:tcBorders>
              <w:top w:val="single" w:sz="4" w:space="0" w:color="auto"/>
              <w:left w:val="nil"/>
              <w:bottom w:val="single" w:sz="4" w:space="0" w:color="auto"/>
              <w:right w:val="nil"/>
            </w:tcBorders>
            <w:shd w:val="clear" w:color="auto" w:fill="auto"/>
            <w:noWrap/>
            <w:vAlign w:val="bottom"/>
            <w:hideMark/>
          </w:tcPr>
          <w:p w:rsidR="00A92189" w:rsidRPr="00BD7BB0" w:rsidRDefault="00A92189" w:rsidP="00250939">
            <w:pPr>
              <w:rPr>
                <w:rFonts w:cs="Arial"/>
                <w:color w:val="000000"/>
                <w:sz w:val="22"/>
                <w:lang w:eastAsia="it-CH"/>
              </w:rPr>
            </w:pPr>
            <w:proofErr w:type="spellStart"/>
            <w:r w:rsidRPr="00BD7BB0">
              <w:rPr>
                <w:rFonts w:cs="Arial"/>
                <w:color w:val="000000"/>
                <w:sz w:val="22"/>
                <w:lang w:eastAsia="it-CH"/>
              </w:rPr>
              <w:t>Schultessklinik</w:t>
            </w:r>
            <w:proofErr w:type="spellEnd"/>
          </w:p>
        </w:tc>
        <w:tc>
          <w:tcPr>
            <w:tcW w:w="776" w:type="pct"/>
            <w:tcBorders>
              <w:top w:val="single" w:sz="4" w:space="0" w:color="auto"/>
              <w:left w:val="nil"/>
              <w:bottom w:val="single" w:sz="4" w:space="0" w:color="auto"/>
              <w:right w:val="nil"/>
            </w:tcBorders>
            <w:shd w:val="clear" w:color="auto" w:fill="auto"/>
            <w:vAlign w:val="bottom"/>
          </w:tcPr>
          <w:p w:rsidR="00A92189" w:rsidRPr="00BD7BB0" w:rsidRDefault="00A92189" w:rsidP="00250939">
            <w:pPr>
              <w:ind w:right="148"/>
              <w:jc w:val="right"/>
              <w:rPr>
                <w:rFonts w:cs="Arial"/>
                <w:sz w:val="22"/>
              </w:rPr>
            </w:pPr>
            <w:r w:rsidRPr="00BD7BB0">
              <w:rPr>
                <w:rFonts w:cs="Arial"/>
                <w:sz w:val="22"/>
              </w:rPr>
              <w:t>284</w:t>
            </w:r>
          </w:p>
        </w:tc>
      </w:tr>
      <w:tr w:rsidR="00A92189" w:rsidRPr="00C62C05" w:rsidTr="00250939">
        <w:trPr>
          <w:trHeight w:val="225"/>
        </w:trPr>
        <w:tc>
          <w:tcPr>
            <w:tcW w:w="379" w:type="pct"/>
            <w:tcBorders>
              <w:top w:val="nil"/>
              <w:left w:val="nil"/>
              <w:bottom w:val="single" w:sz="4" w:space="0" w:color="auto"/>
              <w:right w:val="nil"/>
            </w:tcBorders>
            <w:shd w:val="clear" w:color="auto" w:fill="auto"/>
            <w:noWrap/>
            <w:vAlign w:val="bottom"/>
            <w:hideMark/>
          </w:tcPr>
          <w:p w:rsidR="00A92189" w:rsidRPr="00BD7BB0" w:rsidRDefault="00A92189" w:rsidP="00250939">
            <w:pPr>
              <w:rPr>
                <w:rFonts w:cs="Arial"/>
                <w:color w:val="000000"/>
                <w:sz w:val="22"/>
                <w:lang w:eastAsia="it-CH"/>
              </w:rPr>
            </w:pPr>
            <w:r w:rsidRPr="00BD7BB0">
              <w:rPr>
                <w:rFonts w:cs="Arial"/>
                <w:color w:val="000000"/>
                <w:sz w:val="22"/>
                <w:lang w:eastAsia="it-CH"/>
              </w:rPr>
              <w:t>ZH</w:t>
            </w:r>
          </w:p>
        </w:tc>
        <w:tc>
          <w:tcPr>
            <w:tcW w:w="3845" w:type="pct"/>
            <w:tcBorders>
              <w:top w:val="nil"/>
              <w:left w:val="nil"/>
              <w:bottom w:val="single" w:sz="4" w:space="0" w:color="auto"/>
              <w:right w:val="nil"/>
            </w:tcBorders>
            <w:shd w:val="clear" w:color="auto" w:fill="auto"/>
            <w:noWrap/>
            <w:vAlign w:val="bottom"/>
            <w:hideMark/>
          </w:tcPr>
          <w:p w:rsidR="00A92189" w:rsidRPr="00BD7BB0" w:rsidRDefault="00A92189" w:rsidP="00250939">
            <w:pPr>
              <w:rPr>
                <w:rFonts w:cs="Arial"/>
                <w:color w:val="000000"/>
                <w:sz w:val="22"/>
                <w:lang w:eastAsia="it-CH"/>
              </w:rPr>
            </w:pPr>
            <w:proofErr w:type="spellStart"/>
            <w:r w:rsidRPr="00BD7BB0">
              <w:rPr>
                <w:rFonts w:cs="Arial"/>
                <w:color w:val="000000"/>
                <w:sz w:val="22"/>
                <w:lang w:eastAsia="it-CH"/>
              </w:rPr>
              <w:t>KlinikHirslanden</w:t>
            </w:r>
            <w:proofErr w:type="spellEnd"/>
          </w:p>
        </w:tc>
        <w:tc>
          <w:tcPr>
            <w:tcW w:w="776" w:type="pct"/>
            <w:tcBorders>
              <w:top w:val="nil"/>
              <w:left w:val="nil"/>
              <w:bottom w:val="single" w:sz="4" w:space="0" w:color="auto"/>
              <w:right w:val="nil"/>
            </w:tcBorders>
            <w:shd w:val="clear" w:color="auto" w:fill="auto"/>
            <w:vAlign w:val="bottom"/>
          </w:tcPr>
          <w:p w:rsidR="00A92189" w:rsidRPr="00BD7BB0" w:rsidRDefault="00A92189" w:rsidP="00250939">
            <w:pPr>
              <w:ind w:right="148"/>
              <w:jc w:val="right"/>
              <w:rPr>
                <w:rFonts w:cs="Arial"/>
                <w:sz w:val="22"/>
              </w:rPr>
            </w:pPr>
            <w:r w:rsidRPr="00BD7BB0">
              <w:rPr>
                <w:rFonts w:cs="Arial"/>
                <w:sz w:val="22"/>
              </w:rPr>
              <w:t>277</w:t>
            </w:r>
          </w:p>
        </w:tc>
      </w:tr>
      <w:tr w:rsidR="00A92189" w:rsidRPr="00C62C05" w:rsidTr="00250939">
        <w:trPr>
          <w:trHeight w:val="225"/>
        </w:trPr>
        <w:tc>
          <w:tcPr>
            <w:tcW w:w="379" w:type="pct"/>
            <w:tcBorders>
              <w:top w:val="nil"/>
              <w:left w:val="nil"/>
              <w:bottom w:val="single" w:sz="4" w:space="0" w:color="auto"/>
              <w:right w:val="nil"/>
            </w:tcBorders>
            <w:shd w:val="clear" w:color="auto" w:fill="auto"/>
            <w:noWrap/>
            <w:vAlign w:val="bottom"/>
            <w:hideMark/>
          </w:tcPr>
          <w:p w:rsidR="00A92189" w:rsidRPr="00BD7BB0" w:rsidRDefault="00A92189" w:rsidP="00250939">
            <w:pPr>
              <w:rPr>
                <w:rFonts w:cs="Arial"/>
                <w:color w:val="000000"/>
                <w:sz w:val="22"/>
                <w:lang w:eastAsia="it-CH"/>
              </w:rPr>
            </w:pPr>
            <w:r w:rsidRPr="00BD7BB0">
              <w:rPr>
                <w:rFonts w:cs="Arial"/>
                <w:color w:val="000000"/>
                <w:sz w:val="22"/>
                <w:lang w:eastAsia="it-CH"/>
              </w:rPr>
              <w:t>GE</w:t>
            </w:r>
          </w:p>
        </w:tc>
        <w:tc>
          <w:tcPr>
            <w:tcW w:w="3845" w:type="pct"/>
            <w:tcBorders>
              <w:top w:val="nil"/>
              <w:left w:val="nil"/>
              <w:bottom w:val="single" w:sz="4" w:space="0" w:color="auto"/>
              <w:right w:val="nil"/>
            </w:tcBorders>
            <w:shd w:val="clear" w:color="auto" w:fill="auto"/>
            <w:noWrap/>
            <w:vAlign w:val="bottom"/>
            <w:hideMark/>
          </w:tcPr>
          <w:p w:rsidR="00A92189" w:rsidRPr="00BD7BB0" w:rsidRDefault="00A92189" w:rsidP="00250939">
            <w:pPr>
              <w:rPr>
                <w:rFonts w:cs="Arial"/>
                <w:color w:val="000000"/>
                <w:sz w:val="22"/>
                <w:lang w:val="fr-FR" w:eastAsia="it-CH"/>
              </w:rPr>
            </w:pPr>
            <w:r w:rsidRPr="00BD7BB0">
              <w:rPr>
                <w:rFonts w:cs="Arial"/>
                <w:color w:val="000000"/>
                <w:sz w:val="22"/>
                <w:lang w:val="fr-FR" w:eastAsia="it-CH"/>
              </w:rPr>
              <w:t xml:space="preserve">Les Hôpitaux Universitaires de Genève HUG </w:t>
            </w:r>
          </w:p>
        </w:tc>
        <w:tc>
          <w:tcPr>
            <w:tcW w:w="776" w:type="pct"/>
            <w:tcBorders>
              <w:top w:val="nil"/>
              <w:left w:val="nil"/>
              <w:bottom w:val="single" w:sz="4" w:space="0" w:color="auto"/>
              <w:right w:val="nil"/>
            </w:tcBorders>
            <w:shd w:val="clear" w:color="auto" w:fill="auto"/>
            <w:vAlign w:val="bottom"/>
          </w:tcPr>
          <w:p w:rsidR="00A92189" w:rsidRPr="00BD7BB0" w:rsidRDefault="00A92189" w:rsidP="00250939">
            <w:pPr>
              <w:ind w:right="148"/>
              <w:jc w:val="right"/>
              <w:rPr>
                <w:rFonts w:cs="Arial"/>
                <w:sz w:val="22"/>
              </w:rPr>
            </w:pPr>
            <w:r w:rsidRPr="00BD7BB0">
              <w:rPr>
                <w:rFonts w:cs="Arial"/>
                <w:sz w:val="22"/>
              </w:rPr>
              <w:t>211</w:t>
            </w:r>
          </w:p>
        </w:tc>
      </w:tr>
      <w:tr w:rsidR="00A92189" w:rsidRPr="00C62C05" w:rsidTr="00250939">
        <w:trPr>
          <w:trHeight w:val="225"/>
        </w:trPr>
        <w:tc>
          <w:tcPr>
            <w:tcW w:w="379" w:type="pct"/>
            <w:tcBorders>
              <w:top w:val="nil"/>
              <w:left w:val="nil"/>
              <w:bottom w:val="single" w:sz="4" w:space="0" w:color="auto"/>
              <w:right w:val="nil"/>
            </w:tcBorders>
            <w:shd w:val="clear" w:color="auto" w:fill="auto"/>
            <w:noWrap/>
            <w:vAlign w:val="bottom"/>
            <w:hideMark/>
          </w:tcPr>
          <w:p w:rsidR="00A92189" w:rsidRPr="00BD7BB0" w:rsidRDefault="00A92189" w:rsidP="00250939">
            <w:pPr>
              <w:rPr>
                <w:rFonts w:cs="Arial"/>
                <w:color w:val="000000"/>
                <w:sz w:val="22"/>
                <w:lang w:eastAsia="it-CH"/>
              </w:rPr>
            </w:pPr>
            <w:r w:rsidRPr="00BD7BB0">
              <w:rPr>
                <w:rFonts w:cs="Arial"/>
                <w:color w:val="000000"/>
                <w:sz w:val="22"/>
                <w:lang w:eastAsia="it-CH"/>
              </w:rPr>
              <w:t>VD</w:t>
            </w:r>
          </w:p>
        </w:tc>
        <w:tc>
          <w:tcPr>
            <w:tcW w:w="3845" w:type="pct"/>
            <w:tcBorders>
              <w:top w:val="nil"/>
              <w:left w:val="nil"/>
              <w:bottom w:val="single" w:sz="4" w:space="0" w:color="auto"/>
              <w:right w:val="nil"/>
            </w:tcBorders>
            <w:shd w:val="clear" w:color="auto" w:fill="auto"/>
            <w:noWrap/>
            <w:vAlign w:val="bottom"/>
            <w:hideMark/>
          </w:tcPr>
          <w:p w:rsidR="00A92189" w:rsidRPr="00BD7BB0" w:rsidRDefault="00A92189" w:rsidP="00250939">
            <w:pPr>
              <w:rPr>
                <w:rFonts w:cs="Arial"/>
                <w:color w:val="000000"/>
                <w:sz w:val="22"/>
                <w:lang w:eastAsia="it-CH"/>
              </w:rPr>
            </w:pPr>
            <w:proofErr w:type="spellStart"/>
            <w:r w:rsidRPr="00BD7BB0">
              <w:rPr>
                <w:rFonts w:cs="Arial"/>
                <w:color w:val="000000"/>
                <w:sz w:val="22"/>
                <w:lang w:eastAsia="it-CH"/>
              </w:rPr>
              <w:t>Chuvsomatique</w:t>
            </w:r>
            <w:proofErr w:type="spellEnd"/>
            <w:r w:rsidRPr="00BD7BB0">
              <w:rPr>
                <w:rFonts w:cs="Arial"/>
                <w:color w:val="000000"/>
                <w:sz w:val="22"/>
                <w:lang w:eastAsia="it-CH"/>
              </w:rPr>
              <w:t xml:space="preserve"> Lausanne</w:t>
            </w:r>
          </w:p>
        </w:tc>
        <w:tc>
          <w:tcPr>
            <w:tcW w:w="776" w:type="pct"/>
            <w:tcBorders>
              <w:top w:val="nil"/>
              <w:left w:val="nil"/>
              <w:bottom w:val="single" w:sz="4" w:space="0" w:color="auto"/>
              <w:right w:val="nil"/>
            </w:tcBorders>
            <w:shd w:val="clear" w:color="auto" w:fill="auto"/>
            <w:vAlign w:val="bottom"/>
          </w:tcPr>
          <w:p w:rsidR="00A92189" w:rsidRPr="00BD7BB0" w:rsidRDefault="00A92189" w:rsidP="00250939">
            <w:pPr>
              <w:ind w:right="148"/>
              <w:jc w:val="right"/>
              <w:rPr>
                <w:rFonts w:cs="Arial"/>
                <w:sz w:val="22"/>
              </w:rPr>
            </w:pPr>
            <w:r w:rsidRPr="00BD7BB0">
              <w:rPr>
                <w:rFonts w:cs="Arial"/>
                <w:sz w:val="22"/>
              </w:rPr>
              <w:t>131</w:t>
            </w:r>
          </w:p>
        </w:tc>
      </w:tr>
      <w:tr w:rsidR="00A92189" w:rsidRPr="00C62C05" w:rsidTr="00250939">
        <w:trPr>
          <w:trHeight w:val="225"/>
        </w:trPr>
        <w:tc>
          <w:tcPr>
            <w:tcW w:w="379" w:type="pct"/>
            <w:tcBorders>
              <w:top w:val="nil"/>
              <w:left w:val="nil"/>
              <w:bottom w:val="single" w:sz="4" w:space="0" w:color="auto"/>
              <w:right w:val="nil"/>
            </w:tcBorders>
            <w:shd w:val="clear" w:color="auto" w:fill="auto"/>
            <w:noWrap/>
            <w:vAlign w:val="bottom"/>
            <w:hideMark/>
          </w:tcPr>
          <w:p w:rsidR="00A92189" w:rsidRPr="00BD7BB0" w:rsidRDefault="00A92189" w:rsidP="00250939">
            <w:pPr>
              <w:rPr>
                <w:rFonts w:cs="Arial"/>
                <w:color w:val="000000"/>
                <w:sz w:val="22"/>
                <w:lang w:eastAsia="it-CH"/>
              </w:rPr>
            </w:pPr>
            <w:r w:rsidRPr="00BD7BB0">
              <w:rPr>
                <w:rFonts w:cs="Arial"/>
                <w:color w:val="000000"/>
                <w:sz w:val="22"/>
                <w:lang w:eastAsia="it-CH"/>
              </w:rPr>
              <w:t>SG</w:t>
            </w:r>
          </w:p>
        </w:tc>
        <w:tc>
          <w:tcPr>
            <w:tcW w:w="3845" w:type="pct"/>
            <w:tcBorders>
              <w:top w:val="nil"/>
              <w:left w:val="nil"/>
              <w:bottom w:val="single" w:sz="4" w:space="0" w:color="auto"/>
              <w:right w:val="nil"/>
            </w:tcBorders>
            <w:shd w:val="clear" w:color="auto" w:fill="auto"/>
            <w:noWrap/>
            <w:vAlign w:val="bottom"/>
            <w:hideMark/>
          </w:tcPr>
          <w:p w:rsidR="00A92189" w:rsidRPr="00BD7BB0" w:rsidRDefault="00A92189" w:rsidP="00250939">
            <w:pPr>
              <w:rPr>
                <w:rFonts w:cs="Arial"/>
                <w:color w:val="000000"/>
                <w:sz w:val="22"/>
                <w:lang w:eastAsia="it-CH"/>
              </w:rPr>
            </w:pPr>
            <w:proofErr w:type="spellStart"/>
            <w:r w:rsidRPr="00BD7BB0">
              <w:rPr>
                <w:rFonts w:cs="Arial"/>
                <w:color w:val="000000"/>
                <w:sz w:val="22"/>
                <w:lang w:eastAsia="it-CH"/>
              </w:rPr>
              <w:t>Kantonsspital</w:t>
            </w:r>
            <w:proofErr w:type="spellEnd"/>
          </w:p>
        </w:tc>
        <w:tc>
          <w:tcPr>
            <w:tcW w:w="776" w:type="pct"/>
            <w:tcBorders>
              <w:top w:val="nil"/>
              <w:left w:val="nil"/>
              <w:bottom w:val="single" w:sz="4" w:space="0" w:color="auto"/>
              <w:right w:val="nil"/>
            </w:tcBorders>
            <w:shd w:val="clear" w:color="auto" w:fill="auto"/>
            <w:vAlign w:val="bottom"/>
          </w:tcPr>
          <w:p w:rsidR="00A92189" w:rsidRPr="00BD7BB0" w:rsidRDefault="00A92189" w:rsidP="00250939">
            <w:pPr>
              <w:ind w:right="148"/>
              <w:jc w:val="right"/>
              <w:rPr>
                <w:rFonts w:cs="Arial"/>
                <w:sz w:val="22"/>
              </w:rPr>
            </w:pPr>
            <w:r w:rsidRPr="00BD7BB0">
              <w:rPr>
                <w:rFonts w:cs="Arial"/>
                <w:sz w:val="22"/>
              </w:rPr>
              <w:t>113</w:t>
            </w:r>
          </w:p>
        </w:tc>
      </w:tr>
      <w:tr w:rsidR="00A92189" w:rsidRPr="00C62C05" w:rsidTr="00250939">
        <w:trPr>
          <w:trHeight w:val="225"/>
        </w:trPr>
        <w:tc>
          <w:tcPr>
            <w:tcW w:w="379" w:type="pct"/>
            <w:tcBorders>
              <w:top w:val="nil"/>
              <w:left w:val="nil"/>
              <w:bottom w:val="single" w:sz="4" w:space="0" w:color="auto"/>
              <w:right w:val="nil"/>
            </w:tcBorders>
            <w:shd w:val="clear" w:color="auto" w:fill="auto"/>
            <w:noWrap/>
            <w:vAlign w:val="bottom"/>
            <w:hideMark/>
          </w:tcPr>
          <w:p w:rsidR="00A92189" w:rsidRPr="00BD7BB0" w:rsidRDefault="00A92189" w:rsidP="00250939">
            <w:pPr>
              <w:rPr>
                <w:rFonts w:cs="Arial"/>
                <w:color w:val="000000"/>
                <w:sz w:val="22"/>
                <w:lang w:eastAsia="it-CH"/>
              </w:rPr>
            </w:pPr>
            <w:r w:rsidRPr="00BD7BB0">
              <w:rPr>
                <w:rFonts w:cs="Arial"/>
                <w:color w:val="000000"/>
                <w:sz w:val="22"/>
                <w:lang w:eastAsia="it-CH"/>
              </w:rPr>
              <w:t>BS</w:t>
            </w:r>
          </w:p>
        </w:tc>
        <w:tc>
          <w:tcPr>
            <w:tcW w:w="3845" w:type="pct"/>
            <w:tcBorders>
              <w:top w:val="nil"/>
              <w:left w:val="nil"/>
              <w:bottom w:val="single" w:sz="4" w:space="0" w:color="auto"/>
              <w:right w:val="nil"/>
            </w:tcBorders>
            <w:shd w:val="clear" w:color="auto" w:fill="auto"/>
            <w:noWrap/>
            <w:vAlign w:val="bottom"/>
            <w:hideMark/>
          </w:tcPr>
          <w:p w:rsidR="00A92189" w:rsidRPr="00BD7BB0" w:rsidRDefault="00A92189" w:rsidP="00250939">
            <w:pPr>
              <w:rPr>
                <w:rFonts w:cs="Arial"/>
                <w:color w:val="000000"/>
                <w:sz w:val="22"/>
                <w:lang w:eastAsia="it-CH"/>
              </w:rPr>
            </w:pPr>
            <w:proofErr w:type="spellStart"/>
            <w:r w:rsidRPr="00BD7BB0">
              <w:rPr>
                <w:rFonts w:cs="Arial"/>
                <w:color w:val="000000"/>
                <w:sz w:val="22"/>
                <w:lang w:eastAsia="it-CH"/>
              </w:rPr>
              <w:t>Universitàtsspital</w:t>
            </w:r>
            <w:proofErr w:type="spellEnd"/>
          </w:p>
        </w:tc>
        <w:tc>
          <w:tcPr>
            <w:tcW w:w="776" w:type="pct"/>
            <w:tcBorders>
              <w:top w:val="nil"/>
              <w:left w:val="nil"/>
              <w:bottom w:val="single" w:sz="4" w:space="0" w:color="auto"/>
              <w:right w:val="nil"/>
            </w:tcBorders>
            <w:shd w:val="clear" w:color="auto" w:fill="auto"/>
            <w:vAlign w:val="bottom"/>
          </w:tcPr>
          <w:p w:rsidR="00A92189" w:rsidRPr="00BD7BB0" w:rsidRDefault="00A92189" w:rsidP="00250939">
            <w:pPr>
              <w:ind w:right="148"/>
              <w:jc w:val="right"/>
              <w:rPr>
                <w:rFonts w:cs="Arial"/>
                <w:sz w:val="22"/>
              </w:rPr>
            </w:pPr>
            <w:r w:rsidRPr="00BD7BB0">
              <w:rPr>
                <w:rFonts w:cs="Arial"/>
                <w:sz w:val="22"/>
              </w:rPr>
              <w:t>112</w:t>
            </w:r>
          </w:p>
        </w:tc>
      </w:tr>
      <w:tr w:rsidR="00A92189" w:rsidRPr="00C62C05" w:rsidTr="00250939">
        <w:trPr>
          <w:trHeight w:val="225"/>
        </w:trPr>
        <w:tc>
          <w:tcPr>
            <w:tcW w:w="379" w:type="pct"/>
            <w:tcBorders>
              <w:top w:val="nil"/>
              <w:left w:val="nil"/>
              <w:bottom w:val="single" w:sz="4" w:space="0" w:color="auto"/>
              <w:right w:val="nil"/>
            </w:tcBorders>
            <w:shd w:val="clear" w:color="auto" w:fill="auto"/>
            <w:noWrap/>
            <w:vAlign w:val="bottom"/>
            <w:hideMark/>
          </w:tcPr>
          <w:p w:rsidR="00A92189" w:rsidRPr="00BD7BB0" w:rsidRDefault="00A92189" w:rsidP="00250939">
            <w:pPr>
              <w:rPr>
                <w:rFonts w:cs="Arial"/>
                <w:color w:val="000000"/>
                <w:sz w:val="22"/>
                <w:lang w:eastAsia="it-CH"/>
              </w:rPr>
            </w:pPr>
            <w:r w:rsidRPr="00BD7BB0">
              <w:rPr>
                <w:rFonts w:cs="Arial"/>
                <w:color w:val="000000"/>
                <w:sz w:val="22"/>
                <w:lang w:eastAsia="it-CH"/>
              </w:rPr>
              <w:t>ZH</w:t>
            </w:r>
          </w:p>
        </w:tc>
        <w:tc>
          <w:tcPr>
            <w:tcW w:w="3845" w:type="pct"/>
            <w:tcBorders>
              <w:top w:val="nil"/>
              <w:left w:val="nil"/>
              <w:bottom w:val="single" w:sz="4" w:space="0" w:color="auto"/>
              <w:right w:val="nil"/>
            </w:tcBorders>
            <w:shd w:val="clear" w:color="auto" w:fill="auto"/>
            <w:noWrap/>
            <w:vAlign w:val="bottom"/>
            <w:hideMark/>
          </w:tcPr>
          <w:p w:rsidR="00A92189" w:rsidRPr="00BD7BB0" w:rsidRDefault="00A92189" w:rsidP="00250939">
            <w:pPr>
              <w:rPr>
                <w:rFonts w:cs="Arial"/>
                <w:color w:val="000000"/>
                <w:sz w:val="22"/>
                <w:lang w:eastAsia="it-CH"/>
              </w:rPr>
            </w:pPr>
            <w:proofErr w:type="spellStart"/>
            <w:r w:rsidRPr="00BD7BB0">
              <w:rPr>
                <w:rFonts w:cs="Arial"/>
                <w:color w:val="000000"/>
                <w:sz w:val="22"/>
                <w:lang w:eastAsia="it-CH"/>
              </w:rPr>
              <w:t>UniversitàtsklinikBalgrist</w:t>
            </w:r>
            <w:proofErr w:type="spellEnd"/>
          </w:p>
        </w:tc>
        <w:tc>
          <w:tcPr>
            <w:tcW w:w="776" w:type="pct"/>
            <w:tcBorders>
              <w:top w:val="nil"/>
              <w:left w:val="nil"/>
              <w:bottom w:val="single" w:sz="4" w:space="0" w:color="auto"/>
              <w:right w:val="nil"/>
            </w:tcBorders>
            <w:shd w:val="clear" w:color="auto" w:fill="auto"/>
            <w:vAlign w:val="bottom"/>
          </w:tcPr>
          <w:p w:rsidR="00A92189" w:rsidRPr="00BD7BB0" w:rsidRDefault="00A92189" w:rsidP="00250939">
            <w:pPr>
              <w:ind w:right="148"/>
              <w:jc w:val="right"/>
              <w:rPr>
                <w:rFonts w:cs="Arial"/>
                <w:sz w:val="22"/>
              </w:rPr>
            </w:pPr>
            <w:r w:rsidRPr="00BD7BB0">
              <w:rPr>
                <w:rFonts w:cs="Arial"/>
                <w:sz w:val="22"/>
              </w:rPr>
              <w:t>110</w:t>
            </w:r>
          </w:p>
        </w:tc>
      </w:tr>
      <w:tr w:rsidR="00A92189" w:rsidRPr="00C62C05" w:rsidTr="00250939">
        <w:trPr>
          <w:trHeight w:val="225"/>
        </w:trPr>
        <w:tc>
          <w:tcPr>
            <w:tcW w:w="379" w:type="pct"/>
            <w:tcBorders>
              <w:top w:val="nil"/>
              <w:left w:val="nil"/>
              <w:bottom w:val="single" w:sz="4" w:space="0" w:color="auto"/>
              <w:right w:val="nil"/>
            </w:tcBorders>
            <w:shd w:val="clear" w:color="auto" w:fill="auto"/>
            <w:noWrap/>
            <w:vAlign w:val="bottom"/>
            <w:hideMark/>
          </w:tcPr>
          <w:p w:rsidR="00A92189" w:rsidRPr="00BD7BB0" w:rsidRDefault="00A92189" w:rsidP="00250939">
            <w:pPr>
              <w:rPr>
                <w:rFonts w:cs="Arial"/>
                <w:color w:val="000000"/>
                <w:sz w:val="22"/>
                <w:lang w:eastAsia="it-CH"/>
              </w:rPr>
            </w:pPr>
            <w:r w:rsidRPr="00BD7BB0">
              <w:rPr>
                <w:rFonts w:cs="Arial"/>
                <w:color w:val="000000"/>
                <w:sz w:val="22"/>
                <w:lang w:eastAsia="it-CH"/>
              </w:rPr>
              <w:t>ZH</w:t>
            </w:r>
          </w:p>
        </w:tc>
        <w:tc>
          <w:tcPr>
            <w:tcW w:w="3845" w:type="pct"/>
            <w:tcBorders>
              <w:top w:val="nil"/>
              <w:left w:val="nil"/>
              <w:bottom w:val="single" w:sz="4" w:space="0" w:color="auto"/>
              <w:right w:val="nil"/>
            </w:tcBorders>
            <w:shd w:val="clear" w:color="auto" w:fill="auto"/>
            <w:noWrap/>
            <w:vAlign w:val="bottom"/>
            <w:hideMark/>
          </w:tcPr>
          <w:p w:rsidR="00A92189" w:rsidRPr="00BD7BB0" w:rsidRDefault="00A92189" w:rsidP="00250939">
            <w:pPr>
              <w:rPr>
                <w:rFonts w:cs="Arial"/>
                <w:color w:val="000000"/>
                <w:sz w:val="22"/>
                <w:lang w:eastAsia="it-CH"/>
              </w:rPr>
            </w:pPr>
            <w:proofErr w:type="spellStart"/>
            <w:r w:rsidRPr="00BD7BB0">
              <w:rPr>
                <w:rFonts w:cs="Arial"/>
                <w:color w:val="000000"/>
                <w:sz w:val="22"/>
                <w:lang w:eastAsia="it-CH"/>
              </w:rPr>
              <w:t>Kinderspital</w:t>
            </w:r>
            <w:proofErr w:type="spellEnd"/>
          </w:p>
        </w:tc>
        <w:tc>
          <w:tcPr>
            <w:tcW w:w="776" w:type="pct"/>
            <w:tcBorders>
              <w:top w:val="nil"/>
              <w:left w:val="nil"/>
              <w:bottom w:val="single" w:sz="4" w:space="0" w:color="auto"/>
              <w:right w:val="nil"/>
            </w:tcBorders>
            <w:shd w:val="clear" w:color="auto" w:fill="auto"/>
            <w:vAlign w:val="bottom"/>
          </w:tcPr>
          <w:p w:rsidR="00A92189" w:rsidRPr="00BD7BB0" w:rsidRDefault="00A92189" w:rsidP="00250939">
            <w:pPr>
              <w:ind w:right="148"/>
              <w:jc w:val="right"/>
              <w:rPr>
                <w:rFonts w:cs="Arial"/>
                <w:sz w:val="22"/>
              </w:rPr>
            </w:pPr>
            <w:r w:rsidRPr="00BD7BB0">
              <w:rPr>
                <w:rFonts w:cs="Arial"/>
                <w:sz w:val="22"/>
              </w:rPr>
              <w:t>86</w:t>
            </w:r>
          </w:p>
        </w:tc>
      </w:tr>
      <w:tr w:rsidR="00A92189" w:rsidRPr="00C62C05" w:rsidTr="00250939">
        <w:trPr>
          <w:trHeight w:val="225"/>
        </w:trPr>
        <w:tc>
          <w:tcPr>
            <w:tcW w:w="379" w:type="pct"/>
            <w:tcBorders>
              <w:top w:val="nil"/>
              <w:left w:val="nil"/>
              <w:bottom w:val="single" w:sz="4" w:space="0" w:color="auto"/>
              <w:right w:val="nil"/>
            </w:tcBorders>
            <w:shd w:val="clear" w:color="auto" w:fill="auto"/>
            <w:noWrap/>
            <w:vAlign w:val="bottom"/>
            <w:hideMark/>
          </w:tcPr>
          <w:p w:rsidR="00A92189" w:rsidRPr="00BD7BB0" w:rsidRDefault="00A92189" w:rsidP="00250939">
            <w:pPr>
              <w:rPr>
                <w:rFonts w:cs="Arial"/>
                <w:color w:val="000000"/>
                <w:sz w:val="22"/>
                <w:lang w:eastAsia="it-CH"/>
              </w:rPr>
            </w:pPr>
            <w:r w:rsidRPr="00BD7BB0">
              <w:rPr>
                <w:rFonts w:cs="Arial"/>
                <w:color w:val="000000"/>
                <w:sz w:val="22"/>
                <w:lang w:eastAsia="it-CH"/>
              </w:rPr>
              <w:lastRenderedPageBreak/>
              <w:t>LU</w:t>
            </w:r>
          </w:p>
        </w:tc>
        <w:tc>
          <w:tcPr>
            <w:tcW w:w="3845" w:type="pct"/>
            <w:tcBorders>
              <w:top w:val="nil"/>
              <w:left w:val="nil"/>
              <w:bottom w:val="single" w:sz="4" w:space="0" w:color="auto"/>
              <w:right w:val="nil"/>
            </w:tcBorders>
            <w:shd w:val="clear" w:color="auto" w:fill="auto"/>
            <w:noWrap/>
            <w:vAlign w:val="bottom"/>
            <w:hideMark/>
          </w:tcPr>
          <w:p w:rsidR="00A92189" w:rsidRPr="00BD7BB0" w:rsidRDefault="00A92189" w:rsidP="00250939">
            <w:pPr>
              <w:rPr>
                <w:rFonts w:cs="Arial"/>
                <w:color w:val="000000"/>
                <w:sz w:val="22"/>
                <w:lang w:eastAsia="it-CH"/>
              </w:rPr>
            </w:pPr>
            <w:proofErr w:type="spellStart"/>
            <w:r w:rsidRPr="00BD7BB0">
              <w:rPr>
                <w:rFonts w:cs="Arial"/>
                <w:color w:val="000000"/>
                <w:sz w:val="22"/>
                <w:lang w:eastAsia="it-CH"/>
              </w:rPr>
              <w:t>KlinikSt.Anna</w:t>
            </w:r>
            <w:proofErr w:type="spellEnd"/>
          </w:p>
        </w:tc>
        <w:tc>
          <w:tcPr>
            <w:tcW w:w="776" w:type="pct"/>
            <w:tcBorders>
              <w:top w:val="nil"/>
              <w:left w:val="nil"/>
              <w:bottom w:val="single" w:sz="4" w:space="0" w:color="auto"/>
              <w:right w:val="nil"/>
            </w:tcBorders>
            <w:shd w:val="clear" w:color="auto" w:fill="auto"/>
            <w:vAlign w:val="bottom"/>
          </w:tcPr>
          <w:p w:rsidR="00A92189" w:rsidRPr="00BD7BB0" w:rsidRDefault="00A92189" w:rsidP="00250939">
            <w:pPr>
              <w:ind w:right="148"/>
              <w:jc w:val="right"/>
              <w:rPr>
                <w:rFonts w:cs="Arial"/>
                <w:sz w:val="22"/>
              </w:rPr>
            </w:pPr>
            <w:r w:rsidRPr="00BD7BB0">
              <w:rPr>
                <w:rFonts w:cs="Arial"/>
                <w:sz w:val="22"/>
              </w:rPr>
              <w:t>77</w:t>
            </w:r>
          </w:p>
        </w:tc>
      </w:tr>
      <w:tr w:rsidR="00A92189" w:rsidRPr="00C62C05" w:rsidTr="00250939">
        <w:trPr>
          <w:trHeight w:val="225"/>
        </w:trPr>
        <w:tc>
          <w:tcPr>
            <w:tcW w:w="379" w:type="pct"/>
            <w:tcBorders>
              <w:top w:val="nil"/>
              <w:left w:val="nil"/>
              <w:bottom w:val="single" w:sz="4" w:space="0" w:color="auto"/>
              <w:right w:val="nil"/>
            </w:tcBorders>
            <w:shd w:val="clear" w:color="auto" w:fill="auto"/>
            <w:noWrap/>
            <w:vAlign w:val="bottom"/>
            <w:hideMark/>
          </w:tcPr>
          <w:p w:rsidR="00A92189" w:rsidRPr="00BD7BB0" w:rsidRDefault="00A92189" w:rsidP="00250939">
            <w:pPr>
              <w:rPr>
                <w:rFonts w:cs="Arial"/>
                <w:color w:val="000000"/>
                <w:sz w:val="22"/>
                <w:lang w:eastAsia="it-CH"/>
              </w:rPr>
            </w:pPr>
            <w:r w:rsidRPr="00BD7BB0">
              <w:rPr>
                <w:rFonts w:cs="Arial"/>
                <w:color w:val="000000"/>
                <w:sz w:val="22"/>
                <w:lang w:eastAsia="it-CH"/>
              </w:rPr>
              <w:t>GR</w:t>
            </w:r>
          </w:p>
        </w:tc>
        <w:tc>
          <w:tcPr>
            <w:tcW w:w="3845" w:type="pct"/>
            <w:tcBorders>
              <w:top w:val="nil"/>
              <w:left w:val="nil"/>
              <w:bottom w:val="single" w:sz="4" w:space="0" w:color="auto"/>
              <w:right w:val="nil"/>
            </w:tcBorders>
            <w:shd w:val="clear" w:color="auto" w:fill="auto"/>
            <w:noWrap/>
            <w:vAlign w:val="bottom"/>
            <w:hideMark/>
          </w:tcPr>
          <w:p w:rsidR="00A92189" w:rsidRPr="00BD7BB0" w:rsidRDefault="00A92189" w:rsidP="00250939">
            <w:pPr>
              <w:rPr>
                <w:rFonts w:cs="Arial"/>
                <w:color w:val="000000"/>
                <w:sz w:val="22"/>
                <w:lang w:val="de-CH" w:eastAsia="it-CH"/>
              </w:rPr>
            </w:pPr>
            <w:r w:rsidRPr="00BD7BB0">
              <w:rPr>
                <w:rFonts w:cs="Arial"/>
                <w:color w:val="000000"/>
                <w:sz w:val="22"/>
                <w:lang w:val="de-CH" w:eastAsia="it-CH"/>
              </w:rPr>
              <w:t>Klinik Gut St. Moritz AG</w:t>
            </w:r>
          </w:p>
        </w:tc>
        <w:tc>
          <w:tcPr>
            <w:tcW w:w="776" w:type="pct"/>
            <w:tcBorders>
              <w:top w:val="nil"/>
              <w:left w:val="nil"/>
              <w:bottom w:val="single" w:sz="4" w:space="0" w:color="auto"/>
              <w:right w:val="nil"/>
            </w:tcBorders>
            <w:shd w:val="clear" w:color="auto" w:fill="auto"/>
            <w:vAlign w:val="bottom"/>
          </w:tcPr>
          <w:p w:rsidR="00A92189" w:rsidRPr="00BD7BB0" w:rsidRDefault="00A92189" w:rsidP="00250939">
            <w:pPr>
              <w:ind w:right="148"/>
              <w:jc w:val="right"/>
              <w:rPr>
                <w:rFonts w:cs="Arial"/>
                <w:sz w:val="22"/>
              </w:rPr>
            </w:pPr>
            <w:r w:rsidRPr="00BD7BB0">
              <w:rPr>
                <w:rFonts w:cs="Arial"/>
                <w:sz w:val="22"/>
              </w:rPr>
              <w:t>64</w:t>
            </w:r>
          </w:p>
        </w:tc>
      </w:tr>
      <w:tr w:rsidR="00A92189" w:rsidRPr="00C62C05" w:rsidTr="00250939">
        <w:trPr>
          <w:trHeight w:val="225"/>
        </w:trPr>
        <w:tc>
          <w:tcPr>
            <w:tcW w:w="379" w:type="pct"/>
            <w:tcBorders>
              <w:top w:val="nil"/>
              <w:left w:val="nil"/>
              <w:bottom w:val="single" w:sz="4" w:space="0" w:color="auto"/>
              <w:right w:val="nil"/>
            </w:tcBorders>
            <w:shd w:val="clear" w:color="auto" w:fill="auto"/>
            <w:noWrap/>
            <w:vAlign w:val="bottom"/>
            <w:hideMark/>
          </w:tcPr>
          <w:p w:rsidR="00A92189" w:rsidRPr="00BD7BB0" w:rsidRDefault="00A92189" w:rsidP="00250939">
            <w:pPr>
              <w:rPr>
                <w:rFonts w:cs="Arial"/>
                <w:color w:val="000000"/>
                <w:sz w:val="22"/>
                <w:lang w:eastAsia="it-CH"/>
              </w:rPr>
            </w:pPr>
            <w:r w:rsidRPr="00BD7BB0">
              <w:rPr>
                <w:rFonts w:cs="Arial"/>
                <w:color w:val="000000"/>
                <w:sz w:val="22"/>
                <w:lang w:eastAsia="it-CH"/>
              </w:rPr>
              <w:t>GR</w:t>
            </w:r>
          </w:p>
        </w:tc>
        <w:tc>
          <w:tcPr>
            <w:tcW w:w="3845" w:type="pct"/>
            <w:tcBorders>
              <w:top w:val="nil"/>
              <w:left w:val="nil"/>
              <w:bottom w:val="single" w:sz="4" w:space="0" w:color="auto"/>
              <w:right w:val="nil"/>
            </w:tcBorders>
            <w:shd w:val="clear" w:color="auto" w:fill="auto"/>
            <w:noWrap/>
            <w:vAlign w:val="bottom"/>
            <w:hideMark/>
          </w:tcPr>
          <w:p w:rsidR="00A92189" w:rsidRPr="00BD7BB0" w:rsidRDefault="00A92189" w:rsidP="00250939">
            <w:pPr>
              <w:rPr>
                <w:rFonts w:cs="Arial"/>
                <w:color w:val="000000"/>
                <w:sz w:val="22"/>
                <w:lang w:val="de-CH" w:eastAsia="it-CH"/>
              </w:rPr>
            </w:pPr>
            <w:proofErr w:type="spellStart"/>
            <w:r w:rsidRPr="00BD7BB0">
              <w:rPr>
                <w:rFonts w:cs="Arial"/>
                <w:color w:val="000000"/>
                <w:sz w:val="22"/>
                <w:lang w:val="de-CH" w:eastAsia="it-CH"/>
              </w:rPr>
              <w:t>Rätisches</w:t>
            </w:r>
            <w:proofErr w:type="spellEnd"/>
            <w:r w:rsidRPr="00BD7BB0">
              <w:rPr>
                <w:rFonts w:cs="Arial"/>
                <w:color w:val="000000"/>
                <w:sz w:val="22"/>
                <w:lang w:val="de-CH" w:eastAsia="it-CH"/>
              </w:rPr>
              <w:t xml:space="preserve"> Kantons-&amp; Regional-Spital</w:t>
            </w:r>
          </w:p>
        </w:tc>
        <w:tc>
          <w:tcPr>
            <w:tcW w:w="776" w:type="pct"/>
            <w:tcBorders>
              <w:top w:val="nil"/>
              <w:left w:val="nil"/>
              <w:bottom w:val="single" w:sz="4" w:space="0" w:color="auto"/>
              <w:right w:val="nil"/>
            </w:tcBorders>
            <w:shd w:val="clear" w:color="auto" w:fill="auto"/>
            <w:vAlign w:val="bottom"/>
          </w:tcPr>
          <w:p w:rsidR="00A92189" w:rsidRPr="00BD7BB0" w:rsidRDefault="00A92189" w:rsidP="00250939">
            <w:pPr>
              <w:ind w:right="148"/>
              <w:jc w:val="right"/>
              <w:rPr>
                <w:rFonts w:cs="Arial"/>
                <w:sz w:val="22"/>
              </w:rPr>
            </w:pPr>
            <w:r w:rsidRPr="00BD7BB0">
              <w:rPr>
                <w:rFonts w:cs="Arial"/>
                <w:sz w:val="22"/>
              </w:rPr>
              <w:t>62</w:t>
            </w:r>
          </w:p>
        </w:tc>
      </w:tr>
      <w:tr w:rsidR="00A92189" w:rsidRPr="00C62C05" w:rsidTr="00250939">
        <w:trPr>
          <w:trHeight w:val="225"/>
        </w:trPr>
        <w:tc>
          <w:tcPr>
            <w:tcW w:w="379" w:type="pct"/>
            <w:tcBorders>
              <w:top w:val="nil"/>
              <w:left w:val="nil"/>
              <w:bottom w:val="single" w:sz="4" w:space="0" w:color="auto"/>
              <w:right w:val="nil"/>
            </w:tcBorders>
            <w:shd w:val="clear" w:color="auto" w:fill="auto"/>
            <w:noWrap/>
            <w:vAlign w:val="bottom"/>
            <w:hideMark/>
          </w:tcPr>
          <w:p w:rsidR="00A92189" w:rsidRPr="00BD7BB0" w:rsidRDefault="00A92189" w:rsidP="00250939">
            <w:pPr>
              <w:rPr>
                <w:rFonts w:cs="Arial"/>
                <w:color w:val="000000"/>
                <w:sz w:val="22"/>
                <w:lang w:eastAsia="it-CH"/>
              </w:rPr>
            </w:pPr>
            <w:r w:rsidRPr="00BD7BB0">
              <w:rPr>
                <w:rFonts w:cs="Arial"/>
                <w:color w:val="000000"/>
                <w:sz w:val="22"/>
                <w:lang w:eastAsia="it-CH"/>
              </w:rPr>
              <w:t>BS</w:t>
            </w:r>
          </w:p>
        </w:tc>
        <w:tc>
          <w:tcPr>
            <w:tcW w:w="3845" w:type="pct"/>
            <w:tcBorders>
              <w:top w:val="nil"/>
              <w:left w:val="nil"/>
              <w:bottom w:val="single" w:sz="4" w:space="0" w:color="auto"/>
              <w:right w:val="nil"/>
            </w:tcBorders>
            <w:shd w:val="clear" w:color="auto" w:fill="auto"/>
            <w:noWrap/>
            <w:vAlign w:val="bottom"/>
            <w:hideMark/>
          </w:tcPr>
          <w:p w:rsidR="00A92189" w:rsidRPr="00BD7BB0" w:rsidRDefault="00A92189" w:rsidP="00250939">
            <w:pPr>
              <w:rPr>
                <w:rFonts w:cs="Arial"/>
                <w:color w:val="000000"/>
                <w:sz w:val="22"/>
                <w:lang w:eastAsia="it-CH"/>
              </w:rPr>
            </w:pPr>
            <w:proofErr w:type="spellStart"/>
            <w:r w:rsidRPr="00BD7BB0">
              <w:rPr>
                <w:rFonts w:cs="Arial"/>
                <w:color w:val="000000"/>
                <w:sz w:val="22"/>
                <w:lang w:eastAsia="it-CH"/>
              </w:rPr>
              <w:t>Universitäts-Kinderspital</w:t>
            </w:r>
            <w:proofErr w:type="spellEnd"/>
          </w:p>
        </w:tc>
        <w:tc>
          <w:tcPr>
            <w:tcW w:w="776" w:type="pct"/>
            <w:tcBorders>
              <w:top w:val="nil"/>
              <w:left w:val="nil"/>
              <w:bottom w:val="single" w:sz="4" w:space="0" w:color="auto"/>
              <w:right w:val="nil"/>
            </w:tcBorders>
            <w:shd w:val="clear" w:color="auto" w:fill="auto"/>
            <w:vAlign w:val="bottom"/>
          </w:tcPr>
          <w:p w:rsidR="00A92189" w:rsidRPr="00BD7BB0" w:rsidRDefault="00A92189" w:rsidP="00250939">
            <w:pPr>
              <w:ind w:right="148"/>
              <w:jc w:val="right"/>
              <w:rPr>
                <w:rFonts w:cs="Arial"/>
                <w:sz w:val="22"/>
              </w:rPr>
            </w:pPr>
            <w:r w:rsidRPr="00BD7BB0">
              <w:rPr>
                <w:rFonts w:cs="Arial"/>
                <w:sz w:val="22"/>
              </w:rPr>
              <w:t>50</w:t>
            </w:r>
          </w:p>
        </w:tc>
      </w:tr>
      <w:tr w:rsidR="00A92189" w:rsidRPr="00C62C05" w:rsidTr="00250939">
        <w:trPr>
          <w:trHeight w:val="225"/>
        </w:trPr>
        <w:tc>
          <w:tcPr>
            <w:tcW w:w="379" w:type="pct"/>
            <w:tcBorders>
              <w:top w:val="nil"/>
              <w:left w:val="nil"/>
              <w:bottom w:val="single" w:sz="4" w:space="0" w:color="auto"/>
              <w:right w:val="nil"/>
            </w:tcBorders>
            <w:shd w:val="clear" w:color="auto" w:fill="auto"/>
            <w:noWrap/>
            <w:vAlign w:val="bottom"/>
            <w:hideMark/>
          </w:tcPr>
          <w:p w:rsidR="00A92189" w:rsidRPr="00BD7BB0" w:rsidRDefault="00A92189" w:rsidP="00250939">
            <w:pPr>
              <w:rPr>
                <w:rFonts w:cs="Arial"/>
                <w:color w:val="000000"/>
                <w:sz w:val="22"/>
                <w:lang w:eastAsia="it-CH"/>
              </w:rPr>
            </w:pPr>
            <w:r w:rsidRPr="00BD7BB0">
              <w:rPr>
                <w:rFonts w:cs="Arial"/>
                <w:color w:val="000000"/>
                <w:sz w:val="22"/>
                <w:lang w:eastAsia="it-CH"/>
              </w:rPr>
              <w:t>GR</w:t>
            </w:r>
          </w:p>
        </w:tc>
        <w:tc>
          <w:tcPr>
            <w:tcW w:w="3845" w:type="pct"/>
            <w:tcBorders>
              <w:top w:val="nil"/>
              <w:left w:val="nil"/>
              <w:bottom w:val="single" w:sz="4" w:space="0" w:color="auto"/>
              <w:right w:val="nil"/>
            </w:tcBorders>
            <w:shd w:val="clear" w:color="auto" w:fill="auto"/>
            <w:noWrap/>
            <w:vAlign w:val="bottom"/>
            <w:hideMark/>
          </w:tcPr>
          <w:p w:rsidR="00A92189" w:rsidRPr="00BD7BB0" w:rsidRDefault="00A92189" w:rsidP="00250939">
            <w:pPr>
              <w:rPr>
                <w:rFonts w:cs="Arial"/>
                <w:color w:val="000000"/>
                <w:sz w:val="22"/>
                <w:lang w:eastAsia="it-CH"/>
              </w:rPr>
            </w:pPr>
            <w:proofErr w:type="spellStart"/>
            <w:r w:rsidRPr="00BD7BB0">
              <w:rPr>
                <w:rFonts w:cs="Arial"/>
                <w:color w:val="000000"/>
                <w:sz w:val="22"/>
                <w:lang w:eastAsia="it-CH"/>
              </w:rPr>
              <w:t>SpitalOberengadin</w:t>
            </w:r>
            <w:proofErr w:type="spellEnd"/>
          </w:p>
        </w:tc>
        <w:tc>
          <w:tcPr>
            <w:tcW w:w="776" w:type="pct"/>
            <w:tcBorders>
              <w:top w:val="nil"/>
              <w:left w:val="nil"/>
              <w:bottom w:val="single" w:sz="4" w:space="0" w:color="auto"/>
              <w:right w:val="nil"/>
            </w:tcBorders>
            <w:shd w:val="clear" w:color="auto" w:fill="auto"/>
            <w:vAlign w:val="bottom"/>
          </w:tcPr>
          <w:p w:rsidR="00A92189" w:rsidRPr="00BD7BB0" w:rsidRDefault="00A92189" w:rsidP="00250939">
            <w:pPr>
              <w:ind w:right="148"/>
              <w:jc w:val="right"/>
              <w:rPr>
                <w:rFonts w:cs="Arial"/>
                <w:sz w:val="22"/>
              </w:rPr>
            </w:pPr>
            <w:r w:rsidRPr="00BD7BB0">
              <w:rPr>
                <w:rFonts w:cs="Arial"/>
                <w:sz w:val="22"/>
              </w:rPr>
              <w:t>47</w:t>
            </w:r>
          </w:p>
        </w:tc>
      </w:tr>
      <w:tr w:rsidR="00A92189" w:rsidRPr="00C62C05" w:rsidTr="00250939">
        <w:trPr>
          <w:trHeight w:val="225"/>
        </w:trPr>
        <w:tc>
          <w:tcPr>
            <w:tcW w:w="379" w:type="pct"/>
            <w:tcBorders>
              <w:top w:val="nil"/>
              <w:left w:val="nil"/>
              <w:bottom w:val="single" w:sz="4" w:space="0" w:color="auto"/>
              <w:right w:val="nil"/>
            </w:tcBorders>
            <w:shd w:val="clear" w:color="auto" w:fill="auto"/>
            <w:noWrap/>
            <w:vAlign w:val="bottom"/>
            <w:hideMark/>
          </w:tcPr>
          <w:p w:rsidR="00A92189" w:rsidRPr="00BD7BB0" w:rsidRDefault="00A92189" w:rsidP="00250939">
            <w:pPr>
              <w:rPr>
                <w:rFonts w:cs="Arial"/>
                <w:color w:val="000000"/>
                <w:sz w:val="22"/>
                <w:lang w:eastAsia="it-CH"/>
              </w:rPr>
            </w:pPr>
            <w:r w:rsidRPr="00BD7BB0">
              <w:rPr>
                <w:rFonts w:cs="Arial"/>
                <w:color w:val="000000"/>
                <w:sz w:val="22"/>
                <w:lang w:eastAsia="it-CH"/>
              </w:rPr>
              <w:t>ZH</w:t>
            </w:r>
          </w:p>
        </w:tc>
        <w:tc>
          <w:tcPr>
            <w:tcW w:w="3845" w:type="pct"/>
            <w:tcBorders>
              <w:top w:val="nil"/>
              <w:left w:val="nil"/>
              <w:bottom w:val="single" w:sz="4" w:space="0" w:color="auto"/>
              <w:right w:val="nil"/>
            </w:tcBorders>
            <w:shd w:val="clear" w:color="auto" w:fill="auto"/>
            <w:noWrap/>
            <w:vAlign w:val="bottom"/>
            <w:hideMark/>
          </w:tcPr>
          <w:p w:rsidR="00A92189" w:rsidRPr="00BD7BB0" w:rsidRDefault="00A92189" w:rsidP="00250939">
            <w:pPr>
              <w:rPr>
                <w:rFonts w:cs="Arial"/>
                <w:color w:val="000000"/>
                <w:sz w:val="22"/>
                <w:lang w:eastAsia="it-CH"/>
              </w:rPr>
            </w:pPr>
            <w:proofErr w:type="spellStart"/>
            <w:r w:rsidRPr="00BD7BB0">
              <w:rPr>
                <w:rFonts w:cs="Arial"/>
                <w:color w:val="000000"/>
                <w:sz w:val="22"/>
                <w:lang w:eastAsia="it-CH"/>
              </w:rPr>
              <w:t>Klinik</w:t>
            </w:r>
            <w:proofErr w:type="spellEnd"/>
            <w:r w:rsidRPr="00BD7BB0">
              <w:rPr>
                <w:rFonts w:cs="Arial"/>
                <w:color w:val="000000"/>
                <w:sz w:val="22"/>
                <w:lang w:eastAsia="it-CH"/>
              </w:rPr>
              <w:t xml:space="preserve"> Im Park </w:t>
            </w:r>
          </w:p>
        </w:tc>
        <w:tc>
          <w:tcPr>
            <w:tcW w:w="776" w:type="pct"/>
            <w:tcBorders>
              <w:top w:val="nil"/>
              <w:left w:val="nil"/>
              <w:bottom w:val="single" w:sz="4" w:space="0" w:color="auto"/>
              <w:right w:val="nil"/>
            </w:tcBorders>
            <w:shd w:val="clear" w:color="auto" w:fill="auto"/>
            <w:vAlign w:val="bottom"/>
          </w:tcPr>
          <w:p w:rsidR="00A92189" w:rsidRPr="00BD7BB0" w:rsidRDefault="00A92189" w:rsidP="00250939">
            <w:pPr>
              <w:ind w:right="148"/>
              <w:jc w:val="right"/>
              <w:rPr>
                <w:rFonts w:cs="Arial"/>
                <w:sz w:val="22"/>
              </w:rPr>
            </w:pPr>
            <w:r w:rsidRPr="00BD7BB0">
              <w:rPr>
                <w:rFonts w:cs="Arial"/>
                <w:sz w:val="22"/>
              </w:rPr>
              <w:t>44</w:t>
            </w:r>
          </w:p>
        </w:tc>
      </w:tr>
      <w:tr w:rsidR="00A92189" w:rsidRPr="00C62C05" w:rsidTr="00250939">
        <w:trPr>
          <w:trHeight w:val="225"/>
        </w:trPr>
        <w:tc>
          <w:tcPr>
            <w:tcW w:w="379" w:type="pct"/>
            <w:tcBorders>
              <w:top w:val="nil"/>
              <w:left w:val="nil"/>
              <w:bottom w:val="single" w:sz="4" w:space="0" w:color="auto"/>
              <w:right w:val="nil"/>
            </w:tcBorders>
            <w:shd w:val="clear" w:color="auto" w:fill="auto"/>
            <w:noWrap/>
            <w:vAlign w:val="bottom"/>
            <w:hideMark/>
          </w:tcPr>
          <w:p w:rsidR="00A92189" w:rsidRPr="00BD7BB0" w:rsidRDefault="00A92189" w:rsidP="00250939">
            <w:pPr>
              <w:rPr>
                <w:rFonts w:cs="Arial"/>
                <w:color w:val="000000"/>
                <w:sz w:val="22"/>
                <w:lang w:eastAsia="it-CH"/>
              </w:rPr>
            </w:pPr>
            <w:r w:rsidRPr="00BD7BB0">
              <w:rPr>
                <w:rFonts w:cs="Arial"/>
                <w:color w:val="000000"/>
                <w:sz w:val="22"/>
                <w:lang w:eastAsia="it-CH"/>
              </w:rPr>
              <w:t>LU</w:t>
            </w:r>
          </w:p>
        </w:tc>
        <w:tc>
          <w:tcPr>
            <w:tcW w:w="3845" w:type="pct"/>
            <w:tcBorders>
              <w:top w:val="nil"/>
              <w:left w:val="nil"/>
              <w:bottom w:val="single" w:sz="4" w:space="0" w:color="auto"/>
              <w:right w:val="nil"/>
            </w:tcBorders>
            <w:shd w:val="clear" w:color="auto" w:fill="auto"/>
            <w:noWrap/>
            <w:vAlign w:val="bottom"/>
            <w:hideMark/>
          </w:tcPr>
          <w:p w:rsidR="00A92189" w:rsidRPr="00BD7BB0" w:rsidRDefault="00A92189" w:rsidP="00250939">
            <w:pPr>
              <w:rPr>
                <w:rFonts w:cs="Arial"/>
                <w:color w:val="000000"/>
                <w:sz w:val="22"/>
                <w:lang w:eastAsia="it-CH"/>
              </w:rPr>
            </w:pPr>
            <w:proofErr w:type="spellStart"/>
            <w:r w:rsidRPr="00BD7BB0">
              <w:rPr>
                <w:rFonts w:cs="Arial"/>
                <w:color w:val="000000"/>
                <w:sz w:val="22"/>
                <w:lang w:eastAsia="it-CH"/>
              </w:rPr>
              <w:t>SchweizerParaplegikerzentrumNottwill</w:t>
            </w:r>
            <w:proofErr w:type="spellEnd"/>
          </w:p>
        </w:tc>
        <w:tc>
          <w:tcPr>
            <w:tcW w:w="776" w:type="pct"/>
            <w:tcBorders>
              <w:top w:val="nil"/>
              <w:left w:val="nil"/>
              <w:bottom w:val="single" w:sz="4" w:space="0" w:color="auto"/>
              <w:right w:val="nil"/>
            </w:tcBorders>
            <w:shd w:val="clear" w:color="auto" w:fill="auto"/>
            <w:vAlign w:val="bottom"/>
          </w:tcPr>
          <w:p w:rsidR="00A92189" w:rsidRPr="00BD7BB0" w:rsidRDefault="00A92189" w:rsidP="00250939">
            <w:pPr>
              <w:ind w:right="148"/>
              <w:jc w:val="right"/>
              <w:rPr>
                <w:rFonts w:cs="Arial"/>
                <w:sz w:val="22"/>
              </w:rPr>
            </w:pPr>
            <w:r w:rsidRPr="00BD7BB0">
              <w:rPr>
                <w:rFonts w:cs="Arial"/>
                <w:sz w:val="22"/>
              </w:rPr>
              <w:t>41</w:t>
            </w:r>
          </w:p>
        </w:tc>
      </w:tr>
      <w:tr w:rsidR="00A92189" w:rsidRPr="00C62C05" w:rsidTr="00250939">
        <w:trPr>
          <w:trHeight w:val="225"/>
        </w:trPr>
        <w:tc>
          <w:tcPr>
            <w:tcW w:w="379" w:type="pct"/>
            <w:tcBorders>
              <w:top w:val="nil"/>
              <w:left w:val="nil"/>
              <w:bottom w:val="single" w:sz="4" w:space="0" w:color="auto"/>
              <w:right w:val="nil"/>
            </w:tcBorders>
            <w:shd w:val="clear" w:color="auto" w:fill="auto"/>
            <w:noWrap/>
            <w:vAlign w:val="bottom"/>
            <w:hideMark/>
          </w:tcPr>
          <w:p w:rsidR="00A92189" w:rsidRPr="00BD7BB0" w:rsidRDefault="00A92189" w:rsidP="00250939">
            <w:pPr>
              <w:rPr>
                <w:rFonts w:cs="Arial"/>
                <w:color w:val="000000"/>
                <w:sz w:val="22"/>
                <w:lang w:eastAsia="it-CH"/>
              </w:rPr>
            </w:pPr>
            <w:r w:rsidRPr="00BD7BB0">
              <w:rPr>
                <w:rFonts w:cs="Arial"/>
                <w:color w:val="000000"/>
                <w:sz w:val="22"/>
                <w:lang w:eastAsia="it-CH"/>
              </w:rPr>
              <w:t>VD</w:t>
            </w:r>
          </w:p>
        </w:tc>
        <w:tc>
          <w:tcPr>
            <w:tcW w:w="3845" w:type="pct"/>
            <w:tcBorders>
              <w:top w:val="nil"/>
              <w:left w:val="nil"/>
              <w:bottom w:val="single" w:sz="4" w:space="0" w:color="auto"/>
              <w:right w:val="nil"/>
            </w:tcBorders>
            <w:shd w:val="clear" w:color="auto" w:fill="auto"/>
            <w:noWrap/>
            <w:vAlign w:val="bottom"/>
            <w:hideMark/>
          </w:tcPr>
          <w:p w:rsidR="00A92189" w:rsidRPr="00BD7BB0" w:rsidRDefault="00A92189" w:rsidP="00250939">
            <w:pPr>
              <w:rPr>
                <w:rFonts w:cs="Arial"/>
                <w:color w:val="000000"/>
                <w:sz w:val="22"/>
                <w:lang w:val="fr-FR" w:eastAsia="it-CH"/>
              </w:rPr>
            </w:pPr>
            <w:r w:rsidRPr="00BD7BB0">
              <w:rPr>
                <w:rFonts w:cs="Arial"/>
                <w:color w:val="000000"/>
                <w:sz w:val="22"/>
                <w:lang w:val="fr-FR" w:eastAsia="it-CH"/>
              </w:rPr>
              <w:t>Clinique de la Source Lausanne</w:t>
            </w:r>
          </w:p>
        </w:tc>
        <w:tc>
          <w:tcPr>
            <w:tcW w:w="776" w:type="pct"/>
            <w:tcBorders>
              <w:top w:val="nil"/>
              <w:left w:val="nil"/>
              <w:bottom w:val="single" w:sz="4" w:space="0" w:color="auto"/>
              <w:right w:val="nil"/>
            </w:tcBorders>
            <w:shd w:val="clear" w:color="auto" w:fill="auto"/>
            <w:vAlign w:val="bottom"/>
          </w:tcPr>
          <w:p w:rsidR="00A92189" w:rsidRPr="00BD7BB0" w:rsidRDefault="00A92189" w:rsidP="00250939">
            <w:pPr>
              <w:ind w:right="148"/>
              <w:jc w:val="right"/>
              <w:rPr>
                <w:rFonts w:cs="Arial"/>
                <w:sz w:val="22"/>
              </w:rPr>
            </w:pPr>
            <w:r w:rsidRPr="00BD7BB0">
              <w:rPr>
                <w:rFonts w:cs="Arial"/>
                <w:sz w:val="22"/>
              </w:rPr>
              <w:t>40</w:t>
            </w:r>
          </w:p>
        </w:tc>
      </w:tr>
      <w:tr w:rsidR="00A92189" w:rsidRPr="00C62C05" w:rsidTr="00250939">
        <w:trPr>
          <w:trHeight w:val="225"/>
        </w:trPr>
        <w:tc>
          <w:tcPr>
            <w:tcW w:w="379" w:type="pct"/>
            <w:tcBorders>
              <w:top w:val="nil"/>
              <w:left w:val="nil"/>
              <w:bottom w:val="single" w:sz="4" w:space="0" w:color="auto"/>
              <w:right w:val="nil"/>
            </w:tcBorders>
            <w:shd w:val="clear" w:color="auto" w:fill="auto"/>
            <w:noWrap/>
            <w:vAlign w:val="bottom"/>
            <w:hideMark/>
          </w:tcPr>
          <w:p w:rsidR="00A92189" w:rsidRPr="00BD7BB0" w:rsidRDefault="00A92189" w:rsidP="00250939">
            <w:pPr>
              <w:rPr>
                <w:rFonts w:cs="Arial"/>
                <w:color w:val="000000"/>
                <w:sz w:val="22"/>
                <w:lang w:eastAsia="it-CH"/>
              </w:rPr>
            </w:pPr>
            <w:r w:rsidRPr="00BD7BB0">
              <w:rPr>
                <w:rFonts w:cs="Arial"/>
                <w:color w:val="000000"/>
                <w:sz w:val="22"/>
                <w:lang w:eastAsia="it-CH"/>
              </w:rPr>
              <w:t>BE</w:t>
            </w:r>
          </w:p>
        </w:tc>
        <w:tc>
          <w:tcPr>
            <w:tcW w:w="3845" w:type="pct"/>
            <w:tcBorders>
              <w:top w:val="nil"/>
              <w:left w:val="nil"/>
              <w:bottom w:val="single" w:sz="4" w:space="0" w:color="auto"/>
              <w:right w:val="nil"/>
            </w:tcBorders>
            <w:shd w:val="clear" w:color="auto" w:fill="auto"/>
            <w:noWrap/>
            <w:vAlign w:val="bottom"/>
            <w:hideMark/>
          </w:tcPr>
          <w:p w:rsidR="00A92189" w:rsidRPr="00BD7BB0" w:rsidRDefault="00A92189" w:rsidP="00250939">
            <w:pPr>
              <w:rPr>
                <w:rFonts w:cs="Arial"/>
                <w:color w:val="000000"/>
                <w:sz w:val="22"/>
                <w:lang w:eastAsia="it-CH"/>
              </w:rPr>
            </w:pPr>
            <w:proofErr w:type="spellStart"/>
            <w:r w:rsidRPr="00BD7BB0">
              <w:rPr>
                <w:rFonts w:cs="Arial"/>
                <w:color w:val="000000"/>
                <w:sz w:val="22"/>
                <w:lang w:eastAsia="it-CH"/>
              </w:rPr>
              <w:t>Lindenhofgruppe</w:t>
            </w:r>
            <w:proofErr w:type="spellEnd"/>
          </w:p>
        </w:tc>
        <w:tc>
          <w:tcPr>
            <w:tcW w:w="776" w:type="pct"/>
            <w:tcBorders>
              <w:top w:val="nil"/>
              <w:left w:val="nil"/>
              <w:bottom w:val="single" w:sz="4" w:space="0" w:color="auto"/>
              <w:right w:val="nil"/>
            </w:tcBorders>
            <w:shd w:val="clear" w:color="auto" w:fill="auto"/>
            <w:vAlign w:val="bottom"/>
          </w:tcPr>
          <w:p w:rsidR="00A92189" w:rsidRPr="00BD7BB0" w:rsidRDefault="00A92189" w:rsidP="00250939">
            <w:pPr>
              <w:ind w:right="148"/>
              <w:jc w:val="right"/>
              <w:rPr>
                <w:rFonts w:cs="Arial"/>
                <w:sz w:val="22"/>
              </w:rPr>
            </w:pPr>
            <w:r w:rsidRPr="00BD7BB0">
              <w:rPr>
                <w:rFonts w:cs="Arial"/>
                <w:sz w:val="22"/>
              </w:rPr>
              <w:t>36</w:t>
            </w:r>
          </w:p>
        </w:tc>
      </w:tr>
      <w:tr w:rsidR="00A92189" w:rsidRPr="00C62C05" w:rsidTr="00250939">
        <w:trPr>
          <w:trHeight w:val="225"/>
        </w:trPr>
        <w:tc>
          <w:tcPr>
            <w:tcW w:w="379" w:type="pct"/>
            <w:tcBorders>
              <w:top w:val="nil"/>
              <w:left w:val="nil"/>
              <w:bottom w:val="single" w:sz="4" w:space="0" w:color="auto"/>
              <w:right w:val="nil"/>
            </w:tcBorders>
            <w:shd w:val="clear" w:color="auto" w:fill="auto"/>
            <w:noWrap/>
            <w:vAlign w:val="bottom"/>
            <w:hideMark/>
          </w:tcPr>
          <w:p w:rsidR="00A92189" w:rsidRPr="00BD7BB0" w:rsidRDefault="00A92189" w:rsidP="00250939">
            <w:pPr>
              <w:rPr>
                <w:rFonts w:cs="Arial"/>
                <w:color w:val="000000"/>
                <w:sz w:val="22"/>
                <w:lang w:eastAsia="it-CH"/>
              </w:rPr>
            </w:pPr>
            <w:r w:rsidRPr="00BD7BB0">
              <w:rPr>
                <w:rFonts w:cs="Arial"/>
                <w:color w:val="000000"/>
                <w:sz w:val="22"/>
                <w:lang w:eastAsia="it-CH"/>
              </w:rPr>
              <w:t>BS</w:t>
            </w:r>
          </w:p>
        </w:tc>
        <w:tc>
          <w:tcPr>
            <w:tcW w:w="3845" w:type="pct"/>
            <w:tcBorders>
              <w:top w:val="nil"/>
              <w:left w:val="nil"/>
              <w:bottom w:val="single" w:sz="4" w:space="0" w:color="auto"/>
              <w:right w:val="nil"/>
            </w:tcBorders>
            <w:shd w:val="clear" w:color="auto" w:fill="auto"/>
            <w:noWrap/>
            <w:vAlign w:val="bottom"/>
            <w:hideMark/>
          </w:tcPr>
          <w:p w:rsidR="00A92189" w:rsidRPr="00BD7BB0" w:rsidRDefault="00A92189" w:rsidP="00250939">
            <w:pPr>
              <w:rPr>
                <w:rFonts w:cs="Arial"/>
                <w:color w:val="000000"/>
                <w:sz w:val="22"/>
                <w:lang w:eastAsia="it-CH"/>
              </w:rPr>
            </w:pPr>
            <w:r w:rsidRPr="00BD7BB0">
              <w:rPr>
                <w:rFonts w:cs="Arial"/>
                <w:color w:val="000000"/>
                <w:sz w:val="22"/>
                <w:lang w:eastAsia="it-CH"/>
              </w:rPr>
              <w:t xml:space="preserve">St. </w:t>
            </w:r>
            <w:proofErr w:type="spellStart"/>
            <w:r w:rsidRPr="00BD7BB0">
              <w:rPr>
                <w:rFonts w:cs="Arial"/>
                <w:color w:val="000000"/>
                <w:sz w:val="22"/>
                <w:lang w:eastAsia="it-CH"/>
              </w:rPr>
              <w:t>Claraspital</w:t>
            </w:r>
            <w:proofErr w:type="spellEnd"/>
          </w:p>
        </w:tc>
        <w:tc>
          <w:tcPr>
            <w:tcW w:w="776" w:type="pct"/>
            <w:tcBorders>
              <w:top w:val="nil"/>
              <w:left w:val="nil"/>
              <w:bottom w:val="single" w:sz="4" w:space="0" w:color="auto"/>
              <w:right w:val="nil"/>
            </w:tcBorders>
            <w:shd w:val="clear" w:color="auto" w:fill="auto"/>
            <w:vAlign w:val="bottom"/>
          </w:tcPr>
          <w:p w:rsidR="00A92189" w:rsidRPr="00BD7BB0" w:rsidRDefault="00A92189" w:rsidP="00250939">
            <w:pPr>
              <w:ind w:right="148"/>
              <w:jc w:val="right"/>
              <w:rPr>
                <w:rFonts w:cs="Arial"/>
                <w:sz w:val="22"/>
              </w:rPr>
            </w:pPr>
            <w:r w:rsidRPr="00BD7BB0">
              <w:rPr>
                <w:rFonts w:cs="Arial"/>
                <w:sz w:val="22"/>
              </w:rPr>
              <w:t>28</w:t>
            </w:r>
          </w:p>
        </w:tc>
      </w:tr>
      <w:tr w:rsidR="00A92189" w:rsidRPr="00C62C05" w:rsidTr="00250939">
        <w:trPr>
          <w:trHeight w:val="225"/>
        </w:trPr>
        <w:tc>
          <w:tcPr>
            <w:tcW w:w="379" w:type="pct"/>
            <w:tcBorders>
              <w:top w:val="nil"/>
              <w:left w:val="nil"/>
              <w:bottom w:val="single" w:sz="4" w:space="0" w:color="auto"/>
              <w:right w:val="nil"/>
            </w:tcBorders>
            <w:shd w:val="clear" w:color="auto" w:fill="auto"/>
            <w:noWrap/>
            <w:vAlign w:val="bottom"/>
            <w:hideMark/>
          </w:tcPr>
          <w:p w:rsidR="00A92189" w:rsidRPr="00BD7BB0" w:rsidRDefault="00A92189" w:rsidP="00250939">
            <w:pPr>
              <w:rPr>
                <w:rFonts w:cs="Arial"/>
                <w:color w:val="000000"/>
                <w:sz w:val="22"/>
                <w:lang w:eastAsia="it-CH"/>
              </w:rPr>
            </w:pPr>
            <w:r w:rsidRPr="00BD7BB0">
              <w:rPr>
                <w:rFonts w:cs="Arial"/>
                <w:color w:val="000000"/>
                <w:sz w:val="22"/>
                <w:lang w:eastAsia="it-CH"/>
              </w:rPr>
              <w:t>ZH</w:t>
            </w:r>
          </w:p>
        </w:tc>
        <w:tc>
          <w:tcPr>
            <w:tcW w:w="3845" w:type="pct"/>
            <w:tcBorders>
              <w:top w:val="nil"/>
              <w:left w:val="nil"/>
              <w:bottom w:val="single" w:sz="4" w:space="0" w:color="auto"/>
              <w:right w:val="nil"/>
            </w:tcBorders>
            <w:shd w:val="clear" w:color="auto" w:fill="auto"/>
            <w:noWrap/>
            <w:vAlign w:val="bottom"/>
            <w:hideMark/>
          </w:tcPr>
          <w:p w:rsidR="00A92189" w:rsidRPr="00BD7BB0" w:rsidRDefault="00A92189" w:rsidP="00250939">
            <w:pPr>
              <w:rPr>
                <w:rFonts w:cs="Arial"/>
                <w:color w:val="000000"/>
                <w:sz w:val="22"/>
                <w:lang w:eastAsia="it-CH"/>
              </w:rPr>
            </w:pPr>
            <w:proofErr w:type="spellStart"/>
            <w:r w:rsidRPr="00BD7BB0">
              <w:rPr>
                <w:rFonts w:cs="Arial"/>
                <w:color w:val="000000"/>
                <w:sz w:val="22"/>
                <w:lang w:eastAsia="it-CH"/>
              </w:rPr>
              <w:t>KlinikPyramideamSee</w:t>
            </w:r>
            <w:proofErr w:type="spellEnd"/>
          </w:p>
        </w:tc>
        <w:tc>
          <w:tcPr>
            <w:tcW w:w="776" w:type="pct"/>
            <w:tcBorders>
              <w:top w:val="nil"/>
              <w:left w:val="nil"/>
              <w:bottom w:val="single" w:sz="4" w:space="0" w:color="auto"/>
              <w:right w:val="nil"/>
            </w:tcBorders>
            <w:shd w:val="clear" w:color="auto" w:fill="auto"/>
            <w:vAlign w:val="bottom"/>
          </w:tcPr>
          <w:p w:rsidR="00A92189" w:rsidRPr="00BD7BB0" w:rsidRDefault="00A92189" w:rsidP="00250939">
            <w:pPr>
              <w:ind w:right="148"/>
              <w:jc w:val="right"/>
              <w:rPr>
                <w:rFonts w:cs="Arial"/>
                <w:sz w:val="22"/>
              </w:rPr>
            </w:pPr>
            <w:r w:rsidRPr="00BD7BB0">
              <w:rPr>
                <w:rFonts w:cs="Arial"/>
                <w:sz w:val="22"/>
              </w:rPr>
              <w:t>28</w:t>
            </w:r>
          </w:p>
        </w:tc>
      </w:tr>
      <w:tr w:rsidR="00A92189" w:rsidRPr="00C62C05" w:rsidTr="00250939">
        <w:trPr>
          <w:trHeight w:val="225"/>
        </w:trPr>
        <w:tc>
          <w:tcPr>
            <w:tcW w:w="379" w:type="pct"/>
            <w:tcBorders>
              <w:top w:val="nil"/>
              <w:left w:val="nil"/>
              <w:bottom w:val="single" w:sz="4" w:space="0" w:color="auto"/>
              <w:right w:val="nil"/>
            </w:tcBorders>
            <w:shd w:val="clear" w:color="auto" w:fill="auto"/>
            <w:noWrap/>
            <w:vAlign w:val="bottom"/>
            <w:hideMark/>
          </w:tcPr>
          <w:p w:rsidR="00A92189" w:rsidRPr="00BD7BB0" w:rsidRDefault="00A92189" w:rsidP="00250939">
            <w:pPr>
              <w:rPr>
                <w:rFonts w:cs="Arial"/>
                <w:color w:val="000000"/>
                <w:sz w:val="22"/>
                <w:lang w:eastAsia="it-CH"/>
              </w:rPr>
            </w:pPr>
            <w:r w:rsidRPr="00BD7BB0">
              <w:rPr>
                <w:rFonts w:cs="Arial"/>
                <w:color w:val="000000"/>
                <w:sz w:val="22"/>
                <w:lang w:eastAsia="it-CH"/>
              </w:rPr>
              <w:t>ZH</w:t>
            </w:r>
          </w:p>
        </w:tc>
        <w:tc>
          <w:tcPr>
            <w:tcW w:w="3845" w:type="pct"/>
            <w:tcBorders>
              <w:top w:val="nil"/>
              <w:left w:val="nil"/>
              <w:bottom w:val="single" w:sz="4" w:space="0" w:color="auto"/>
              <w:right w:val="nil"/>
            </w:tcBorders>
            <w:shd w:val="clear" w:color="auto" w:fill="auto"/>
            <w:noWrap/>
            <w:vAlign w:val="bottom"/>
            <w:hideMark/>
          </w:tcPr>
          <w:p w:rsidR="00A92189" w:rsidRPr="00BD7BB0" w:rsidRDefault="00A92189" w:rsidP="00250939">
            <w:pPr>
              <w:rPr>
                <w:rFonts w:cs="Arial"/>
                <w:color w:val="000000"/>
                <w:sz w:val="22"/>
                <w:lang w:eastAsia="it-CH"/>
              </w:rPr>
            </w:pPr>
            <w:proofErr w:type="spellStart"/>
            <w:r w:rsidRPr="00BD7BB0">
              <w:rPr>
                <w:rFonts w:cs="Arial"/>
                <w:color w:val="000000"/>
                <w:sz w:val="22"/>
                <w:lang w:eastAsia="it-CH"/>
              </w:rPr>
              <w:t>StadtspitalTriemli</w:t>
            </w:r>
            <w:proofErr w:type="spellEnd"/>
          </w:p>
        </w:tc>
        <w:tc>
          <w:tcPr>
            <w:tcW w:w="776" w:type="pct"/>
            <w:tcBorders>
              <w:top w:val="nil"/>
              <w:left w:val="nil"/>
              <w:bottom w:val="single" w:sz="4" w:space="0" w:color="auto"/>
              <w:right w:val="nil"/>
            </w:tcBorders>
            <w:shd w:val="clear" w:color="auto" w:fill="auto"/>
            <w:vAlign w:val="bottom"/>
          </w:tcPr>
          <w:p w:rsidR="00A92189" w:rsidRPr="00BD7BB0" w:rsidRDefault="00A92189" w:rsidP="00250939">
            <w:pPr>
              <w:ind w:right="148"/>
              <w:jc w:val="right"/>
              <w:rPr>
                <w:rFonts w:cs="Arial"/>
                <w:sz w:val="22"/>
              </w:rPr>
            </w:pPr>
            <w:r w:rsidRPr="00BD7BB0">
              <w:rPr>
                <w:rFonts w:cs="Arial"/>
                <w:sz w:val="22"/>
              </w:rPr>
              <w:t>25</w:t>
            </w:r>
          </w:p>
        </w:tc>
      </w:tr>
      <w:tr w:rsidR="00A92189" w:rsidRPr="00C62C05" w:rsidTr="00250939">
        <w:trPr>
          <w:trHeight w:val="225"/>
        </w:trPr>
        <w:tc>
          <w:tcPr>
            <w:tcW w:w="379" w:type="pct"/>
            <w:tcBorders>
              <w:top w:val="nil"/>
              <w:left w:val="nil"/>
              <w:bottom w:val="single" w:sz="4" w:space="0" w:color="auto"/>
              <w:right w:val="nil"/>
            </w:tcBorders>
            <w:shd w:val="clear" w:color="auto" w:fill="auto"/>
            <w:noWrap/>
            <w:vAlign w:val="bottom"/>
            <w:hideMark/>
          </w:tcPr>
          <w:p w:rsidR="00A92189" w:rsidRPr="00BD7BB0" w:rsidRDefault="00A92189" w:rsidP="00250939">
            <w:pPr>
              <w:rPr>
                <w:rFonts w:cs="Arial"/>
                <w:color w:val="000000"/>
                <w:sz w:val="22"/>
                <w:lang w:eastAsia="it-CH"/>
              </w:rPr>
            </w:pPr>
            <w:r w:rsidRPr="00BD7BB0">
              <w:rPr>
                <w:rFonts w:cs="Arial"/>
                <w:color w:val="000000"/>
                <w:sz w:val="22"/>
                <w:lang w:eastAsia="it-CH"/>
              </w:rPr>
              <w:t>BL</w:t>
            </w:r>
          </w:p>
        </w:tc>
        <w:tc>
          <w:tcPr>
            <w:tcW w:w="3845" w:type="pct"/>
            <w:tcBorders>
              <w:top w:val="nil"/>
              <w:left w:val="nil"/>
              <w:bottom w:val="single" w:sz="4" w:space="0" w:color="auto"/>
              <w:right w:val="nil"/>
            </w:tcBorders>
            <w:shd w:val="clear" w:color="auto" w:fill="auto"/>
            <w:noWrap/>
            <w:vAlign w:val="bottom"/>
            <w:hideMark/>
          </w:tcPr>
          <w:p w:rsidR="00A92189" w:rsidRPr="00BD7BB0" w:rsidRDefault="00A92189" w:rsidP="00250939">
            <w:pPr>
              <w:rPr>
                <w:rFonts w:cs="Arial"/>
                <w:color w:val="000000"/>
                <w:sz w:val="22"/>
                <w:lang w:eastAsia="it-CH"/>
              </w:rPr>
            </w:pPr>
            <w:proofErr w:type="spellStart"/>
            <w:r w:rsidRPr="00BD7BB0">
              <w:rPr>
                <w:rFonts w:cs="Arial"/>
                <w:color w:val="000000"/>
                <w:sz w:val="22"/>
                <w:lang w:eastAsia="it-CH"/>
              </w:rPr>
              <w:t>Kantonsspital</w:t>
            </w:r>
            <w:proofErr w:type="spellEnd"/>
          </w:p>
        </w:tc>
        <w:tc>
          <w:tcPr>
            <w:tcW w:w="776" w:type="pct"/>
            <w:tcBorders>
              <w:top w:val="nil"/>
              <w:left w:val="nil"/>
              <w:bottom w:val="single" w:sz="4" w:space="0" w:color="auto"/>
              <w:right w:val="nil"/>
            </w:tcBorders>
            <w:shd w:val="clear" w:color="auto" w:fill="auto"/>
            <w:vAlign w:val="bottom"/>
          </w:tcPr>
          <w:p w:rsidR="00A92189" w:rsidRPr="00BD7BB0" w:rsidRDefault="00A92189" w:rsidP="00250939">
            <w:pPr>
              <w:ind w:right="148"/>
              <w:jc w:val="right"/>
              <w:rPr>
                <w:rFonts w:cs="Arial"/>
                <w:sz w:val="22"/>
              </w:rPr>
            </w:pPr>
            <w:r w:rsidRPr="00BD7BB0">
              <w:rPr>
                <w:rFonts w:cs="Arial"/>
                <w:sz w:val="22"/>
              </w:rPr>
              <w:t>24</w:t>
            </w:r>
          </w:p>
        </w:tc>
      </w:tr>
      <w:tr w:rsidR="00A92189" w:rsidRPr="00C62C05" w:rsidTr="00250939">
        <w:trPr>
          <w:trHeight w:val="225"/>
        </w:trPr>
        <w:tc>
          <w:tcPr>
            <w:tcW w:w="379" w:type="pct"/>
            <w:tcBorders>
              <w:top w:val="nil"/>
              <w:left w:val="nil"/>
              <w:bottom w:val="single" w:sz="4" w:space="0" w:color="auto"/>
              <w:right w:val="nil"/>
            </w:tcBorders>
            <w:shd w:val="clear" w:color="auto" w:fill="auto"/>
            <w:noWrap/>
            <w:vAlign w:val="bottom"/>
            <w:hideMark/>
          </w:tcPr>
          <w:p w:rsidR="00A92189" w:rsidRPr="00BD7BB0" w:rsidRDefault="00A92189" w:rsidP="00250939">
            <w:pPr>
              <w:rPr>
                <w:rFonts w:cs="Arial"/>
                <w:color w:val="000000"/>
                <w:sz w:val="22"/>
                <w:lang w:eastAsia="it-CH"/>
              </w:rPr>
            </w:pPr>
            <w:r w:rsidRPr="00BD7BB0">
              <w:rPr>
                <w:rFonts w:cs="Arial"/>
                <w:color w:val="000000"/>
                <w:sz w:val="22"/>
                <w:lang w:eastAsia="it-CH"/>
              </w:rPr>
              <w:t>TG</w:t>
            </w:r>
          </w:p>
        </w:tc>
        <w:tc>
          <w:tcPr>
            <w:tcW w:w="3845" w:type="pct"/>
            <w:tcBorders>
              <w:top w:val="nil"/>
              <w:left w:val="nil"/>
              <w:bottom w:val="single" w:sz="4" w:space="0" w:color="auto"/>
              <w:right w:val="nil"/>
            </w:tcBorders>
            <w:shd w:val="clear" w:color="auto" w:fill="auto"/>
            <w:noWrap/>
            <w:vAlign w:val="bottom"/>
            <w:hideMark/>
          </w:tcPr>
          <w:p w:rsidR="00A92189" w:rsidRPr="00BD7BB0" w:rsidRDefault="00A92189" w:rsidP="00250939">
            <w:pPr>
              <w:rPr>
                <w:rFonts w:cs="Arial"/>
                <w:color w:val="000000"/>
                <w:sz w:val="22"/>
                <w:lang w:val="de-CH" w:eastAsia="it-CH"/>
              </w:rPr>
            </w:pPr>
            <w:r w:rsidRPr="00BD7BB0">
              <w:rPr>
                <w:rFonts w:cs="Arial"/>
                <w:color w:val="000000"/>
                <w:sz w:val="22"/>
                <w:lang w:val="de-CH" w:eastAsia="it-CH"/>
              </w:rPr>
              <w:t xml:space="preserve">Klinik Schloss </w:t>
            </w:r>
            <w:proofErr w:type="spellStart"/>
            <w:r w:rsidRPr="00BD7BB0">
              <w:rPr>
                <w:rFonts w:cs="Arial"/>
                <w:color w:val="000000"/>
                <w:sz w:val="22"/>
                <w:lang w:val="de-CH" w:eastAsia="it-CH"/>
              </w:rPr>
              <w:t>Mammern</w:t>
            </w:r>
            <w:proofErr w:type="spellEnd"/>
            <w:r w:rsidRPr="00BD7BB0">
              <w:rPr>
                <w:rFonts w:cs="Arial"/>
                <w:color w:val="000000"/>
                <w:sz w:val="22"/>
                <w:lang w:val="de-CH" w:eastAsia="it-CH"/>
              </w:rPr>
              <w:t xml:space="preserve"> AG   </w:t>
            </w:r>
          </w:p>
        </w:tc>
        <w:tc>
          <w:tcPr>
            <w:tcW w:w="776" w:type="pct"/>
            <w:tcBorders>
              <w:top w:val="nil"/>
              <w:left w:val="nil"/>
              <w:bottom w:val="single" w:sz="4" w:space="0" w:color="auto"/>
              <w:right w:val="nil"/>
            </w:tcBorders>
            <w:shd w:val="clear" w:color="auto" w:fill="auto"/>
            <w:vAlign w:val="bottom"/>
          </w:tcPr>
          <w:p w:rsidR="00A92189" w:rsidRPr="00BD7BB0" w:rsidRDefault="00A92189" w:rsidP="00250939">
            <w:pPr>
              <w:ind w:right="148"/>
              <w:jc w:val="right"/>
              <w:rPr>
                <w:rFonts w:cs="Arial"/>
                <w:sz w:val="22"/>
              </w:rPr>
            </w:pPr>
            <w:r w:rsidRPr="00BD7BB0">
              <w:rPr>
                <w:rFonts w:cs="Arial"/>
                <w:sz w:val="22"/>
              </w:rPr>
              <w:t>24</w:t>
            </w:r>
          </w:p>
        </w:tc>
      </w:tr>
    </w:tbl>
    <w:p w:rsidR="00A92189" w:rsidRDefault="00A92189" w:rsidP="00A92189">
      <w:pPr>
        <w:rPr>
          <w:rFonts w:cs="Arial"/>
        </w:rPr>
      </w:pPr>
    </w:p>
    <w:p w:rsidR="00BD7BB0" w:rsidRPr="00C62C05" w:rsidRDefault="00BD7BB0" w:rsidP="00A92189">
      <w:pPr>
        <w:rPr>
          <w:rFonts w:cs="Arial"/>
        </w:rPr>
      </w:pPr>
    </w:p>
    <w:p w:rsidR="00A92189" w:rsidRPr="009E0EB1" w:rsidRDefault="00A92189" w:rsidP="009E0EB1">
      <w:pPr>
        <w:autoSpaceDE w:val="0"/>
        <w:autoSpaceDN w:val="0"/>
        <w:adjustRightInd w:val="0"/>
        <w:spacing w:after="80"/>
        <w:ind w:right="-142"/>
        <w:rPr>
          <w:rFonts w:cs="Arial"/>
          <w:b/>
          <w:i/>
          <w:iCs/>
          <w:sz w:val="23"/>
          <w:szCs w:val="23"/>
        </w:rPr>
      </w:pPr>
      <w:r w:rsidRPr="009E0EB1">
        <w:rPr>
          <w:rFonts w:cs="Arial"/>
          <w:b/>
          <w:i/>
          <w:iCs/>
          <w:sz w:val="23"/>
          <w:szCs w:val="23"/>
        </w:rPr>
        <w:t>Assistenza giudiziaria e gratuito patrocinio (quesito gruppo PPD)</w:t>
      </w:r>
    </w:p>
    <w:p w:rsidR="00A92189" w:rsidRPr="00BD7BB0" w:rsidRDefault="00A92189" w:rsidP="00A92189">
      <w:pPr>
        <w:ind w:right="-1"/>
        <w:rPr>
          <w:rFonts w:cs="Arial"/>
          <w:i/>
          <w:sz w:val="23"/>
          <w:szCs w:val="23"/>
        </w:rPr>
      </w:pPr>
      <w:r w:rsidRPr="00BD7BB0">
        <w:rPr>
          <w:rFonts w:cs="Arial"/>
          <w:i/>
          <w:sz w:val="23"/>
          <w:szCs w:val="23"/>
        </w:rPr>
        <w:t xml:space="preserve">Considerato il preoccupante aumento dei costi legati all’assistenza giudiziaria, rispettivamente al gratuito patrocinio, </w:t>
      </w:r>
      <w:r w:rsidRPr="00BD7BB0">
        <w:rPr>
          <w:rFonts w:cs="Arial"/>
          <w:i/>
          <w:sz w:val="23"/>
          <w:szCs w:val="23"/>
          <w:u w:val="single"/>
        </w:rPr>
        <w:t>quali misure intende adottare il Dipartimento delle istituzioni per contenere tale spesa?</w:t>
      </w:r>
    </w:p>
    <w:p w:rsidR="00A92189" w:rsidRPr="00C62C05" w:rsidRDefault="00A92189" w:rsidP="00A92189">
      <w:pPr>
        <w:ind w:right="-1"/>
        <w:rPr>
          <w:rFonts w:cs="Arial"/>
        </w:rPr>
      </w:pPr>
    </w:p>
    <w:p w:rsidR="00A92189" w:rsidRPr="00C62C05" w:rsidRDefault="00A92189" w:rsidP="00A92189">
      <w:pPr>
        <w:ind w:right="-143"/>
        <w:rPr>
          <w:rFonts w:cs="Arial"/>
        </w:rPr>
      </w:pPr>
      <w:r w:rsidRPr="00C62C05">
        <w:rPr>
          <w:rFonts w:cs="Arial"/>
        </w:rPr>
        <w:t>Come confermato dal Consiglio di Stato in risposta all’interrogazione n. 178.16 denominata “Gratuito patrocinio e tasse di giustizia: recupero spese possibile?”, la quale verteva sul tema legato ai costi dell’assistenza giudiziaria, «</w:t>
      </w:r>
      <w:r w:rsidRPr="00C62C05">
        <w:rPr>
          <w:rFonts w:cs="Arial"/>
          <w:i/>
        </w:rPr>
        <w:t xml:space="preserve">alla luce </w:t>
      </w:r>
      <w:r w:rsidRPr="00C62C05">
        <w:rPr>
          <w:rFonts w:cs="Arial"/>
        </w:rPr>
        <w:t>[…]</w:t>
      </w:r>
      <w:r w:rsidR="009E0EB1">
        <w:rPr>
          <w:rFonts w:cs="Arial"/>
        </w:rPr>
        <w:t xml:space="preserve"> </w:t>
      </w:r>
      <w:r w:rsidRPr="00C62C05">
        <w:rPr>
          <w:rFonts w:cs="Arial"/>
          <w:i/>
        </w:rPr>
        <w:t>dei cambiamenti legislativi e della preoccupante tendenza all’aumento di questa spesa, che ricordiamo risulta difficile da recuperare, il Dipartimento delle istituzioni istituirà nei prossimi mesi, in concomitanza con l’inizio attività della nuova Capo dell’Ufficio dell’incasso e delle pene alternative, uno specifico gruppo di lavoro con l’obiettivo di trovare misure e correttivi possibili sul tema</w:t>
      </w:r>
      <w:r w:rsidRPr="00C62C05">
        <w:rPr>
          <w:rFonts w:cs="Arial"/>
        </w:rPr>
        <w:t>».</w:t>
      </w:r>
    </w:p>
    <w:p w:rsidR="00A92189" w:rsidRPr="00C62C05" w:rsidRDefault="00A92189" w:rsidP="00A92189">
      <w:pPr>
        <w:ind w:right="-143"/>
        <w:rPr>
          <w:rFonts w:cs="Arial"/>
        </w:rPr>
      </w:pPr>
    </w:p>
    <w:p w:rsidR="00A92189" w:rsidRPr="00C62C05" w:rsidRDefault="00A92189" w:rsidP="00A92189">
      <w:pPr>
        <w:ind w:right="-143"/>
        <w:rPr>
          <w:rFonts w:cs="Arial"/>
        </w:rPr>
      </w:pPr>
      <w:r w:rsidRPr="00C62C05">
        <w:rPr>
          <w:rFonts w:cs="Arial"/>
        </w:rPr>
        <w:t xml:space="preserve">L’istituzione del gruppo di lavoro è stata altresì confermata dal direttore del Dipartimento delle istituzioni Norman Gobbi ai presidenti delle Magistrature permanenti del Cantone, nel corso dell’incontro svoltosi a Bellinzona il 16 maggio 2017, il primo di una serie di incontri che si terranno regolarmente tra il Dipartimento e i rappresentanti delle Autorità giudiziarie. Una proposta, quella del Dipartimento delle istituzioni, accolta favorevolmente dai magistrati, alcuni dei quali hanno già dato la loro disponibilità a far parte del gruppo di lavoro, che verrà formalizzato nei prossimi mesi. </w:t>
      </w:r>
    </w:p>
    <w:p w:rsidR="00A92189" w:rsidRPr="00C62C05" w:rsidRDefault="00A92189" w:rsidP="00A92189">
      <w:pPr>
        <w:ind w:right="-143"/>
        <w:rPr>
          <w:rFonts w:cs="Arial"/>
        </w:rPr>
      </w:pPr>
    </w:p>
    <w:p w:rsidR="00A92189" w:rsidRPr="00C62C05" w:rsidRDefault="00A92189" w:rsidP="00A92189">
      <w:pPr>
        <w:rPr>
          <w:rFonts w:cs="Arial"/>
        </w:rPr>
      </w:pPr>
      <w:r w:rsidRPr="00C62C05">
        <w:rPr>
          <w:rFonts w:cs="Arial"/>
        </w:rPr>
        <w:t>L’obiettivo del gruppo di lavoro sarà proprio quello di approfondire i molteplici aspetti in gioco in questo ambito, così come di ricercare misure concrete per limitare la spesa per lo Stato, alla luce dell’evoluzione conosciuta negli ultimi anni.</w:t>
      </w:r>
    </w:p>
    <w:p w:rsidR="00A92189" w:rsidRDefault="00A92189" w:rsidP="00A92189">
      <w:pPr>
        <w:rPr>
          <w:rFonts w:cs="Arial"/>
        </w:rPr>
      </w:pPr>
    </w:p>
    <w:p w:rsidR="00250939" w:rsidRPr="00C62C05" w:rsidRDefault="00250939" w:rsidP="00A92189">
      <w:pPr>
        <w:rPr>
          <w:rFonts w:cs="Arial"/>
        </w:rPr>
      </w:pPr>
    </w:p>
    <w:p w:rsidR="00A92189" w:rsidRPr="009E0EB1" w:rsidRDefault="00A92189" w:rsidP="009E0EB1">
      <w:pPr>
        <w:autoSpaceDE w:val="0"/>
        <w:autoSpaceDN w:val="0"/>
        <w:adjustRightInd w:val="0"/>
        <w:spacing w:after="80"/>
        <w:ind w:right="-142"/>
        <w:rPr>
          <w:rFonts w:cs="Arial"/>
          <w:b/>
          <w:i/>
          <w:iCs/>
          <w:sz w:val="23"/>
          <w:szCs w:val="23"/>
        </w:rPr>
      </w:pPr>
      <w:r w:rsidRPr="009E0EB1">
        <w:rPr>
          <w:rFonts w:cs="Arial"/>
          <w:b/>
          <w:i/>
          <w:iCs/>
          <w:sz w:val="23"/>
          <w:szCs w:val="23"/>
        </w:rPr>
        <w:t>Premio assicurazione malattia per beneficiari PC e prestazioni ordinarie per assistiti a domicilio (quesito gruppo PS)</w:t>
      </w:r>
    </w:p>
    <w:p w:rsidR="00A92189" w:rsidRPr="00BD7BB0" w:rsidRDefault="00A92189" w:rsidP="00BD7BB0">
      <w:pPr>
        <w:pStyle w:val="Paragrafoelenco"/>
        <w:numPr>
          <w:ilvl w:val="0"/>
          <w:numId w:val="7"/>
        </w:numPr>
        <w:ind w:left="284" w:hanging="284"/>
        <w:contextualSpacing/>
        <w:rPr>
          <w:rFonts w:cs="Arial"/>
          <w:sz w:val="23"/>
          <w:szCs w:val="23"/>
          <w:u w:val="single"/>
        </w:rPr>
      </w:pPr>
      <w:r w:rsidRPr="00BD7BB0">
        <w:rPr>
          <w:rFonts w:cs="Arial"/>
          <w:i/>
          <w:sz w:val="23"/>
          <w:szCs w:val="23"/>
          <w:u w:val="single"/>
        </w:rPr>
        <w:t xml:space="preserve">La maggior spesa </w:t>
      </w:r>
      <w:proofErr w:type="spellStart"/>
      <w:r w:rsidRPr="00BD7BB0">
        <w:rPr>
          <w:rFonts w:cs="Arial"/>
          <w:i/>
          <w:sz w:val="23"/>
          <w:szCs w:val="23"/>
          <w:u w:val="single"/>
        </w:rPr>
        <w:t>Ripam</w:t>
      </w:r>
      <w:proofErr w:type="spellEnd"/>
      <w:r w:rsidRPr="00BD7BB0">
        <w:rPr>
          <w:rFonts w:cs="Arial"/>
          <w:i/>
          <w:sz w:val="23"/>
          <w:szCs w:val="23"/>
          <w:u w:val="single"/>
        </w:rPr>
        <w:t xml:space="preserve"> PC (pag. 16 del C2016) è stata compensata da maggiori entrate della Confederazione in questo settore e non valutate nel preventivo?</w:t>
      </w:r>
    </w:p>
    <w:p w:rsidR="00A92189" w:rsidRPr="00BD7BB0" w:rsidRDefault="00A92189" w:rsidP="00A92189">
      <w:pPr>
        <w:rPr>
          <w:rFonts w:cs="Arial"/>
          <w:color w:val="000000"/>
          <w:sz w:val="12"/>
          <w:szCs w:val="12"/>
        </w:rPr>
      </w:pPr>
    </w:p>
    <w:p w:rsidR="00A92189" w:rsidRPr="00C62C05" w:rsidRDefault="00A92189" w:rsidP="00A92189">
      <w:pPr>
        <w:rPr>
          <w:rFonts w:cs="Arial"/>
          <w:color w:val="000000"/>
        </w:rPr>
      </w:pPr>
      <w:r w:rsidRPr="00C62C05">
        <w:rPr>
          <w:rFonts w:cs="Arial"/>
          <w:color w:val="000000"/>
        </w:rPr>
        <w:t xml:space="preserve">La maggiore spesa nella </w:t>
      </w:r>
      <w:proofErr w:type="spellStart"/>
      <w:r w:rsidRPr="00C62C05">
        <w:rPr>
          <w:rFonts w:cs="Arial"/>
          <w:color w:val="000000"/>
        </w:rPr>
        <w:t>Ripam</w:t>
      </w:r>
      <w:proofErr w:type="spellEnd"/>
      <w:r w:rsidRPr="00C62C05">
        <w:rPr>
          <w:rFonts w:cs="Arial"/>
          <w:color w:val="000000"/>
        </w:rPr>
        <w:t xml:space="preserve"> PC risulta dovuta all’evoluzione dei premi </w:t>
      </w:r>
      <w:proofErr w:type="spellStart"/>
      <w:r w:rsidRPr="00C62C05">
        <w:rPr>
          <w:rFonts w:cs="Arial"/>
          <w:color w:val="000000"/>
        </w:rPr>
        <w:t>LAMal</w:t>
      </w:r>
      <w:proofErr w:type="spellEnd"/>
      <w:r w:rsidRPr="00C62C05">
        <w:rPr>
          <w:rFonts w:cs="Arial"/>
          <w:color w:val="000000"/>
        </w:rPr>
        <w:t xml:space="preserve"> per i beneficiari di prestazioni complementari all’AVS e all’AI, che è stata superiore a quella considerata a preventivo.</w:t>
      </w:r>
    </w:p>
    <w:p w:rsidR="00A92189" w:rsidRPr="00C62C05" w:rsidRDefault="00A92189" w:rsidP="00A92189">
      <w:pPr>
        <w:rPr>
          <w:rFonts w:cs="Arial"/>
          <w:color w:val="000000"/>
        </w:rPr>
      </w:pPr>
      <w:r w:rsidRPr="00C62C05">
        <w:rPr>
          <w:rFonts w:cs="Arial"/>
          <w:color w:val="000000"/>
        </w:rPr>
        <w:t xml:space="preserve">La partecipazione federale, disciplinata dall’art. 66 </w:t>
      </w:r>
      <w:proofErr w:type="spellStart"/>
      <w:r w:rsidRPr="00C62C05">
        <w:rPr>
          <w:rFonts w:cs="Arial"/>
          <w:color w:val="000000"/>
        </w:rPr>
        <w:t>LAMal</w:t>
      </w:r>
      <w:proofErr w:type="spellEnd"/>
      <w:r w:rsidRPr="00C62C05">
        <w:rPr>
          <w:rFonts w:cs="Arial"/>
          <w:color w:val="000000"/>
        </w:rPr>
        <w:t xml:space="preserve"> congiuntamente agli articoli </w:t>
      </w:r>
      <w:r w:rsidRPr="00C62C05">
        <w:rPr>
          <w:rFonts w:cs="Arial"/>
          <w:color w:val="000000"/>
        </w:rPr>
        <w:br/>
        <w:t xml:space="preserve">9 cpv. 5 </w:t>
      </w:r>
      <w:proofErr w:type="spellStart"/>
      <w:r w:rsidRPr="00C62C05">
        <w:rPr>
          <w:rFonts w:cs="Arial"/>
          <w:color w:val="000000"/>
        </w:rPr>
        <w:t>lett</w:t>
      </w:r>
      <w:proofErr w:type="spellEnd"/>
      <w:r w:rsidRPr="00C62C05">
        <w:rPr>
          <w:rFonts w:cs="Arial"/>
          <w:color w:val="000000"/>
        </w:rPr>
        <w:t xml:space="preserve">. g) e 13 LPC, interessa, a seguito dell’entrata in vigore della perequazione </w:t>
      </w:r>
      <w:r w:rsidRPr="00C62C05">
        <w:rPr>
          <w:rFonts w:cs="Arial"/>
          <w:color w:val="000000"/>
        </w:rPr>
        <w:lastRenderedPageBreak/>
        <w:t xml:space="preserve">finanziaria federale nel 2008, la </w:t>
      </w:r>
      <w:proofErr w:type="spellStart"/>
      <w:r w:rsidRPr="00C62C05">
        <w:rPr>
          <w:rFonts w:cs="Arial"/>
          <w:color w:val="000000"/>
        </w:rPr>
        <w:t>Ripam</w:t>
      </w:r>
      <w:proofErr w:type="spellEnd"/>
      <w:r w:rsidRPr="00C62C05">
        <w:rPr>
          <w:rFonts w:cs="Arial"/>
          <w:color w:val="000000"/>
        </w:rPr>
        <w:t xml:space="preserve"> ordinaria e la </w:t>
      </w:r>
      <w:proofErr w:type="spellStart"/>
      <w:r w:rsidRPr="00C62C05">
        <w:rPr>
          <w:rFonts w:cs="Arial"/>
          <w:color w:val="000000"/>
        </w:rPr>
        <w:t>Ripam</w:t>
      </w:r>
      <w:proofErr w:type="spellEnd"/>
      <w:r w:rsidRPr="00C62C05">
        <w:rPr>
          <w:rFonts w:cs="Arial"/>
          <w:color w:val="000000"/>
        </w:rPr>
        <w:t xml:space="preserve"> PC. In particolare l’art. 39 </w:t>
      </w:r>
      <w:r w:rsidR="009E0EB1">
        <w:rPr>
          <w:rFonts w:cs="Arial"/>
          <w:color w:val="000000"/>
        </w:rPr>
        <w:br/>
      </w:r>
      <w:r w:rsidRPr="00C62C05">
        <w:rPr>
          <w:rFonts w:cs="Arial"/>
          <w:color w:val="000000"/>
        </w:rPr>
        <w:t>cpv. 4 OPC afferma che «</w:t>
      </w:r>
      <w:r w:rsidRPr="00C62C05">
        <w:rPr>
          <w:rFonts w:cs="Arial"/>
          <w:i/>
          <w:color w:val="000000"/>
        </w:rPr>
        <w:t>nel quadro delle PC la Confederazione non contribuisce all'importo forfettario per l'assicurazione obbligatoria delle cure medico-sanitarie di cui all'articolo 10 capoverso 3 lettera d LPC</w:t>
      </w:r>
      <w:r w:rsidRPr="00C62C05">
        <w:rPr>
          <w:rFonts w:cs="Arial"/>
          <w:color w:val="000000"/>
        </w:rPr>
        <w:t xml:space="preserve">». </w:t>
      </w:r>
    </w:p>
    <w:p w:rsidR="00A92189" w:rsidRPr="00C62C05" w:rsidRDefault="00A92189" w:rsidP="00A92189">
      <w:pPr>
        <w:rPr>
          <w:rFonts w:cs="Arial"/>
          <w:color w:val="000000"/>
        </w:rPr>
      </w:pPr>
      <w:r w:rsidRPr="00C62C05">
        <w:rPr>
          <w:rFonts w:cs="Arial"/>
          <w:color w:val="000000"/>
        </w:rPr>
        <w:t>La sovvenzione federale è quindi indipendente dall’evoluzione della spesa cantonale per la riduzione dei premi. A ciascun Cantone spetta, infatti, una quota di quello che la Confederazione mette a disposizione secondo il criterio della popolazione residente.</w:t>
      </w:r>
    </w:p>
    <w:p w:rsidR="00A92189" w:rsidRPr="00C62C05" w:rsidRDefault="00A92189" w:rsidP="00A92189">
      <w:pPr>
        <w:rPr>
          <w:rFonts w:cs="Arial"/>
          <w:color w:val="000000"/>
        </w:rPr>
      </w:pPr>
    </w:p>
    <w:p w:rsidR="00A92189" w:rsidRPr="00BD7BB0" w:rsidRDefault="00A92189" w:rsidP="00BD7BB0">
      <w:pPr>
        <w:pStyle w:val="Paragrafoelenco"/>
        <w:numPr>
          <w:ilvl w:val="0"/>
          <w:numId w:val="7"/>
        </w:numPr>
        <w:ind w:left="284" w:hanging="284"/>
        <w:contextualSpacing/>
        <w:rPr>
          <w:rFonts w:cs="Arial"/>
          <w:sz w:val="23"/>
          <w:szCs w:val="23"/>
          <w:u w:val="single"/>
        </w:rPr>
      </w:pPr>
      <w:r w:rsidRPr="00BD7BB0">
        <w:rPr>
          <w:rFonts w:cs="Arial"/>
          <w:i/>
          <w:sz w:val="23"/>
          <w:szCs w:val="23"/>
          <w:u w:val="single"/>
        </w:rPr>
        <w:t>La minor uscita sugli assistiti a domicilio (pag. 16 del C2016) a cosa è dovuta? Come mai abbiamo un errore così importante a preventivo?</w:t>
      </w:r>
    </w:p>
    <w:p w:rsidR="00A92189" w:rsidRPr="00BD7BB0" w:rsidRDefault="00A92189" w:rsidP="00A92189">
      <w:pPr>
        <w:rPr>
          <w:rFonts w:cs="Arial"/>
          <w:color w:val="000000"/>
          <w:sz w:val="12"/>
          <w:szCs w:val="12"/>
        </w:rPr>
      </w:pPr>
    </w:p>
    <w:p w:rsidR="00A92189" w:rsidRPr="00C62C05" w:rsidRDefault="00A92189" w:rsidP="00A92189">
      <w:pPr>
        <w:rPr>
          <w:rFonts w:cs="Arial"/>
          <w:color w:val="000000"/>
        </w:rPr>
      </w:pPr>
      <w:r w:rsidRPr="00C62C05">
        <w:rPr>
          <w:rFonts w:cs="Arial"/>
          <w:color w:val="000000"/>
        </w:rPr>
        <w:t xml:space="preserve">La differenza tra preventivo 2016 e consuntivo 2016 per il conto principale dell’assistenza sociale è pari a-10.3 milioni di franchi. Sin dal primo preconsuntivo era stata evidenziata una minore spesa su questa voce. Il preventivo 2016 era stato stimato sulla base di un aumento medio di 50 casi al mese, a fronte di un aumento effettivo riscontrato nel 2016 di circa 28 casi al mese. Il minor aumento di spesa è inoltre determinato segnatamente dalla modifica di applicazione delle misure AFI/API (P2016 misure 7, 8 e 9, regolamento pubblicato su BU 15 del 25 marzo 2016) e dalla diversa modalità di registrazione contabile del supplemento di integrazione (misura 6), che ha introdotto l’abrogazione del supplemento minimo di </w:t>
      </w:r>
      <w:proofErr w:type="spellStart"/>
      <w:r w:rsidRPr="00C62C05">
        <w:rPr>
          <w:rFonts w:cs="Arial"/>
          <w:color w:val="000000"/>
        </w:rPr>
        <w:t>fr</w:t>
      </w:r>
      <w:proofErr w:type="spellEnd"/>
      <w:r w:rsidRPr="00C62C05">
        <w:rPr>
          <w:rFonts w:cs="Arial"/>
          <w:color w:val="000000"/>
        </w:rPr>
        <w:t xml:space="preserve">. 100.- al mese per tutte le unità di riferimento (fino al 2015 contabilizzato nel conto principale) e introdotto il supplemento integrazione di </w:t>
      </w:r>
      <w:proofErr w:type="spellStart"/>
      <w:r w:rsidRPr="00C62C05">
        <w:rPr>
          <w:rFonts w:cs="Arial"/>
          <w:color w:val="000000"/>
        </w:rPr>
        <w:t>fr</w:t>
      </w:r>
      <w:proofErr w:type="spellEnd"/>
      <w:r w:rsidRPr="00C62C05">
        <w:rPr>
          <w:rFonts w:cs="Arial"/>
          <w:color w:val="000000"/>
        </w:rPr>
        <w:t xml:space="preserve">. 300.- al mese per le persone inserite in percorsi di inserimento sociale, registrato dal 2016 sul CRB 221 conto 36370051. </w:t>
      </w:r>
    </w:p>
    <w:p w:rsidR="00A92189" w:rsidRPr="00C62C05" w:rsidRDefault="00A92189" w:rsidP="00A92189">
      <w:pPr>
        <w:rPr>
          <w:rFonts w:cs="Arial"/>
        </w:rPr>
      </w:pPr>
    </w:p>
    <w:p w:rsidR="00A92189" w:rsidRPr="00C62C05" w:rsidRDefault="00A92189" w:rsidP="00A92189">
      <w:pPr>
        <w:rPr>
          <w:rFonts w:cs="Arial"/>
        </w:rPr>
      </w:pPr>
    </w:p>
    <w:p w:rsidR="00A92189" w:rsidRPr="00C62C05" w:rsidRDefault="0001476A" w:rsidP="00250939">
      <w:pPr>
        <w:autoSpaceDE w:val="0"/>
        <w:autoSpaceDN w:val="0"/>
        <w:adjustRightInd w:val="0"/>
        <w:spacing w:after="120"/>
        <w:ind w:right="-142"/>
        <w:rPr>
          <w:rFonts w:cs="Arial"/>
          <w:b/>
          <w:iCs/>
        </w:rPr>
      </w:pPr>
      <w:r>
        <w:rPr>
          <w:rFonts w:cs="Arial"/>
          <w:b/>
          <w:iCs/>
        </w:rPr>
        <w:t>Controllo c</w:t>
      </w:r>
      <w:r w:rsidR="00A92189" w:rsidRPr="00C62C05">
        <w:rPr>
          <w:rFonts w:cs="Arial"/>
          <w:b/>
          <w:iCs/>
        </w:rPr>
        <w:t xml:space="preserve">antonale delle </w:t>
      </w:r>
      <w:r>
        <w:rPr>
          <w:rFonts w:cs="Arial"/>
          <w:b/>
          <w:iCs/>
        </w:rPr>
        <w:t>f</w:t>
      </w:r>
      <w:r w:rsidR="00A92189" w:rsidRPr="00C62C05">
        <w:rPr>
          <w:rFonts w:cs="Arial"/>
          <w:b/>
          <w:iCs/>
        </w:rPr>
        <w:t>inanze</w:t>
      </w:r>
    </w:p>
    <w:p w:rsidR="00A92189" w:rsidRPr="00C62C05" w:rsidRDefault="00A92189" w:rsidP="00A92189">
      <w:pPr>
        <w:autoSpaceDE w:val="0"/>
        <w:autoSpaceDN w:val="0"/>
        <w:adjustRightInd w:val="0"/>
        <w:ind w:right="-143"/>
        <w:rPr>
          <w:rFonts w:cs="Arial"/>
          <w:iCs/>
        </w:rPr>
      </w:pPr>
      <w:r w:rsidRPr="00C62C05">
        <w:rPr>
          <w:rFonts w:cs="Arial"/>
          <w:iCs/>
        </w:rPr>
        <w:t>La Commissione ha deciso di</w:t>
      </w:r>
      <w:r>
        <w:rPr>
          <w:rFonts w:cs="Arial"/>
          <w:iCs/>
        </w:rPr>
        <w:t xml:space="preserve"> </w:t>
      </w:r>
      <w:r w:rsidRPr="00C62C05">
        <w:rPr>
          <w:rFonts w:cs="Arial"/>
          <w:iCs/>
        </w:rPr>
        <w:t xml:space="preserve">rinunciare a richiedere approfondimenti specifici al Controllo cantonale delle </w:t>
      </w:r>
      <w:r w:rsidR="00B3148F">
        <w:rPr>
          <w:rFonts w:cs="Arial"/>
          <w:iCs/>
        </w:rPr>
        <w:t>finanze</w:t>
      </w:r>
      <w:r w:rsidRPr="00C62C05">
        <w:rPr>
          <w:rFonts w:cs="Arial"/>
          <w:iCs/>
        </w:rPr>
        <w:t xml:space="preserve"> tenuto conto che lo stesso è sollecitato dalla Sottocommissione vigilanza della nostra</w:t>
      </w:r>
      <w:r w:rsidR="00B3148F">
        <w:rPr>
          <w:rFonts w:cs="Arial"/>
          <w:iCs/>
        </w:rPr>
        <w:t xml:space="preserve"> Commissione</w:t>
      </w:r>
      <w:r w:rsidRPr="00C62C05">
        <w:rPr>
          <w:rFonts w:cs="Arial"/>
          <w:iCs/>
        </w:rPr>
        <w:t xml:space="preserve"> e dal Consiglio di Stato per le analisi e le verifiche sui mandati.</w:t>
      </w:r>
    </w:p>
    <w:p w:rsidR="00A92189" w:rsidRPr="00C62C05" w:rsidRDefault="00A92189" w:rsidP="00A92189">
      <w:pPr>
        <w:autoSpaceDE w:val="0"/>
        <w:autoSpaceDN w:val="0"/>
        <w:adjustRightInd w:val="0"/>
        <w:ind w:right="-143"/>
        <w:rPr>
          <w:rFonts w:cs="Arial"/>
          <w:iCs/>
        </w:rPr>
      </w:pPr>
    </w:p>
    <w:p w:rsidR="00A92189" w:rsidRPr="00C62C05" w:rsidRDefault="00A92189" w:rsidP="00A92189">
      <w:pPr>
        <w:autoSpaceDE w:val="0"/>
        <w:autoSpaceDN w:val="0"/>
        <w:adjustRightInd w:val="0"/>
        <w:ind w:right="-143"/>
        <w:rPr>
          <w:rFonts w:cs="Arial"/>
          <w:b/>
        </w:rPr>
      </w:pPr>
      <w:r w:rsidRPr="00C62C05">
        <w:rPr>
          <w:rFonts w:cs="Arial"/>
        </w:rPr>
        <w:t xml:space="preserve">In questa sede la CGF ritiene però doveroso segnalare che è urgente procedere con la </w:t>
      </w:r>
      <w:r w:rsidRPr="009E0EB1">
        <w:rPr>
          <w:rFonts w:cs="Arial"/>
          <w:b/>
          <w:sz w:val="23"/>
          <w:szCs w:val="23"/>
        </w:rPr>
        <w:t>razionalizzazione/integrazione delle banche dati a disposizione dell’Amministrazione cantonale, anche nell’ottica del controllo finanziario, ed invita il Consiglio di Stato ad attivarsi celermente</w:t>
      </w:r>
      <w:r w:rsidRPr="009E0EB1">
        <w:rPr>
          <w:rFonts w:cs="Arial"/>
        </w:rPr>
        <w:t xml:space="preserve">. </w:t>
      </w:r>
    </w:p>
    <w:p w:rsidR="00A92189" w:rsidRDefault="00A92189" w:rsidP="00A92189">
      <w:pPr>
        <w:autoSpaceDE w:val="0"/>
        <w:autoSpaceDN w:val="0"/>
        <w:adjustRightInd w:val="0"/>
        <w:ind w:right="-143"/>
        <w:rPr>
          <w:rFonts w:cs="Arial"/>
        </w:rPr>
      </w:pPr>
      <w:r w:rsidRPr="00C62C05">
        <w:rPr>
          <w:rFonts w:cs="Arial"/>
        </w:rPr>
        <w:t xml:space="preserve">Il rapporto di attività 2016 del Controllo cantonale delle finanze dedica un capitolo al tema dell’integrazione delle banche dati a sostegno dell’attività dell’Amministrazione cantonale. Dalle verifiche espletate dal CCF risulta esserci all’interno dell’AC una presenza rilevante di banche dati parzialmente duplicate.  Siccome il tema non è nuovo, la CGF invita il Consiglio di Stato a valutare e procedere nel senso indicato dal Controllo </w:t>
      </w:r>
      <w:r w:rsidR="00B3148F">
        <w:rPr>
          <w:rFonts w:cs="Arial"/>
        </w:rPr>
        <w:t>cantonale</w:t>
      </w:r>
      <w:r w:rsidRPr="00C62C05">
        <w:rPr>
          <w:rFonts w:cs="Arial"/>
        </w:rPr>
        <w:t xml:space="preserve"> delle </w:t>
      </w:r>
      <w:r w:rsidR="00B3148F">
        <w:rPr>
          <w:rFonts w:cs="Arial"/>
        </w:rPr>
        <w:t>finanze</w:t>
      </w:r>
      <w:r w:rsidRPr="00C62C05">
        <w:rPr>
          <w:rFonts w:cs="Arial"/>
        </w:rPr>
        <w:t xml:space="preserve"> in tempi brevi.</w:t>
      </w:r>
    </w:p>
    <w:p w:rsidR="009E0EB1" w:rsidRPr="00C62C05" w:rsidRDefault="009E0EB1" w:rsidP="00A92189">
      <w:pPr>
        <w:autoSpaceDE w:val="0"/>
        <w:autoSpaceDN w:val="0"/>
        <w:adjustRightInd w:val="0"/>
        <w:ind w:right="-143"/>
        <w:rPr>
          <w:rFonts w:cs="Arial"/>
        </w:rPr>
      </w:pPr>
    </w:p>
    <w:p w:rsidR="00250939" w:rsidRDefault="00A92189" w:rsidP="00A92189">
      <w:pPr>
        <w:autoSpaceDE w:val="0"/>
        <w:autoSpaceDN w:val="0"/>
        <w:adjustRightInd w:val="0"/>
        <w:ind w:right="-143"/>
        <w:rPr>
          <w:rFonts w:eastAsia="Calibri" w:cs="Arial"/>
          <w:spacing w:val="2"/>
        </w:rPr>
      </w:pPr>
      <w:r w:rsidRPr="00C62C05">
        <w:rPr>
          <w:rFonts w:cs="Arial"/>
          <w:iCs/>
        </w:rPr>
        <w:t xml:space="preserve">Inoltre la Commissione della </w:t>
      </w:r>
      <w:r w:rsidR="00B3148F">
        <w:rPr>
          <w:rFonts w:cs="Arial"/>
          <w:iCs/>
        </w:rPr>
        <w:t>gestione</w:t>
      </w:r>
      <w:r w:rsidRPr="00C62C05">
        <w:rPr>
          <w:rFonts w:cs="Arial"/>
          <w:iCs/>
        </w:rPr>
        <w:t xml:space="preserve"> e delle </w:t>
      </w:r>
      <w:r w:rsidR="00B3148F">
        <w:rPr>
          <w:rFonts w:cs="Arial"/>
          <w:iCs/>
        </w:rPr>
        <w:t>finanze</w:t>
      </w:r>
      <w:r w:rsidRPr="00C62C05">
        <w:rPr>
          <w:rFonts w:cs="Arial"/>
          <w:iCs/>
        </w:rPr>
        <w:t xml:space="preserve"> anticipa fin d’ora di essere intenzionata a riflettere su </w:t>
      </w:r>
      <w:r w:rsidRPr="00C62C05">
        <w:rPr>
          <w:rFonts w:cs="Arial"/>
        </w:rPr>
        <w:t xml:space="preserve">un potenziamento degli organi di controllo, così come delle sue possibilità di comunicazione con l’obiettivo di rendere ancora più indipendente ed efficace il Controllo cantonale delle finanze. In questo senso la CGF intende approfondire il modello della Confederazione che prevede un organismo di controllo indipendente e autonomo dal Consiglio Federale </w:t>
      </w:r>
      <w:proofErr w:type="spellStart"/>
      <w:r w:rsidRPr="00C62C05">
        <w:rPr>
          <w:rFonts w:cs="Arial"/>
        </w:rPr>
        <w:t>che</w:t>
      </w:r>
      <w:r w:rsidRPr="00C62C05">
        <w:rPr>
          <w:rFonts w:eastAsia="Calibri" w:cs="Arial"/>
          <w:spacing w:val="2"/>
        </w:rPr>
        <w:t>si</w:t>
      </w:r>
      <w:proofErr w:type="spellEnd"/>
      <w:r w:rsidRPr="00C62C05">
        <w:rPr>
          <w:rFonts w:eastAsia="Calibri" w:cs="Arial"/>
          <w:spacing w:val="2"/>
        </w:rPr>
        <w:t xml:space="preserve"> occupa anche della verifica degli indicatori e del raggiungimento degli obiettivi nei diversi settori dell’amministrazione.</w:t>
      </w:r>
    </w:p>
    <w:p w:rsidR="00A92189" w:rsidRPr="009E0EB1" w:rsidRDefault="00A92189" w:rsidP="00A92189">
      <w:pPr>
        <w:autoSpaceDE w:val="0"/>
        <w:autoSpaceDN w:val="0"/>
        <w:adjustRightInd w:val="0"/>
        <w:ind w:right="-143"/>
        <w:rPr>
          <w:rFonts w:cs="Arial"/>
          <w:iCs/>
        </w:rPr>
      </w:pPr>
    </w:p>
    <w:p w:rsidR="00A92189" w:rsidRPr="009E0EB1" w:rsidRDefault="00A92189" w:rsidP="00A92189">
      <w:pPr>
        <w:tabs>
          <w:tab w:val="left" w:pos="1276"/>
          <w:tab w:val="left" w:pos="5954"/>
          <w:tab w:val="left" w:pos="8505"/>
        </w:tabs>
        <w:ind w:right="851"/>
        <w:rPr>
          <w:rFonts w:cs="Arial"/>
        </w:rPr>
      </w:pPr>
    </w:p>
    <w:p w:rsidR="00A92189" w:rsidRPr="00772E80" w:rsidRDefault="00A92189" w:rsidP="009E0EB1">
      <w:pPr>
        <w:pStyle w:val="Titolo1"/>
      </w:pPr>
      <w:bookmarkStart w:id="7" w:name="_Toc485131128"/>
      <w:r w:rsidRPr="00772E80">
        <w:lastRenderedPageBreak/>
        <w:t>Approfondimento commissionale: assistenza e sostegno sociale</w:t>
      </w:r>
      <w:bookmarkEnd w:id="7"/>
    </w:p>
    <w:p w:rsidR="009E0EB1" w:rsidRDefault="00A92189" w:rsidP="00A92189">
      <w:pPr>
        <w:autoSpaceDE w:val="0"/>
        <w:autoSpaceDN w:val="0"/>
        <w:adjustRightInd w:val="0"/>
        <w:ind w:right="-143"/>
        <w:rPr>
          <w:rFonts w:cs="Arial"/>
          <w:iCs/>
        </w:rPr>
      </w:pPr>
      <w:r w:rsidRPr="00C62C05">
        <w:rPr>
          <w:rFonts w:cs="Arial"/>
          <w:iCs/>
        </w:rPr>
        <w:t>Come sua consuetudine, nel corso dell’analisi dei consuntivi, la CGF decide di focalizzare la propria attenzione su alcuni temi.</w:t>
      </w:r>
    </w:p>
    <w:p w:rsidR="00A92189" w:rsidRPr="00C62C05" w:rsidRDefault="00A92189" w:rsidP="00A92189">
      <w:pPr>
        <w:autoSpaceDE w:val="0"/>
        <w:autoSpaceDN w:val="0"/>
        <w:adjustRightInd w:val="0"/>
        <w:ind w:right="-143"/>
        <w:rPr>
          <w:rFonts w:cs="Arial"/>
          <w:iCs/>
        </w:rPr>
      </w:pPr>
      <w:r w:rsidRPr="00C62C05">
        <w:rPr>
          <w:rFonts w:cs="Arial"/>
          <w:iCs/>
        </w:rPr>
        <w:t>Tenuto conto della situazione sociale precaria e fragile in cui versa una parte della po</w:t>
      </w:r>
      <w:r w:rsidR="00250939">
        <w:rPr>
          <w:rFonts w:cs="Arial"/>
          <w:iCs/>
        </w:rPr>
        <w:t>polazione la Commissione della g</w:t>
      </w:r>
      <w:r w:rsidRPr="00C62C05">
        <w:rPr>
          <w:rFonts w:cs="Arial"/>
          <w:iCs/>
        </w:rPr>
        <w:t xml:space="preserve">estione e delle </w:t>
      </w:r>
      <w:r w:rsidR="00250939">
        <w:rPr>
          <w:rFonts w:cs="Arial"/>
          <w:iCs/>
        </w:rPr>
        <w:t>f</w:t>
      </w:r>
      <w:r w:rsidRPr="00C62C05">
        <w:rPr>
          <w:rFonts w:cs="Arial"/>
          <w:iCs/>
        </w:rPr>
        <w:t>inanze ha deciso di dedicare l’approfondimento ai dati dell’assistenza e al sostegno sociale in Ticino, recentemente pre</w:t>
      </w:r>
      <w:r w:rsidR="00250939">
        <w:rPr>
          <w:rFonts w:cs="Arial"/>
          <w:iCs/>
        </w:rPr>
        <w:t>sentati dal Dipartimento della sanità e della s</w:t>
      </w:r>
      <w:r w:rsidRPr="00C62C05">
        <w:rPr>
          <w:rFonts w:cs="Arial"/>
          <w:iCs/>
        </w:rPr>
        <w:t xml:space="preserve">ocialità. </w:t>
      </w:r>
    </w:p>
    <w:p w:rsidR="00A92189" w:rsidRPr="00C62C05" w:rsidRDefault="00A92189" w:rsidP="00A92189">
      <w:pPr>
        <w:rPr>
          <w:rFonts w:cs="Arial"/>
        </w:rPr>
      </w:pPr>
      <w:r w:rsidRPr="00C62C05">
        <w:rPr>
          <w:rFonts w:cs="Arial"/>
        </w:rPr>
        <w:t>L’evoluzione numerica e dei costi legati all’assistenza sociale sono un fenomeno che, negli ultimi anni, soprattutto a partire dal 2011, è stato al centro dell’attenzione politica. Malgrado alcuni studi condotti segnatamente dall’Ufficio di statistica e dalla Divisione dell’azione sociale e delle famiglie</w:t>
      </w:r>
      <w:r w:rsidRPr="00C62C05">
        <w:rPr>
          <w:rStyle w:val="Rimandonotaapidipagina"/>
          <w:rFonts w:cs="Arial"/>
        </w:rPr>
        <w:footnoteReference w:id="1"/>
      </w:r>
      <w:r w:rsidRPr="00C62C05">
        <w:rPr>
          <w:rFonts w:cs="Arial"/>
        </w:rPr>
        <w:t xml:space="preserve">, la conoscenza delle cause e degli effetti di questo aumento sono però ancora parziali. Per questo motivo, la Commissione della gestione e delle finanze, ha ritenuto necessario e opportuno approfondire questo tema, con l’obiettivo di comprendere meglio la situazione e di verificare le possibili strategie di intervento in un settore delicato sempre più confrontato con la </w:t>
      </w:r>
      <w:proofErr w:type="spellStart"/>
      <w:r w:rsidRPr="00C62C05">
        <w:rPr>
          <w:rFonts w:cs="Arial"/>
        </w:rPr>
        <w:t>fragilizzazione</w:t>
      </w:r>
      <w:proofErr w:type="spellEnd"/>
      <w:r w:rsidRPr="00C62C05">
        <w:rPr>
          <w:rFonts w:cs="Arial"/>
        </w:rPr>
        <w:t xml:space="preserve"> della società. </w:t>
      </w:r>
    </w:p>
    <w:p w:rsidR="00A92189" w:rsidRPr="00C62C05" w:rsidRDefault="00A92189" w:rsidP="00A92189">
      <w:pPr>
        <w:rPr>
          <w:rFonts w:cs="Arial"/>
        </w:rPr>
      </w:pPr>
      <w:r w:rsidRPr="00C62C05">
        <w:rPr>
          <w:rFonts w:cs="Arial"/>
        </w:rPr>
        <w:t xml:space="preserve">Si ringrazia la direzione del Dipartimento della </w:t>
      </w:r>
      <w:r w:rsidR="00250939">
        <w:rPr>
          <w:rFonts w:cs="Arial"/>
        </w:rPr>
        <w:t>s</w:t>
      </w:r>
      <w:r w:rsidRPr="00C62C05">
        <w:rPr>
          <w:rFonts w:cs="Arial"/>
        </w:rPr>
        <w:t xml:space="preserve">anità e della </w:t>
      </w:r>
      <w:r w:rsidR="00250939">
        <w:rPr>
          <w:rFonts w:cs="Arial"/>
        </w:rPr>
        <w:t>s</w:t>
      </w:r>
      <w:r w:rsidRPr="00C62C05">
        <w:rPr>
          <w:rFonts w:cs="Arial"/>
        </w:rPr>
        <w:t>ocialità, le collaboratrici e i coll</w:t>
      </w:r>
      <w:r w:rsidR="00250939">
        <w:rPr>
          <w:rFonts w:cs="Arial"/>
        </w:rPr>
        <w:t>aboratori della Divisione dell’a</w:t>
      </w:r>
      <w:r w:rsidRPr="00C62C05">
        <w:rPr>
          <w:rFonts w:cs="Arial"/>
        </w:rPr>
        <w:t xml:space="preserve">zione </w:t>
      </w:r>
      <w:r w:rsidR="00250939">
        <w:rPr>
          <w:rFonts w:cs="Arial"/>
        </w:rPr>
        <w:t>s</w:t>
      </w:r>
      <w:r w:rsidRPr="00C62C05">
        <w:rPr>
          <w:rFonts w:cs="Arial"/>
        </w:rPr>
        <w:t>oci</w:t>
      </w:r>
      <w:r w:rsidR="00250939">
        <w:rPr>
          <w:rFonts w:cs="Arial"/>
        </w:rPr>
        <w:t>ale e delle f</w:t>
      </w:r>
      <w:r w:rsidRPr="00C62C05">
        <w:rPr>
          <w:rFonts w:cs="Arial"/>
        </w:rPr>
        <w:t xml:space="preserve">amiglie e dell’Ufficio </w:t>
      </w:r>
      <w:r w:rsidR="00250939">
        <w:rPr>
          <w:rFonts w:cs="Arial"/>
        </w:rPr>
        <w:t>c</w:t>
      </w:r>
      <w:r w:rsidRPr="00C62C05">
        <w:rPr>
          <w:rFonts w:cs="Arial"/>
        </w:rPr>
        <w:t xml:space="preserve">antonale di </w:t>
      </w:r>
      <w:r w:rsidR="00250939">
        <w:rPr>
          <w:rFonts w:cs="Arial"/>
        </w:rPr>
        <w:t>s</w:t>
      </w:r>
      <w:r w:rsidRPr="00C62C05">
        <w:rPr>
          <w:rFonts w:cs="Arial"/>
        </w:rPr>
        <w:t>tatistica per la documentazione e il supporto offerto alla</w:t>
      </w:r>
      <w:r w:rsidR="00B3148F">
        <w:rPr>
          <w:rFonts w:cs="Arial"/>
        </w:rPr>
        <w:t xml:space="preserve"> Commissione</w:t>
      </w:r>
      <w:r w:rsidRPr="00C62C05">
        <w:rPr>
          <w:rFonts w:cs="Arial"/>
        </w:rPr>
        <w:t>.</w:t>
      </w:r>
    </w:p>
    <w:p w:rsidR="00A92189" w:rsidRPr="00C62C05" w:rsidRDefault="00A92189" w:rsidP="00A92189">
      <w:pPr>
        <w:rPr>
          <w:rFonts w:cs="Arial"/>
        </w:rPr>
      </w:pPr>
    </w:p>
    <w:p w:rsidR="00A92189" w:rsidRPr="00C62C05" w:rsidRDefault="00A92189" w:rsidP="00A92189">
      <w:pPr>
        <w:rPr>
          <w:rFonts w:cs="Arial"/>
        </w:rPr>
      </w:pPr>
      <w:r w:rsidRPr="00C62C05">
        <w:rPr>
          <w:rFonts w:cs="Arial"/>
        </w:rPr>
        <w:t>I dati finanziari di consuntivo 2016 dell’assistenza sociale, presentati dal Dipartimento della sanità e della socialità nella conferenza stampa del 9 maggio 2016, hanno mostrato una spesa complessiva di 109.6 milioni per le prestazioni di mantenimento (prestazione ordinaria, copertura dei costi sanitari e altre spese speciali, segnatamente per l’alloggio) ai quali ne vanno sommati altri 5.5 per le misure di inserimento sociale e professionale dei beneficiari (grafico 1 e 2). Ciò significa che il 95% della spesa dell’assistenza sociale nel 2016 è legata alla copertura del minimo vitale dei beneficiari</w:t>
      </w:r>
    </w:p>
    <w:p w:rsidR="00A92189" w:rsidRPr="00C62C05" w:rsidRDefault="00A92189" w:rsidP="00A92189">
      <w:pPr>
        <w:rPr>
          <w:rFonts w:cs="Arial"/>
        </w:rPr>
      </w:pPr>
    </w:p>
    <w:p w:rsidR="00A92189" w:rsidRPr="00C62C05" w:rsidRDefault="00A92189" w:rsidP="00A92189">
      <w:pPr>
        <w:rPr>
          <w:rFonts w:cs="Arial"/>
        </w:rPr>
      </w:pPr>
    </w:p>
    <w:p w:rsidR="009E0EB1" w:rsidRDefault="009E0EB1">
      <w:pPr>
        <w:rPr>
          <w:rFonts w:cs="Arial"/>
          <w:b/>
          <w:i/>
        </w:rPr>
      </w:pPr>
      <w:r>
        <w:rPr>
          <w:rFonts w:cs="Arial"/>
          <w:b/>
          <w:i/>
        </w:rPr>
        <w:br w:type="page"/>
      </w:r>
    </w:p>
    <w:p w:rsidR="009E0EB1" w:rsidRPr="009E0EB1" w:rsidRDefault="00A92189" w:rsidP="00A92189">
      <w:pPr>
        <w:autoSpaceDE w:val="0"/>
        <w:autoSpaceDN w:val="0"/>
        <w:adjustRightInd w:val="0"/>
        <w:ind w:right="-143"/>
        <w:rPr>
          <w:rFonts w:cs="Arial"/>
          <w:b/>
          <w:i/>
          <w:sz w:val="23"/>
          <w:szCs w:val="23"/>
        </w:rPr>
      </w:pPr>
      <w:r w:rsidRPr="009E0EB1">
        <w:rPr>
          <w:rFonts w:cs="Arial"/>
          <w:b/>
          <w:i/>
          <w:sz w:val="23"/>
          <w:szCs w:val="23"/>
        </w:rPr>
        <w:lastRenderedPageBreak/>
        <w:t>Grafico 1, evoluzione spesa e casi medi</w:t>
      </w:r>
    </w:p>
    <w:p w:rsidR="00A92189" w:rsidRPr="00C62C05" w:rsidRDefault="00A92189" w:rsidP="00A92189">
      <w:pPr>
        <w:autoSpaceDE w:val="0"/>
        <w:autoSpaceDN w:val="0"/>
        <w:adjustRightInd w:val="0"/>
        <w:ind w:right="-143"/>
        <w:rPr>
          <w:rFonts w:cs="Arial"/>
          <w:b/>
          <w:i/>
        </w:rPr>
      </w:pPr>
    </w:p>
    <w:p w:rsidR="009E0EB1" w:rsidRDefault="00A92189" w:rsidP="00A92189">
      <w:pPr>
        <w:autoSpaceDE w:val="0"/>
        <w:autoSpaceDN w:val="0"/>
        <w:adjustRightInd w:val="0"/>
        <w:ind w:right="-143"/>
        <w:rPr>
          <w:rFonts w:cs="Arial"/>
          <w:b/>
          <w:i/>
        </w:rPr>
      </w:pPr>
      <w:r w:rsidRPr="00C62C05">
        <w:rPr>
          <w:rFonts w:cs="Arial"/>
          <w:b/>
          <w:i/>
          <w:noProof/>
          <w:lang w:eastAsia="it-CH"/>
        </w:rPr>
        <w:drawing>
          <wp:inline distT="0" distB="0" distL="0" distR="0" wp14:anchorId="26EDBEFB" wp14:editId="09C45F48">
            <wp:extent cx="5324226" cy="4093385"/>
            <wp:effectExtent l="1905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23581" cy="4092889"/>
                    </a:xfrm>
                    <a:prstGeom prst="rect">
                      <a:avLst/>
                    </a:prstGeom>
                  </pic:spPr>
                </pic:pic>
              </a:graphicData>
            </a:graphic>
          </wp:inline>
        </w:drawing>
      </w:r>
      <w:bookmarkStart w:id="8" w:name="_Toc484159868"/>
    </w:p>
    <w:p w:rsidR="009E0EB1" w:rsidRPr="009E0EB1" w:rsidRDefault="009E0EB1" w:rsidP="00A92189">
      <w:pPr>
        <w:autoSpaceDE w:val="0"/>
        <w:autoSpaceDN w:val="0"/>
        <w:adjustRightInd w:val="0"/>
        <w:ind w:right="-143"/>
        <w:rPr>
          <w:rFonts w:cs="Arial"/>
        </w:rPr>
      </w:pPr>
    </w:p>
    <w:p w:rsidR="009E0EB1" w:rsidRPr="009E0EB1" w:rsidRDefault="009E0EB1" w:rsidP="00A92189">
      <w:pPr>
        <w:autoSpaceDE w:val="0"/>
        <w:autoSpaceDN w:val="0"/>
        <w:adjustRightInd w:val="0"/>
        <w:ind w:right="-143"/>
        <w:rPr>
          <w:rFonts w:cs="Arial"/>
        </w:rPr>
      </w:pPr>
    </w:p>
    <w:p w:rsidR="009E0EB1" w:rsidRDefault="00A92189" w:rsidP="00A92189">
      <w:pPr>
        <w:autoSpaceDE w:val="0"/>
        <w:autoSpaceDN w:val="0"/>
        <w:adjustRightInd w:val="0"/>
        <w:ind w:right="-143"/>
        <w:rPr>
          <w:rFonts w:cs="Arial"/>
          <w:b/>
          <w:i/>
        </w:rPr>
      </w:pPr>
      <w:r w:rsidRPr="00772E80">
        <w:rPr>
          <w:rFonts w:cs="Arial"/>
          <w:b/>
          <w:i/>
        </w:rPr>
        <w:t>Grafico 2, spesa per inserimento sociale e professionale</w:t>
      </w:r>
    </w:p>
    <w:p w:rsidR="009E0EB1" w:rsidRDefault="009E0EB1" w:rsidP="00A92189">
      <w:pPr>
        <w:autoSpaceDE w:val="0"/>
        <w:autoSpaceDN w:val="0"/>
        <w:adjustRightInd w:val="0"/>
        <w:ind w:right="-143"/>
        <w:rPr>
          <w:rFonts w:cs="Arial"/>
          <w:i/>
        </w:rPr>
      </w:pPr>
    </w:p>
    <w:p w:rsidR="00A92189" w:rsidRDefault="00A92189" w:rsidP="00A92189">
      <w:pPr>
        <w:autoSpaceDE w:val="0"/>
        <w:autoSpaceDN w:val="0"/>
        <w:adjustRightInd w:val="0"/>
        <w:ind w:right="-143"/>
        <w:rPr>
          <w:rFonts w:cs="Arial"/>
          <w:b/>
          <w:i/>
        </w:rPr>
      </w:pPr>
      <w:r>
        <w:rPr>
          <w:rFonts w:cs="Arial"/>
          <w:noProof/>
          <w:lang w:eastAsia="it-CH"/>
        </w:rPr>
        <w:drawing>
          <wp:inline distT="0" distB="0" distL="0" distR="0" wp14:anchorId="4D87F432" wp14:editId="73AFEDFD">
            <wp:extent cx="5029835" cy="1590040"/>
            <wp:effectExtent l="1905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029835" cy="1590040"/>
                    </a:xfrm>
                    <a:prstGeom prst="rect">
                      <a:avLst/>
                    </a:prstGeom>
                  </pic:spPr>
                </pic:pic>
              </a:graphicData>
            </a:graphic>
          </wp:inline>
        </w:drawing>
      </w:r>
    </w:p>
    <w:p w:rsidR="00250939" w:rsidRPr="00772E80" w:rsidRDefault="00250939" w:rsidP="00A92189">
      <w:pPr>
        <w:autoSpaceDE w:val="0"/>
        <w:autoSpaceDN w:val="0"/>
        <w:adjustRightInd w:val="0"/>
        <w:ind w:right="-143"/>
        <w:rPr>
          <w:rFonts w:cs="Arial"/>
          <w:b/>
          <w:i/>
        </w:rPr>
      </w:pPr>
    </w:p>
    <w:p w:rsidR="00A92189" w:rsidRPr="00772E80" w:rsidRDefault="00A92189" w:rsidP="00A92189"/>
    <w:p w:rsidR="00A92189" w:rsidRPr="00C62C05" w:rsidRDefault="00A92189" w:rsidP="0001476A">
      <w:pPr>
        <w:pStyle w:val="Titolo4"/>
      </w:pPr>
      <w:r w:rsidRPr="00C62C05">
        <w:t>Dati e analisi</w:t>
      </w:r>
      <w:bookmarkEnd w:id="8"/>
    </w:p>
    <w:p w:rsidR="00A92189" w:rsidRPr="0001476A" w:rsidRDefault="00A92189" w:rsidP="00A92189">
      <w:pPr>
        <w:rPr>
          <w:rFonts w:cs="Arial"/>
          <w:sz w:val="22"/>
        </w:rPr>
      </w:pPr>
      <w:r w:rsidRPr="0001476A">
        <w:rPr>
          <w:rFonts w:cs="Arial"/>
          <w:sz w:val="22"/>
        </w:rPr>
        <w:t>I dati presentati dal Dipartimento della sanità e della socialità, così come i citati studi dell’Ufficio di statistica, permettono di evidenziare due aspetti rilevanti:</w:t>
      </w:r>
    </w:p>
    <w:p w:rsidR="00A92189" w:rsidRPr="0001476A" w:rsidRDefault="00A92189" w:rsidP="00A92189">
      <w:pPr>
        <w:rPr>
          <w:rFonts w:cs="Arial"/>
          <w:sz w:val="22"/>
        </w:rPr>
      </w:pPr>
    </w:p>
    <w:p w:rsidR="00A92189" w:rsidRPr="0001476A" w:rsidRDefault="00A92189" w:rsidP="00250939">
      <w:pPr>
        <w:pStyle w:val="Paragrafoelenco"/>
        <w:numPr>
          <w:ilvl w:val="0"/>
          <w:numId w:val="8"/>
        </w:numPr>
        <w:spacing w:after="200"/>
        <w:ind w:left="426" w:hanging="426"/>
        <w:contextualSpacing/>
        <w:rPr>
          <w:rFonts w:cs="Arial"/>
          <w:sz w:val="22"/>
          <w:u w:val="single"/>
        </w:rPr>
      </w:pPr>
      <w:r w:rsidRPr="0001476A">
        <w:rPr>
          <w:rFonts w:cs="Arial"/>
          <w:sz w:val="22"/>
          <w:u w:val="single"/>
        </w:rPr>
        <w:t>di ordine quantitativo</w:t>
      </w:r>
    </w:p>
    <w:p w:rsidR="00A92189" w:rsidRPr="0001476A" w:rsidRDefault="00A92189" w:rsidP="008C249E">
      <w:pPr>
        <w:pStyle w:val="Paragrafoelenco"/>
        <w:numPr>
          <w:ilvl w:val="0"/>
          <w:numId w:val="9"/>
        </w:numPr>
        <w:spacing w:before="100"/>
        <w:ind w:hanging="295"/>
        <w:rPr>
          <w:rFonts w:cs="Arial"/>
          <w:sz w:val="22"/>
        </w:rPr>
      </w:pPr>
      <w:r w:rsidRPr="0001476A">
        <w:rPr>
          <w:rFonts w:cs="Arial"/>
          <w:sz w:val="22"/>
        </w:rPr>
        <w:t>dietro l’aumento numerico dei casi di assistenza si cela una modifica sostanziale della tipologia dei beneficiari, con un incremento delle persone che svolgono un’attività lavorativa che non permette loro di essere autonomi finanziariamente (</w:t>
      </w:r>
      <w:proofErr w:type="spellStart"/>
      <w:r w:rsidRPr="0001476A">
        <w:rPr>
          <w:rFonts w:cs="Arial"/>
          <w:sz w:val="22"/>
        </w:rPr>
        <w:t>working</w:t>
      </w:r>
      <w:proofErr w:type="spellEnd"/>
      <w:r w:rsidRPr="0001476A">
        <w:rPr>
          <w:rFonts w:cs="Arial"/>
          <w:sz w:val="22"/>
        </w:rPr>
        <w:t xml:space="preserve"> </w:t>
      </w:r>
      <w:proofErr w:type="spellStart"/>
      <w:r w:rsidRPr="0001476A">
        <w:rPr>
          <w:rFonts w:cs="Arial"/>
          <w:sz w:val="22"/>
        </w:rPr>
        <w:t>poor</w:t>
      </w:r>
      <w:proofErr w:type="spellEnd"/>
      <w:r w:rsidRPr="0001476A">
        <w:rPr>
          <w:rFonts w:cs="Arial"/>
          <w:sz w:val="22"/>
        </w:rPr>
        <w:t>), e dei disoccupati nonché, dal 2016, un incremento delle famiglie con figli;</w:t>
      </w:r>
    </w:p>
    <w:p w:rsidR="00A92189" w:rsidRPr="0001476A" w:rsidRDefault="00A92189" w:rsidP="008C249E">
      <w:pPr>
        <w:pStyle w:val="Paragrafoelenco"/>
        <w:numPr>
          <w:ilvl w:val="0"/>
          <w:numId w:val="9"/>
        </w:numPr>
        <w:spacing w:before="100"/>
        <w:ind w:hanging="295"/>
        <w:rPr>
          <w:rFonts w:cs="Arial"/>
          <w:sz w:val="22"/>
        </w:rPr>
      </w:pPr>
      <w:r w:rsidRPr="0001476A">
        <w:rPr>
          <w:rFonts w:cs="Arial"/>
          <w:sz w:val="22"/>
        </w:rPr>
        <w:t>tra i titolari di assistenza sociale, la fascia di età più rappresentata è quella tra i 46 e i 55 anni</w:t>
      </w:r>
    </w:p>
    <w:p w:rsidR="00A92189" w:rsidRPr="0001476A" w:rsidRDefault="00A92189" w:rsidP="008C249E">
      <w:pPr>
        <w:rPr>
          <w:sz w:val="22"/>
        </w:rPr>
      </w:pPr>
    </w:p>
    <w:p w:rsidR="00A92189" w:rsidRPr="0001476A" w:rsidRDefault="00A92189" w:rsidP="00250939">
      <w:pPr>
        <w:pStyle w:val="Paragrafoelenco"/>
        <w:numPr>
          <w:ilvl w:val="0"/>
          <w:numId w:val="8"/>
        </w:numPr>
        <w:spacing w:after="200"/>
        <w:ind w:left="426" w:hanging="426"/>
        <w:contextualSpacing/>
        <w:rPr>
          <w:rFonts w:cs="Arial"/>
          <w:sz w:val="22"/>
          <w:u w:val="single"/>
        </w:rPr>
      </w:pPr>
      <w:r w:rsidRPr="0001476A">
        <w:rPr>
          <w:rFonts w:cs="Arial"/>
          <w:sz w:val="22"/>
          <w:u w:val="single"/>
        </w:rPr>
        <w:t>di ordine organizzativo</w:t>
      </w:r>
    </w:p>
    <w:p w:rsidR="00A92189" w:rsidRPr="0001476A" w:rsidRDefault="00A92189" w:rsidP="008C249E">
      <w:pPr>
        <w:pStyle w:val="Paragrafoelenco"/>
        <w:numPr>
          <w:ilvl w:val="0"/>
          <w:numId w:val="9"/>
        </w:numPr>
        <w:spacing w:before="100"/>
        <w:ind w:hanging="295"/>
        <w:rPr>
          <w:rFonts w:cs="Arial"/>
          <w:sz w:val="22"/>
        </w:rPr>
      </w:pPr>
      <w:r w:rsidRPr="0001476A">
        <w:rPr>
          <w:rFonts w:cs="Arial"/>
          <w:sz w:val="22"/>
        </w:rPr>
        <w:t>l’incremento dei casi in gestione all’Ufficio del sostegno sociale è stato trattato con una dotazione di personale pressoché invariata;</w:t>
      </w:r>
    </w:p>
    <w:p w:rsidR="00A92189" w:rsidRPr="0001476A" w:rsidRDefault="00A92189" w:rsidP="008C249E">
      <w:pPr>
        <w:pStyle w:val="Paragrafoelenco"/>
        <w:numPr>
          <w:ilvl w:val="0"/>
          <w:numId w:val="9"/>
        </w:numPr>
        <w:spacing w:before="100"/>
        <w:ind w:hanging="295"/>
        <w:rPr>
          <w:rFonts w:cs="Arial"/>
          <w:sz w:val="22"/>
        </w:rPr>
      </w:pPr>
      <w:r w:rsidRPr="0001476A">
        <w:rPr>
          <w:rFonts w:cs="Arial"/>
          <w:sz w:val="22"/>
        </w:rPr>
        <w:t>le misure di inserimento rappresentano un investimento importante, ma solo una parte limitata dei beneficiari ne può usufruire.</w:t>
      </w:r>
    </w:p>
    <w:p w:rsidR="00250939" w:rsidRPr="00250939" w:rsidRDefault="00250939" w:rsidP="00250939">
      <w:pPr>
        <w:spacing w:after="200"/>
        <w:contextualSpacing/>
        <w:rPr>
          <w:rFonts w:cs="Arial"/>
        </w:rPr>
      </w:pPr>
    </w:p>
    <w:p w:rsidR="00A92189" w:rsidRPr="00C62C05" w:rsidRDefault="00A92189" w:rsidP="0001476A">
      <w:pPr>
        <w:pStyle w:val="Titolo4"/>
      </w:pPr>
      <w:bookmarkStart w:id="9" w:name="_Toc484159869"/>
      <w:r w:rsidRPr="00C62C05">
        <w:t>Analisi quantitativa</w:t>
      </w:r>
      <w:bookmarkEnd w:id="9"/>
    </w:p>
    <w:p w:rsidR="00A92189" w:rsidRPr="0001476A" w:rsidRDefault="00A92189" w:rsidP="00A92189">
      <w:pPr>
        <w:rPr>
          <w:rFonts w:cs="Arial"/>
          <w:sz w:val="22"/>
        </w:rPr>
      </w:pPr>
      <w:r w:rsidRPr="0001476A">
        <w:rPr>
          <w:rFonts w:cs="Arial"/>
          <w:sz w:val="22"/>
        </w:rPr>
        <w:t>Per quanto concerne gli aspetti quantitativi, i grafici sottostanti presentano l’evoluzione 2012-2016 delle domande di assistenza sociale, per statuto occupazionale del titolare e per la tipologia familiare e la suddivisione dei titolari per fasce di età.</w:t>
      </w:r>
    </w:p>
    <w:p w:rsidR="00A92189" w:rsidRPr="0001476A" w:rsidRDefault="00A92189" w:rsidP="00A92189">
      <w:pPr>
        <w:rPr>
          <w:rFonts w:cs="Arial"/>
          <w:sz w:val="22"/>
        </w:rPr>
      </w:pPr>
    </w:p>
    <w:p w:rsidR="00A92189" w:rsidRPr="0001476A" w:rsidRDefault="00A92189" w:rsidP="00A92189">
      <w:pPr>
        <w:rPr>
          <w:rFonts w:cs="Arial"/>
          <w:sz w:val="22"/>
        </w:rPr>
      </w:pPr>
    </w:p>
    <w:p w:rsidR="009E0EB1" w:rsidRPr="009E0EB1" w:rsidRDefault="00A92189" w:rsidP="00A92189">
      <w:pPr>
        <w:tabs>
          <w:tab w:val="left" w:pos="5387"/>
        </w:tabs>
        <w:rPr>
          <w:rFonts w:cs="Arial"/>
          <w:b/>
          <w:i/>
          <w:sz w:val="23"/>
          <w:szCs w:val="23"/>
        </w:rPr>
      </w:pPr>
      <w:r w:rsidRPr="009E0EB1">
        <w:rPr>
          <w:rFonts w:cs="Arial"/>
          <w:b/>
          <w:i/>
          <w:sz w:val="23"/>
          <w:szCs w:val="23"/>
        </w:rPr>
        <w:t>Grafico 3: evoluzione statuto occupazionale</w:t>
      </w:r>
    </w:p>
    <w:p w:rsidR="00A92189" w:rsidRPr="00C62C05" w:rsidRDefault="00A92189" w:rsidP="00A92189">
      <w:pPr>
        <w:tabs>
          <w:tab w:val="left" w:pos="5387"/>
        </w:tabs>
        <w:rPr>
          <w:rFonts w:cs="Arial"/>
          <w:b/>
          <w:i/>
        </w:rPr>
      </w:pPr>
    </w:p>
    <w:p w:rsidR="00A92189" w:rsidRPr="00C62C05" w:rsidRDefault="00A92189" w:rsidP="00A92189">
      <w:pPr>
        <w:rPr>
          <w:rFonts w:cs="Arial"/>
        </w:rPr>
      </w:pPr>
      <w:r w:rsidRPr="00C62C05">
        <w:rPr>
          <w:rFonts w:cs="Arial"/>
          <w:noProof/>
          <w:lang w:eastAsia="it-CH"/>
        </w:rPr>
        <w:drawing>
          <wp:inline distT="0" distB="0" distL="0" distR="0" wp14:anchorId="3F49FC38" wp14:editId="145DCD2F">
            <wp:extent cx="5252664" cy="2242267"/>
            <wp:effectExtent l="19050" t="0" r="24186" b="5633"/>
            <wp:docPr id="5"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92189" w:rsidRDefault="00A92189" w:rsidP="00A92189">
      <w:pPr>
        <w:rPr>
          <w:rFonts w:cs="Arial"/>
        </w:rPr>
      </w:pPr>
    </w:p>
    <w:p w:rsidR="009E0EB1" w:rsidRPr="00C62C05" w:rsidRDefault="009E0EB1" w:rsidP="00A92189">
      <w:pPr>
        <w:rPr>
          <w:rFonts w:cs="Arial"/>
        </w:rPr>
      </w:pPr>
    </w:p>
    <w:p w:rsidR="00A92189" w:rsidRPr="009E0EB1" w:rsidRDefault="00A92189" w:rsidP="00A92189">
      <w:pPr>
        <w:tabs>
          <w:tab w:val="left" w:pos="5387"/>
        </w:tabs>
        <w:rPr>
          <w:rFonts w:cs="Arial"/>
          <w:b/>
          <w:i/>
          <w:sz w:val="23"/>
          <w:szCs w:val="23"/>
        </w:rPr>
      </w:pPr>
      <w:r w:rsidRPr="009E0EB1">
        <w:rPr>
          <w:rFonts w:cs="Arial"/>
          <w:b/>
          <w:i/>
          <w:sz w:val="23"/>
          <w:szCs w:val="23"/>
        </w:rPr>
        <w:t>Grafico 4: evoluzione tipologia familiare</w:t>
      </w:r>
    </w:p>
    <w:p w:rsidR="00A92189" w:rsidRPr="00C62C05" w:rsidRDefault="00A92189" w:rsidP="00A92189">
      <w:pPr>
        <w:tabs>
          <w:tab w:val="left" w:pos="5387"/>
        </w:tabs>
        <w:rPr>
          <w:rFonts w:cs="Arial"/>
          <w:b/>
          <w:i/>
        </w:rPr>
      </w:pPr>
      <w:r w:rsidRPr="00C62C05">
        <w:rPr>
          <w:rFonts w:cs="Arial"/>
          <w:bCs/>
          <w:noProof/>
          <w:lang w:eastAsia="it-CH"/>
        </w:rPr>
        <w:drawing>
          <wp:anchor distT="0" distB="0" distL="114300" distR="114300" simplePos="0" relativeHeight="251659264" behindDoc="1" locked="0" layoutInCell="1" allowOverlap="1" wp14:anchorId="6D953992" wp14:editId="10CE8A68">
            <wp:simplePos x="0" y="0"/>
            <wp:positionH relativeFrom="column">
              <wp:posOffset>85725</wp:posOffset>
            </wp:positionH>
            <wp:positionV relativeFrom="paragraph">
              <wp:posOffset>196215</wp:posOffset>
            </wp:positionV>
            <wp:extent cx="5244465" cy="2710815"/>
            <wp:effectExtent l="19050" t="0" r="13335" b="0"/>
            <wp:wrapTight wrapText="bothSides">
              <wp:wrapPolygon edited="0">
                <wp:start x="-78" y="0"/>
                <wp:lineTo x="-78" y="21554"/>
                <wp:lineTo x="21655" y="21554"/>
                <wp:lineTo x="21655" y="0"/>
                <wp:lineTo x="-78" y="0"/>
              </wp:wrapPolygon>
            </wp:wrapTight>
            <wp:docPr id="4" name="Gra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A92189" w:rsidRPr="00C62C05" w:rsidRDefault="00A92189" w:rsidP="00A92189">
      <w:pPr>
        <w:rPr>
          <w:rFonts w:cs="Arial"/>
        </w:rPr>
      </w:pPr>
    </w:p>
    <w:p w:rsidR="00A92189" w:rsidRPr="00C62C05" w:rsidRDefault="00A92189" w:rsidP="00A92189">
      <w:pPr>
        <w:rPr>
          <w:rFonts w:cs="Arial"/>
        </w:rPr>
      </w:pPr>
    </w:p>
    <w:p w:rsidR="00A92189" w:rsidRPr="00C62C05" w:rsidRDefault="00A92189" w:rsidP="00A92189">
      <w:pPr>
        <w:rPr>
          <w:rFonts w:cs="Arial"/>
        </w:rPr>
      </w:pPr>
    </w:p>
    <w:p w:rsidR="00A92189" w:rsidRPr="00C62C05" w:rsidRDefault="00A92189" w:rsidP="00A92189">
      <w:pPr>
        <w:rPr>
          <w:rFonts w:cs="Arial"/>
        </w:rPr>
      </w:pPr>
    </w:p>
    <w:p w:rsidR="00A92189" w:rsidRPr="00C62C05" w:rsidRDefault="00A92189" w:rsidP="00A92189">
      <w:pPr>
        <w:rPr>
          <w:rFonts w:cs="Arial"/>
        </w:rPr>
      </w:pPr>
    </w:p>
    <w:p w:rsidR="00A92189" w:rsidRPr="00C62C05" w:rsidRDefault="00A92189" w:rsidP="00A92189">
      <w:pPr>
        <w:rPr>
          <w:rFonts w:cs="Arial"/>
        </w:rPr>
      </w:pPr>
    </w:p>
    <w:p w:rsidR="00A92189" w:rsidRPr="00C62C05" w:rsidRDefault="00A92189" w:rsidP="00A92189">
      <w:pPr>
        <w:rPr>
          <w:rFonts w:cs="Arial"/>
        </w:rPr>
      </w:pPr>
    </w:p>
    <w:p w:rsidR="00A92189" w:rsidRPr="00C62C05" w:rsidRDefault="00A92189" w:rsidP="00A92189">
      <w:pPr>
        <w:rPr>
          <w:rFonts w:cs="Arial"/>
        </w:rPr>
      </w:pPr>
    </w:p>
    <w:p w:rsidR="00A92189" w:rsidRPr="00C62C05" w:rsidRDefault="00A92189" w:rsidP="00A92189">
      <w:pPr>
        <w:rPr>
          <w:rFonts w:cs="Arial"/>
        </w:rPr>
      </w:pPr>
    </w:p>
    <w:p w:rsidR="00A92189" w:rsidRPr="00C62C05" w:rsidRDefault="00A92189" w:rsidP="00A92189">
      <w:pPr>
        <w:rPr>
          <w:rFonts w:cs="Arial"/>
        </w:rPr>
      </w:pPr>
    </w:p>
    <w:p w:rsidR="00A92189" w:rsidRPr="00C62C05" w:rsidRDefault="00A92189" w:rsidP="00A92189">
      <w:pPr>
        <w:rPr>
          <w:rFonts w:cs="Arial"/>
        </w:rPr>
      </w:pPr>
    </w:p>
    <w:p w:rsidR="00A92189" w:rsidRPr="00C62C05" w:rsidRDefault="00A92189" w:rsidP="00A92189">
      <w:pPr>
        <w:rPr>
          <w:rFonts w:cs="Arial"/>
        </w:rPr>
      </w:pPr>
    </w:p>
    <w:p w:rsidR="00A92189" w:rsidRDefault="00A92189" w:rsidP="00A92189">
      <w:pPr>
        <w:rPr>
          <w:rFonts w:cs="Arial"/>
          <w:b/>
          <w:i/>
        </w:rPr>
      </w:pPr>
    </w:p>
    <w:p w:rsidR="00A92189" w:rsidRDefault="00A92189" w:rsidP="00A92189">
      <w:pPr>
        <w:rPr>
          <w:rFonts w:cs="Arial"/>
          <w:b/>
          <w:i/>
        </w:rPr>
      </w:pPr>
    </w:p>
    <w:p w:rsidR="00A92189" w:rsidRDefault="00A92189" w:rsidP="00A92189">
      <w:pPr>
        <w:rPr>
          <w:rFonts w:cs="Arial"/>
          <w:b/>
          <w:i/>
        </w:rPr>
      </w:pPr>
    </w:p>
    <w:p w:rsidR="0001476A" w:rsidRDefault="0001476A" w:rsidP="00A92189">
      <w:pPr>
        <w:rPr>
          <w:rFonts w:cs="Arial"/>
          <w:b/>
          <w:i/>
          <w:sz w:val="23"/>
          <w:szCs w:val="23"/>
        </w:rPr>
      </w:pPr>
    </w:p>
    <w:p w:rsidR="0001476A" w:rsidRDefault="0001476A" w:rsidP="00A92189">
      <w:pPr>
        <w:rPr>
          <w:rFonts w:cs="Arial"/>
          <w:b/>
          <w:i/>
          <w:sz w:val="23"/>
          <w:szCs w:val="23"/>
        </w:rPr>
      </w:pPr>
    </w:p>
    <w:p w:rsidR="009F3C6A" w:rsidRDefault="009F3C6A">
      <w:pPr>
        <w:rPr>
          <w:rFonts w:cs="Arial"/>
          <w:b/>
          <w:i/>
          <w:sz w:val="23"/>
          <w:szCs w:val="23"/>
        </w:rPr>
      </w:pPr>
      <w:r>
        <w:rPr>
          <w:rFonts w:cs="Arial"/>
          <w:b/>
          <w:i/>
          <w:sz w:val="23"/>
          <w:szCs w:val="23"/>
        </w:rPr>
        <w:br w:type="page"/>
      </w:r>
    </w:p>
    <w:p w:rsidR="00A92189" w:rsidRPr="009E0EB1" w:rsidRDefault="00A92189" w:rsidP="00A92189">
      <w:pPr>
        <w:rPr>
          <w:rFonts w:cs="Arial"/>
          <w:b/>
          <w:i/>
          <w:sz w:val="23"/>
          <w:szCs w:val="23"/>
        </w:rPr>
      </w:pPr>
      <w:r w:rsidRPr="009E0EB1">
        <w:rPr>
          <w:rFonts w:cs="Arial"/>
          <w:b/>
          <w:i/>
          <w:sz w:val="23"/>
          <w:szCs w:val="23"/>
        </w:rPr>
        <w:lastRenderedPageBreak/>
        <w:t>Grafico 5: titolari per fasce di età, dicembre 2015-2016</w:t>
      </w:r>
    </w:p>
    <w:p w:rsidR="00A92189" w:rsidRPr="00C62C05" w:rsidRDefault="00A92189" w:rsidP="00A92189">
      <w:pPr>
        <w:rPr>
          <w:rFonts w:cs="Arial"/>
        </w:rPr>
      </w:pPr>
      <w:r w:rsidRPr="00C62C05">
        <w:rPr>
          <w:rFonts w:cs="Arial"/>
          <w:noProof/>
          <w:lang w:eastAsia="it-CH"/>
        </w:rPr>
        <w:drawing>
          <wp:anchor distT="0" distB="0" distL="114300" distR="114300" simplePos="0" relativeHeight="251660288" behindDoc="0" locked="0" layoutInCell="1" allowOverlap="1" wp14:anchorId="5EA06EB4" wp14:editId="4BC3CEB3">
            <wp:simplePos x="0" y="0"/>
            <wp:positionH relativeFrom="margin">
              <wp:align>left</wp:align>
            </wp:positionH>
            <wp:positionV relativeFrom="paragraph">
              <wp:posOffset>238125</wp:posOffset>
            </wp:positionV>
            <wp:extent cx="6120130" cy="1559155"/>
            <wp:effectExtent l="0" t="0" r="13970" b="3175"/>
            <wp:wrapSquare wrapText="bothSides"/>
            <wp:docPr id="7"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A92189" w:rsidRPr="0001476A" w:rsidRDefault="00A92189" w:rsidP="00A92189">
      <w:pPr>
        <w:tabs>
          <w:tab w:val="left" w:pos="3143"/>
        </w:tabs>
        <w:rPr>
          <w:rFonts w:cs="Arial"/>
          <w:sz w:val="22"/>
        </w:rPr>
      </w:pPr>
    </w:p>
    <w:p w:rsidR="009E0EB1" w:rsidRPr="0001476A" w:rsidRDefault="009E0EB1" w:rsidP="00A92189">
      <w:pPr>
        <w:rPr>
          <w:rFonts w:cs="Arial"/>
          <w:sz w:val="22"/>
        </w:rPr>
      </w:pPr>
    </w:p>
    <w:p w:rsidR="00A92189" w:rsidRPr="0001476A" w:rsidRDefault="00A92189" w:rsidP="00A92189">
      <w:pPr>
        <w:rPr>
          <w:rFonts w:cs="Arial"/>
          <w:sz w:val="22"/>
        </w:rPr>
      </w:pPr>
      <w:r w:rsidRPr="0001476A">
        <w:rPr>
          <w:rFonts w:cs="Arial"/>
          <w:sz w:val="22"/>
        </w:rPr>
        <w:t>A fine dicembre 2016, un terzo dei titolari risulta inattivo (per formazione, malattia, situazione familiare). Il 46% dei titolari è disoccupato (2’401), 21% (1’116) svolge un’attività lucrativa salariata o indipendente. Si conferma la tendenza in atto dal 2011, con un aumento dei casi in assistenza con attività lavorativa e dei disoccupati. Tra dicembre 2015 e dicembre 2016, l’aumento maggiore in termini di variazione è rilevato tra gli occupati (+206, 51% dell’aumento complessivo di casi).</w:t>
      </w:r>
    </w:p>
    <w:p w:rsidR="00A92189" w:rsidRPr="0001476A" w:rsidRDefault="00A92189" w:rsidP="00A92189">
      <w:pPr>
        <w:rPr>
          <w:rFonts w:cs="Arial"/>
          <w:sz w:val="22"/>
        </w:rPr>
      </w:pPr>
      <w:r w:rsidRPr="0001476A">
        <w:rPr>
          <w:rFonts w:cs="Arial"/>
          <w:sz w:val="22"/>
        </w:rPr>
        <w:t>Il 72.7% delle economie domestiche che hanno beneficiato di prestazioni a dicembre2016 è costituito da persone sole, mentre il 4.3% sono coppie senza figli. Sono inoltre state sostenute 1’215 famiglie con figli (23%, 777 persone sole con figli e 438coppie con figli). Più della metà dell’aumento dei casi rilevato nel 2016 è riferito a persone sole (233 su 407), anche se in termini percentuali il maggior aumento si registra nelle famiglie.</w:t>
      </w:r>
    </w:p>
    <w:p w:rsidR="00A92189" w:rsidRPr="0001476A" w:rsidRDefault="00A92189" w:rsidP="00A92189">
      <w:pPr>
        <w:rPr>
          <w:rFonts w:cs="Arial"/>
          <w:sz w:val="22"/>
        </w:rPr>
      </w:pPr>
    </w:p>
    <w:p w:rsidR="00A92189" w:rsidRPr="0001476A" w:rsidRDefault="00A92189" w:rsidP="00A92189">
      <w:pPr>
        <w:rPr>
          <w:rFonts w:cs="Arial"/>
          <w:sz w:val="22"/>
        </w:rPr>
      </w:pPr>
      <w:r w:rsidRPr="0001476A">
        <w:rPr>
          <w:rFonts w:cs="Arial"/>
          <w:sz w:val="22"/>
        </w:rPr>
        <w:t>A dicembre 2016, 705 titolari del diritto a prestazioni assistenziali (pari all’13,4% del totale) erano persone tra i 18 e 25 anni, con un aumento di 75 unità rispetto a dicembre 2015. Rispetto a dicembre 2015, si rileva un maggior incremento tra i titolari adulti 26-35 anni(103, 11%) e 46-55 anni (128, 9.3%). Quest’ultima si conferma la fascia di età più significativa in termini numerici.</w:t>
      </w:r>
    </w:p>
    <w:p w:rsidR="009E0EB1" w:rsidRPr="0001476A" w:rsidRDefault="009E0EB1" w:rsidP="00A92189">
      <w:pPr>
        <w:rPr>
          <w:rFonts w:cs="Arial"/>
          <w:sz w:val="22"/>
        </w:rPr>
      </w:pPr>
    </w:p>
    <w:p w:rsidR="00A92189" w:rsidRDefault="00A92189" w:rsidP="0001476A">
      <w:pPr>
        <w:pStyle w:val="Titolo4"/>
        <w:rPr>
          <w:rFonts w:eastAsia="Times New Roman"/>
        </w:rPr>
      </w:pPr>
      <w:bookmarkStart w:id="10" w:name="_Toc484159870"/>
      <w:r>
        <w:rPr>
          <w:rFonts w:eastAsia="Times New Roman"/>
        </w:rPr>
        <w:t>Analisi organizzazione e misure di inserimento</w:t>
      </w:r>
    </w:p>
    <w:bookmarkEnd w:id="10"/>
    <w:p w:rsidR="00A92189" w:rsidRPr="0001476A" w:rsidRDefault="00A92189" w:rsidP="00A92189">
      <w:pPr>
        <w:spacing w:after="259"/>
        <w:contextualSpacing/>
        <w:textAlignment w:val="baseline"/>
        <w:rPr>
          <w:rFonts w:cs="Arial"/>
          <w:sz w:val="22"/>
        </w:rPr>
      </w:pPr>
      <w:r w:rsidRPr="0001476A">
        <w:rPr>
          <w:rFonts w:cs="Arial"/>
          <w:sz w:val="22"/>
        </w:rPr>
        <w:t>I rapporti della Divisione dell’Azione Sociale e delle Famiglie rimarcano che prima di entrare nel merito degli aspetti organizzativi e delle misure di inserimento, è importante sottolineare come nella maggior parte dei casi di assistenza, prima di essere a beneficio di prestazioni assistenziali, le persone hanno già effettuato un percorso legato al loro reinserimento professionale, segnatamente per tramite dell’assicurazione contro la disoccupazione. L’intervento dell’assistenza sociale subentra dopo che tale percorso si è rivelato inefficace (parzialmente o totalmente), spesso dopo un periodo medio-lungo d’inattività professionale e tentativi falliti di collocamento. Il compito demandato all’assistenza sociale è pertanto doppiamente difficile, con la necessità di intraprendere una strategia diversa che preveda un percorso maggiormente orientato sulle potenzialità, ma anche sulle problematiche, della persona al fine di poter agevolare un suo possibile reinserimento professionale.</w:t>
      </w:r>
    </w:p>
    <w:p w:rsidR="00A92189" w:rsidRPr="0001476A" w:rsidRDefault="00A92189" w:rsidP="00A92189">
      <w:pPr>
        <w:rPr>
          <w:rFonts w:cs="Arial"/>
          <w:sz w:val="22"/>
        </w:rPr>
      </w:pPr>
      <w:r w:rsidRPr="0001476A">
        <w:rPr>
          <w:rFonts w:cs="Arial"/>
          <w:sz w:val="22"/>
        </w:rPr>
        <w:t xml:space="preserve">Ne consegue che le misure d’inserimento socio-professionale previste dall’assistenza sociale non hanno come obiettivo immediato l’inserimento professionale nel mercato del lavoro, occorre infatti prevedere un percorso che favorisca nel tempo il raggiungimento dell’obiettivo di uscire dall’assistenza rendendosi autonomi. </w:t>
      </w:r>
    </w:p>
    <w:p w:rsidR="00A92189" w:rsidRPr="0001476A" w:rsidRDefault="00A92189" w:rsidP="00A92189">
      <w:pPr>
        <w:rPr>
          <w:rFonts w:cs="Arial"/>
          <w:sz w:val="22"/>
        </w:rPr>
      </w:pPr>
      <w:r w:rsidRPr="0001476A">
        <w:rPr>
          <w:rFonts w:cs="Arial"/>
          <w:sz w:val="22"/>
        </w:rPr>
        <w:t xml:space="preserve">Nello specifico delle attività di utilità pubblica, queste permettono, soprattutto alle persone più fragili o con problematiche personali e di salute che rendono difficile un loro reinserimento nel mercato del lavoro, di restare in attività e conservare le relazioni sociali, favorendo un miglioramento della qualità di vita ed evitando nel contempo fenomeni di esclusione sociale e di degrado dello stato di salute. L’efficacia non si può quindi misurare solo in base al tasso di collocamento, ma dovrebbe tenere conto anche di altri indicatori, seppur non così immediati e quantificabili. </w:t>
      </w:r>
    </w:p>
    <w:p w:rsidR="00A92189" w:rsidRPr="0001476A" w:rsidRDefault="00A92189" w:rsidP="00A92189">
      <w:pPr>
        <w:rPr>
          <w:rFonts w:cs="Arial"/>
          <w:sz w:val="22"/>
        </w:rPr>
      </w:pPr>
      <w:r w:rsidRPr="0001476A">
        <w:rPr>
          <w:rFonts w:cs="Arial"/>
          <w:sz w:val="22"/>
        </w:rPr>
        <w:t xml:space="preserve">Ciò detto per quanto concerne gli aspetti organizzativi, i grafici sottostanti presentano l’evoluzione 2010-2016 delle domande di assistenza sociale e del numero di operatori socio-amministrativi </w:t>
      </w:r>
      <w:r w:rsidRPr="0001476A">
        <w:rPr>
          <w:rFonts w:cs="Arial"/>
          <w:sz w:val="22"/>
        </w:rPr>
        <w:lastRenderedPageBreak/>
        <w:t>attribuiti all’USSI, e i dati relativi alle misure di inserimento professionale (strategia interdipartimentale) e sociale (attività di utilità pubblica) dal 2014 al 2016.</w:t>
      </w:r>
    </w:p>
    <w:p w:rsidR="00A92189" w:rsidRPr="0001476A" w:rsidRDefault="00A92189" w:rsidP="00A92189">
      <w:pPr>
        <w:rPr>
          <w:rFonts w:cs="Arial"/>
          <w:sz w:val="22"/>
        </w:rPr>
      </w:pPr>
      <w:r w:rsidRPr="0001476A">
        <w:rPr>
          <w:rFonts w:cs="Arial"/>
          <w:sz w:val="22"/>
        </w:rPr>
        <w:t>I dati evidenziano come, a fronte di un incremento importante di casi in gestione presso l’USSI, il numero di operatori socio-amministrativi incaricati di seguire e accompagnare i beneficiari è sì aumentato, ma non in modo proporzionale.</w:t>
      </w:r>
    </w:p>
    <w:p w:rsidR="00A92189" w:rsidRPr="0001476A" w:rsidRDefault="00A92189" w:rsidP="00A92189">
      <w:pPr>
        <w:rPr>
          <w:rFonts w:cs="Arial"/>
          <w:sz w:val="22"/>
        </w:rPr>
      </w:pPr>
      <w:r w:rsidRPr="0001476A">
        <w:rPr>
          <w:rFonts w:cs="Arial"/>
          <w:sz w:val="22"/>
        </w:rPr>
        <w:t>Questo ha determinato un aumento del carico amministrativo e a fine dicembre 2016 in media ogni operatore aveva in gestione quasi 270 casi, a fronte di una raccomandazione della Conferenza svizzera dell’azione sociale (COSAS) di 100 casi per operatore sociale. Si evidenzia inoltre come solo da giugno 2016 l’USSI si sia dotata di un servizio inserimento, dove attualmente è attiva una sola unità (capo servizio).</w:t>
      </w:r>
    </w:p>
    <w:p w:rsidR="00A92189" w:rsidRPr="0001476A" w:rsidRDefault="00A92189" w:rsidP="00A92189">
      <w:pPr>
        <w:rPr>
          <w:rFonts w:cs="Arial"/>
          <w:sz w:val="22"/>
        </w:rPr>
      </w:pPr>
      <w:r w:rsidRPr="0001476A">
        <w:rPr>
          <w:rFonts w:cs="Arial"/>
          <w:sz w:val="22"/>
        </w:rPr>
        <w:t>Gli effetti di questa situazione si esplicano in modo diretto sulle misure di inserimento professionale e sociale. A fronte dell’incremento dei casi evidenziato in precedenza, le tabelle 1 e 2 indicano che vi è stata una riduzione del numero di persone segnalate per l’attivazione di un percorso di inserimento professionale e solo un limitato aumento di persone inserite in attività di utilità pubblica.</w:t>
      </w:r>
    </w:p>
    <w:p w:rsidR="00A92189" w:rsidRPr="0001476A" w:rsidRDefault="00A92189" w:rsidP="00A92189">
      <w:pPr>
        <w:rPr>
          <w:rFonts w:cs="Arial"/>
          <w:sz w:val="22"/>
        </w:rPr>
      </w:pPr>
    </w:p>
    <w:p w:rsidR="00A92189" w:rsidRPr="0001476A" w:rsidRDefault="00A92189" w:rsidP="00A92189">
      <w:pPr>
        <w:rPr>
          <w:rFonts w:cs="Arial"/>
          <w:color w:val="000000"/>
          <w:sz w:val="22"/>
        </w:rPr>
      </w:pPr>
      <w:r w:rsidRPr="0001476A">
        <w:rPr>
          <w:rFonts w:cs="Arial"/>
          <w:sz w:val="22"/>
        </w:rPr>
        <w:t>Nel dettaglio, si rileva che t</w:t>
      </w:r>
      <w:r w:rsidRPr="0001476A">
        <w:rPr>
          <w:rFonts w:cs="Arial"/>
          <w:color w:val="000000"/>
          <w:sz w:val="22"/>
        </w:rPr>
        <w:t>ra il 2014 e il 2016, sul totale delle 1'025 persone che hanno concluso il percorso di inserimento professionale con la Sezione del lavoro, 394 hanno trovato lavoro, pari a un tasso di collocamento del 38%. Ne consegue che nel medesimo periodo, sono state 631 le persone che, non avendo trovato un’occupazione lavorativa, sono state riprese in gestione direttamente dall’USSI.</w:t>
      </w:r>
    </w:p>
    <w:p w:rsidR="00A92189" w:rsidRPr="0001476A" w:rsidRDefault="00A92189" w:rsidP="00A92189">
      <w:pPr>
        <w:rPr>
          <w:rFonts w:cs="Arial"/>
          <w:color w:val="000000"/>
          <w:sz w:val="22"/>
        </w:rPr>
      </w:pPr>
      <w:r w:rsidRPr="0001476A">
        <w:rPr>
          <w:rFonts w:cs="Arial"/>
          <w:color w:val="000000"/>
          <w:sz w:val="22"/>
        </w:rPr>
        <w:t>Nel 2016, sul totale delle 290 persone che hanno concluso il percorso di inserimento professionale presso gli Uffici regionali di collocamento, 108 (37.2%) hanno ripreso un’attività lavorativa mentre 182 non hanno trovato un’occupazione e sono quindi stati ripresi in gestione direttamente dall’USSI. Il dato di reinserimento lavorativo 2016 è quindi  in linea con quello del triennio ‘14-‘16.</w:t>
      </w:r>
    </w:p>
    <w:p w:rsidR="00A92189" w:rsidRPr="0001476A" w:rsidRDefault="00A92189" w:rsidP="00A92189">
      <w:pPr>
        <w:rPr>
          <w:rFonts w:cs="Arial"/>
          <w:sz w:val="22"/>
        </w:rPr>
      </w:pPr>
    </w:p>
    <w:p w:rsidR="00A92189" w:rsidRPr="0001476A" w:rsidRDefault="00A92189" w:rsidP="00A92189">
      <w:pPr>
        <w:rPr>
          <w:rFonts w:cs="Arial"/>
          <w:color w:val="000000"/>
          <w:sz w:val="22"/>
        </w:rPr>
      </w:pPr>
      <w:r w:rsidRPr="0001476A">
        <w:rPr>
          <w:rFonts w:cs="Arial"/>
          <w:sz w:val="22"/>
        </w:rPr>
        <w:t xml:space="preserve">Nell’ambito dell’inserimento sociale, per le persone con ancora un effettivo potenziale d’inserimento, le attività di utilità pubblica sono anche concepite come una prima tappa di </w:t>
      </w:r>
      <w:proofErr w:type="spellStart"/>
      <w:r w:rsidRPr="0001476A">
        <w:rPr>
          <w:rFonts w:cs="Arial"/>
          <w:sz w:val="22"/>
        </w:rPr>
        <w:t>riallenamento</w:t>
      </w:r>
      <w:proofErr w:type="spellEnd"/>
      <w:r w:rsidRPr="0001476A">
        <w:rPr>
          <w:rFonts w:cs="Arial"/>
          <w:sz w:val="22"/>
        </w:rPr>
        <w:t xml:space="preserve"> al lavoro e di valutazione del loro potenziale d’impiego sul mercato ordinario. </w:t>
      </w:r>
      <w:r w:rsidRPr="0001476A">
        <w:rPr>
          <w:rFonts w:cs="Arial"/>
          <w:color w:val="000000"/>
          <w:sz w:val="22"/>
        </w:rPr>
        <w:t xml:space="preserve">Tra il 2014 e il 2016, su 783 attività di utilità pubbliche concluse, sono state 135 le persone che hanno trovato lavoro, pari ad un tasso di collocamento del 17%. Tale percentuale si conferma inferiore al tasso di collocamento rilevato nell’ambito della strategia interdipartimentale, valore che trova la sua giustificazione sia nella finalità delle misure proposte e sia nelle caratteristiche delle persone che vi partecipano. </w:t>
      </w:r>
    </w:p>
    <w:p w:rsidR="00A92189" w:rsidRPr="0001476A" w:rsidRDefault="00A92189" w:rsidP="00A92189">
      <w:pPr>
        <w:rPr>
          <w:rFonts w:cs="Arial"/>
          <w:color w:val="000000"/>
          <w:sz w:val="22"/>
        </w:rPr>
      </w:pPr>
    </w:p>
    <w:p w:rsidR="00A92189" w:rsidRPr="0001476A" w:rsidRDefault="00A92189" w:rsidP="00A92189">
      <w:pPr>
        <w:rPr>
          <w:rFonts w:cs="Arial"/>
          <w:color w:val="000000"/>
          <w:sz w:val="22"/>
        </w:rPr>
      </w:pPr>
      <w:r w:rsidRPr="0001476A">
        <w:rPr>
          <w:rFonts w:cs="Arial"/>
          <w:color w:val="000000"/>
          <w:sz w:val="22"/>
        </w:rPr>
        <w:t>E quindi, nonostante come anche evidenziato dal Dipartimento della sanità e della socialità, le misure di inserimento siano “un buon investimento”, nei fatti e a causa verosimilmente del carico di lavoro che grava sul personale dell’USSI, la priorità dell’intervento viene accordata alla copertura del minimo vitale e al pagamento delle prestazioni finanziare, a discapito dell’attivazione sistematica e organizzata di misure di inserimento sociale o professionale.</w:t>
      </w:r>
    </w:p>
    <w:p w:rsidR="009E0EB1" w:rsidRDefault="009E0EB1" w:rsidP="00A92189">
      <w:pPr>
        <w:rPr>
          <w:rFonts w:cs="Arial"/>
          <w:color w:val="000000"/>
        </w:rPr>
      </w:pPr>
    </w:p>
    <w:p w:rsidR="009E0EB1" w:rsidRPr="00C62C05" w:rsidRDefault="009E0EB1" w:rsidP="00A92189">
      <w:pPr>
        <w:rPr>
          <w:rFonts w:cs="Arial"/>
          <w:color w:val="000000"/>
        </w:rPr>
      </w:pPr>
    </w:p>
    <w:p w:rsidR="0001476A" w:rsidRDefault="0001476A">
      <w:pPr>
        <w:rPr>
          <w:rFonts w:cs="Arial"/>
          <w:b/>
          <w:i/>
          <w:sz w:val="23"/>
          <w:szCs w:val="23"/>
        </w:rPr>
      </w:pPr>
      <w:r>
        <w:rPr>
          <w:rFonts w:cs="Arial"/>
          <w:b/>
          <w:i/>
          <w:sz w:val="23"/>
          <w:szCs w:val="23"/>
        </w:rPr>
        <w:br w:type="page"/>
      </w:r>
    </w:p>
    <w:p w:rsidR="00A92189" w:rsidRPr="009E0EB1" w:rsidRDefault="00A92189" w:rsidP="00A92189">
      <w:pPr>
        <w:rPr>
          <w:rFonts w:cs="Arial"/>
          <w:b/>
          <w:i/>
          <w:sz w:val="23"/>
          <w:szCs w:val="23"/>
        </w:rPr>
      </w:pPr>
      <w:r w:rsidRPr="009E0EB1">
        <w:rPr>
          <w:rFonts w:cs="Arial"/>
          <w:b/>
          <w:i/>
          <w:sz w:val="23"/>
          <w:szCs w:val="23"/>
        </w:rPr>
        <w:lastRenderedPageBreak/>
        <w:t>Grafico 6: evoluzione casi e operatori</w:t>
      </w:r>
    </w:p>
    <w:p w:rsidR="00A92189" w:rsidRPr="00C62C05" w:rsidRDefault="00A92189" w:rsidP="00A92189">
      <w:pPr>
        <w:rPr>
          <w:rFonts w:cs="Arial"/>
        </w:rPr>
      </w:pPr>
      <w:r w:rsidRPr="00C62C05">
        <w:rPr>
          <w:rFonts w:cs="Arial"/>
          <w:noProof/>
          <w:lang w:eastAsia="it-CH"/>
        </w:rPr>
        <w:drawing>
          <wp:inline distT="0" distB="0" distL="0" distR="0" wp14:anchorId="31DD84AA" wp14:editId="1A374D38">
            <wp:extent cx="5271714" cy="4032278"/>
            <wp:effectExtent l="19050" t="0" r="5136" b="0"/>
            <wp:docPr id="9"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71714" cy="4032278"/>
                    </a:xfrm>
                    <a:prstGeom prst="rect">
                      <a:avLst/>
                    </a:prstGeom>
                  </pic:spPr>
                </pic:pic>
              </a:graphicData>
            </a:graphic>
          </wp:inline>
        </w:drawing>
      </w:r>
    </w:p>
    <w:p w:rsidR="00A92189" w:rsidRDefault="00A92189" w:rsidP="00A92189">
      <w:pPr>
        <w:rPr>
          <w:rFonts w:cs="Arial"/>
          <w:b/>
          <w:i/>
        </w:rPr>
      </w:pPr>
    </w:p>
    <w:p w:rsidR="009E0EB1" w:rsidRDefault="009E0EB1" w:rsidP="00A92189">
      <w:pPr>
        <w:rPr>
          <w:rFonts w:cs="Arial"/>
          <w:b/>
          <w:i/>
        </w:rPr>
      </w:pPr>
    </w:p>
    <w:p w:rsidR="00A92189" w:rsidRPr="009E0EB1" w:rsidRDefault="00A92189" w:rsidP="00A92189">
      <w:pPr>
        <w:rPr>
          <w:rFonts w:cs="Arial"/>
          <w:b/>
          <w:i/>
          <w:sz w:val="23"/>
          <w:szCs w:val="23"/>
        </w:rPr>
      </w:pPr>
      <w:r w:rsidRPr="009E0EB1">
        <w:rPr>
          <w:rFonts w:cs="Arial"/>
          <w:b/>
          <w:i/>
          <w:sz w:val="23"/>
          <w:szCs w:val="23"/>
        </w:rPr>
        <w:t>Tabella 1, Strategia interdipartimentale inserimento professionale 2014-2016</w:t>
      </w:r>
    </w:p>
    <w:p w:rsidR="00A92189" w:rsidRPr="00C62C05" w:rsidRDefault="00A92189" w:rsidP="00A92189">
      <w:pPr>
        <w:rPr>
          <w:rFonts w:cs="Arial"/>
          <w:b/>
          <w:i/>
        </w:rPr>
      </w:pPr>
    </w:p>
    <w:tbl>
      <w:tblPr>
        <w:tblW w:w="9719" w:type="dxa"/>
        <w:tblInd w:w="-10" w:type="dxa"/>
        <w:tblCellMar>
          <w:left w:w="70" w:type="dxa"/>
          <w:right w:w="70" w:type="dxa"/>
        </w:tblCellMar>
        <w:tblLook w:val="04A0" w:firstRow="1" w:lastRow="0" w:firstColumn="1" w:lastColumn="0" w:noHBand="0" w:noVBand="1"/>
      </w:tblPr>
      <w:tblGrid>
        <w:gridCol w:w="6034"/>
        <w:gridCol w:w="853"/>
        <w:gridCol w:w="853"/>
        <w:gridCol w:w="853"/>
        <w:gridCol w:w="1126"/>
      </w:tblGrid>
      <w:tr w:rsidR="00A92189" w:rsidRPr="0001476A" w:rsidTr="00711536">
        <w:trPr>
          <w:trHeight w:val="20"/>
        </w:trPr>
        <w:tc>
          <w:tcPr>
            <w:tcW w:w="6034" w:type="dxa"/>
            <w:tcBorders>
              <w:top w:val="single" w:sz="8" w:space="0" w:color="auto"/>
              <w:left w:val="single" w:sz="8" w:space="0" w:color="auto"/>
              <w:bottom w:val="nil"/>
              <w:right w:val="single" w:sz="8" w:space="0" w:color="auto"/>
            </w:tcBorders>
            <w:shd w:val="clear" w:color="000000" w:fill="D9D9D9"/>
            <w:noWrap/>
            <w:vAlign w:val="center"/>
            <w:hideMark/>
          </w:tcPr>
          <w:p w:rsidR="00A92189" w:rsidRPr="0001476A" w:rsidRDefault="00A92189" w:rsidP="00250939">
            <w:pPr>
              <w:rPr>
                <w:rFonts w:cs="Arial"/>
                <w:color w:val="000000"/>
                <w:sz w:val="21"/>
                <w:szCs w:val="21"/>
                <w:lang w:eastAsia="it-CH"/>
              </w:rPr>
            </w:pPr>
            <w:r w:rsidRPr="0001476A">
              <w:rPr>
                <w:rFonts w:cs="Arial"/>
                <w:color w:val="000000"/>
                <w:sz w:val="21"/>
                <w:szCs w:val="21"/>
                <w:lang w:eastAsia="it-CH"/>
              </w:rPr>
              <w:t> </w:t>
            </w:r>
          </w:p>
        </w:tc>
        <w:tc>
          <w:tcPr>
            <w:tcW w:w="3685" w:type="dxa"/>
            <w:gridSpan w:val="4"/>
            <w:tcBorders>
              <w:top w:val="single" w:sz="8" w:space="0" w:color="auto"/>
              <w:left w:val="nil"/>
              <w:bottom w:val="single" w:sz="8" w:space="0" w:color="auto"/>
              <w:right w:val="single" w:sz="8" w:space="0" w:color="000000"/>
            </w:tcBorders>
            <w:shd w:val="clear" w:color="000000" w:fill="D9D9D9"/>
            <w:noWrap/>
            <w:vAlign w:val="center"/>
            <w:hideMark/>
          </w:tcPr>
          <w:p w:rsidR="00A92189" w:rsidRPr="0001476A" w:rsidRDefault="00A92189" w:rsidP="00250939">
            <w:pPr>
              <w:jc w:val="center"/>
              <w:rPr>
                <w:rFonts w:cs="Arial"/>
                <w:b/>
                <w:bCs/>
                <w:color w:val="000000"/>
                <w:sz w:val="21"/>
                <w:szCs w:val="21"/>
                <w:lang w:eastAsia="it-CH"/>
              </w:rPr>
            </w:pPr>
            <w:r w:rsidRPr="0001476A">
              <w:rPr>
                <w:rFonts w:cs="Arial"/>
                <w:b/>
                <w:bCs/>
                <w:color w:val="000000"/>
                <w:sz w:val="21"/>
                <w:szCs w:val="21"/>
                <w:lang w:eastAsia="it-CH"/>
              </w:rPr>
              <w:t>Anni</w:t>
            </w:r>
          </w:p>
        </w:tc>
      </w:tr>
      <w:tr w:rsidR="00A92189" w:rsidRPr="0001476A" w:rsidTr="00711536">
        <w:trPr>
          <w:trHeight w:val="20"/>
        </w:trPr>
        <w:tc>
          <w:tcPr>
            <w:tcW w:w="6034" w:type="dxa"/>
            <w:tcBorders>
              <w:top w:val="nil"/>
              <w:left w:val="single" w:sz="8" w:space="0" w:color="auto"/>
              <w:bottom w:val="single" w:sz="8" w:space="0" w:color="auto"/>
              <w:right w:val="single" w:sz="8" w:space="0" w:color="auto"/>
            </w:tcBorders>
            <w:shd w:val="clear" w:color="000000" w:fill="D9D9D9"/>
            <w:noWrap/>
            <w:vAlign w:val="center"/>
            <w:hideMark/>
          </w:tcPr>
          <w:p w:rsidR="00A92189" w:rsidRPr="0001476A" w:rsidRDefault="00A92189" w:rsidP="00250939">
            <w:pPr>
              <w:jc w:val="center"/>
              <w:rPr>
                <w:rFonts w:cs="Arial"/>
                <w:b/>
                <w:bCs/>
                <w:color w:val="000000"/>
                <w:sz w:val="21"/>
                <w:szCs w:val="21"/>
                <w:lang w:eastAsia="it-CH"/>
              </w:rPr>
            </w:pPr>
            <w:r w:rsidRPr="0001476A">
              <w:rPr>
                <w:rFonts w:cs="Arial"/>
                <w:b/>
                <w:bCs/>
                <w:color w:val="000000"/>
                <w:sz w:val="21"/>
                <w:szCs w:val="21"/>
                <w:lang w:eastAsia="it-CH"/>
              </w:rPr>
              <w:t>Indicatori</w:t>
            </w:r>
          </w:p>
        </w:tc>
        <w:tc>
          <w:tcPr>
            <w:tcW w:w="853" w:type="dxa"/>
            <w:tcBorders>
              <w:top w:val="nil"/>
              <w:left w:val="nil"/>
              <w:bottom w:val="single" w:sz="8" w:space="0" w:color="auto"/>
              <w:right w:val="single" w:sz="8" w:space="0" w:color="auto"/>
            </w:tcBorders>
            <w:shd w:val="clear" w:color="000000" w:fill="D9D9D9"/>
            <w:noWrap/>
            <w:vAlign w:val="center"/>
            <w:hideMark/>
          </w:tcPr>
          <w:p w:rsidR="00A92189" w:rsidRPr="0001476A" w:rsidRDefault="00A92189" w:rsidP="00250939">
            <w:pPr>
              <w:jc w:val="center"/>
              <w:rPr>
                <w:rFonts w:cs="Arial"/>
                <w:b/>
                <w:bCs/>
                <w:color w:val="000000"/>
                <w:sz w:val="21"/>
                <w:szCs w:val="21"/>
                <w:lang w:eastAsia="it-CH"/>
              </w:rPr>
            </w:pPr>
            <w:r w:rsidRPr="0001476A">
              <w:rPr>
                <w:rFonts w:cs="Arial"/>
                <w:b/>
                <w:bCs/>
                <w:color w:val="000000"/>
                <w:sz w:val="21"/>
                <w:szCs w:val="21"/>
                <w:lang w:eastAsia="it-CH"/>
              </w:rPr>
              <w:t>2014</w:t>
            </w:r>
          </w:p>
        </w:tc>
        <w:tc>
          <w:tcPr>
            <w:tcW w:w="853" w:type="dxa"/>
            <w:tcBorders>
              <w:top w:val="nil"/>
              <w:left w:val="nil"/>
              <w:bottom w:val="single" w:sz="8" w:space="0" w:color="auto"/>
              <w:right w:val="single" w:sz="8" w:space="0" w:color="auto"/>
            </w:tcBorders>
            <w:shd w:val="clear" w:color="000000" w:fill="D9D9D9"/>
            <w:noWrap/>
            <w:vAlign w:val="center"/>
            <w:hideMark/>
          </w:tcPr>
          <w:p w:rsidR="00A92189" w:rsidRPr="0001476A" w:rsidRDefault="00A92189" w:rsidP="00250939">
            <w:pPr>
              <w:jc w:val="center"/>
              <w:rPr>
                <w:rFonts w:cs="Arial"/>
                <w:b/>
                <w:bCs/>
                <w:color w:val="000000"/>
                <w:sz w:val="21"/>
                <w:szCs w:val="21"/>
                <w:lang w:eastAsia="it-CH"/>
              </w:rPr>
            </w:pPr>
            <w:r w:rsidRPr="0001476A">
              <w:rPr>
                <w:rFonts w:cs="Arial"/>
                <w:b/>
                <w:bCs/>
                <w:color w:val="000000"/>
                <w:sz w:val="21"/>
                <w:szCs w:val="21"/>
                <w:lang w:eastAsia="it-CH"/>
              </w:rPr>
              <w:t>2015</w:t>
            </w:r>
          </w:p>
        </w:tc>
        <w:tc>
          <w:tcPr>
            <w:tcW w:w="853" w:type="dxa"/>
            <w:tcBorders>
              <w:top w:val="nil"/>
              <w:left w:val="nil"/>
              <w:bottom w:val="single" w:sz="8" w:space="0" w:color="auto"/>
              <w:right w:val="single" w:sz="8" w:space="0" w:color="auto"/>
            </w:tcBorders>
            <w:shd w:val="clear" w:color="000000" w:fill="D9D9D9"/>
            <w:noWrap/>
            <w:vAlign w:val="center"/>
            <w:hideMark/>
          </w:tcPr>
          <w:p w:rsidR="00A92189" w:rsidRPr="0001476A" w:rsidRDefault="00A92189" w:rsidP="00250939">
            <w:pPr>
              <w:jc w:val="center"/>
              <w:rPr>
                <w:rFonts w:cs="Arial"/>
                <w:b/>
                <w:bCs/>
                <w:color w:val="000000"/>
                <w:sz w:val="21"/>
                <w:szCs w:val="21"/>
                <w:lang w:eastAsia="it-CH"/>
              </w:rPr>
            </w:pPr>
            <w:r w:rsidRPr="0001476A">
              <w:rPr>
                <w:rFonts w:cs="Arial"/>
                <w:b/>
                <w:bCs/>
                <w:color w:val="000000"/>
                <w:sz w:val="21"/>
                <w:szCs w:val="21"/>
                <w:lang w:eastAsia="it-CH"/>
              </w:rPr>
              <w:t>2016</w:t>
            </w:r>
          </w:p>
        </w:tc>
        <w:tc>
          <w:tcPr>
            <w:tcW w:w="1126" w:type="dxa"/>
            <w:tcBorders>
              <w:top w:val="nil"/>
              <w:left w:val="nil"/>
              <w:bottom w:val="single" w:sz="8" w:space="0" w:color="auto"/>
              <w:right w:val="single" w:sz="8" w:space="0" w:color="auto"/>
            </w:tcBorders>
            <w:shd w:val="clear" w:color="000000" w:fill="D9D9D9"/>
            <w:vAlign w:val="center"/>
            <w:hideMark/>
          </w:tcPr>
          <w:p w:rsidR="00A92189" w:rsidRPr="0001476A" w:rsidRDefault="00A92189" w:rsidP="00250939">
            <w:pPr>
              <w:jc w:val="center"/>
              <w:rPr>
                <w:rFonts w:cs="Arial"/>
                <w:b/>
                <w:bCs/>
                <w:color w:val="000000"/>
                <w:sz w:val="21"/>
                <w:szCs w:val="21"/>
                <w:lang w:eastAsia="it-CH"/>
              </w:rPr>
            </w:pPr>
            <w:proofErr w:type="spellStart"/>
            <w:r w:rsidRPr="0001476A">
              <w:rPr>
                <w:rFonts w:cs="Arial"/>
                <w:b/>
                <w:bCs/>
                <w:color w:val="000000"/>
                <w:sz w:val="21"/>
                <w:szCs w:val="21"/>
                <w:lang w:eastAsia="it-CH"/>
              </w:rPr>
              <w:t>Var</w:t>
            </w:r>
            <w:proofErr w:type="spellEnd"/>
            <w:r w:rsidRPr="0001476A">
              <w:rPr>
                <w:rFonts w:cs="Arial"/>
                <w:b/>
                <w:bCs/>
                <w:color w:val="000000"/>
                <w:sz w:val="21"/>
                <w:szCs w:val="21"/>
                <w:lang w:eastAsia="it-CH"/>
              </w:rPr>
              <w:t xml:space="preserve"> </w:t>
            </w:r>
            <w:r w:rsidR="00711536">
              <w:rPr>
                <w:rFonts w:cs="Arial"/>
                <w:b/>
                <w:bCs/>
                <w:color w:val="000000"/>
                <w:sz w:val="21"/>
                <w:szCs w:val="21"/>
                <w:lang w:eastAsia="it-CH"/>
              </w:rPr>
              <w:br/>
            </w:r>
            <w:r w:rsidRPr="0001476A">
              <w:rPr>
                <w:rFonts w:cs="Arial"/>
                <w:b/>
                <w:bCs/>
                <w:color w:val="000000"/>
                <w:sz w:val="21"/>
                <w:szCs w:val="21"/>
                <w:lang w:eastAsia="it-CH"/>
              </w:rPr>
              <w:t>15-16</w:t>
            </w:r>
          </w:p>
        </w:tc>
      </w:tr>
      <w:tr w:rsidR="00A92189" w:rsidRPr="0001476A" w:rsidTr="00711536">
        <w:trPr>
          <w:trHeight w:val="20"/>
        </w:trPr>
        <w:tc>
          <w:tcPr>
            <w:tcW w:w="6034" w:type="dxa"/>
            <w:tcBorders>
              <w:top w:val="nil"/>
              <w:left w:val="single" w:sz="8" w:space="0" w:color="auto"/>
              <w:bottom w:val="single" w:sz="8" w:space="0" w:color="auto"/>
              <w:right w:val="single" w:sz="8" w:space="0" w:color="auto"/>
            </w:tcBorders>
            <w:shd w:val="clear" w:color="auto" w:fill="auto"/>
            <w:noWrap/>
            <w:vAlign w:val="center"/>
            <w:hideMark/>
          </w:tcPr>
          <w:p w:rsidR="00A92189" w:rsidRPr="0001476A" w:rsidRDefault="00A92189" w:rsidP="00250939">
            <w:pPr>
              <w:rPr>
                <w:rFonts w:cs="Arial"/>
                <w:color w:val="000000"/>
                <w:sz w:val="21"/>
                <w:szCs w:val="21"/>
                <w:lang w:eastAsia="it-CH"/>
              </w:rPr>
            </w:pPr>
            <w:r w:rsidRPr="0001476A">
              <w:rPr>
                <w:rFonts w:cs="Arial"/>
                <w:bCs/>
                <w:color w:val="000000"/>
                <w:sz w:val="21"/>
                <w:szCs w:val="21"/>
                <w:lang w:eastAsia="it-CH"/>
              </w:rPr>
              <w:t xml:space="preserve">- </w:t>
            </w:r>
            <w:r w:rsidR="00711536">
              <w:rPr>
                <w:rFonts w:cs="Arial"/>
                <w:bCs/>
                <w:color w:val="000000"/>
                <w:sz w:val="21"/>
                <w:szCs w:val="21"/>
                <w:lang w:eastAsia="it-CH"/>
              </w:rPr>
              <w:t xml:space="preserve"> </w:t>
            </w:r>
            <w:r w:rsidRPr="0001476A">
              <w:rPr>
                <w:rFonts w:cs="Arial"/>
                <w:bCs/>
                <w:color w:val="000000"/>
                <w:sz w:val="21"/>
                <w:szCs w:val="21"/>
                <w:lang w:eastAsia="it-CH"/>
              </w:rPr>
              <w:t xml:space="preserve">N persone gestite nell’anno </w:t>
            </w:r>
          </w:p>
        </w:tc>
        <w:tc>
          <w:tcPr>
            <w:tcW w:w="853" w:type="dxa"/>
            <w:tcBorders>
              <w:top w:val="nil"/>
              <w:left w:val="nil"/>
              <w:bottom w:val="single" w:sz="8" w:space="0" w:color="auto"/>
              <w:right w:val="single" w:sz="8" w:space="0" w:color="auto"/>
            </w:tcBorders>
            <w:shd w:val="clear" w:color="auto" w:fill="auto"/>
            <w:noWrap/>
            <w:vAlign w:val="center"/>
            <w:hideMark/>
          </w:tcPr>
          <w:p w:rsidR="00A92189" w:rsidRPr="0001476A" w:rsidRDefault="00A92189" w:rsidP="00250939">
            <w:pPr>
              <w:rPr>
                <w:rFonts w:cs="Arial"/>
                <w:color w:val="000000"/>
                <w:sz w:val="21"/>
                <w:szCs w:val="21"/>
                <w:lang w:eastAsia="it-CH"/>
              </w:rPr>
            </w:pPr>
            <w:r w:rsidRPr="0001476A">
              <w:rPr>
                <w:rFonts w:cs="Arial"/>
                <w:bCs/>
                <w:color w:val="000000"/>
                <w:sz w:val="21"/>
                <w:szCs w:val="21"/>
                <w:lang w:eastAsia="it-CH"/>
              </w:rPr>
              <w:t>624</w:t>
            </w:r>
          </w:p>
        </w:tc>
        <w:tc>
          <w:tcPr>
            <w:tcW w:w="853" w:type="dxa"/>
            <w:tcBorders>
              <w:top w:val="nil"/>
              <w:left w:val="nil"/>
              <w:bottom w:val="single" w:sz="8" w:space="0" w:color="auto"/>
              <w:right w:val="single" w:sz="8" w:space="0" w:color="auto"/>
            </w:tcBorders>
            <w:shd w:val="clear" w:color="auto" w:fill="auto"/>
            <w:noWrap/>
            <w:vAlign w:val="center"/>
            <w:hideMark/>
          </w:tcPr>
          <w:p w:rsidR="00A92189" w:rsidRPr="0001476A" w:rsidRDefault="00A92189" w:rsidP="00250939">
            <w:pPr>
              <w:rPr>
                <w:rFonts w:cs="Arial"/>
                <w:color w:val="000000"/>
                <w:sz w:val="21"/>
                <w:szCs w:val="21"/>
                <w:lang w:eastAsia="it-CH"/>
              </w:rPr>
            </w:pPr>
            <w:r w:rsidRPr="0001476A">
              <w:rPr>
                <w:rFonts w:cs="Arial"/>
                <w:bCs/>
                <w:color w:val="000000"/>
                <w:sz w:val="21"/>
                <w:szCs w:val="21"/>
                <w:lang w:eastAsia="it-CH"/>
              </w:rPr>
              <w:t>599</w:t>
            </w:r>
          </w:p>
        </w:tc>
        <w:tc>
          <w:tcPr>
            <w:tcW w:w="853" w:type="dxa"/>
            <w:tcBorders>
              <w:top w:val="nil"/>
              <w:left w:val="nil"/>
              <w:bottom w:val="single" w:sz="8" w:space="0" w:color="auto"/>
              <w:right w:val="single" w:sz="8" w:space="0" w:color="auto"/>
            </w:tcBorders>
            <w:shd w:val="clear" w:color="auto" w:fill="auto"/>
            <w:noWrap/>
            <w:vAlign w:val="center"/>
            <w:hideMark/>
          </w:tcPr>
          <w:p w:rsidR="00A92189" w:rsidRPr="0001476A" w:rsidRDefault="00A92189" w:rsidP="00250939">
            <w:pPr>
              <w:rPr>
                <w:rFonts w:cs="Arial"/>
                <w:color w:val="000000"/>
                <w:sz w:val="21"/>
                <w:szCs w:val="21"/>
                <w:lang w:eastAsia="it-CH"/>
              </w:rPr>
            </w:pPr>
            <w:r w:rsidRPr="0001476A">
              <w:rPr>
                <w:rFonts w:cs="Arial"/>
                <w:bCs/>
                <w:color w:val="000000"/>
                <w:sz w:val="21"/>
                <w:szCs w:val="21"/>
                <w:lang w:eastAsia="it-CH"/>
              </w:rPr>
              <w:t>491</w:t>
            </w:r>
          </w:p>
        </w:tc>
        <w:tc>
          <w:tcPr>
            <w:tcW w:w="1126" w:type="dxa"/>
            <w:tcBorders>
              <w:top w:val="nil"/>
              <w:left w:val="nil"/>
              <w:bottom w:val="single" w:sz="8" w:space="0" w:color="auto"/>
              <w:right w:val="single" w:sz="8" w:space="0" w:color="auto"/>
            </w:tcBorders>
            <w:shd w:val="clear" w:color="auto" w:fill="auto"/>
            <w:vAlign w:val="center"/>
            <w:hideMark/>
          </w:tcPr>
          <w:p w:rsidR="00A92189" w:rsidRPr="0001476A" w:rsidRDefault="00A92189" w:rsidP="00711536">
            <w:pPr>
              <w:jc w:val="right"/>
              <w:rPr>
                <w:rFonts w:cs="Arial"/>
                <w:color w:val="000000"/>
                <w:sz w:val="21"/>
                <w:szCs w:val="21"/>
                <w:lang w:eastAsia="it-CH"/>
              </w:rPr>
            </w:pPr>
            <w:r w:rsidRPr="0001476A">
              <w:rPr>
                <w:rFonts w:cs="Arial"/>
                <w:bCs/>
                <w:color w:val="000000"/>
                <w:sz w:val="21"/>
                <w:szCs w:val="21"/>
                <w:lang w:eastAsia="it-CH"/>
              </w:rPr>
              <w:t>-108</w:t>
            </w:r>
          </w:p>
        </w:tc>
      </w:tr>
      <w:tr w:rsidR="00A92189" w:rsidRPr="0001476A" w:rsidTr="00711536">
        <w:trPr>
          <w:trHeight w:val="20"/>
        </w:trPr>
        <w:tc>
          <w:tcPr>
            <w:tcW w:w="6034" w:type="dxa"/>
            <w:tcBorders>
              <w:top w:val="nil"/>
              <w:left w:val="single" w:sz="8" w:space="0" w:color="auto"/>
              <w:bottom w:val="single" w:sz="8" w:space="0" w:color="auto"/>
              <w:right w:val="single" w:sz="8" w:space="0" w:color="auto"/>
            </w:tcBorders>
            <w:shd w:val="clear" w:color="auto" w:fill="auto"/>
            <w:noWrap/>
            <w:vAlign w:val="center"/>
            <w:hideMark/>
          </w:tcPr>
          <w:p w:rsidR="00A92189" w:rsidRPr="0001476A" w:rsidRDefault="00A92189" w:rsidP="00250939">
            <w:pPr>
              <w:rPr>
                <w:rFonts w:cs="Arial"/>
                <w:color w:val="000000"/>
                <w:sz w:val="21"/>
                <w:szCs w:val="21"/>
                <w:lang w:eastAsia="it-CH"/>
              </w:rPr>
            </w:pPr>
            <w:r w:rsidRPr="0001476A">
              <w:rPr>
                <w:rFonts w:cs="Arial"/>
                <w:bCs/>
                <w:color w:val="000000"/>
                <w:sz w:val="21"/>
                <w:szCs w:val="21"/>
                <w:lang w:eastAsia="it-CH"/>
              </w:rPr>
              <w:t>-</w:t>
            </w:r>
            <w:r w:rsidR="00711536">
              <w:rPr>
                <w:rFonts w:cs="Arial"/>
                <w:bCs/>
                <w:color w:val="000000"/>
                <w:sz w:val="21"/>
                <w:szCs w:val="21"/>
                <w:lang w:eastAsia="it-CH"/>
              </w:rPr>
              <w:t xml:space="preserve"> </w:t>
            </w:r>
            <w:r w:rsidRPr="0001476A">
              <w:rPr>
                <w:rFonts w:cs="Arial"/>
                <w:bCs/>
                <w:color w:val="000000"/>
                <w:sz w:val="21"/>
                <w:szCs w:val="21"/>
                <w:lang w:eastAsia="it-CH"/>
              </w:rPr>
              <w:t xml:space="preserve"> In corso al 31.12</w:t>
            </w:r>
          </w:p>
        </w:tc>
        <w:tc>
          <w:tcPr>
            <w:tcW w:w="853" w:type="dxa"/>
            <w:tcBorders>
              <w:top w:val="nil"/>
              <w:left w:val="nil"/>
              <w:bottom w:val="single" w:sz="8" w:space="0" w:color="auto"/>
              <w:right w:val="single" w:sz="8" w:space="0" w:color="auto"/>
            </w:tcBorders>
            <w:shd w:val="clear" w:color="auto" w:fill="auto"/>
            <w:noWrap/>
            <w:vAlign w:val="center"/>
            <w:hideMark/>
          </w:tcPr>
          <w:p w:rsidR="00A92189" w:rsidRPr="0001476A" w:rsidRDefault="00A92189" w:rsidP="00250939">
            <w:pPr>
              <w:rPr>
                <w:rFonts w:cs="Arial"/>
                <w:color w:val="000000"/>
                <w:sz w:val="21"/>
                <w:szCs w:val="21"/>
                <w:lang w:eastAsia="it-CH"/>
              </w:rPr>
            </w:pPr>
            <w:r w:rsidRPr="0001476A">
              <w:rPr>
                <w:rFonts w:cs="Arial"/>
                <w:bCs/>
                <w:color w:val="000000"/>
                <w:sz w:val="21"/>
                <w:szCs w:val="21"/>
                <w:lang w:eastAsia="it-CH"/>
              </w:rPr>
              <w:t>245</w:t>
            </w:r>
          </w:p>
        </w:tc>
        <w:tc>
          <w:tcPr>
            <w:tcW w:w="853" w:type="dxa"/>
            <w:tcBorders>
              <w:top w:val="nil"/>
              <w:left w:val="nil"/>
              <w:bottom w:val="single" w:sz="8" w:space="0" w:color="auto"/>
              <w:right w:val="single" w:sz="8" w:space="0" w:color="auto"/>
            </w:tcBorders>
            <w:shd w:val="clear" w:color="auto" w:fill="auto"/>
            <w:noWrap/>
            <w:vAlign w:val="center"/>
            <w:hideMark/>
          </w:tcPr>
          <w:p w:rsidR="00A92189" w:rsidRPr="0001476A" w:rsidRDefault="00A92189" w:rsidP="00250939">
            <w:pPr>
              <w:rPr>
                <w:rFonts w:cs="Arial"/>
                <w:color w:val="000000"/>
                <w:sz w:val="21"/>
                <w:szCs w:val="21"/>
                <w:lang w:eastAsia="it-CH"/>
              </w:rPr>
            </w:pPr>
            <w:r w:rsidRPr="0001476A">
              <w:rPr>
                <w:rFonts w:cs="Arial"/>
                <w:bCs/>
                <w:color w:val="000000"/>
                <w:sz w:val="21"/>
                <w:szCs w:val="21"/>
                <w:lang w:eastAsia="it-CH"/>
              </w:rPr>
              <w:t>243</w:t>
            </w:r>
          </w:p>
        </w:tc>
        <w:tc>
          <w:tcPr>
            <w:tcW w:w="853" w:type="dxa"/>
            <w:tcBorders>
              <w:top w:val="nil"/>
              <w:left w:val="nil"/>
              <w:bottom w:val="single" w:sz="8" w:space="0" w:color="auto"/>
              <w:right w:val="single" w:sz="8" w:space="0" w:color="auto"/>
            </w:tcBorders>
            <w:shd w:val="clear" w:color="auto" w:fill="auto"/>
            <w:noWrap/>
            <w:vAlign w:val="center"/>
            <w:hideMark/>
          </w:tcPr>
          <w:p w:rsidR="00A92189" w:rsidRPr="0001476A" w:rsidRDefault="00A92189" w:rsidP="00250939">
            <w:pPr>
              <w:rPr>
                <w:rFonts w:cs="Arial"/>
                <w:color w:val="000000"/>
                <w:sz w:val="21"/>
                <w:szCs w:val="21"/>
                <w:lang w:eastAsia="it-CH"/>
              </w:rPr>
            </w:pPr>
            <w:r w:rsidRPr="0001476A">
              <w:rPr>
                <w:rFonts w:cs="Arial"/>
                <w:bCs/>
                <w:color w:val="000000"/>
                <w:sz w:val="21"/>
                <w:szCs w:val="21"/>
                <w:lang w:eastAsia="it-CH"/>
              </w:rPr>
              <w:t>201</w:t>
            </w:r>
          </w:p>
        </w:tc>
        <w:tc>
          <w:tcPr>
            <w:tcW w:w="1126" w:type="dxa"/>
            <w:tcBorders>
              <w:top w:val="nil"/>
              <w:left w:val="nil"/>
              <w:bottom w:val="single" w:sz="8" w:space="0" w:color="auto"/>
              <w:right w:val="single" w:sz="8" w:space="0" w:color="auto"/>
            </w:tcBorders>
            <w:shd w:val="clear" w:color="auto" w:fill="auto"/>
            <w:vAlign w:val="center"/>
            <w:hideMark/>
          </w:tcPr>
          <w:p w:rsidR="00A92189" w:rsidRPr="0001476A" w:rsidRDefault="00A92189" w:rsidP="00711536">
            <w:pPr>
              <w:jc w:val="right"/>
              <w:rPr>
                <w:rFonts w:cs="Arial"/>
                <w:color w:val="000000"/>
                <w:sz w:val="21"/>
                <w:szCs w:val="21"/>
                <w:lang w:eastAsia="it-CH"/>
              </w:rPr>
            </w:pPr>
            <w:r w:rsidRPr="0001476A">
              <w:rPr>
                <w:rFonts w:cs="Arial"/>
                <w:bCs/>
                <w:color w:val="000000"/>
                <w:sz w:val="21"/>
                <w:szCs w:val="21"/>
                <w:lang w:eastAsia="it-CH"/>
              </w:rPr>
              <w:t>-42</w:t>
            </w:r>
          </w:p>
        </w:tc>
      </w:tr>
      <w:tr w:rsidR="00A92189" w:rsidRPr="0001476A" w:rsidTr="00711536">
        <w:trPr>
          <w:trHeight w:val="20"/>
        </w:trPr>
        <w:tc>
          <w:tcPr>
            <w:tcW w:w="6034" w:type="dxa"/>
            <w:tcBorders>
              <w:top w:val="nil"/>
              <w:left w:val="single" w:sz="8" w:space="0" w:color="auto"/>
              <w:bottom w:val="single" w:sz="8" w:space="0" w:color="auto"/>
              <w:right w:val="single" w:sz="8" w:space="0" w:color="auto"/>
            </w:tcBorders>
            <w:shd w:val="clear" w:color="auto" w:fill="auto"/>
            <w:noWrap/>
            <w:vAlign w:val="center"/>
            <w:hideMark/>
          </w:tcPr>
          <w:p w:rsidR="00A92189" w:rsidRPr="0001476A" w:rsidRDefault="00A92189" w:rsidP="00250939">
            <w:pPr>
              <w:jc w:val="right"/>
              <w:rPr>
                <w:rFonts w:cs="Arial"/>
                <w:color w:val="000000"/>
                <w:sz w:val="21"/>
                <w:szCs w:val="21"/>
                <w:lang w:eastAsia="it-CH"/>
              </w:rPr>
            </w:pPr>
            <w:r w:rsidRPr="0001476A">
              <w:rPr>
                <w:rFonts w:cs="Arial"/>
                <w:color w:val="000000"/>
                <w:sz w:val="21"/>
                <w:szCs w:val="21"/>
                <w:lang w:eastAsia="it-CH"/>
              </w:rPr>
              <w:t>- di cui con guadagno intermedio</w:t>
            </w:r>
          </w:p>
        </w:tc>
        <w:tc>
          <w:tcPr>
            <w:tcW w:w="853" w:type="dxa"/>
            <w:tcBorders>
              <w:top w:val="nil"/>
              <w:left w:val="nil"/>
              <w:bottom w:val="single" w:sz="8" w:space="0" w:color="auto"/>
              <w:right w:val="single" w:sz="8" w:space="0" w:color="auto"/>
            </w:tcBorders>
            <w:shd w:val="clear" w:color="auto" w:fill="auto"/>
            <w:noWrap/>
            <w:vAlign w:val="center"/>
            <w:hideMark/>
          </w:tcPr>
          <w:p w:rsidR="00A92189" w:rsidRPr="0001476A" w:rsidRDefault="00A92189" w:rsidP="00250939">
            <w:pPr>
              <w:jc w:val="right"/>
              <w:rPr>
                <w:rFonts w:cs="Arial"/>
                <w:color w:val="000000"/>
                <w:sz w:val="21"/>
                <w:szCs w:val="21"/>
                <w:lang w:eastAsia="it-CH"/>
              </w:rPr>
            </w:pPr>
            <w:r w:rsidRPr="0001476A">
              <w:rPr>
                <w:rFonts w:cs="Arial"/>
                <w:color w:val="000000"/>
                <w:sz w:val="21"/>
                <w:szCs w:val="21"/>
                <w:lang w:eastAsia="it-CH"/>
              </w:rPr>
              <w:t>9</w:t>
            </w:r>
          </w:p>
        </w:tc>
        <w:tc>
          <w:tcPr>
            <w:tcW w:w="853" w:type="dxa"/>
            <w:tcBorders>
              <w:top w:val="nil"/>
              <w:left w:val="nil"/>
              <w:bottom w:val="single" w:sz="8" w:space="0" w:color="auto"/>
              <w:right w:val="single" w:sz="8" w:space="0" w:color="auto"/>
            </w:tcBorders>
            <w:shd w:val="clear" w:color="auto" w:fill="auto"/>
            <w:noWrap/>
            <w:vAlign w:val="center"/>
            <w:hideMark/>
          </w:tcPr>
          <w:p w:rsidR="00A92189" w:rsidRPr="0001476A" w:rsidRDefault="00A92189" w:rsidP="00250939">
            <w:pPr>
              <w:jc w:val="right"/>
              <w:rPr>
                <w:rFonts w:cs="Arial"/>
                <w:color w:val="000000"/>
                <w:sz w:val="21"/>
                <w:szCs w:val="21"/>
                <w:lang w:eastAsia="it-CH"/>
              </w:rPr>
            </w:pPr>
            <w:r w:rsidRPr="0001476A">
              <w:rPr>
                <w:rFonts w:cs="Arial"/>
                <w:color w:val="000000"/>
                <w:sz w:val="21"/>
                <w:szCs w:val="21"/>
                <w:lang w:eastAsia="it-CH"/>
              </w:rPr>
              <w:t>9</w:t>
            </w:r>
          </w:p>
        </w:tc>
        <w:tc>
          <w:tcPr>
            <w:tcW w:w="853" w:type="dxa"/>
            <w:tcBorders>
              <w:top w:val="nil"/>
              <w:left w:val="nil"/>
              <w:bottom w:val="single" w:sz="8" w:space="0" w:color="auto"/>
              <w:right w:val="single" w:sz="8" w:space="0" w:color="auto"/>
            </w:tcBorders>
            <w:shd w:val="clear" w:color="auto" w:fill="auto"/>
            <w:noWrap/>
            <w:vAlign w:val="center"/>
            <w:hideMark/>
          </w:tcPr>
          <w:p w:rsidR="00A92189" w:rsidRPr="0001476A" w:rsidRDefault="00A92189" w:rsidP="00250939">
            <w:pPr>
              <w:jc w:val="right"/>
              <w:rPr>
                <w:rFonts w:cs="Arial"/>
                <w:color w:val="000000"/>
                <w:sz w:val="21"/>
                <w:szCs w:val="21"/>
                <w:lang w:eastAsia="it-CH"/>
              </w:rPr>
            </w:pPr>
            <w:r w:rsidRPr="0001476A">
              <w:rPr>
                <w:rFonts w:cs="Arial"/>
                <w:color w:val="000000"/>
                <w:sz w:val="21"/>
                <w:szCs w:val="21"/>
                <w:lang w:eastAsia="it-CH"/>
              </w:rPr>
              <w:t>11</w:t>
            </w:r>
          </w:p>
        </w:tc>
        <w:tc>
          <w:tcPr>
            <w:tcW w:w="1126" w:type="dxa"/>
            <w:tcBorders>
              <w:top w:val="nil"/>
              <w:left w:val="nil"/>
              <w:bottom w:val="single" w:sz="8" w:space="0" w:color="auto"/>
              <w:right w:val="single" w:sz="8" w:space="0" w:color="auto"/>
            </w:tcBorders>
            <w:shd w:val="clear" w:color="auto" w:fill="auto"/>
            <w:vAlign w:val="center"/>
            <w:hideMark/>
          </w:tcPr>
          <w:p w:rsidR="00A92189" w:rsidRPr="0001476A" w:rsidRDefault="00A92189" w:rsidP="00711536">
            <w:pPr>
              <w:jc w:val="right"/>
              <w:rPr>
                <w:rFonts w:cs="Arial"/>
                <w:color w:val="000000"/>
                <w:sz w:val="21"/>
                <w:szCs w:val="21"/>
                <w:lang w:eastAsia="it-CH"/>
              </w:rPr>
            </w:pPr>
            <w:r w:rsidRPr="0001476A">
              <w:rPr>
                <w:rFonts w:cs="Arial"/>
                <w:color w:val="000000"/>
                <w:sz w:val="21"/>
                <w:szCs w:val="21"/>
                <w:lang w:eastAsia="it-CH"/>
              </w:rPr>
              <w:t>2</w:t>
            </w:r>
          </w:p>
        </w:tc>
      </w:tr>
      <w:tr w:rsidR="00A92189" w:rsidRPr="0001476A" w:rsidTr="00711536">
        <w:trPr>
          <w:trHeight w:val="20"/>
        </w:trPr>
        <w:tc>
          <w:tcPr>
            <w:tcW w:w="6034" w:type="dxa"/>
            <w:tcBorders>
              <w:top w:val="nil"/>
              <w:left w:val="single" w:sz="8" w:space="0" w:color="auto"/>
              <w:bottom w:val="single" w:sz="8" w:space="0" w:color="auto"/>
              <w:right w:val="single" w:sz="8" w:space="0" w:color="auto"/>
            </w:tcBorders>
            <w:shd w:val="clear" w:color="auto" w:fill="auto"/>
            <w:noWrap/>
            <w:vAlign w:val="center"/>
            <w:hideMark/>
          </w:tcPr>
          <w:p w:rsidR="00A92189" w:rsidRPr="0001476A" w:rsidRDefault="00A92189" w:rsidP="00250939">
            <w:pPr>
              <w:rPr>
                <w:rFonts w:cs="Arial"/>
                <w:color w:val="000000"/>
                <w:sz w:val="21"/>
                <w:szCs w:val="21"/>
                <w:lang w:eastAsia="it-CH"/>
              </w:rPr>
            </w:pPr>
            <w:r w:rsidRPr="0001476A">
              <w:rPr>
                <w:rFonts w:cs="Arial"/>
                <w:bCs/>
                <w:color w:val="000000"/>
                <w:sz w:val="21"/>
                <w:szCs w:val="21"/>
                <w:lang w:eastAsia="it-CH"/>
              </w:rPr>
              <w:t xml:space="preserve">- </w:t>
            </w:r>
            <w:r w:rsidR="00711536">
              <w:rPr>
                <w:rFonts w:cs="Arial"/>
                <w:bCs/>
                <w:color w:val="000000"/>
                <w:sz w:val="21"/>
                <w:szCs w:val="21"/>
                <w:lang w:eastAsia="it-CH"/>
              </w:rPr>
              <w:t xml:space="preserve"> </w:t>
            </w:r>
            <w:r w:rsidRPr="0001476A">
              <w:rPr>
                <w:rFonts w:cs="Arial"/>
                <w:bCs/>
                <w:color w:val="000000"/>
                <w:sz w:val="21"/>
                <w:szCs w:val="21"/>
                <w:lang w:eastAsia="it-CH"/>
              </w:rPr>
              <w:t>N persone che hanno concluso il percorso al 31.12, di cui:</w:t>
            </w:r>
          </w:p>
        </w:tc>
        <w:tc>
          <w:tcPr>
            <w:tcW w:w="853" w:type="dxa"/>
            <w:tcBorders>
              <w:top w:val="nil"/>
              <w:left w:val="nil"/>
              <w:bottom w:val="single" w:sz="8" w:space="0" w:color="auto"/>
              <w:right w:val="single" w:sz="8" w:space="0" w:color="auto"/>
            </w:tcBorders>
            <w:shd w:val="clear" w:color="auto" w:fill="auto"/>
            <w:noWrap/>
            <w:vAlign w:val="center"/>
            <w:hideMark/>
          </w:tcPr>
          <w:p w:rsidR="00A92189" w:rsidRPr="0001476A" w:rsidRDefault="00A92189" w:rsidP="00250939">
            <w:pPr>
              <w:rPr>
                <w:rFonts w:cs="Arial"/>
                <w:color w:val="000000"/>
                <w:sz w:val="21"/>
                <w:szCs w:val="21"/>
                <w:lang w:eastAsia="it-CH"/>
              </w:rPr>
            </w:pPr>
            <w:r w:rsidRPr="0001476A">
              <w:rPr>
                <w:rFonts w:cs="Arial"/>
                <w:bCs/>
                <w:color w:val="000000"/>
                <w:sz w:val="21"/>
                <w:szCs w:val="21"/>
                <w:lang w:eastAsia="it-CH"/>
              </w:rPr>
              <w:t>379</w:t>
            </w:r>
          </w:p>
        </w:tc>
        <w:tc>
          <w:tcPr>
            <w:tcW w:w="853" w:type="dxa"/>
            <w:tcBorders>
              <w:top w:val="nil"/>
              <w:left w:val="nil"/>
              <w:bottom w:val="single" w:sz="8" w:space="0" w:color="auto"/>
              <w:right w:val="single" w:sz="8" w:space="0" w:color="auto"/>
            </w:tcBorders>
            <w:shd w:val="clear" w:color="auto" w:fill="auto"/>
            <w:noWrap/>
            <w:vAlign w:val="center"/>
            <w:hideMark/>
          </w:tcPr>
          <w:p w:rsidR="00A92189" w:rsidRPr="0001476A" w:rsidRDefault="00A92189" w:rsidP="00250939">
            <w:pPr>
              <w:rPr>
                <w:rFonts w:cs="Arial"/>
                <w:color w:val="000000"/>
                <w:sz w:val="21"/>
                <w:szCs w:val="21"/>
                <w:lang w:eastAsia="it-CH"/>
              </w:rPr>
            </w:pPr>
            <w:r w:rsidRPr="0001476A">
              <w:rPr>
                <w:rFonts w:cs="Arial"/>
                <w:bCs/>
                <w:color w:val="000000"/>
                <w:sz w:val="21"/>
                <w:szCs w:val="21"/>
                <w:lang w:eastAsia="it-CH"/>
              </w:rPr>
              <w:t>356</w:t>
            </w:r>
          </w:p>
        </w:tc>
        <w:tc>
          <w:tcPr>
            <w:tcW w:w="853" w:type="dxa"/>
            <w:tcBorders>
              <w:top w:val="nil"/>
              <w:left w:val="nil"/>
              <w:bottom w:val="single" w:sz="8" w:space="0" w:color="auto"/>
              <w:right w:val="single" w:sz="8" w:space="0" w:color="auto"/>
            </w:tcBorders>
            <w:shd w:val="clear" w:color="auto" w:fill="auto"/>
            <w:noWrap/>
            <w:vAlign w:val="center"/>
            <w:hideMark/>
          </w:tcPr>
          <w:p w:rsidR="00A92189" w:rsidRPr="0001476A" w:rsidRDefault="00A92189" w:rsidP="00250939">
            <w:pPr>
              <w:rPr>
                <w:rFonts w:cs="Arial"/>
                <w:color w:val="000000"/>
                <w:sz w:val="21"/>
                <w:szCs w:val="21"/>
                <w:lang w:eastAsia="it-CH"/>
              </w:rPr>
            </w:pPr>
            <w:r w:rsidRPr="0001476A">
              <w:rPr>
                <w:rFonts w:cs="Arial"/>
                <w:bCs/>
                <w:color w:val="000000"/>
                <w:sz w:val="21"/>
                <w:szCs w:val="21"/>
                <w:lang w:eastAsia="it-CH"/>
              </w:rPr>
              <w:t>290</w:t>
            </w:r>
          </w:p>
        </w:tc>
        <w:tc>
          <w:tcPr>
            <w:tcW w:w="1126" w:type="dxa"/>
            <w:tcBorders>
              <w:top w:val="nil"/>
              <w:left w:val="nil"/>
              <w:bottom w:val="single" w:sz="8" w:space="0" w:color="auto"/>
              <w:right w:val="single" w:sz="8" w:space="0" w:color="auto"/>
            </w:tcBorders>
            <w:shd w:val="clear" w:color="auto" w:fill="auto"/>
            <w:vAlign w:val="center"/>
            <w:hideMark/>
          </w:tcPr>
          <w:p w:rsidR="00A92189" w:rsidRPr="0001476A" w:rsidRDefault="00A92189" w:rsidP="00711536">
            <w:pPr>
              <w:jc w:val="right"/>
              <w:rPr>
                <w:rFonts w:cs="Arial"/>
                <w:color w:val="000000"/>
                <w:sz w:val="21"/>
                <w:szCs w:val="21"/>
                <w:lang w:eastAsia="it-CH"/>
              </w:rPr>
            </w:pPr>
            <w:r w:rsidRPr="0001476A">
              <w:rPr>
                <w:rFonts w:cs="Arial"/>
                <w:bCs/>
                <w:color w:val="000000"/>
                <w:sz w:val="21"/>
                <w:szCs w:val="21"/>
                <w:lang w:eastAsia="it-CH"/>
              </w:rPr>
              <w:t>-66</w:t>
            </w:r>
          </w:p>
        </w:tc>
      </w:tr>
      <w:tr w:rsidR="00A92189" w:rsidRPr="0001476A" w:rsidTr="00711536">
        <w:trPr>
          <w:trHeight w:val="20"/>
        </w:trPr>
        <w:tc>
          <w:tcPr>
            <w:tcW w:w="6034" w:type="dxa"/>
            <w:tcBorders>
              <w:top w:val="nil"/>
              <w:left w:val="single" w:sz="8" w:space="0" w:color="auto"/>
              <w:bottom w:val="single" w:sz="8" w:space="0" w:color="auto"/>
              <w:right w:val="single" w:sz="8" w:space="0" w:color="auto"/>
            </w:tcBorders>
            <w:shd w:val="clear" w:color="auto" w:fill="auto"/>
            <w:noWrap/>
            <w:vAlign w:val="center"/>
            <w:hideMark/>
          </w:tcPr>
          <w:p w:rsidR="00A92189" w:rsidRPr="0001476A" w:rsidRDefault="00A92189" w:rsidP="00250939">
            <w:pPr>
              <w:jc w:val="right"/>
              <w:rPr>
                <w:rFonts w:cs="Arial"/>
                <w:color w:val="000000"/>
                <w:sz w:val="21"/>
                <w:szCs w:val="21"/>
                <w:lang w:eastAsia="it-CH"/>
              </w:rPr>
            </w:pPr>
            <w:r w:rsidRPr="0001476A">
              <w:rPr>
                <w:rFonts w:cs="Arial"/>
                <w:color w:val="000000"/>
                <w:sz w:val="21"/>
                <w:szCs w:val="21"/>
                <w:lang w:eastAsia="it-CH"/>
              </w:rPr>
              <w:t xml:space="preserve">- annullate </w:t>
            </w:r>
            <w:r w:rsidRPr="0001476A">
              <w:rPr>
                <w:rFonts w:cs="Arial"/>
                <w:color w:val="000000"/>
                <w:sz w:val="21"/>
                <w:szCs w:val="21"/>
                <w:u w:val="single"/>
                <w:lang w:eastAsia="it-CH"/>
              </w:rPr>
              <w:t>senza</w:t>
            </w:r>
            <w:r w:rsidRPr="0001476A">
              <w:rPr>
                <w:rFonts w:cs="Arial"/>
                <w:color w:val="000000"/>
                <w:sz w:val="21"/>
                <w:szCs w:val="21"/>
                <w:lang w:eastAsia="it-CH"/>
              </w:rPr>
              <w:t xml:space="preserve"> aver trovato un lavoro</w:t>
            </w:r>
          </w:p>
        </w:tc>
        <w:tc>
          <w:tcPr>
            <w:tcW w:w="853" w:type="dxa"/>
            <w:tcBorders>
              <w:top w:val="nil"/>
              <w:left w:val="nil"/>
              <w:bottom w:val="single" w:sz="8" w:space="0" w:color="auto"/>
              <w:right w:val="single" w:sz="8" w:space="0" w:color="auto"/>
            </w:tcBorders>
            <w:shd w:val="clear" w:color="auto" w:fill="auto"/>
            <w:noWrap/>
            <w:vAlign w:val="center"/>
            <w:hideMark/>
          </w:tcPr>
          <w:p w:rsidR="00A92189" w:rsidRPr="0001476A" w:rsidRDefault="00A92189" w:rsidP="00250939">
            <w:pPr>
              <w:jc w:val="right"/>
              <w:rPr>
                <w:rFonts w:cs="Arial"/>
                <w:color w:val="000000"/>
                <w:sz w:val="21"/>
                <w:szCs w:val="21"/>
                <w:lang w:eastAsia="it-CH"/>
              </w:rPr>
            </w:pPr>
            <w:r w:rsidRPr="0001476A">
              <w:rPr>
                <w:rFonts w:cs="Arial"/>
                <w:color w:val="000000"/>
                <w:sz w:val="21"/>
                <w:szCs w:val="21"/>
                <w:lang w:eastAsia="it-CH"/>
              </w:rPr>
              <w:t>236</w:t>
            </w:r>
          </w:p>
        </w:tc>
        <w:tc>
          <w:tcPr>
            <w:tcW w:w="853" w:type="dxa"/>
            <w:tcBorders>
              <w:top w:val="nil"/>
              <w:left w:val="nil"/>
              <w:bottom w:val="single" w:sz="8" w:space="0" w:color="auto"/>
              <w:right w:val="single" w:sz="8" w:space="0" w:color="auto"/>
            </w:tcBorders>
            <w:shd w:val="clear" w:color="auto" w:fill="auto"/>
            <w:noWrap/>
            <w:vAlign w:val="center"/>
            <w:hideMark/>
          </w:tcPr>
          <w:p w:rsidR="00A92189" w:rsidRPr="0001476A" w:rsidRDefault="00A92189" w:rsidP="00250939">
            <w:pPr>
              <w:jc w:val="right"/>
              <w:rPr>
                <w:rFonts w:cs="Arial"/>
                <w:color w:val="000000"/>
                <w:sz w:val="21"/>
                <w:szCs w:val="21"/>
                <w:lang w:eastAsia="it-CH"/>
              </w:rPr>
            </w:pPr>
            <w:r w:rsidRPr="0001476A">
              <w:rPr>
                <w:rFonts w:cs="Arial"/>
                <w:color w:val="000000"/>
                <w:sz w:val="21"/>
                <w:szCs w:val="21"/>
                <w:lang w:eastAsia="it-CH"/>
              </w:rPr>
              <w:t>213</w:t>
            </w:r>
          </w:p>
        </w:tc>
        <w:tc>
          <w:tcPr>
            <w:tcW w:w="853" w:type="dxa"/>
            <w:tcBorders>
              <w:top w:val="nil"/>
              <w:left w:val="nil"/>
              <w:bottom w:val="single" w:sz="8" w:space="0" w:color="auto"/>
              <w:right w:val="single" w:sz="8" w:space="0" w:color="auto"/>
            </w:tcBorders>
            <w:shd w:val="clear" w:color="auto" w:fill="auto"/>
            <w:noWrap/>
            <w:vAlign w:val="center"/>
            <w:hideMark/>
          </w:tcPr>
          <w:p w:rsidR="00A92189" w:rsidRPr="0001476A" w:rsidRDefault="00A92189" w:rsidP="00250939">
            <w:pPr>
              <w:jc w:val="right"/>
              <w:rPr>
                <w:rFonts w:cs="Arial"/>
                <w:color w:val="000000"/>
                <w:sz w:val="21"/>
                <w:szCs w:val="21"/>
                <w:lang w:eastAsia="it-CH"/>
              </w:rPr>
            </w:pPr>
            <w:r w:rsidRPr="0001476A">
              <w:rPr>
                <w:rFonts w:cs="Arial"/>
                <w:color w:val="000000"/>
                <w:sz w:val="21"/>
                <w:szCs w:val="21"/>
                <w:lang w:eastAsia="it-CH"/>
              </w:rPr>
              <w:t>182</w:t>
            </w:r>
          </w:p>
        </w:tc>
        <w:tc>
          <w:tcPr>
            <w:tcW w:w="1126" w:type="dxa"/>
            <w:tcBorders>
              <w:top w:val="nil"/>
              <w:left w:val="nil"/>
              <w:bottom w:val="single" w:sz="8" w:space="0" w:color="auto"/>
              <w:right w:val="single" w:sz="8" w:space="0" w:color="auto"/>
            </w:tcBorders>
            <w:shd w:val="clear" w:color="auto" w:fill="auto"/>
            <w:vAlign w:val="center"/>
            <w:hideMark/>
          </w:tcPr>
          <w:p w:rsidR="00A92189" w:rsidRPr="0001476A" w:rsidRDefault="00A92189" w:rsidP="00711536">
            <w:pPr>
              <w:jc w:val="right"/>
              <w:rPr>
                <w:rFonts w:cs="Arial"/>
                <w:color w:val="000000"/>
                <w:sz w:val="21"/>
                <w:szCs w:val="21"/>
                <w:lang w:eastAsia="it-CH"/>
              </w:rPr>
            </w:pPr>
            <w:r w:rsidRPr="0001476A">
              <w:rPr>
                <w:rFonts w:cs="Arial"/>
                <w:color w:val="000000"/>
                <w:sz w:val="21"/>
                <w:szCs w:val="21"/>
                <w:lang w:eastAsia="it-CH"/>
              </w:rPr>
              <w:t>-31</w:t>
            </w:r>
          </w:p>
        </w:tc>
      </w:tr>
      <w:tr w:rsidR="00A92189" w:rsidRPr="0001476A" w:rsidTr="00711536">
        <w:trPr>
          <w:trHeight w:val="20"/>
        </w:trPr>
        <w:tc>
          <w:tcPr>
            <w:tcW w:w="6034" w:type="dxa"/>
            <w:tcBorders>
              <w:top w:val="nil"/>
              <w:left w:val="single" w:sz="8" w:space="0" w:color="auto"/>
              <w:bottom w:val="single" w:sz="8" w:space="0" w:color="auto"/>
              <w:right w:val="single" w:sz="8" w:space="0" w:color="auto"/>
            </w:tcBorders>
            <w:shd w:val="clear" w:color="auto" w:fill="auto"/>
            <w:noWrap/>
            <w:vAlign w:val="center"/>
            <w:hideMark/>
          </w:tcPr>
          <w:p w:rsidR="00A92189" w:rsidRPr="0001476A" w:rsidRDefault="00A92189" w:rsidP="00250939">
            <w:pPr>
              <w:jc w:val="right"/>
              <w:rPr>
                <w:rFonts w:cs="Arial"/>
                <w:color w:val="000000"/>
                <w:sz w:val="21"/>
                <w:szCs w:val="21"/>
                <w:lang w:eastAsia="it-CH"/>
              </w:rPr>
            </w:pPr>
            <w:r w:rsidRPr="0001476A">
              <w:rPr>
                <w:rFonts w:cs="Arial"/>
                <w:color w:val="000000"/>
                <w:sz w:val="21"/>
                <w:szCs w:val="21"/>
                <w:lang w:eastAsia="it-CH"/>
              </w:rPr>
              <w:t xml:space="preserve">- annullate perché </w:t>
            </w:r>
            <w:r w:rsidRPr="0001476A">
              <w:rPr>
                <w:rFonts w:cs="Arial"/>
                <w:color w:val="000000"/>
                <w:sz w:val="21"/>
                <w:szCs w:val="21"/>
                <w:u w:val="single"/>
                <w:lang w:eastAsia="it-CH"/>
              </w:rPr>
              <w:t>hanno</w:t>
            </w:r>
            <w:r w:rsidRPr="0001476A">
              <w:rPr>
                <w:rFonts w:cs="Arial"/>
                <w:color w:val="000000"/>
                <w:sz w:val="21"/>
                <w:szCs w:val="21"/>
                <w:lang w:eastAsia="it-CH"/>
              </w:rPr>
              <w:t xml:space="preserve"> trovato un lavoro</w:t>
            </w:r>
          </w:p>
        </w:tc>
        <w:tc>
          <w:tcPr>
            <w:tcW w:w="853" w:type="dxa"/>
            <w:tcBorders>
              <w:top w:val="nil"/>
              <w:left w:val="nil"/>
              <w:bottom w:val="single" w:sz="8" w:space="0" w:color="auto"/>
              <w:right w:val="single" w:sz="8" w:space="0" w:color="auto"/>
            </w:tcBorders>
            <w:shd w:val="clear" w:color="auto" w:fill="auto"/>
            <w:noWrap/>
            <w:vAlign w:val="center"/>
            <w:hideMark/>
          </w:tcPr>
          <w:p w:rsidR="00A92189" w:rsidRPr="0001476A" w:rsidRDefault="00A92189" w:rsidP="00250939">
            <w:pPr>
              <w:jc w:val="right"/>
              <w:rPr>
                <w:rFonts w:cs="Arial"/>
                <w:color w:val="000000"/>
                <w:sz w:val="21"/>
                <w:szCs w:val="21"/>
                <w:lang w:eastAsia="it-CH"/>
              </w:rPr>
            </w:pPr>
            <w:r w:rsidRPr="0001476A">
              <w:rPr>
                <w:rFonts w:cs="Arial"/>
                <w:color w:val="000000"/>
                <w:sz w:val="21"/>
                <w:szCs w:val="21"/>
                <w:lang w:eastAsia="it-CH"/>
              </w:rPr>
              <w:t>143</w:t>
            </w:r>
          </w:p>
        </w:tc>
        <w:tc>
          <w:tcPr>
            <w:tcW w:w="853" w:type="dxa"/>
            <w:tcBorders>
              <w:top w:val="nil"/>
              <w:left w:val="nil"/>
              <w:bottom w:val="single" w:sz="8" w:space="0" w:color="auto"/>
              <w:right w:val="single" w:sz="8" w:space="0" w:color="auto"/>
            </w:tcBorders>
            <w:shd w:val="clear" w:color="auto" w:fill="auto"/>
            <w:noWrap/>
            <w:vAlign w:val="center"/>
            <w:hideMark/>
          </w:tcPr>
          <w:p w:rsidR="00A92189" w:rsidRPr="0001476A" w:rsidRDefault="00A92189" w:rsidP="00250939">
            <w:pPr>
              <w:jc w:val="right"/>
              <w:rPr>
                <w:rFonts w:cs="Arial"/>
                <w:color w:val="000000"/>
                <w:sz w:val="21"/>
                <w:szCs w:val="21"/>
                <w:lang w:eastAsia="it-CH"/>
              </w:rPr>
            </w:pPr>
            <w:r w:rsidRPr="0001476A">
              <w:rPr>
                <w:rFonts w:cs="Arial"/>
                <w:color w:val="000000"/>
                <w:sz w:val="21"/>
                <w:szCs w:val="21"/>
                <w:lang w:eastAsia="it-CH"/>
              </w:rPr>
              <w:t>143</w:t>
            </w:r>
          </w:p>
        </w:tc>
        <w:tc>
          <w:tcPr>
            <w:tcW w:w="853" w:type="dxa"/>
            <w:tcBorders>
              <w:top w:val="nil"/>
              <w:left w:val="nil"/>
              <w:bottom w:val="single" w:sz="8" w:space="0" w:color="auto"/>
              <w:right w:val="single" w:sz="8" w:space="0" w:color="auto"/>
            </w:tcBorders>
            <w:shd w:val="clear" w:color="auto" w:fill="auto"/>
            <w:noWrap/>
            <w:vAlign w:val="center"/>
            <w:hideMark/>
          </w:tcPr>
          <w:p w:rsidR="00A92189" w:rsidRPr="0001476A" w:rsidRDefault="00A92189" w:rsidP="00250939">
            <w:pPr>
              <w:jc w:val="right"/>
              <w:rPr>
                <w:rFonts w:cs="Arial"/>
                <w:color w:val="000000"/>
                <w:sz w:val="21"/>
                <w:szCs w:val="21"/>
                <w:lang w:eastAsia="it-CH"/>
              </w:rPr>
            </w:pPr>
            <w:r w:rsidRPr="0001476A">
              <w:rPr>
                <w:rFonts w:cs="Arial"/>
                <w:color w:val="000000"/>
                <w:sz w:val="21"/>
                <w:szCs w:val="21"/>
                <w:lang w:eastAsia="it-CH"/>
              </w:rPr>
              <w:t>108</w:t>
            </w:r>
          </w:p>
        </w:tc>
        <w:tc>
          <w:tcPr>
            <w:tcW w:w="1126" w:type="dxa"/>
            <w:tcBorders>
              <w:top w:val="nil"/>
              <w:left w:val="nil"/>
              <w:bottom w:val="single" w:sz="8" w:space="0" w:color="auto"/>
              <w:right w:val="single" w:sz="8" w:space="0" w:color="auto"/>
            </w:tcBorders>
            <w:shd w:val="clear" w:color="auto" w:fill="auto"/>
            <w:vAlign w:val="center"/>
            <w:hideMark/>
          </w:tcPr>
          <w:p w:rsidR="00A92189" w:rsidRPr="0001476A" w:rsidRDefault="00A92189" w:rsidP="00711536">
            <w:pPr>
              <w:jc w:val="right"/>
              <w:rPr>
                <w:rFonts w:cs="Arial"/>
                <w:color w:val="000000"/>
                <w:sz w:val="21"/>
                <w:szCs w:val="21"/>
                <w:lang w:eastAsia="it-CH"/>
              </w:rPr>
            </w:pPr>
            <w:r w:rsidRPr="0001476A">
              <w:rPr>
                <w:rFonts w:cs="Arial"/>
                <w:color w:val="000000"/>
                <w:sz w:val="21"/>
                <w:szCs w:val="21"/>
                <w:lang w:eastAsia="it-CH"/>
              </w:rPr>
              <w:t>-35</w:t>
            </w:r>
          </w:p>
        </w:tc>
      </w:tr>
      <w:tr w:rsidR="00A92189" w:rsidRPr="0001476A" w:rsidTr="00711536">
        <w:trPr>
          <w:trHeight w:val="20"/>
        </w:trPr>
        <w:tc>
          <w:tcPr>
            <w:tcW w:w="6034" w:type="dxa"/>
            <w:tcBorders>
              <w:top w:val="nil"/>
              <w:left w:val="single" w:sz="8" w:space="0" w:color="auto"/>
              <w:bottom w:val="single" w:sz="8" w:space="0" w:color="auto"/>
              <w:right w:val="single" w:sz="8" w:space="0" w:color="auto"/>
            </w:tcBorders>
            <w:shd w:val="clear" w:color="auto" w:fill="auto"/>
            <w:noWrap/>
            <w:vAlign w:val="center"/>
            <w:hideMark/>
          </w:tcPr>
          <w:p w:rsidR="00A92189" w:rsidRPr="0001476A" w:rsidRDefault="00A92189" w:rsidP="00250939">
            <w:pPr>
              <w:jc w:val="right"/>
              <w:rPr>
                <w:rFonts w:cs="Arial"/>
                <w:i/>
                <w:iCs/>
                <w:color w:val="000000"/>
                <w:sz w:val="21"/>
                <w:szCs w:val="21"/>
                <w:lang w:eastAsia="it-CH"/>
              </w:rPr>
            </w:pPr>
            <w:r w:rsidRPr="0001476A">
              <w:rPr>
                <w:rFonts w:cs="Arial"/>
                <w:i/>
                <w:iCs/>
                <w:color w:val="000000"/>
                <w:sz w:val="21"/>
                <w:szCs w:val="21"/>
                <w:lang w:eastAsia="it-CH"/>
              </w:rPr>
              <w:t xml:space="preserve">- % trovato lavoro </w:t>
            </w:r>
          </w:p>
        </w:tc>
        <w:tc>
          <w:tcPr>
            <w:tcW w:w="853" w:type="dxa"/>
            <w:tcBorders>
              <w:top w:val="nil"/>
              <w:left w:val="nil"/>
              <w:bottom w:val="single" w:sz="8" w:space="0" w:color="auto"/>
              <w:right w:val="single" w:sz="8" w:space="0" w:color="auto"/>
            </w:tcBorders>
            <w:shd w:val="clear" w:color="auto" w:fill="auto"/>
            <w:noWrap/>
            <w:vAlign w:val="center"/>
            <w:hideMark/>
          </w:tcPr>
          <w:p w:rsidR="00A92189" w:rsidRPr="0001476A" w:rsidRDefault="00A92189" w:rsidP="00250939">
            <w:pPr>
              <w:rPr>
                <w:rFonts w:cs="Arial"/>
                <w:i/>
                <w:iCs/>
                <w:color w:val="000000"/>
                <w:sz w:val="21"/>
                <w:szCs w:val="21"/>
                <w:lang w:eastAsia="it-CH"/>
              </w:rPr>
            </w:pPr>
            <w:r w:rsidRPr="0001476A">
              <w:rPr>
                <w:rFonts w:cs="Arial"/>
                <w:i/>
                <w:iCs/>
                <w:color w:val="000000"/>
                <w:sz w:val="21"/>
                <w:szCs w:val="21"/>
                <w:lang w:eastAsia="it-CH"/>
              </w:rPr>
              <w:t>37,70%</w:t>
            </w:r>
          </w:p>
        </w:tc>
        <w:tc>
          <w:tcPr>
            <w:tcW w:w="853" w:type="dxa"/>
            <w:tcBorders>
              <w:top w:val="nil"/>
              <w:left w:val="nil"/>
              <w:bottom w:val="single" w:sz="8" w:space="0" w:color="auto"/>
              <w:right w:val="single" w:sz="8" w:space="0" w:color="auto"/>
            </w:tcBorders>
            <w:shd w:val="clear" w:color="auto" w:fill="auto"/>
            <w:noWrap/>
            <w:vAlign w:val="center"/>
            <w:hideMark/>
          </w:tcPr>
          <w:p w:rsidR="00A92189" w:rsidRPr="0001476A" w:rsidRDefault="00A92189" w:rsidP="00250939">
            <w:pPr>
              <w:rPr>
                <w:rFonts w:cs="Arial"/>
                <w:i/>
                <w:iCs/>
                <w:color w:val="000000"/>
                <w:sz w:val="21"/>
                <w:szCs w:val="21"/>
                <w:lang w:eastAsia="it-CH"/>
              </w:rPr>
            </w:pPr>
            <w:r w:rsidRPr="0001476A">
              <w:rPr>
                <w:rFonts w:cs="Arial"/>
                <w:i/>
                <w:iCs/>
                <w:color w:val="000000"/>
                <w:sz w:val="21"/>
                <w:szCs w:val="21"/>
                <w:lang w:eastAsia="it-CH"/>
              </w:rPr>
              <w:t>40,20%</w:t>
            </w:r>
          </w:p>
        </w:tc>
        <w:tc>
          <w:tcPr>
            <w:tcW w:w="853" w:type="dxa"/>
            <w:tcBorders>
              <w:top w:val="nil"/>
              <w:left w:val="nil"/>
              <w:bottom w:val="single" w:sz="8" w:space="0" w:color="auto"/>
              <w:right w:val="single" w:sz="8" w:space="0" w:color="auto"/>
            </w:tcBorders>
            <w:shd w:val="clear" w:color="auto" w:fill="auto"/>
            <w:noWrap/>
            <w:vAlign w:val="center"/>
            <w:hideMark/>
          </w:tcPr>
          <w:p w:rsidR="00A92189" w:rsidRPr="0001476A" w:rsidRDefault="00A92189" w:rsidP="00250939">
            <w:pPr>
              <w:rPr>
                <w:rFonts w:cs="Arial"/>
                <w:i/>
                <w:iCs/>
                <w:color w:val="000000"/>
                <w:sz w:val="21"/>
                <w:szCs w:val="21"/>
                <w:lang w:eastAsia="it-CH"/>
              </w:rPr>
            </w:pPr>
            <w:r w:rsidRPr="0001476A">
              <w:rPr>
                <w:rFonts w:cs="Arial"/>
                <w:i/>
                <w:iCs/>
                <w:color w:val="000000"/>
                <w:sz w:val="21"/>
                <w:szCs w:val="21"/>
                <w:lang w:eastAsia="it-CH"/>
              </w:rPr>
              <w:t>37,20%</w:t>
            </w:r>
          </w:p>
        </w:tc>
        <w:tc>
          <w:tcPr>
            <w:tcW w:w="1126" w:type="dxa"/>
            <w:tcBorders>
              <w:top w:val="nil"/>
              <w:left w:val="nil"/>
              <w:bottom w:val="single" w:sz="8" w:space="0" w:color="auto"/>
              <w:right w:val="single" w:sz="8" w:space="0" w:color="auto"/>
            </w:tcBorders>
            <w:shd w:val="clear" w:color="auto" w:fill="auto"/>
            <w:vAlign w:val="center"/>
            <w:hideMark/>
          </w:tcPr>
          <w:p w:rsidR="00A92189" w:rsidRPr="0001476A" w:rsidRDefault="00A92189" w:rsidP="00711536">
            <w:pPr>
              <w:jc w:val="right"/>
              <w:rPr>
                <w:rFonts w:cs="Arial"/>
                <w:color w:val="000000"/>
                <w:sz w:val="21"/>
                <w:szCs w:val="21"/>
                <w:lang w:eastAsia="it-CH"/>
              </w:rPr>
            </w:pPr>
            <w:r w:rsidRPr="0001476A">
              <w:rPr>
                <w:rFonts w:cs="Arial"/>
                <w:color w:val="000000"/>
                <w:sz w:val="21"/>
                <w:szCs w:val="21"/>
                <w:lang w:eastAsia="it-CH"/>
              </w:rPr>
              <w:t>-0,03</w:t>
            </w:r>
          </w:p>
        </w:tc>
      </w:tr>
    </w:tbl>
    <w:p w:rsidR="00A92189" w:rsidRDefault="00A92189" w:rsidP="00A92189">
      <w:pPr>
        <w:rPr>
          <w:rFonts w:cs="Arial"/>
          <w:b/>
          <w:i/>
        </w:rPr>
      </w:pPr>
    </w:p>
    <w:p w:rsidR="009E0EB1" w:rsidRDefault="009E0EB1" w:rsidP="00A92189">
      <w:pPr>
        <w:rPr>
          <w:rFonts w:cs="Arial"/>
          <w:b/>
          <w:i/>
        </w:rPr>
      </w:pPr>
    </w:p>
    <w:p w:rsidR="009E0EB1" w:rsidRPr="009E0EB1" w:rsidRDefault="00A92189" w:rsidP="00A92189">
      <w:pPr>
        <w:rPr>
          <w:rFonts w:cs="Arial"/>
          <w:b/>
          <w:i/>
          <w:sz w:val="23"/>
          <w:szCs w:val="23"/>
        </w:rPr>
      </w:pPr>
      <w:r w:rsidRPr="009E0EB1">
        <w:rPr>
          <w:rFonts w:cs="Arial"/>
          <w:b/>
          <w:i/>
          <w:sz w:val="23"/>
          <w:szCs w:val="23"/>
        </w:rPr>
        <w:t>Tabella 2, Attività di utilità pubblica 2014-2016</w:t>
      </w:r>
    </w:p>
    <w:p w:rsidR="00A92189" w:rsidRPr="00C62C05" w:rsidRDefault="00A92189" w:rsidP="00A92189">
      <w:pPr>
        <w:rPr>
          <w:rFonts w:cs="Arial"/>
          <w:b/>
          <w:i/>
        </w:rPr>
      </w:pPr>
    </w:p>
    <w:tbl>
      <w:tblPr>
        <w:tblW w:w="9719" w:type="dxa"/>
        <w:tblInd w:w="-10" w:type="dxa"/>
        <w:tblCellMar>
          <w:left w:w="70" w:type="dxa"/>
          <w:right w:w="70" w:type="dxa"/>
        </w:tblCellMar>
        <w:tblLook w:val="04A0" w:firstRow="1" w:lastRow="0" w:firstColumn="1" w:lastColumn="0" w:noHBand="0" w:noVBand="1"/>
      </w:tblPr>
      <w:tblGrid>
        <w:gridCol w:w="6096"/>
        <w:gridCol w:w="850"/>
        <w:gridCol w:w="851"/>
        <w:gridCol w:w="850"/>
        <w:gridCol w:w="1072"/>
      </w:tblGrid>
      <w:tr w:rsidR="00A92189" w:rsidRPr="0001476A" w:rsidTr="00711536">
        <w:trPr>
          <w:trHeight w:val="20"/>
        </w:trPr>
        <w:tc>
          <w:tcPr>
            <w:tcW w:w="6096" w:type="dxa"/>
            <w:tcBorders>
              <w:top w:val="single" w:sz="8" w:space="0" w:color="auto"/>
              <w:left w:val="single" w:sz="8" w:space="0" w:color="auto"/>
              <w:bottom w:val="nil"/>
              <w:right w:val="single" w:sz="8" w:space="0" w:color="auto"/>
            </w:tcBorders>
            <w:shd w:val="clear" w:color="000000" w:fill="D9D9D9"/>
            <w:noWrap/>
            <w:vAlign w:val="center"/>
            <w:hideMark/>
          </w:tcPr>
          <w:p w:rsidR="00A92189" w:rsidRPr="0001476A" w:rsidRDefault="00A92189" w:rsidP="00250939">
            <w:pPr>
              <w:rPr>
                <w:rFonts w:cs="Arial"/>
                <w:color w:val="000000"/>
                <w:sz w:val="21"/>
                <w:szCs w:val="21"/>
                <w:lang w:eastAsia="it-CH"/>
              </w:rPr>
            </w:pPr>
            <w:r w:rsidRPr="0001476A">
              <w:rPr>
                <w:rFonts w:cs="Arial"/>
                <w:color w:val="000000"/>
                <w:sz w:val="21"/>
                <w:szCs w:val="21"/>
                <w:lang w:eastAsia="it-CH"/>
              </w:rPr>
              <w:t> </w:t>
            </w:r>
          </w:p>
        </w:tc>
        <w:tc>
          <w:tcPr>
            <w:tcW w:w="3623" w:type="dxa"/>
            <w:gridSpan w:val="4"/>
            <w:tcBorders>
              <w:top w:val="single" w:sz="8" w:space="0" w:color="auto"/>
              <w:left w:val="nil"/>
              <w:bottom w:val="single" w:sz="8" w:space="0" w:color="auto"/>
              <w:right w:val="single" w:sz="8" w:space="0" w:color="000000"/>
            </w:tcBorders>
            <w:shd w:val="clear" w:color="000000" w:fill="D9D9D9"/>
            <w:noWrap/>
            <w:vAlign w:val="center"/>
            <w:hideMark/>
          </w:tcPr>
          <w:p w:rsidR="00A92189" w:rsidRPr="0001476A" w:rsidRDefault="00A92189" w:rsidP="00250939">
            <w:pPr>
              <w:jc w:val="center"/>
              <w:rPr>
                <w:rFonts w:cs="Arial"/>
                <w:b/>
                <w:bCs/>
                <w:color w:val="000000"/>
                <w:sz w:val="21"/>
                <w:szCs w:val="21"/>
                <w:lang w:eastAsia="it-CH"/>
              </w:rPr>
            </w:pPr>
            <w:r w:rsidRPr="0001476A">
              <w:rPr>
                <w:rFonts w:cs="Arial"/>
                <w:b/>
                <w:bCs/>
                <w:color w:val="000000"/>
                <w:sz w:val="21"/>
                <w:szCs w:val="21"/>
                <w:lang w:eastAsia="it-CH"/>
              </w:rPr>
              <w:t>Anni</w:t>
            </w:r>
          </w:p>
        </w:tc>
      </w:tr>
      <w:tr w:rsidR="00A92189" w:rsidRPr="0001476A" w:rsidTr="00711536">
        <w:trPr>
          <w:trHeight w:val="20"/>
        </w:trPr>
        <w:tc>
          <w:tcPr>
            <w:tcW w:w="6096" w:type="dxa"/>
            <w:tcBorders>
              <w:top w:val="nil"/>
              <w:left w:val="single" w:sz="8" w:space="0" w:color="auto"/>
              <w:bottom w:val="single" w:sz="8" w:space="0" w:color="auto"/>
              <w:right w:val="single" w:sz="8" w:space="0" w:color="auto"/>
            </w:tcBorders>
            <w:shd w:val="clear" w:color="000000" w:fill="D9D9D9"/>
            <w:noWrap/>
            <w:vAlign w:val="center"/>
            <w:hideMark/>
          </w:tcPr>
          <w:p w:rsidR="00A92189" w:rsidRPr="0001476A" w:rsidRDefault="00A92189" w:rsidP="00250939">
            <w:pPr>
              <w:jc w:val="center"/>
              <w:rPr>
                <w:rFonts w:cs="Arial"/>
                <w:b/>
                <w:bCs/>
                <w:color w:val="000000"/>
                <w:sz w:val="21"/>
                <w:szCs w:val="21"/>
                <w:lang w:eastAsia="it-CH"/>
              </w:rPr>
            </w:pPr>
            <w:r w:rsidRPr="0001476A">
              <w:rPr>
                <w:rFonts w:cs="Arial"/>
                <w:b/>
                <w:bCs/>
                <w:color w:val="000000"/>
                <w:sz w:val="21"/>
                <w:szCs w:val="21"/>
                <w:lang w:eastAsia="it-CH"/>
              </w:rPr>
              <w:t>Indicatori</w:t>
            </w:r>
          </w:p>
        </w:tc>
        <w:tc>
          <w:tcPr>
            <w:tcW w:w="850" w:type="dxa"/>
            <w:tcBorders>
              <w:top w:val="nil"/>
              <w:left w:val="nil"/>
              <w:bottom w:val="single" w:sz="8" w:space="0" w:color="auto"/>
              <w:right w:val="single" w:sz="8" w:space="0" w:color="auto"/>
            </w:tcBorders>
            <w:shd w:val="clear" w:color="000000" w:fill="D9D9D9"/>
            <w:noWrap/>
            <w:vAlign w:val="center"/>
            <w:hideMark/>
          </w:tcPr>
          <w:p w:rsidR="00A92189" w:rsidRPr="0001476A" w:rsidRDefault="00A92189" w:rsidP="00250939">
            <w:pPr>
              <w:jc w:val="center"/>
              <w:rPr>
                <w:rFonts w:cs="Arial"/>
                <w:b/>
                <w:bCs/>
                <w:color w:val="000000"/>
                <w:sz w:val="21"/>
                <w:szCs w:val="21"/>
                <w:lang w:eastAsia="it-CH"/>
              </w:rPr>
            </w:pPr>
            <w:r w:rsidRPr="0001476A">
              <w:rPr>
                <w:rFonts w:cs="Arial"/>
                <w:b/>
                <w:bCs/>
                <w:color w:val="000000"/>
                <w:sz w:val="21"/>
                <w:szCs w:val="21"/>
                <w:lang w:eastAsia="it-CH"/>
              </w:rPr>
              <w:t>2014</w:t>
            </w:r>
          </w:p>
        </w:tc>
        <w:tc>
          <w:tcPr>
            <w:tcW w:w="851" w:type="dxa"/>
            <w:tcBorders>
              <w:top w:val="nil"/>
              <w:left w:val="nil"/>
              <w:bottom w:val="single" w:sz="8" w:space="0" w:color="auto"/>
              <w:right w:val="single" w:sz="8" w:space="0" w:color="auto"/>
            </w:tcBorders>
            <w:shd w:val="clear" w:color="000000" w:fill="D9D9D9"/>
            <w:noWrap/>
            <w:vAlign w:val="center"/>
            <w:hideMark/>
          </w:tcPr>
          <w:p w:rsidR="00A92189" w:rsidRPr="0001476A" w:rsidRDefault="00A92189" w:rsidP="00250939">
            <w:pPr>
              <w:jc w:val="center"/>
              <w:rPr>
                <w:rFonts w:cs="Arial"/>
                <w:b/>
                <w:bCs/>
                <w:color w:val="000000"/>
                <w:sz w:val="21"/>
                <w:szCs w:val="21"/>
                <w:lang w:eastAsia="it-CH"/>
              </w:rPr>
            </w:pPr>
            <w:r w:rsidRPr="0001476A">
              <w:rPr>
                <w:rFonts w:cs="Arial"/>
                <w:b/>
                <w:bCs/>
                <w:color w:val="000000"/>
                <w:sz w:val="21"/>
                <w:szCs w:val="21"/>
                <w:lang w:eastAsia="it-CH"/>
              </w:rPr>
              <w:t>2015</w:t>
            </w:r>
          </w:p>
        </w:tc>
        <w:tc>
          <w:tcPr>
            <w:tcW w:w="850" w:type="dxa"/>
            <w:tcBorders>
              <w:top w:val="nil"/>
              <w:left w:val="nil"/>
              <w:bottom w:val="single" w:sz="8" w:space="0" w:color="auto"/>
              <w:right w:val="single" w:sz="8" w:space="0" w:color="auto"/>
            </w:tcBorders>
            <w:shd w:val="clear" w:color="000000" w:fill="D9D9D9"/>
            <w:noWrap/>
            <w:vAlign w:val="center"/>
            <w:hideMark/>
          </w:tcPr>
          <w:p w:rsidR="00A92189" w:rsidRPr="0001476A" w:rsidRDefault="00A92189" w:rsidP="00250939">
            <w:pPr>
              <w:jc w:val="center"/>
              <w:rPr>
                <w:rFonts w:cs="Arial"/>
                <w:b/>
                <w:bCs/>
                <w:color w:val="000000"/>
                <w:sz w:val="21"/>
                <w:szCs w:val="21"/>
                <w:lang w:eastAsia="it-CH"/>
              </w:rPr>
            </w:pPr>
            <w:r w:rsidRPr="0001476A">
              <w:rPr>
                <w:rFonts w:cs="Arial"/>
                <w:b/>
                <w:bCs/>
                <w:color w:val="000000"/>
                <w:sz w:val="21"/>
                <w:szCs w:val="21"/>
                <w:lang w:eastAsia="it-CH"/>
              </w:rPr>
              <w:t>2016</w:t>
            </w:r>
          </w:p>
        </w:tc>
        <w:tc>
          <w:tcPr>
            <w:tcW w:w="1072" w:type="dxa"/>
            <w:tcBorders>
              <w:top w:val="nil"/>
              <w:left w:val="nil"/>
              <w:bottom w:val="single" w:sz="8" w:space="0" w:color="auto"/>
              <w:right w:val="single" w:sz="8" w:space="0" w:color="auto"/>
            </w:tcBorders>
            <w:shd w:val="clear" w:color="000000" w:fill="D9D9D9"/>
            <w:vAlign w:val="center"/>
            <w:hideMark/>
          </w:tcPr>
          <w:p w:rsidR="00A92189" w:rsidRPr="0001476A" w:rsidRDefault="00A92189" w:rsidP="00711536">
            <w:pPr>
              <w:jc w:val="center"/>
              <w:rPr>
                <w:rFonts w:cs="Arial"/>
                <w:b/>
                <w:bCs/>
                <w:color w:val="000000"/>
                <w:sz w:val="21"/>
                <w:szCs w:val="21"/>
                <w:lang w:eastAsia="it-CH"/>
              </w:rPr>
            </w:pPr>
            <w:proofErr w:type="spellStart"/>
            <w:r w:rsidRPr="0001476A">
              <w:rPr>
                <w:rFonts w:cs="Arial"/>
                <w:b/>
                <w:bCs/>
                <w:color w:val="000000"/>
                <w:sz w:val="21"/>
                <w:szCs w:val="21"/>
                <w:lang w:eastAsia="it-CH"/>
              </w:rPr>
              <w:t>Var</w:t>
            </w:r>
            <w:proofErr w:type="spellEnd"/>
            <w:r w:rsidRPr="0001476A">
              <w:rPr>
                <w:rFonts w:cs="Arial"/>
                <w:b/>
                <w:bCs/>
                <w:color w:val="000000"/>
                <w:sz w:val="21"/>
                <w:szCs w:val="21"/>
                <w:lang w:eastAsia="it-CH"/>
              </w:rPr>
              <w:t xml:space="preserve"> </w:t>
            </w:r>
            <w:r w:rsidR="00711536">
              <w:rPr>
                <w:rFonts w:cs="Arial"/>
                <w:b/>
                <w:bCs/>
                <w:color w:val="000000"/>
                <w:sz w:val="21"/>
                <w:szCs w:val="21"/>
                <w:lang w:eastAsia="it-CH"/>
              </w:rPr>
              <w:br/>
            </w:r>
            <w:r w:rsidRPr="0001476A">
              <w:rPr>
                <w:rFonts w:cs="Arial"/>
                <w:b/>
                <w:bCs/>
                <w:color w:val="000000"/>
                <w:sz w:val="21"/>
                <w:szCs w:val="21"/>
                <w:lang w:eastAsia="it-CH"/>
              </w:rPr>
              <w:t>15-16</w:t>
            </w:r>
          </w:p>
        </w:tc>
      </w:tr>
      <w:tr w:rsidR="00A92189" w:rsidRPr="0001476A" w:rsidTr="00711536">
        <w:trPr>
          <w:trHeight w:val="2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189" w:rsidRPr="0001476A" w:rsidRDefault="00A92189" w:rsidP="00250939">
            <w:pPr>
              <w:rPr>
                <w:rFonts w:cs="Arial"/>
                <w:bCs/>
                <w:color w:val="000000"/>
                <w:sz w:val="21"/>
                <w:szCs w:val="21"/>
                <w:lang w:eastAsia="it-CH"/>
              </w:rPr>
            </w:pPr>
            <w:r w:rsidRPr="0001476A">
              <w:rPr>
                <w:rFonts w:cs="Arial"/>
                <w:bCs/>
                <w:color w:val="000000"/>
                <w:sz w:val="21"/>
                <w:szCs w:val="21"/>
                <w:lang w:eastAsia="it-CH"/>
              </w:rPr>
              <w:t>N persone gestite nell’anno</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92189" w:rsidRPr="0001476A" w:rsidRDefault="00A92189" w:rsidP="00250939">
            <w:pPr>
              <w:jc w:val="center"/>
              <w:rPr>
                <w:rFonts w:cs="Arial"/>
                <w:bCs/>
                <w:color w:val="000000"/>
                <w:sz w:val="21"/>
                <w:szCs w:val="21"/>
                <w:lang w:eastAsia="it-CH"/>
              </w:rPr>
            </w:pPr>
            <w:r w:rsidRPr="0001476A">
              <w:rPr>
                <w:rFonts w:cs="Arial"/>
                <w:bCs/>
                <w:color w:val="000000"/>
                <w:sz w:val="21"/>
                <w:szCs w:val="21"/>
                <w:lang w:eastAsia="it-CH"/>
              </w:rPr>
              <w:t>543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92189" w:rsidRPr="0001476A" w:rsidRDefault="00A92189" w:rsidP="00250939">
            <w:pPr>
              <w:jc w:val="center"/>
              <w:rPr>
                <w:rFonts w:cs="Arial"/>
                <w:bCs/>
                <w:color w:val="000000"/>
                <w:sz w:val="21"/>
                <w:szCs w:val="21"/>
                <w:lang w:eastAsia="it-CH"/>
              </w:rPr>
            </w:pPr>
            <w:r w:rsidRPr="0001476A">
              <w:rPr>
                <w:rFonts w:cs="Arial"/>
                <w:bCs/>
                <w:color w:val="000000"/>
                <w:sz w:val="21"/>
                <w:szCs w:val="21"/>
                <w:lang w:eastAsia="it-CH"/>
              </w:rPr>
              <w:t>655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2189" w:rsidRPr="0001476A" w:rsidRDefault="00A92189" w:rsidP="00250939">
            <w:pPr>
              <w:jc w:val="center"/>
              <w:rPr>
                <w:rFonts w:cs="Arial"/>
                <w:bCs/>
                <w:color w:val="000000"/>
                <w:sz w:val="21"/>
                <w:szCs w:val="21"/>
                <w:lang w:eastAsia="it-CH"/>
              </w:rPr>
            </w:pPr>
            <w:r w:rsidRPr="0001476A">
              <w:rPr>
                <w:rFonts w:cs="Arial"/>
                <w:bCs/>
                <w:color w:val="000000"/>
                <w:sz w:val="21"/>
                <w:szCs w:val="21"/>
                <w:lang w:eastAsia="it-CH"/>
              </w:rPr>
              <w:t>721</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A92189" w:rsidRPr="0001476A" w:rsidRDefault="00A92189" w:rsidP="00250939">
            <w:pPr>
              <w:jc w:val="center"/>
              <w:rPr>
                <w:rFonts w:cs="Arial"/>
                <w:color w:val="000000"/>
                <w:sz w:val="21"/>
                <w:szCs w:val="21"/>
                <w:lang w:eastAsia="it-CH"/>
              </w:rPr>
            </w:pPr>
            <w:r w:rsidRPr="0001476A">
              <w:rPr>
                <w:rFonts w:cs="Arial"/>
                <w:color w:val="000000"/>
                <w:sz w:val="21"/>
                <w:szCs w:val="21"/>
                <w:lang w:eastAsia="it-CH"/>
              </w:rPr>
              <w:t>66</w:t>
            </w:r>
          </w:p>
        </w:tc>
      </w:tr>
      <w:tr w:rsidR="00A92189" w:rsidRPr="0001476A" w:rsidTr="00711536">
        <w:trPr>
          <w:trHeight w:val="2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A92189" w:rsidRPr="0001476A" w:rsidRDefault="00A92189" w:rsidP="00250939">
            <w:pPr>
              <w:rPr>
                <w:rFonts w:cs="Arial"/>
                <w:color w:val="000000"/>
                <w:sz w:val="21"/>
                <w:szCs w:val="21"/>
                <w:lang w:eastAsia="it-CH"/>
              </w:rPr>
            </w:pPr>
            <w:r w:rsidRPr="0001476A">
              <w:rPr>
                <w:rFonts w:cs="Arial"/>
                <w:color w:val="000000"/>
                <w:sz w:val="21"/>
                <w:szCs w:val="21"/>
                <w:lang w:eastAsia="it-CH"/>
              </w:rPr>
              <w:t>In corso al 31.12</w:t>
            </w:r>
          </w:p>
        </w:tc>
        <w:tc>
          <w:tcPr>
            <w:tcW w:w="850" w:type="dxa"/>
            <w:tcBorders>
              <w:top w:val="nil"/>
              <w:left w:val="nil"/>
              <w:bottom w:val="single" w:sz="4" w:space="0" w:color="auto"/>
              <w:right w:val="single" w:sz="4" w:space="0" w:color="auto"/>
            </w:tcBorders>
            <w:shd w:val="clear" w:color="auto" w:fill="auto"/>
            <w:noWrap/>
            <w:vAlign w:val="center"/>
            <w:hideMark/>
          </w:tcPr>
          <w:p w:rsidR="00A92189" w:rsidRPr="0001476A" w:rsidRDefault="00A92189" w:rsidP="00250939">
            <w:pPr>
              <w:jc w:val="right"/>
              <w:rPr>
                <w:rFonts w:cs="Arial"/>
                <w:color w:val="000000"/>
                <w:sz w:val="21"/>
                <w:szCs w:val="21"/>
                <w:lang w:eastAsia="it-CH"/>
              </w:rPr>
            </w:pPr>
            <w:r w:rsidRPr="0001476A">
              <w:rPr>
                <w:rFonts w:cs="Arial"/>
                <w:color w:val="000000"/>
                <w:sz w:val="21"/>
                <w:szCs w:val="21"/>
                <w:lang w:eastAsia="it-CH"/>
              </w:rPr>
              <w:t>227</w:t>
            </w:r>
          </w:p>
        </w:tc>
        <w:tc>
          <w:tcPr>
            <w:tcW w:w="851" w:type="dxa"/>
            <w:tcBorders>
              <w:top w:val="nil"/>
              <w:left w:val="nil"/>
              <w:bottom w:val="single" w:sz="4" w:space="0" w:color="auto"/>
              <w:right w:val="single" w:sz="4" w:space="0" w:color="auto"/>
            </w:tcBorders>
            <w:shd w:val="clear" w:color="auto" w:fill="auto"/>
            <w:vAlign w:val="center"/>
            <w:hideMark/>
          </w:tcPr>
          <w:p w:rsidR="00A92189" w:rsidRPr="0001476A" w:rsidRDefault="00A92189" w:rsidP="00250939">
            <w:pPr>
              <w:jc w:val="right"/>
              <w:rPr>
                <w:rFonts w:cs="Arial"/>
                <w:color w:val="000000"/>
                <w:sz w:val="21"/>
                <w:szCs w:val="21"/>
                <w:lang w:eastAsia="it-CH"/>
              </w:rPr>
            </w:pPr>
            <w:r w:rsidRPr="0001476A">
              <w:rPr>
                <w:rFonts w:cs="Arial"/>
                <w:color w:val="000000"/>
                <w:sz w:val="21"/>
                <w:szCs w:val="21"/>
                <w:lang w:eastAsia="it-CH"/>
              </w:rPr>
              <w:t>257</w:t>
            </w:r>
          </w:p>
        </w:tc>
        <w:tc>
          <w:tcPr>
            <w:tcW w:w="850" w:type="dxa"/>
            <w:tcBorders>
              <w:top w:val="nil"/>
              <w:left w:val="nil"/>
              <w:bottom w:val="single" w:sz="4" w:space="0" w:color="auto"/>
              <w:right w:val="single" w:sz="4" w:space="0" w:color="auto"/>
            </w:tcBorders>
            <w:shd w:val="clear" w:color="auto" w:fill="auto"/>
            <w:vAlign w:val="center"/>
            <w:hideMark/>
          </w:tcPr>
          <w:p w:rsidR="00A92189" w:rsidRPr="0001476A" w:rsidRDefault="00A92189" w:rsidP="00250939">
            <w:pPr>
              <w:jc w:val="right"/>
              <w:rPr>
                <w:rFonts w:cs="Arial"/>
                <w:color w:val="000000"/>
                <w:sz w:val="21"/>
                <w:szCs w:val="21"/>
                <w:lang w:eastAsia="it-CH"/>
              </w:rPr>
            </w:pPr>
            <w:r w:rsidRPr="0001476A">
              <w:rPr>
                <w:rFonts w:cs="Arial"/>
                <w:color w:val="000000"/>
                <w:sz w:val="21"/>
                <w:szCs w:val="21"/>
                <w:lang w:eastAsia="it-CH"/>
              </w:rPr>
              <w:t>275</w:t>
            </w:r>
          </w:p>
        </w:tc>
        <w:tc>
          <w:tcPr>
            <w:tcW w:w="1072" w:type="dxa"/>
            <w:tcBorders>
              <w:top w:val="nil"/>
              <w:left w:val="nil"/>
              <w:bottom w:val="single" w:sz="4" w:space="0" w:color="auto"/>
              <w:right w:val="single" w:sz="4" w:space="0" w:color="auto"/>
            </w:tcBorders>
            <w:shd w:val="clear" w:color="auto" w:fill="auto"/>
            <w:vAlign w:val="center"/>
            <w:hideMark/>
          </w:tcPr>
          <w:p w:rsidR="00A92189" w:rsidRPr="0001476A" w:rsidRDefault="00A92189" w:rsidP="00250939">
            <w:pPr>
              <w:jc w:val="center"/>
              <w:rPr>
                <w:rFonts w:cs="Arial"/>
                <w:color w:val="000000"/>
                <w:sz w:val="21"/>
                <w:szCs w:val="21"/>
                <w:lang w:eastAsia="it-CH"/>
              </w:rPr>
            </w:pPr>
            <w:r w:rsidRPr="0001476A">
              <w:rPr>
                <w:rFonts w:cs="Arial"/>
                <w:color w:val="000000"/>
                <w:sz w:val="21"/>
                <w:szCs w:val="21"/>
                <w:lang w:eastAsia="it-CH"/>
              </w:rPr>
              <w:t>18</w:t>
            </w:r>
          </w:p>
        </w:tc>
      </w:tr>
      <w:tr w:rsidR="00A92189" w:rsidRPr="0001476A" w:rsidTr="00711536">
        <w:trPr>
          <w:trHeight w:val="20"/>
        </w:trPr>
        <w:tc>
          <w:tcPr>
            <w:tcW w:w="6096" w:type="dxa"/>
            <w:tcBorders>
              <w:top w:val="nil"/>
              <w:left w:val="single" w:sz="4" w:space="0" w:color="auto"/>
              <w:bottom w:val="single" w:sz="4" w:space="0" w:color="auto"/>
              <w:right w:val="single" w:sz="4" w:space="0" w:color="auto"/>
            </w:tcBorders>
            <w:shd w:val="clear" w:color="auto" w:fill="auto"/>
            <w:noWrap/>
            <w:vAlign w:val="center"/>
            <w:hideMark/>
          </w:tcPr>
          <w:p w:rsidR="00A92189" w:rsidRPr="0001476A" w:rsidRDefault="00A92189" w:rsidP="00250939">
            <w:pPr>
              <w:rPr>
                <w:rFonts w:cs="Arial"/>
                <w:color w:val="000000"/>
                <w:sz w:val="21"/>
                <w:szCs w:val="21"/>
                <w:lang w:eastAsia="it-CH"/>
              </w:rPr>
            </w:pPr>
            <w:r w:rsidRPr="0001476A">
              <w:rPr>
                <w:rFonts w:cs="Arial"/>
                <w:color w:val="000000"/>
                <w:sz w:val="21"/>
                <w:szCs w:val="21"/>
                <w:lang w:eastAsia="it-CH"/>
              </w:rPr>
              <w:t>N persone che hanno concluso l'AUP al 31.12, di cui:</w:t>
            </w:r>
          </w:p>
        </w:tc>
        <w:tc>
          <w:tcPr>
            <w:tcW w:w="850" w:type="dxa"/>
            <w:tcBorders>
              <w:top w:val="nil"/>
              <w:left w:val="nil"/>
              <w:bottom w:val="single" w:sz="4" w:space="0" w:color="auto"/>
              <w:right w:val="single" w:sz="4" w:space="0" w:color="auto"/>
            </w:tcBorders>
            <w:shd w:val="clear" w:color="auto" w:fill="auto"/>
            <w:noWrap/>
            <w:vAlign w:val="center"/>
            <w:hideMark/>
          </w:tcPr>
          <w:p w:rsidR="00A92189" w:rsidRPr="0001476A" w:rsidRDefault="00A92189" w:rsidP="00250939">
            <w:pPr>
              <w:jc w:val="center"/>
              <w:rPr>
                <w:rFonts w:cs="Arial"/>
                <w:color w:val="000000"/>
                <w:sz w:val="21"/>
                <w:szCs w:val="21"/>
                <w:lang w:eastAsia="it-CH"/>
              </w:rPr>
            </w:pPr>
            <w:r w:rsidRPr="0001476A">
              <w:rPr>
                <w:rFonts w:cs="Arial"/>
                <w:color w:val="000000"/>
                <w:sz w:val="21"/>
                <w:szCs w:val="21"/>
                <w:lang w:eastAsia="it-CH"/>
              </w:rPr>
              <w:t>200</w:t>
            </w:r>
          </w:p>
        </w:tc>
        <w:tc>
          <w:tcPr>
            <w:tcW w:w="851" w:type="dxa"/>
            <w:tcBorders>
              <w:top w:val="nil"/>
              <w:left w:val="nil"/>
              <w:bottom w:val="single" w:sz="4" w:space="0" w:color="auto"/>
              <w:right w:val="single" w:sz="4" w:space="0" w:color="auto"/>
            </w:tcBorders>
            <w:shd w:val="clear" w:color="auto" w:fill="auto"/>
            <w:noWrap/>
            <w:vAlign w:val="center"/>
            <w:hideMark/>
          </w:tcPr>
          <w:p w:rsidR="00A92189" w:rsidRPr="0001476A" w:rsidRDefault="00A92189" w:rsidP="00250939">
            <w:pPr>
              <w:jc w:val="center"/>
              <w:rPr>
                <w:rFonts w:cs="Arial"/>
                <w:color w:val="000000"/>
                <w:sz w:val="21"/>
                <w:szCs w:val="21"/>
                <w:lang w:eastAsia="it-CH"/>
              </w:rPr>
            </w:pPr>
            <w:r w:rsidRPr="0001476A">
              <w:rPr>
                <w:rFonts w:cs="Arial"/>
                <w:color w:val="000000"/>
                <w:sz w:val="21"/>
                <w:szCs w:val="21"/>
                <w:lang w:eastAsia="it-CH"/>
              </w:rPr>
              <w:t>274</w:t>
            </w:r>
          </w:p>
        </w:tc>
        <w:tc>
          <w:tcPr>
            <w:tcW w:w="850" w:type="dxa"/>
            <w:tcBorders>
              <w:top w:val="nil"/>
              <w:left w:val="nil"/>
              <w:bottom w:val="single" w:sz="4" w:space="0" w:color="auto"/>
              <w:right w:val="single" w:sz="4" w:space="0" w:color="auto"/>
            </w:tcBorders>
            <w:shd w:val="clear" w:color="auto" w:fill="auto"/>
            <w:noWrap/>
            <w:vAlign w:val="center"/>
            <w:hideMark/>
          </w:tcPr>
          <w:p w:rsidR="00A92189" w:rsidRPr="0001476A" w:rsidRDefault="00A92189" w:rsidP="00250939">
            <w:pPr>
              <w:jc w:val="center"/>
              <w:rPr>
                <w:rFonts w:cs="Arial"/>
                <w:color w:val="000000"/>
                <w:sz w:val="21"/>
                <w:szCs w:val="21"/>
                <w:lang w:eastAsia="it-CH"/>
              </w:rPr>
            </w:pPr>
            <w:r w:rsidRPr="0001476A">
              <w:rPr>
                <w:rFonts w:cs="Arial"/>
                <w:color w:val="000000"/>
                <w:sz w:val="21"/>
                <w:szCs w:val="21"/>
                <w:lang w:eastAsia="it-CH"/>
              </w:rPr>
              <w:t>309</w:t>
            </w:r>
          </w:p>
        </w:tc>
        <w:tc>
          <w:tcPr>
            <w:tcW w:w="1072" w:type="dxa"/>
            <w:tcBorders>
              <w:top w:val="nil"/>
              <w:left w:val="nil"/>
              <w:bottom w:val="single" w:sz="4" w:space="0" w:color="auto"/>
              <w:right w:val="single" w:sz="4" w:space="0" w:color="auto"/>
            </w:tcBorders>
            <w:shd w:val="clear" w:color="auto" w:fill="auto"/>
            <w:vAlign w:val="center"/>
            <w:hideMark/>
          </w:tcPr>
          <w:p w:rsidR="00A92189" w:rsidRPr="0001476A" w:rsidRDefault="00A92189" w:rsidP="00250939">
            <w:pPr>
              <w:jc w:val="center"/>
              <w:rPr>
                <w:rFonts w:cs="Arial"/>
                <w:color w:val="000000"/>
                <w:sz w:val="21"/>
                <w:szCs w:val="21"/>
                <w:lang w:eastAsia="it-CH"/>
              </w:rPr>
            </w:pPr>
            <w:r w:rsidRPr="0001476A">
              <w:rPr>
                <w:rFonts w:cs="Arial"/>
                <w:color w:val="000000"/>
                <w:sz w:val="21"/>
                <w:szCs w:val="21"/>
                <w:lang w:eastAsia="it-CH"/>
              </w:rPr>
              <w:t>35</w:t>
            </w:r>
          </w:p>
        </w:tc>
      </w:tr>
      <w:tr w:rsidR="00A92189" w:rsidRPr="0001476A" w:rsidTr="00711536">
        <w:trPr>
          <w:trHeight w:val="20"/>
        </w:trPr>
        <w:tc>
          <w:tcPr>
            <w:tcW w:w="6096" w:type="dxa"/>
            <w:tcBorders>
              <w:top w:val="nil"/>
              <w:left w:val="single" w:sz="4" w:space="0" w:color="auto"/>
              <w:bottom w:val="single" w:sz="4" w:space="0" w:color="auto"/>
              <w:right w:val="single" w:sz="4" w:space="0" w:color="auto"/>
            </w:tcBorders>
            <w:shd w:val="clear" w:color="auto" w:fill="auto"/>
            <w:noWrap/>
            <w:vAlign w:val="center"/>
            <w:hideMark/>
          </w:tcPr>
          <w:p w:rsidR="00A92189" w:rsidRPr="00711536" w:rsidRDefault="00A92189" w:rsidP="00711536">
            <w:pPr>
              <w:pStyle w:val="Paragrafoelenco"/>
              <w:numPr>
                <w:ilvl w:val="0"/>
                <w:numId w:val="9"/>
              </w:numPr>
              <w:ind w:left="294" w:hanging="284"/>
              <w:rPr>
                <w:rFonts w:cs="Arial"/>
                <w:color w:val="000000"/>
                <w:sz w:val="21"/>
                <w:szCs w:val="21"/>
                <w:lang w:eastAsia="it-CH"/>
              </w:rPr>
            </w:pPr>
            <w:r w:rsidRPr="00711536">
              <w:rPr>
                <w:rFonts w:cs="Arial"/>
                <w:color w:val="000000"/>
                <w:sz w:val="21"/>
                <w:szCs w:val="21"/>
                <w:u w:val="single"/>
                <w:lang w:eastAsia="it-CH"/>
              </w:rPr>
              <w:t>senza</w:t>
            </w:r>
            <w:r w:rsidRPr="00711536">
              <w:rPr>
                <w:rFonts w:cs="Arial"/>
                <w:color w:val="000000"/>
                <w:sz w:val="21"/>
                <w:szCs w:val="21"/>
                <w:lang w:eastAsia="it-CH"/>
              </w:rPr>
              <w:t xml:space="preserve"> aver trovato un lavoro</w:t>
            </w:r>
          </w:p>
        </w:tc>
        <w:tc>
          <w:tcPr>
            <w:tcW w:w="850" w:type="dxa"/>
            <w:tcBorders>
              <w:top w:val="nil"/>
              <w:left w:val="nil"/>
              <w:bottom w:val="single" w:sz="4" w:space="0" w:color="auto"/>
              <w:right w:val="single" w:sz="4" w:space="0" w:color="auto"/>
            </w:tcBorders>
            <w:shd w:val="clear" w:color="auto" w:fill="auto"/>
            <w:noWrap/>
            <w:vAlign w:val="center"/>
            <w:hideMark/>
          </w:tcPr>
          <w:p w:rsidR="00A92189" w:rsidRPr="0001476A" w:rsidRDefault="00A92189" w:rsidP="00250939">
            <w:pPr>
              <w:jc w:val="right"/>
              <w:rPr>
                <w:rFonts w:cs="Arial"/>
                <w:color w:val="000000"/>
                <w:sz w:val="21"/>
                <w:szCs w:val="21"/>
                <w:lang w:eastAsia="it-CH"/>
              </w:rPr>
            </w:pPr>
            <w:r w:rsidRPr="0001476A">
              <w:rPr>
                <w:rFonts w:cs="Arial"/>
                <w:color w:val="000000"/>
                <w:sz w:val="21"/>
                <w:szCs w:val="21"/>
                <w:lang w:eastAsia="it-CH"/>
              </w:rPr>
              <w:t>152</w:t>
            </w:r>
          </w:p>
        </w:tc>
        <w:tc>
          <w:tcPr>
            <w:tcW w:w="851" w:type="dxa"/>
            <w:tcBorders>
              <w:top w:val="nil"/>
              <w:left w:val="nil"/>
              <w:bottom w:val="single" w:sz="4" w:space="0" w:color="auto"/>
              <w:right w:val="single" w:sz="4" w:space="0" w:color="auto"/>
            </w:tcBorders>
            <w:shd w:val="clear" w:color="auto" w:fill="auto"/>
            <w:noWrap/>
            <w:vAlign w:val="center"/>
            <w:hideMark/>
          </w:tcPr>
          <w:p w:rsidR="00A92189" w:rsidRPr="0001476A" w:rsidRDefault="00A92189" w:rsidP="00250939">
            <w:pPr>
              <w:jc w:val="right"/>
              <w:rPr>
                <w:rFonts w:cs="Arial"/>
                <w:color w:val="000000"/>
                <w:sz w:val="21"/>
                <w:szCs w:val="21"/>
                <w:lang w:eastAsia="it-CH"/>
              </w:rPr>
            </w:pPr>
            <w:r w:rsidRPr="0001476A">
              <w:rPr>
                <w:rFonts w:cs="Arial"/>
                <w:color w:val="000000"/>
                <w:sz w:val="21"/>
                <w:szCs w:val="21"/>
                <w:lang w:eastAsia="it-CH"/>
              </w:rPr>
              <w:t>221</w:t>
            </w:r>
          </w:p>
        </w:tc>
        <w:tc>
          <w:tcPr>
            <w:tcW w:w="850" w:type="dxa"/>
            <w:tcBorders>
              <w:top w:val="nil"/>
              <w:left w:val="nil"/>
              <w:bottom w:val="single" w:sz="4" w:space="0" w:color="auto"/>
              <w:right w:val="single" w:sz="4" w:space="0" w:color="auto"/>
            </w:tcBorders>
            <w:shd w:val="clear" w:color="auto" w:fill="auto"/>
            <w:noWrap/>
            <w:vAlign w:val="center"/>
            <w:hideMark/>
          </w:tcPr>
          <w:p w:rsidR="00A92189" w:rsidRPr="0001476A" w:rsidRDefault="00A92189" w:rsidP="00250939">
            <w:pPr>
              <w:jc w:val="right"/>
              <w:rPr>
                <w:rFonts w:cs="Arial"/>
                <w:color w:val="000000"/>
                <w:sz w:val="21"/>
                <w:szCs w:val="21"/>
                <w:lang w:eastAsia="it-CH"/>
              </w:rPr>
            </w:pPr>
            <w:r w:rsidRPr="0001476A">
              <w:rPr>
                <w:rFonts w:cs="Arial"/>
                <w:color w:val="000000"/>
                <w:sz w:val="21"/>
                <w:szCs w:val="21"/>
                <w:lang w:eastAsia="it-CH"/>
              </w:rPr>
              <w:t>275</w:t>
            </w:r>
          </w:p>
        </w:tc>
        <w:tc>
          <w:tcPr>
            <w:tcW w:w="1072" w:type="dxa"/>
            <w:tcBorders>
              <w:top w:val="nil"/>
              <w:left w:val="nil"/>
              <w:bottom w:val="single" w:sz="4" w:space="0" w:color="auto"/>
              <w:right w:val="single" w:sz="4" w:space="0" w:color="auto"/>
            </w:tcBorders>
            <w:shd w:val="clear" w:color="auto" w:fill="auto"/>
            <w:vAlign w:val="center"/>
            <w:hideMark/>
          </w:tcPr>
          <w:p w:rsidR="00A92189" w:rsidRPr="0001476A" w:rsidRDefault="00A92189" w:rsidP="00250939">
            <w:pPr>
              <w:jc w:val="center"/>
              <w:rPr>
                <w:rFonts w:cs="Arial"/>
                <w:color w:val="000000"/>
                <w:sz w:val="21"/>
                <w:szCs w:val="21"/>
                <w:lang w:eastAsia="it-CH"/>
              </w:rPr>
            </w:pPr>
            <w:r w:rsidRPr="0001476A">
              <w:rPr>
                <w:rFonts w:cs="Arial"/>
                <w:color w:val="000000"/>
                <w:sz w:val="21"/>
                <w:szCs w:val="21"/>
                <w:lang w:eastAsia="it-CH"/>
              </w:rPr>
              <w:t>54</w:t>
            </w:r>
          </w:p>
        </w:tc>
      </w:tr>
      <w:tr w:rsidR="00A92189" w:rsidRPr="0001476A" w:rsidTr="00711536">
        <w:trPr>
          <w:trHeight w:val="20"/>
        </w:trPr>
        <w:tc>
          <w:tcPr>
            <w:tcW w:w="6096" w:type="dxa"/>
            <w:tcBorders>
              <w:top w:val="nil"/>
              <w:left w:val="single" w:sz="4" w:space="0" w:color="auto"/>
              <w:bottom w:val="single" w:sz="4" w:space="0" w:color="auto"/>
              <w:right w:val="single" w:sz="4" w:space="0" w:color="auto"/>
            </w:tcBorders>
            <w:shd w:val="clear" w:color="auto" w:fill="auto"/>
            <w:noWrap/>
            <w:vAlign w:val="center"/>
            <w:hideMark/>
          </w:tcPr>
          <w:p w:rsidR="00A92189" w:rsidRPr="00711536" w:rsidRDefault="00A92189" w:rsidP="00711536">
            <w:pPr>
              <w:pStyle w:val="Paragrafoelenco"/>
              <w:numPr>
                <w:ilvl w:val="0"/>
                <w:numId w:val="9"/>
              </w:numPr>
              <w:ind w:left="294" w:hanging="284"/>
              <w:rPr>
                <w:rFonts w:cs="Arial"/>
                <w:color w:val="000000"/>
                <w:sz w:val="21"/>
                <w:szCs w:val="21"/>
                <w:lang w:eastAsia="it-CH"/>
              </w:rPr>
            </w:pPr>
            <w:r w:rsidRPr="00711536">
              <w:rPr>
                <w:rFonts w:cs="Arial"/>
                <w:color w:val="000000"/>
                <w:sz w:val="21"/>
                <w:szCs w:val="21"/>
                <w:lang w:eastAsia="it-CH"/>
              </w:rPr>
              <w:t xml:space="preserve">perché </w:t>
            </w:r>
            <w:r w:rsidRPr="00711536">
              <w:rPr>
                <w:rFonts w:cs="Arial"/>
                <w:color w:val="000000"/>
                <w:sz w:val="21"/>
                <w:szCs w:val="21"/>
                <w:u w:val="single"/>
                <w:lang w:eastAsia="it-CH"/>
              </w:rPr>
              <w:t>hanno</w:t>
            </w:r>
            <w:r w:rsidRPr="00711536">
              <w:rPr>
                <w:rFonts w:cs="Arial"/>
                <w:color w:val="000000"/>
                <w:sz w:val="21"/>
                <w:szCs w:val="21"/>
                <w:lang w:eastAsia="it-CH"/>
              </w:rPr>
              <w:t xml:space="preserve"> trovato un lavoro</w:t>
            </w:r>
          </w:p>
        </w:tc>
        <w:tc>
          <w:tcPr>
            <w:tcW w:w="850" w:type="dxa"/>
            <w:tcBorders>
              <w:top w:val="nil"/>
              <w:left w:val="nil"/>
              <w:bottom w:val="single" w:sz="4" w:space="0" w:color="auto"/>
              <w:right w:val="single" w:sz="4" w:space="0" w:color="auto"/>
            </w:tcBorders>
            <w:shd w:val="clear" w:color="auto" w:fill="auto"/>
            <w:noWrap/>
            <w:vAlign w:val="center"/>
            <w:hideMark/>
          </w:tcPr>
          <w:p w:rsidR="00A92189" w:rsidRPr="0001476A" w:rsidRDefault="00A92189" w:rsidP="00250939">
            <w:pPr>
              <w:jc w:val="right"/>
              <w:rPr>
                <w:rFonts w:cs="Arial"/>
                <w:color w:val="000000"/>
                <w:sz w:val="21"/>
                <w:szCs w:val="21"/>
                <w:lang w:eastAsia="it-CH"/>
              </w:rPr>
            </w:pPr>
            <w:r w:rsidRPr="0001476A">
              <w:rPr>
                <w:rFonts w:cs="Arial"/>
                <w:color w:val="000000"/>
                <w:sz w:val="21"/>
                <w:szCs w:val="21"/>
                <w:lang w:eastAsia="it-CH"/>
              </w:rPr>
              <w:t>48</w:t>
            </w:r>
          </w:p>
        </w:tc>
        <w:tc>
          <w:tcPr>
            <w:tcW w:w="851" w:type="dxa"/>
            <w:tcBorders>
              <w:top w:val="nil"/>
              <w:left w:val="nil"/>
              <w:bottom w:val="single" w:sz="4" w:space="0" w:color="auto"/>
              <w:right w:val="single" w:sz="4" w:space="0" w:color="auto"/>
            </w:tcBorders>
            <w:shd w:val="clear" w:color="auto" w:fill="auto"/>
            <w:noWrap/>
            <w:vAlign w:val="center"/>
            <w:hideMark/>
          </w:tcPr>
          <w:p w:rsidR="00A92189" w:rsidRPr="0001476A" w:rsidRDefault="00A92189" w:rsidP="00250939">
            <w:pPr>
              <w:jc w:val="right"/>
              <w:rPr>
                <w:rFonts w:cs="Arial"/>
                <w:color w:val="000000"/>
                <w:sz w:val="21"/>
                <w:szCs w:val="21"/>
                <w:lang w:eastAsia="it-CH"/>
              </w:rPr>
            </w:pPr>
            <w:r w:rsidRPr="0001476A">
              <w:rPr>
                <w:rFonts w:cs="Arial"/>
                <w:color w:val="000000"/>
                <w:sz w:val="21"/>
                <w:szCs w:val="21"/>
                <w:lang w:eastAsia="it-CH"/>
              </w:rPr>
              <w:t>53</w:t>
            </w:r>
          </w:p>
        </w:tc>
        <w:tc>
          <w:tcPr>
            <w:tcW w:w="850" w:type="dxa"/>
            <w:tcBorders>
              <w:top w:val="nil"/>
              <w:left w:val="nil"/>
              <w:bottom w:val="single" w:sz="4" w:space="0" w:color="auto"/>
              <w:right w:val="single" w:sz="4" w:space="0" w:color="auto"/>
            </w:tcBorders>
            <w:shd w:val="clear" w:color="auto" w:fill="auto"/>
            <w:noWrap/>
            <w:vAlign w:val="center"/>
            <w:hideMark/>
          </w:tcPr>
          <w:p w:rsidR="00A92189" w:rsidRPr="0001476A" w:rsidRDefault="00A92189" w:rsidP="00250939">
            <w:pPr>
              <w:jc w:val="right"/>
              <w:rPr>
                <w:rFonts w:cs="Arial"/>
                <w:color w:val="000000"/>
                <w:sz w:val="21"/>
                <w:szCs w:val="21"/>
                <w:lang w:eastAsia="it-CH"/>
              </w:rPr>
            </w:pPr>
            <w:r w:rsidRPr="0001476A">
              <w:rPr>
                <w:rFonts w:cs="Arial"/>
                <w:color w:val="000000"/>
                <w:sz w:val="21"/>
                <w:szCs w:val="21"/>
                <w:lang w:eastAsia="it-CH"/>
              </w:rPr>
              <w:t>34</w:t>
            </w:r>
          </w:p>
        </w:tc>
        <w:tc>
          <w:tcPr>
            <w:tcW w:w="1072" w:type="dxa"/>
            <w:tcBorders>
              <w:top w:val="nil"/>
              <w:left w:val="nil"/>
              <w:bottom w:val="single" w:sz="4" w:space="0" w:color="auto"/>
              <w:right w:val="single" w:sz="4" w:space="0" w:color="auto"/>
            </w:tcBorders>
            <w:shd w:val="clear" w:color="auto" w:fill="auto"/>
            <w:vAlign w:val="center"/>
            <w:hideMark/>
          </w:tcPr>
          <w:p w:rsidR="00A92189" w:rsidRPr="0001476A" w:rsidRDefault="00A92189" w:rsidP="00250939">
            <w:pPr>
              <w:jc w:val="center"/>
              <w:rPr>
                <w:rFonts w:cs="Arial"/>
                <w:color w:val="000000"/>
                <w:sz w:val="21"/>
                <w:szCs w:val="21"/>
                <w:lang w:eastAsia="it-CH"/>
              </w:rPr>
            </w:pPr>
            <w:r w:rsidRPr="0001476A">
              <w:rPr>
                <w:rFonts w:cs="Arial"/>
                <w:color w:val="000000"/>
                <w:sz w:val="21"/>
                <w:szCs w:val="21"/>
                <w:lang w:eastAsia="it-CH"/>
              </w:rPr>
              <w:t>-19</w:t>
            </w:r>
          </w:p>
        </w:tc>
      </w:tr>
      <w:tr w:rsidR="00A92189" w:rsidRPr="0001476A" w:rsidTr="00711536">
        <w:trPr>
          <w:trHeight w:val="20"/>
        </w:trPr>
        <w:tc>
          <w:tcPr>
            <w:tcW w:w="6096" w:type="dxa"/>
            <w:tcBorders>
              <w:top w:val="nil"/>
              <w:left w:val="single" w:sz="4" w:space="0" w:color="auto"/>
              <w:bottom w:val="single" w:sz="4" w:space="0" w:color="auto"/>
              <w:right w:val="single" w:sz="4" w:space="0" w:color="auto"/>
            </w:tcBorders>
            <w:shd w:val="clear" w:color="auto" w:fill="auto"/>
            <w:noWrap/>
            <w:vAlign w:val="center"/>
            <w:hideMark/>
          </w:tcPr>
          <w:p w:rsidR="00A92189" w:rsidRPr="00711536" w:rsidRDefault="00A92189" w:rsidP="00711536">
            <w:pPr>
              <w:pStyle w:val="Paragrafoelenco"/>
              <w:numPr>
                <w:ilvl w:val="0"/>
                <w:numId w:val="9"/>
              </w:numPr>
              <w:ind w:left="294" w:hanging="284"/>
              <w:rPr>
                <w:rFonts w:cs="Arial"/>
                <w:i/>
                <w:iCs/>
                <w:color w:val="000000"/>
                <w:sz w:val="21"/>
                <w:szCs w:val="21"/>
                <w:lang w:eastAsia="it-CH"/>
              </w:rPr>
            </w:pPr>
            <w:r w:rsidRPr="00711536">
              <w:rPr>
                <w:rFonts w:cs="Arial"/>
                <w:i/>
                <w:iCs/>
                <w:color w:val="000000"/>
                <w:sz w:val="21"/>
                <w:szCs w:val="21"/>
                <w:lang w:eastAsia="it-CH"/>
              </w:rPr>
              <w:t xml:space="preserve">% trovato lavoro </w:t>
            </w:r>
          </w:p>
        </w:tc>
        <w:tc>
          <w:tcPr>
            <w:tcW w:w="850" w:type="dxa"/>
            <w:tcBorders>
              <w:top w:val="nil"/>
              <w:left w:val="nil"/>
              <w:bottom w:val="single" w:sz="4" w:space="0" w:color="auto"/>
              <w:right w:val="single" w:sz="4" w:space="0" w:color="auto"/>
            </w:tcBorders>
            <w:shd w:val="clear" w:color="auto" w:fill="auto"/>
            <w:noWrap/>
            <w:vAlign w:val="center"/>
            <w:hideMark/>
          </w:tcPr>
          <w:p w:rsidR="00A92189" w:rsidRPr="0001476A" w:rsidRDefault="00A92189" w:rsidP="00250939">
            <w:pPr>
              <w:jc w:val="right"/>
              <w:rPr>
                <w:rFonts w:cs="Arial"/>
                <w:i/>
                <w:iCs/>
                <w:color w:val="000000"/>
                <w:sz w:val="21"/>
                <w:szCs w:val="21"/>
                <w:lang w:eastAsia="it-CH"/>
              </w:rPr>
            </w:pPr>
            <w:r w:rsidRPr="0001476A">
              <w:rPr>
                <w:rFonts w:cs="Arial"/>
                <w:i/>
                <w:iCs/>
                <w:color w:val="000000"/>
                <w:sz w:val="21"/>
                <w:szCs w:val="21"/>
                <w:lang w:eastAsia="it-CH"/>
              </w:rPr>
              <w:t>24%</w:t>
            </w:r>
          </w:p>
        </w:tc>
        <w:tc>
          <w:tcPr>
            <w:tcW w:w="851" w:type="dxa"/>
            <w:tcBorders>
              <w:top w:val="nil"/>
              <w:left w:val="nil"/>
              <w:bottom w:val="single" w:sz="4" w:space="0" w:color="auto"/>
              <w:right w:val="single" w:sz="4" w:space="0" w:color="auto"/>
            </w:tcBorders>
            <w:shd w:val="clear" w:color="auto" w:fill="auto"/>
            <w:noWrap/>
            <w:vAlign w:val="center"/>
            <w:hideMark/>
          </w:tcPr>
          <w:p w:rsidR="00A92189" w:rsidRPr="0001476A" w:rsidRDefault="00A92189" w:rsidP="00250939">
            <w:pPr>
              <w:jc w:val="right"/>
              <w:rPr>
                <w:rFonts w:cs="Arial"/>
                <w:i/>
                <w:iCs/>
                <w:color w:val="000000"/>
                <w:sz w:val="21"/>
                <w:szCs w:val="21"/>
                <w:lang w:eastAsia="it-CH"/>
              </w:rPr>
            </w:pPr>
            <w:r w:rsidRPr="0001476A">
              <w:rPr>
                <w:rFonts w:cs="Arial"/>
                <w:i/>
                <w:iCs/>
                <w:color w:val="000000"/>
                <w:sz w:val="21"/>
                <w:szCs w:val="21"/>
                <w:lang w:eastAsia="it-CH"/>
              </w:rPr>
              <w:t>19%</w:t>
            </w:r>
          </w:p>
        </w:tc>
        <w:tc>
          <w:tcPr>
            <w:tcW w:w="850" w:type="dxa"/>
            <w:tcBorders>
              <w:top w:val="nil"/>
              <w:left w:val="nil"/>
              <w:bottom w:val="single" w:sz="4" w:space="0" w:color="auto"/>
              <w:right w:val="single" w:sz="4" w:space="0" w:color="auto"/>
            </w:tcBorders>
            <w:shd w:val="clear" w:color="auto" w:fill="auto"/>
            <w:noWrap/>
            <w:vAlign w:val="center"/>
            <w:hideMark/>
          </w:tcPr>
          <w:p w:rsidR="00A92189" w:rsidRPr="0001476A" w:rsidRDefault="00A92189" w:rsidP="00250939">
            <w:pPr>
              <w:jc w:val="right"/>
              <w:rPr>
                <w:rFonts w:cs="Arial"/>
                <w:i/>
                <w:iCs/>
                <w:color w:val="000000"/>
                <w:sz w:val="21"/>
                <w:szCs w:val="21"/>
                <w:lang w:eastAsia="it-CH"/>
              </w:rPr>
            </w:pPr>
            <w:r w:rsidRPr="0001476A">
              <w:rPr>
                <w:rFonts w:cs="Arial"/>
                <w:i/>
                <w:iCs/>
                <w:color w:val="000000"/>
                <w:sz w:val="21"/>
                <w:szCs w:val="21"/>
                <w:lang w:eastAsia="it-CH"/>
              </w:rPr>
              <w:t>11%</w:t>
            </w:r>
          </w:p>
        </w:tc>
        <w:tc>
          <w:tcPr>
            <w:tcW w:w="1072" w:type="dxa"/>
            <w:tcBorders>
              <w:top w:val="nil"/>
              <w:left w:val="nil"/>
              <w:bottom w:val="single" w:sz="4" w:space="0" w:color="auto"/>
              <w:right w:val="single" w:sz="4" w:space="0" w:color="auto"/>
            </w:tcBorders>
            <w:shd w:val="clear" w:color="auto" w:fill="auto"/>
            <w:vAlign w:val="center"/>
            <w:hideMark/>
          </w:tcPr>
          <w:p w:rsidR="00A92189" w:rsidRPr="0001476A" w:rsidRDefault="00A92189" w:rsidP="00250939">
            <w:pPr>
              <w:jc w:val="center"/>
              <w:rPr>
                <w:rFonts w:cs="Arial"/>
                <w:color w:val="000000"/>
                <w:sz w:val="21"/>
                <w:szCs w:val="21"/>
                <w:lang w:eastAsia="it-CH"/>
              </w:rPr>
            </w:pPr>
            <w:r w:rsidRPr="0001476A">
              <w:rPr>
                <w:rFonts w:cs="Arial"/>
                <w:color w:val="000000"/>
                <w:sz w:val="21"/>
                <w:szCs w:val="21"/>
                <w:lang w:eastAsia="it-CH"/>
              </w:rPr>
              <w:t>-0,08</w:t>
            </w:r>
          </w:p>
        </w:tc>
      </w:tr>
    </w:tbl>
    <w:p w:rsidR="00A92189" w:rsidRDefault="00A92189" w:rsidP="00A92189">
      <w:pPr>
        <w:rPr>
          <w:rFonts w:cs="Arial"/>
        </w:rPr>
      </w:pPr>
    </w:p>
    <w:p w:rsidR="00A92189" w:rsidRPr="009E0EB1" w:rsidRDefault="00A92189" w:rsidP="009E0EB1">
      <w:pPr>
        <w:spacing w:after="120"/>
        <w:rPr>
          <w:rFonts w:cs="Arial"/>
          <w:b/>
          <w:sz w:val="23"/>
          <w:szCs w:val="23"/>
        </w:rPr>
      </w:pPr>
      <w:r w:rsidRPr="009E0EB1">
        <w:rPr>
          <w:rFonts w:cs="Arial"/>
          <w:b/>
          <w:sz w:val="23"/>
          <w:szCs w:val="23"/>
        </w:rPr>
        <w:lastRenderedPageBreak/>
        <w:t>La statistica svizzera sull'aiuto sociale dell’Ufficio federale di statistica (UFS)</w:t>
      </w:r>
      <w:r w:rsidRPr="009E0EB1">
        <w:rPr>
          <w:rStyle w:val="Rimandonotaapidipagina"/>
          <w:rFonts w:cs="Arial"/>
          <w:sz w:val="23"/>
          <w:szCs w:val="23"/>
        </w:rPr>
        <w:footnoteReference w:id="2"/>
      </w:r>
    </w:p>
    <w:p w:rsidR="00A92189" w:rsidRPr="00C62C05" w:rsidRDefault="00A92189" w:rsidP="00A92189">
      <w:pPr>
        <w:rPr>
          <w:rFonts w:cs="Arial"/>
        </w:rPr>
      </w:pPr>
      <w:r w:rsidRPr="00C62C05">
        <w:rPr>
          <w:rFonts w:cs="Arial"/>
        </w:rPr>
        <w:t xml:space="preserve">I dati UFS della Statistica svizzera sull’aiuto sociale forniscono uno sguardo più ampio dell’assistenza sociale con un universo di analisi univoco tra Cantoni e Comuni. Essi permettono dei confronti a livello cantonale e comunale, ma la loro cadenza annuale di pubblicazione non permette di avere dei dati aggiornati (i dati relativi al 2016 saranno al più presto disponibili a dicembre 2017). </w:t>
      </w:r>
    </w:p>
    <w:p w:rsidR="00A92189" w:rsidRPr="00C62C05" w:rsidRDefault="00A92189" w:rsidP="00A92189">
      <w:pPr>
        <w:rPr>
          <w:rFonts w:cs="Arial"/>
        </w:rPr>
      </w:pPr>
      <w:r w:rsidRPr="00C62C05">
        <w:rPr>
          <w:rFonts w:cs="Arial"/>
        </w:rPr>
        <w:t xml:space="preserve">I dati invece presentati nei capitoli precedenti sono i dati amministrativi cantonali e sono molto aggiornati rispetto all’evoluzione dell’assistenza sociale in Ticino. Tuttavia, non permettono dei confronti </w:t>
      </w:r>
      <w:proofErr w:type="spellStart"/>
      <w:r w:rsidRPr="00C62C05">
        <w:rPr>
          <w:rFonts w:cs="Arial"/>
        </w:rPr>
        <w:t>intercantonali</w:t>
      </w:r>
      <w:proofErr w:type="spellEnd"/>
      <w:r w:rsidRPr="00C62C05">
        <w:rPr>
          <w:rFonts w:cs="Arial"/>
        </w:rPr>
        <w:t xml:space="preserve"> e necessitano di spiegazioni rispetto ai differenti numeri presentati.</w:t>
      </w:r>
      <w:r w:rsidRPr="00C62C05">
        <w:rPr>
          <w:rFonts w:cs="Arial"/>
        </w:rPr>
        <w:br/>
        <w:t>Per quanto i dati non siano comparabili con quelli presentati in precedenza riportiamo i dati principali della statistica svizzera in quanto forniscono delle indicazioni e delle tendenze a livello nazionale.</w:t>
      </w:r>
    </w:p>
    <w:p w:rsidR="00A92189" w:rsidRDefault="00A92189" w:rsidP="00A92189">
      <w:pPr>
        <w:tabs>
          <w:tab w:val="left" w:pos="3143"/>
        </w:tabs>
        <w:rPr>
          <w:rFonts w:cs="Arial"/>
        </w:rPr>
      </w:pPr>
      <w:r w:rsidRPr="00C62C05">
        <w:rPr>
          <w:rFonts w:cs="Arial"/>
        </w:rPr>
        <w:t>Nel 2015 le spese per l'aiuto sociale in senso stretto (aiuto sociale finanziario) sono aumentate del 2,1% in valori nominali, raggiungendo i 2,6 miliardi di franchi. L'anno precedente la progressione era stata del 5,5%. Le spese per beneficiario sono ammontate a 9854 franchi, pari a un aumento dello 0,7% rispetto al 2014. Le spese per l'aiuto sociale in senso lato si sono incrementate dell'1,9%, attestandosi a 8 miliardi di franchi. Questo è quanto emerge dagli ultimi dati dell'Ufficio federale di statistica (UST).</w:t>
      </w:r>
    </w:p>
    <w:p w:rsidR="009E0EB1" w:rsidRDefault="009E0EB1" w:rsidP="00A92189">
      <w:pPr>
        <w:tabs>
          <w:tab w:val="left" w:pos="3143"/>
        </w:tabs>
        <w:rPr>
          <w:rFonts w:cs="Arial"/>
        </w:rPr>
      </w:pPr>
    </w:p>
    <w:p w:rsidR="009E0EB1" w:rsidRPr="00C62C05" w:rsidRDefault="009E0EB1" w:rsidP="00A92189">
      <w:pPr>
        <w:tabs>
          <w:tab w:val="left" w:pos="3143"/>
        </w:tabs>
        <w:rPr>
          <w:rFonts w:cs="Arial"/>
        </w:rPr>
      </w:pPr>
    </w:p>
    <w:p w:rsidR="00A92189" w:rsidRPr="009F3C6A" w:rsidRDefault="00A92189" w:rsidP="00711536">
      <w:pPr>
        <w:pStyle w:val="Titolo4"/>
        <w:rPr>
          <w:sz w:val="23"/>
          <w:szCs w:val="23"/>
        </w:rPr>
      </w:pPr>
      <w:r w:rsidRPr="009F3C6A">
        <w:rPr>
          <w:sz w:val="23"/>
          <w:szCs w:val="23"/>
        </w:rPr>
        <w:t>Aiuto sociale economico</w:t>
      </w:r>
      <w:r w:rsidRPr="009F3C6A">
        <w:rPr>
          <w:rStyle w:val="Rimandonotaapidipagina"/>
          <w:rFonts w:cs="Arial"/>
          <w:sz w:val="23"/>
          <w:szCs w:val="23"/>
        </w:rPr>
        <w:footnoteReference w:id="3"/>
      </w:r>
    </w:p>
    <w:p w:rsidR="00A92189" w:rsidRPr="009F3C6A" w:rsidRDefault="00A92189" w:rsidP="00711536">
      <w:pPr>
        <w:pStyle w:val="Titolo5"/>
        <w:rPr>
          <w:sz w:val="23"/>
          <w:szCs w:val="23"/>
        </w:rPr>
      </w:pPr>
      <w:r w:rsidRPr="009F3C6A">
        <w:rPr>
          <w:sz w:val="23"/>
          <w:szCs w:val="23"/>
        </w:rPr>
        <w:t>Principali indicatori sui beneficiari dell’aiuto sociale</w:t>
      </w:r>
    </w:p>
    <w:p w:rsidR="00A92189" w:rsidRPr="009F3C6A" w:rsidRDefault="00A92189" w:rsidP="009F3C6A">
      <w:pPr>
        <w:pStyle w:val="NormaleWeb"/>
        <w:jc w:val="both"/>
        <w:rPr>
          <w:rFonts w:ascii="Arial" w:hAnsi="Arial" w:cs="Arial"/>
          <w:sz w:val="24"/>
          <w:szCs w:val="24"/>
          <w:lang w:val="it-IT"/>
        </w:rPr>
      </w:pPr>
      <w:r w:rsidRPr="009F3C6A">
        <w:rPr>
          <w:rFonts w:ascii="Arial" w:hAnsi="Arial" w:cs="Arial"/>
          <w:sz w:val="24"/>
          <w:szCs w:val="24"/>
          <w:lang w:val="it-IT"/>
        </w:rPr>
        <w:t>La quota di aiuto sociale è l'indicatore principale della statistica dei beneficiari dell’aiuto sociale. Rappresenta la quota dei beneficiari che hanno percepito una prestazione finanziaria di aiuto sociale nell'anno di rilevazione sull'insieme della popolazione residente permanente.</w:t>
      </w:r>
    </w:p>
    <w:p w:rsidR="00A92189" w:rsidRPr="009F3C6A" w:rsidRDefault="00A92189" w:rsidP="009F3C6A">
      <w:pPr>
        <w:pStyle w:val="NormaleWeb"/>
        <w:jc w:val="both"/>
        <w:rPr>
          <w:rFonts w:ascii="Arial" w:hAnsi="Arial" w:cs="Arial"/>
          <w:sz w:val="24"/>
          <w:szCs w:val="24"/>
          <w:lang w:val="it-IT"/>
        </w:rPr>
      </w:pPr>
      <w:r w:rsidRPr="009F3C6A">
        <w:rPr>
          <w:rFonts w:ascii="Arial" w:hAnsi="Arial" w:cs="Arial"/>
          <w:sz w:val="24"/>
          <w:szCs w:val="24"/>
          <w:lang w:val="it-IT"/>
        </w:rPr>
        <w:t>Oltre alla quota di aiuto sociale, la statistica dei beneficiari prevede numerosi indicatori, come le caratteristiche sociodemografiche delle persone assistite, la struttura delle economie domestiche, la formazione, la situazione dei beneficiari sul mercato del lavoro e le prestazioni finanziarie di aiuto sociale fornite.</w:t>
      </w:r>
    </w:p>
    <w:p w:rsidR="00711536" w:rsidRPr="009F3C6A" w:rsidRDefault="00711536" w:rsidP="009F3C6A">
      <w:pPr>
        <w:pStyle w:val="NormaleWeb"/>
        <w:jc w:val="both"/>
        <w:rPr>
          <w:rFonts w:ascii="Arial" w:hAnsi="Arial" w:cs="Arial"/>
          <w:sz w:val="24"/>
          <w:szCs w:val="24"/>
          <w:lang w:val="it-IT"/>
        </w:rPr>
      </w:pPr>
    </w:p>
    <w:p w:rsidR="00A92189" w:rsidRPr="009F3C6A" w:rsidRDefault="00A92189" w:rsidP="00711536">
      <w:pPr>
        <w:pStyle w:val="Titolo5"/>
        <w:rPr>
          <w:sz w:val="23"/>
          <w:szCs w:val="23"/>
        </w:rPr>
      </w:pPr>
      <w:r w:rsidRPr="009F3C6A">
        <w:rPr>
          <w:sz w:val="23"/>
          <w:szCs w:val="23"/>
        </w:rPr>
        <w:t>Ripartizione geografica della quota di aiuto sociale</w:t>
      </w:r>
    </w:p>
    <w:p w:rsidR="00A92189" w:rsidRPr="00C62C05" w:rsidRDefault="00A92189" w:rsidP="009F3C6A">
      <w:pPr>
        <w:rPr>
          <w:lang w:val="it-IT"/>
        </w:rPr>
      </w:pPr>
      <w:r w:rsidRPr="00C62C05">
        <w:rPr>
          <w:lang w:val="it-IT"/>
        </w:rPr>
        <w:t>In Svizzera, nel 2015 la quota di aiuto sociale ammontava al 3,2%. Ciò corrisponde a circa 265 626 persone che hanno beneficiato di prestazioni</w:t>
      </w:r>
      <w:r w:rsidR="009F3C6A">
        <w:rPr>
          <w:lang w:val="it-IT"/>
        </w:rPr>
        <w:t xml:space="preserve"> finanziarie di aiuto sociale.</w:t>
      </w:r>
    </w:p>
    <w:p w:rsidR="00A92189" w:rsidRDefault="00A92189" w:rsidP="009F3C6A">
      <w:pPr>
        <w:rPr>
          <w:lang w:val="it-IT"/>
        </w:rPr>
      </w:pPr>
      <w:r w:rsidRPr="00C62C05">
        <w:rPr>
          <w:lang w:val="it-IT"/>
        </w:rPr>
        <w:t xml:space="preserve">Le disparità cantonali che si riscontrano per quanto concerne la quota di aiuto sociale sono legate da un lato alla struttura della popolazione e al tessuto economico della regione, dall'altro alle prestazioni cantonali preposte </w:t>
      </w:r>
      <w:r w:rsidR="008C249E">
        <w:rPr>
          <w:lang w:val="it-IT"/>
        </w:rPr>
        <w:t xml:space="preserve">all'aiuto sociale finanziario. </w:t>
      </w:r>
    </w:p>
    <w:p w:rsidR="008C249E" w:rsidRDefault="008C249E" w:rsidP="009F3C6A">
      <w:pPr>
        <w:rPr>
          <w:lang w:val="it-IT"/>
        </w:rPr>
      </w:pPr>
    </w:p>
    <w:p w:rsidR="008C249E" w:rsidRPr="00C62C05" w:rsidRDefault="008C249E" w:rsidP="009F3C6A">
      <w:pPr>
        <w:rPr>
          <w:lang w:val="it-IT"/>
        </w:rPr>
      </w:pPr>
    </w:p>
    <w:p w:rsidR="00A92189" w:rsidRPr="00C62C05" w:rsidRDefault="00A92189" w:rsidP="00A92189">
      <w:pPr>
        <w:rPr>
          <w:rFonts w:cs="Arial"/>
          <w:color w:val="454545"/>
        </w:rPr>
      </w:pPr>
      <w:r w:rsidRPr="00C62C05">
        <w:rPr>
          <w:rFonts w:cs="Arial"/>
          <w:noProof/>
          <w:color w:val="006699"/>
          <w:lang w:eastAsia="it-CH"/>
        </w:rPr>
        <w:lastRenderedPageBreak/>
        <w:drawing>
          <wp:inline distT="0" distB="0" distL="0" distR="0" wp14:anchorId="569A208E" wp14:editId="71DFBECD">
            <wp:extent cx="5379885" cy="3906340"/>
            <wp:effectExtent l="19050" t="0" r="0" b="0"/>
            <wp:docPr id="8" name="Immagine 1" descr="Quota di aiuto sociale per Cantone e media svizzera">
              <a:hlinkClick xmlns:a="http://schemas.openxmlformats.org/drawingml/2006/main" r:id="rId17" tooltip="&quot;Quota di aiuto sociale per Cantone e media svizze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a di aiuto sociale per Cantone e media svizzera">
                      <a:hlinkClick r:id="rId17" tooltip="&quot;Quota di aiuto sociale per Cantone e media svizzera&quot;"/>
                    </pic:cNvPr>
                    <pic:cNvPicPr>
                      <a:picLocks noChangeAspect="1" noChangeArrowheads="1"/>
                    </pic:cNvPicPr>
                  </pic:nvPicPr>
                  <pic:blipFill>
                    <a:blip r:embed="rId18"/>
                    <a:srcRect/>
                    <a:stretch>
                      <a:fillRect/>
                    </a:stretch>
                  </pic:blipFill>
                  <pic:spPr bwMode="auto">
                    <a:xfrm>
                      <a:off x="0" y="0"/>
                      <a:ext cx="5380006" cy="3906428"/>
                    </a:xfrm>
                    <a:prstGeom prst="rect">
                      <a:avLst/>
                    </a:prstGeom>
                    <a:noFill/>
                    <a:ln w="9525">
                      <a:noFill/>
                      <a:miter lim="800000"/>
                      <a:headEnd/>
                      <a:tailEnd/>
                    </a:ln>
                  </pic:spPr>
                </pic:pic>
              </a:graphicData>
            </a:graphic>
          </wp:inline>
        </w:drawing>
      </w:r>
    </w:p>
    <w:p w:rsidR="00A92189" w:rsidRDefault="00A92189" w:rsidP="00A92189">
      <w:pPr>
        <w:tabs>
          <w:tab w:val="left" w:pos="3143"/>
        </w:tabs>
        <w:rPr>
          <w:rFonts w:cs="Arial"/>
        </w:rPr>
      </w:pPr>
    </w:p>
    <w:p w:rsidR="00711536" w:rsidRPr="00C62C05" w:rsidRDefault="00711536" w:rsidP="00A92189">
      <w:pPr>
        <w:tabs>
          <w:tab w:val="left" w:pos="3143"/>
        </w:tabs>
        <w:rPr>
          <w:rFonts w:cs="Arial"/>
        </w:rPr>
      </w:pPr>
    </w:p>
    <w:p w:rsidR="00A92189" w:rsidRPr="009F3C6A" w:rsidRDefault="00A92189" w:rsidP="00711536">
      <w:pPr>
        <w:pStyle w:val="Titolo5"/>
        <w:rPr>
          <w:sz w:val="23"/>
          <w:szCs w:val="23"/>
        </w:rPr>
      </w:pPr>
      <w:r w:rsidRPr="009F3C6A">
        <w:rPr>
          <w:sz w:val="23"/>
          <w:szCs w:val="23"/>
        </w:rPr>
        <w:t>Gruppi a rischio nel settore dell'aiuto sociale</w:t>
      </w:r>
    </w:p>
    <w:p w:rsidR="00A92189" w:rsidRPr="00711536" w:rsidRDefault="00A92189" w:rsidP="009F3C6A">
      <w:pPr>
        <w:rPr>
          <w:lang w:val="it-IT"/>
        </w:rPr>
      </w:pPr>
      <w:r w:rsidRPr="00711536">
        <w:rPr>
          <w:lang w:val="it-IT"/>
        </w:rPr>
        <w:t>Il rischio di dipendere dall'aiuto sociale è più marcato per determinati gruppi, ad esempio i bambini, le persone di nazionalità straniera, le persone divorziate e quelle che non hanno concluso una formazione post-obbligatoria. La quota di aiuto sociale è più elevata nelle zone urbane ed è proporzionale alla grandezza del Comune.</w:t>
      </w:r>
    </w:p>
    <w:p w:rsidR="00A92189" w:rsidRPr="00711536" w:rsidRDefault="00A92189" w:rsidP="009F3C6A">
      <w:r w:rsidRPr="00711536">
        <w:rPr>
          <w:b/>
        </w:rPr>
        <w:t>La formazione</w:t>
      </w:r>
      <w:r w:rsidRPr="00711536">
        <w:t xml:space="preserve"> dei beneficiari rappresenta un importante fattore di rischio per quanto concerne la dipendenza dall'aiuto sociale. Le persone senza una formazione professionale sono fortemente rappresentate nel settore dell'aiuto sociale. Esse costituiscono l’11,8% della popolazione residente permanente, ma il 46,2% dei beneficiari. La loro quota è dunque quattro volte superiore nel settore dell'aiuto sociale rispetto alla popolazione.</w:t>
      </w:r>
    </w:p>
    <w:p w:rsidR="00A92189" w:rsidRDefault="00A92189" w:rsidP="009F3C6A"/>
    <w:p w:rsidR="008C249E" w:rsidRPr="00C62C05" w:rsidRDefault="008C249E" w:rsidP="009F3C6A"/>
    <w:p w:rsidR="00A92189" w:rsidRPr="008C249E" w:rsidRDefault="00A92189" w:rsidP="00A92189">
      <w:pPr>
        <w:tabs>
          <w:tab w:val="left" w:pos="3143"/>
        </w:tabs>
        <w:rPr>
          <w:rFonts w:cs="Arial"/>
          <w:b/>
          <w:sz w:val="23"/>
          <w:szCs w:val="23"/>
        </w:rPr>
      </w:pPr>
      <w:r w:rsidRPr="008C249E">
        <w:rPr>
          <w:rFonts w:cs="Arial"/>
          <w:b/>
          <w:sz w:val="23"/>
          <w:szCs w:val="23"/>
        </w:rPr>
        <w:t>Il Programma nazionale di prevenzione e lotta alla povertà</w:t>
      </w:r>
      <w:r w:rsidRPr="008C249E">
        <w:rPr>
          <w:rStyle w:val="Rimandonotaapidipagina"/>
          <w:rFonts w:cs="Arial"/>
          <w:b/>
          <w:sz w:val="23"/>
          <w:szCs w:val="23"/>
        </w:rPr>
        <w:footnoteReference w:id="4"/>
      </w:r>
    </w:p>
    <w:p w:rsidR="00A92189" w:rsidRPr="008C249E" w:rsidRDefault="00A92189" w:rsidP="00A92189">
      <w:pPr>
        <w:tabs>
          <w:tab w:val="left" w:pos="3143"/>
        </w:tabs>
        <w:rPr>
          <w:rFonts w:cs="Arial"/>
          <w:sz w:val="12"/>
          <w:szCs w:val="12"/>
        </w:rPr>
      </w:pPr>
    </w:p>
    <w:p w:rsidR="00A92189" w:rsidRPr="00C62C05" w:rsidRDefault="00A92189" w:rsidP="00A92189">
      <w:pPr>
        <w:tabs>
          <w:tab w:val="left" w:pos="3143"/>
        </w:tabs>
        <w:rPr>
          <w:rFonts w:cs="Arial"/>
        </w:rPr>
      </w:pPr>
      <w:r w:rsidRPr="00C62C05">
        <w:rPr>
          <w:rFonts w:cs="Arial"/>
        </w:rPr>
        <w:t>Tenuto conto delle tendenze in atto la Confederazione, in collaborazione con i Cantoni e Comuni, ha elaborato un programma nazionale di prevenzione e lotta alla povertà.</w:t>
      </w:r>
    </w:p>
    <w:p w:rsidR="00A92189" w:rsidRPr="00C62C05" w:rsidRDefault="00A92189" w:rsidP="00A92189">
      <w:pPr>
        <w:tabs>
          <w:tab w:val="left" w:pos="3143"/>
        </w:tabs>
        <w:rPr>
          <w:rFonts w:cs="Arial"/>
        </w:rPr>
      </w:pPr>
      <w:r w:rsidRPr="00C62C05">
        <w:rPr>
          <w:rFonts w:cs="Arial"/>
        </w:rPr>
        <w:t xml:space="preserve">Il programma intende creare nuove basi per la prevenzione e la lotta alla </w:t>
      </w:r>
    </w:p>
    <w:p w:rsidR="00A92189" w:rsidRPr="00C62C05" w:rsidRDefault="00A92189" w:rsidP="00A92189">
      <w:pPr>
        <w:tabs>
          <w:tab w:val="left" w:pos="3143"/>
        </w:tabs>
        <w:rPr>
          <w:rFonts w:cs="Arial"/>
        </w:rPr>
      </w:pPr>
      <w:r w:rsidRPr="00C62C05">
        <w:rPr>
          <w:rFonts w:cs="Arial"/>
        </w:rPr>
        <w:t xml:space="preserve">povertà e rafforzare la rete di contatti tra gli attori principali (Cantoni, Città, Comuni, parti sociali e organizzazioni non governative). In tal modo il programma offre loro l'aiuto necessario al perfezionamento delle strategie e delle misure già esistenti. </w:t>
      </w:r>
    </w:p>
    <w:p w:rsidR="00A92189" w:rsidRPr="00C62C05" w:rsidRDefault="00A92189" w:rsidP="00A92189">
      <w:pPr>
        <w:tabs>
          <w:tab w:val="left" w:pos="3143"/>
        </w:tabs>
        <w:rPr>
          <w:rFonts w:cs="Arial"/>
        </w:rPr>
      </w:pPr>
    </w:p>
    <w:p w:rsidR="00A92189" w:rsidRPr="00C62C05" w:rsidRDefault="00A92189" w:rsidP="00A92189">
      <w:pPr>
        <w:tabs>
          <w:tab w:val="left" w:pos="3143"/>
        </w:tabs>
        <w:rPr>
          <w:rFonts w:cs="Arial"/>
        </w:rPr>
      </w:pPr>
      <w:r w:rsidRPr="00C62C05">
        <w:rPr>
          <w:rFonts w:cs="Arial"/>
        </w:rPr>
        <w:t xml:space="preserve">Il programma pone l’accento su quattro campi d’azione: </w:t>
      </w:r>
    </w:p>
    <w:p w:rsidR="00A92189" w:rsidRPr="00C62C05" w:rsidRDefault="00A92189" w:rsidP="009E0EB1">
      <w:pPr>
        <w:pStyle w:val="Paragrafoelenco"/>
        <w:numPr>
          <w:ilvl w:val="0"/>
          <w:numId w:val="10"/>
        </w:numPr>
        <w:tabs>
          <w:tab w:val="left" w:pos="3143"/>
        </w:tabs>
        <w:spacing w:before="80"/>
        <w:ind w:left="284" w:hanging="284"/>
        <w:jc w:val="left"/>
        <w:rPr>
          <w:rFonts w:cs="Arial"/>
        </w:rPr>
      </w:pPr>
      <w:r w:rsidRPr="00C62C05">
        <w:rPr>
          <w:rFonts w:cs="Arial"/>
        </w:rPr>
        <w:t>pari opportunità e opportunità educative per i bambini, i giovani e gli adulti socialmente svantaggiati</w:t>
      </w:r>
    </w:p>
    <w:p w:rsidR="00A92189" w:rsidRPr="00C62C05" w:rsidRDefault="00A92189" w:rsidP="009E0EB1">
      <w:pPr>
        <w:pStyle w:val="Paragrafoelenco"/>
        <w:numPr>
          <w:ilvl w:val="0"/>
          <w:numId w:val="10"/>
        </w:numPr>
        <w:tabs>
          <w:tab w:val="left" w:pos="3143"/>
        </w:tabs>
        <w:spacing w:before="80"/>
        <w:ind w:left="284" w:hanging="284"/>
        <w:jc w:val="left"/>
        <w:rPr>
          <w:rFonts w:cs="Arial"/>
        </w:rPr>
      </w:pPr>
      <w:r w:rsidRPr="00C62C05">
        <w:rPr>
          <w:rFonts w:cs="Arial"/>
        </w:rPr>
        <w:t>integrazione sociale e professionale</w:t>
      </w:r>
    </w:p>
    <w:p w:rsidR="00A92189" w:rsidRPr="00C62C05" w:rsidRDefault="00A92189" w:rsidP="009E0EB1">
      <w:pPr>
        <w:pStyle w:val="Paragrafoelenco"/>
        <w:numPr>
          <w:ilvl w:val="0"/>
          <w:numId w:val="10"/>
        </w:numPr>
        <w:tabs>
          <w:tab w:val="left" w:pos="3143"/>
        </w:tabs>
        <w:spacing w:before="80"/>
        <w:ind w:left="284" w:hanging="284"/>
        <w:jc w:val="left"/>
        <w:rPr>
          <w:rFonts w:cs="Arial"/>
        </w:rPr>
      </w:pPr>
      <w:r w:rsidRPr="00C62C05">
        <w:rPr>
          <w:rFonts w:cs="Arial"/>
        </w:rPr>
        <w:lastRenderedPageBreak/>
        <w:t>condizioni di vita delle famiglie e delle persone bisognose (accesso alle informazioni e offerta di alloggi)</w:t>
      </w:r>
    </w:p>
    <w:p w:rsidR="00A92189" w:rsidRDefault="00A92189" w:rsidP="009E0EB1">
      <w:pPr>
        <w:pStyle w:val="Paragrafoelenco"/>
        <w:numPr>
          <w:ilvl w:val="0"/>
          <w:numId w:val="10"/>
        </w:numPr>
        <w:tabs>
          <w:tab w:val="left" w:pos="3143"/>
        </w:tabs>
        <w:spacing w:before="80"/>
        <w:ind w:left="284" w:hanging="284"/>
        <w:jc w:val="left"/>
        <w:rPr>
          <w:rFonts w:cs="Arial"/>
        </w:rPr>
      </w:pPr>
      <w:r w:rsidRPr="00C62C05">
        <w:rPr>
          <w:rFonts w:cs="Arial"/>
        </w:rPr>
        <w:t>elaborazione di un piano per il monitoraggio della povertà</w:t>
      </w:r>
    </w:p>
    <w:p w:rsidR="009E0EB1" w:rsidRDefault="009E0EB1" w:rsidP="009E0EB1">
      <w:pPr>
        <w:tabs>
          <w:tab w:val="left" w:pos="3143"/>
        </w:tabs>
        <w:contextualSpacing/>
        <w:jc w:val="left"/>
        <w:rPr>
          <w:rFonts w:cs="Arial"/>
        </w:rPr>
      </w:pPr>
    </w:p>
    <w:p w:rsidR="009E0EB1" w:rsidRPr="009E0EB1" w:rsidRDefault="009E0EB1" w:rsidP="009E0EB1">
      <w:pPr>
        <w:tabs>
          <w:tab w:val="left" w:pos="3143"/>
        </w:tabs>
        <w:contextualSpacing/>
        <w:jc w:val="left"/>
        <w:rPr>
          <w:rFonts w:cs="Arial"/>
        </w:rPr>
      </w:pPr>
    </w:p>
    <w:p w:rsidR="00A92189" w:rsidRPr="009F3C6A" w:rsidRDefault="00A92189" w:rsidP="00A92189">
      <w:pPr>
        <w:tabs>
          <w:tab w:val="left" w:pos="3143"/>
        </w:tabs>
        <w:rPr>
          <w:rFonts w:cs="Arial"/>
          <w:b/>
          <w:sz w:val="23"/>
          <w:szCs w:val="23"/>
        </w:rPr>
      </w:pPr>
      <w:r w:rsidRPr="009F3C6A">
        <w:rPr>
          <w:rFonts w:cs="Arial"/>
          <w:b/>
          <w:sz w:val="23"/>
          <w:szCs w:val="23"/>
        </w:rPr>
        <w:t xml:space="preserve">Problematiche principali e raccomandazioni della Commissione della </w:t>
      </w:r>
      <w:r w:rsidR="00B3148F">
        <w:rPr>
          <w:rFonts w:cs="Arial"/>
          <w:b/>
          <w:sz w:val="23"/>
          <w:szCs w:val="23"/>
        </w:rPr>
        <w:t>gestione</w:t>
      </w:r>
      <w:r w:rsidRPr="009F3C6A">
        <w:rPr>
          <w:rFonts w:cs="Arial"/>
          <w:b/>
          <w:sz w:val="23"/>
          <w:szCs w:val="23"/>
        </w:rPr>
        <w:t xml:space="preserve"> e delle </w:t>
      </w:r>
      <w:r w:rsidR="00B3148F">
        <w:rPr>
          <w:rFonts w:cs="Arial"/>
          <w:b/>
          <w:sz w:val="23"/>
          <w:szCs w:val="23"/>
        </w:rPr>
        <w:t>finanze</w:t>
      </w:r>
    </w:p>
    <w:p w:rsidR="00A92189" w:rsidRPr="009E0EB1" w:rsidRDefault="00A92189" w:rsidP="00A92189">
      <w:pPr>
        <w:pStyle w:val="Default"/>
        <w:rPr>
          <w:sz w:val="12"/>
          <w:szCs w:val="12"/>
        </w:rPr>
      </w:pPr>
    </w:p>
    <w:p w:rsidR="00A92189" w:rsidRPr="00711536" w:rsidRDefault="00A92189" w:rsidP="00711536">
      <w:pPr>
        <w:pStyle w:val="Default"/>
        <w:jc w:val="both"/>
      </w:pPr>
      <w:r w:rsidRPr="00711536">
        <w:t>Dalle analisi e dai rapporti presi in considerazione emergono alcune criticità e problematiche segnalate anche dal Consiglio di Stato nella presentazione dei dati 2016. Non va dimenticato in questo contesto che le revisioni dell’assicurazione invalidità e la revisione dell’assicurazione contro la disoccupazione hanno introdotto numerosi cambiamenti e rivisto le condizioni di accesso a queste assicurazioni. Ciò che può in parte spiegare - insieme a un tessuto economico e sociale fragile e ai cambiamenti in atto nel mercato del lavoro - l’evoluzione nel settore dell’aiuto sociale.</w:t>
      </w:r>
    </w:p>
    <w:p w:rsidR="00711536" w:rsidRPr="00711536" w:rsidRDefault="00A92189" w:rsidP="00711536">
      <w:pPr>
        <w:pStyle w:val="Default"/>
        <w:jc w:val="both"/>
      </w:pPr>
      <w:r w:rsidRPr="00711536">
        <w:t>L’elevato numero di persone che pur avendo un’attività lavorativa devono fare capo alle prestazioni assistenziali può essere spiegato con il dato legato ai salari medi ticinesi che sono più bassi che nel resto della Svizzer</w:t>
      </w:r>
      <w:r w:rsidR="00711536" w:rsidRPr="00711536">
        <w:t>a e al lavoro a tempo parziale.</w:t>
      </w:r>
    </w:p>
    <w:p w:rsidR="00A92189" w:rsidRPr="009F3C6A" w:rsidRDefault="00A92189" w:rsidP="00711536">
      <w:pPr>
        <w:pStyle w:val="Default"/>
        <w:jc w:val="both"/>
        <w:rPr>
          <w:sz w:val="18"/>
          <w:szCs w:val="18"/>
        </w:rPr>
      </w:pPr>
    </w:p>
    <w:p w:rsidR="00711536" w:rsidRPr="00711536" w:rsidRDefault="00A92189" w:rsidP="00711536">
      <w:pPr>
        <w:pStyle w:val="Default"/>
        <w:jc w:val="both"/>
      </w:pPr>
      <w:r w:rsidRPr="00711536">
        <w:t>L’evoluzione degli ultimi anni e anche i cambiamenti nelle tipologie di beneficiari hanno comportato un impegno accresciuto delle operatrici e degli operatori del settore. Come evidenziato in precedenza, a fronte di un incremento importante di casi in gestione presso l’USSI, il numero di operatori socio-amministrativi incaricati di seguire e accompagnare i beneficiari è sì aumentato, ma in misura insufficiente.</w:t>
      </w:r>
    </w:p>
    <w:p w:rsidR="00A92189" w:rsidRPr="00711536" w:rsidRDefault="00A92189" w:rsidP="00711536">
      <w:pPr>
        <w:pStyle w:val="Default"/>
        <w:jc w:val="both"/>
      </w:pPr>
      <w:r w:rsidRPr="00711536">
        <w:rPr>
          <w:rFonts w:eastAsia="Times New Roman"/>
          <w:color w:val="auto"/>
          <w:lang w:val="it-IT" w:eastAsia="it-IT"/>
        </w:rPr>
        <w:t>Come detto, a</w:t>
      </w:r>
      <w:r w:rsidRPr="00711536">
        <w:t xml:space="preserve"> fine dicembre 2016 in media ogni operatore aveva in gestione quasi 270 casi, a fronte di una raccomandazione della Conferenza svizzera dell’azione sociale (COSAS) di 100 casi per operatore sociale. </w:t>
      </w:r>
    </w:p>
    <w:p w:rsidR="009F3C6A" w:rsidRDefault="00A92189" w:rsidP="00711536">
      <w:pPr>
        <w:pStyle w:val="Default"/>
        <w:jc w:val="both"/>
        <w:rPr>
          <w:lang w:val="it-IT"/>
        </w:rPr>
      </w:pPr>
      <w:r w:rsidRPr="00711536">
        <w:t>Come si può evincere dai rapporti federali e cantonali nell’ambito dell’aiuto sociale è necessario un intervento immediato e precoce per evitare  che le situazioni peggiorino e si finisca per entrare definitivamente in un meccanismo di accresciuta dipendenza cadendo in un circolo vizioso che può portare all’esclusione sociale e allo sviluppo di ulteriori difficoltà (</w:t>
      </w:r>
      <w:r w:rsidRPr="00711536">
        <w:rPr>
          <w:lang w:eastAsia="de-DE"/>
        </w:rPr>
        <w:t>per i beneficiari di assistenza il problema del rientro sul mercato del lavoro è particolarmente forte a causa dell’assenza prolungata</w:t>
      </w:r>
      <w:r w:rsidRPr="00711536">
        <w:rPr>
          <w:lang w:val="it-IT"/>
        </w:rPr>
        <w:t>).</w:t>
      </w:r>
    </w:p>
    <w:p w:rsidR="00A92189" w:rsidRPr="00711536" w:rsidRDefault="00A92189" w:rsidP="00711536">
      <w:pPr>
        <w:pStyle w:val="Default"/>
        <w:jc w:val="both"/>
        <w:rPr>
          <w:lang w:val="it-IT"/>
        </w:rPr>
      </w:pPr>
      <w:r w:rsidRPr="00711536">
        <w:t xml:space="preserve">In questo contesto uno sguardo attento deve essere anche dato alle famiglie e al rischio di </w:t>
      </w:r>
      <w:r w:rsidRPr="00711536">
        <w:rPr>
          <w:i/>
        </w:rPr>
        <w:t>“ereditarietà”.</w:t>
      </w:r>
      <w:r w:rsidRPr="00711536">
        <w:t xml:space="preserve"> Vi è infatti un rischio più alto di povertà in prospettiva per i bambini che </w:t>
      </w:r>
      <w:r w:rsidRPr="00711536">
        <w:rPr>
          <w:lang w:val="it-IT"/>
        </w:rPr>
        <w:t>vivono in economie domestiche povere che andrebbe ovviamente scongiurato.</w:t>
      </w:r>
    </w:p>
    <w:p w:rsidR="008C249E" w:rsidRPr="009F3C6A" w:rsidRDefault="008C249E" w:rsidP="00711536">
      <w:pPr>
        <w:pStyle w:val="Default"/>
        <w:jc w:val="both"/>
        <w:rPr>
          <w:sz w:val="18"/>
          <w:szCs w:val="18"/>
          <w:lang w:val="it-IT"/>
        </w:rPr>
      </w:pPr>
    </w:p>
    <w:p w:rsidR="00A92189" w:rsidRPr="00711536" w:rsidRDefault="00A92189" w:rsidP="00711536">
      <w:pPr>
        <w:pStyle w:val="Default"/>
        <w:jc w:val="both"/>
      </w:pPr>
      <w:r w:rsidRPr="00711536">
        <w:t>Per questa ragione è importante, a mente della Commissione della gestione e delle finanze, che di fronte a questa situazione ci sia anche una riorganizzazione e l’attivazione di risorse in grado di affrontare in maniera adeguata l’evoluzione del settore con l’intento di intervenire il prima possibile per una integrazione/reintegrazione sociale e socio-professionale.</w:t>
      </w:r>
    </w:p>
    <w:p w:rsidR="00A92189" w:rsidRPr="00711536" w:rsidRDefault="00A92189" w:rsidP="00711536">
      <w:pPr>
        <w:pStyle w:val="Default"/>
        <w:jc w:val="both"/>
      </w:pPr>
      <w:r w:rsidRPr="00711536">
        <w:t>Sarebbe ovviamente preferibile registrare una forte contrazione della casistica che evitasse di far capo ad ulteriore personale, ma se il trend non cambia è con ogni evidenza  necessario affrontare in maniera adeguata questa evoluzione.</w:t>
      </w:r>
    </w:p>
    <w:p w:rsidR="00A92189" w:rsidRPr="009F3C6A" w:rsidRDefault="00A92189" w:rsidP="00711536">
      <w:pPr>
        <w:pStyle w:val="Default"/>
        <w:jc w:val="both"/>
        <w:rPr>
          <w:sz w:val="18"/>
          <w:szCs w:val="18"/>
        </w:rPr>
      </w:pPr>
    </w:p>
    <w:p w:rsidR="00A92189" w:rsidRPr="00711536" w:rsidRDefault="00A92189" w:rsidP="00711536">
      <w:pPr>
        <w:pStyle w:val="Default"/>
        <w:jc w:val="both"/>
        <w:rPr>
          <w:color w:val="auto"/>
        </w:rPr>
      </w:pPr>
      <w:r w:rsidRPr="00711536">
        <w:t xml:space="preserve">Il tema del sostegno sociale e dell’inserimento non </w:t>
      </w:r>
      <w:r w:rsidRPr="00711536">
        <w:rPr>
          <w:color w:val="auto"/>
        </w:rPr>
        <w:t>deve essere misurato solamente con il metro delle prestazioni e rinchiuso unicamente nell’ambito dell’USSI, in quanto concerne diversi aspetti e servizi. Come in altri settori dell’amministrazione è necessaria una collaborazione  interdipartimentale che permetta di lavorare sui diversi livelli coinvolti.</w:t>
      </w:r>
    </w:p>
    <w:p w:rsidR="00A92189" w:rsidRPr="00711536" w:rsidRDefault="00A92189" w:rsidP="00711536">
      <w:pPr>
        <w:pStyle w:val="Default"/>
        <w:jc w:val="both"/>
        <w:rPr>
          <w:color w:val="auto"/>
        </w:rPr>
      </w:pPr>
      <w:r w:rsidRPr="00711536">
        <w:rPr>
          <w:color w:val="auto"/>
        </w:rPr>
        <w:t>La strategia interdipartimentale messa in atto per il collocamento è valutata positivamente, ma a mente della</w:t>
      </w:r>
      <w:r w:rsidR="00B3148F">
        <w:rPr>
          <w:color w:val="auto"/>
        </w:rPr>
        <w:t xml:space="preserve"> Commissione</w:t>
      </w:r>
      <w:r w:rsidRPr="00711536">
        <w:rPr>
          <w:color w:val="auto"/>
        </w:rPr>
        <w:t xml:space="preserve"> va rafforzata ed estesa ulteriormente. In modo particolare </w:t>
      </w:r>
      <w:r w:rsidRPr="00711536">
        <w:rPr>
          <w:color w:val="auto"/>
        </w:rPr>
        <w:lastRenderedPageBreak/>
        <w:t>è imprescindibile, secondo la</w:t>
      </w:r>
      <w:r w:rsidR="00B3148F">
        <w:rPr>
          <w:color w:val="auto"/>
        </w:rPr>
        <w:t xml:space="preserve"> Commissione</w:t>
      </w:r>
      <w:r w:rsidRPr="00711536">
        <w:rPr>
          <w:color w:val="auto"/>
        </w:rPr>
        <w:t>, stabilire una collaborazione istituzionale con tutti i servizi dell’amministrazione cantonale toccati o coinvolti dalla tematica: formazione professionale, servizio invalidità, servizio di aiuto alle famiglie, sezione del lavoro, ufficio misure attive. L’obiettivo della collaborazione deve essere quello di migliorare e strutturare degli interventi definiti che permettano, nel rispetto delle competenze specifiche di dare una risposta complessiva alla sfida dell’integrazione sociale e socio-professionale di persone in difficoltà. Inoltre secondo la</w:t>
      </w:r>
      <w:r w:rsidR="00B3148F">
        <w:rPr>
          <w:color w:val="auto"/>
        </w:rPr>
        <w:t xml:space="preserve"> Commissione</w:t>
      </w:r>
      <w:r w:rsidRPr="00711536">
        <w:rPr>
          <w:color w:val="auto"/>
        </w:rPr>
        <w:t xml:space="preserve"> si devono stabilire delle procedure per lo scambio di informazioni e strutturare il seguito per quei casi che esaurite le indennità di disoccupazione o con una domanda di AI non accolta, richiedono le prestazioni assistenziali. </w:t>
      </w:r>
    </w:p>
    <w:p w:rsidR="00A92189" w:rsidRPr="009F3C6A" w:rsidRDefault="00A92189" w:rsidP="00711536">
      <w:pPr>
        <w:pStyle w:val="Default"/>
        <w:jc w:val="both"/>
        <w:rPr>
          <w:color w:val="auto"/>
          <w:sz w:val="18"/>
          <w:szCs w:val="18"/>
        </w:rPr>
      </w:pPr>
    </w:p>
    <w:p w:rsidR="00A92189" w:rsidRPr="00711536" w:rsidRDefault="00A92189" w:rsidP="00711536">
      <w:pPr>
        <w:pStyle w:val="Default"/>
        <w:jc w:val="both"/>
        <w:rPr>
          <w:color w:val="auto"/>
        </w:rPr>
      </w:pPr>
      <w:r w:rsidRPr="00711536">
        <w:rPr>
          <w:color w:val="auto"/>
        </w:rPr>
        <w:t xml:space="preserve">La Commissione della gestione e delle finanze in un’ottica anche di una maggiore e migliore collaborazione istituzionale auspica l’elaborazione di un piano cantonale di prevenzione all’esclusione sociale e di integrazione socio-professionale così come avvenuto a livello federale con il piano nazionale che ha definito gli obiettivi e anche gli strumenti necessari ad affrontare la sfida del sostegno sociale. </w:t>
      </w:r>
    </w:p>
    <w:p w:rsidR="00A92189" w:rsidRPr="009F3C6A" w:rsidRDefault="00A92189" w:rsidP="00711536">
      <w:pPr>
        <w:pStyle w:val="Default"/>
        <w:jc w:val="both"/>
        <w:rPr>
          <w:color w:val="auto"/>
          <w:sz w:val="18"/>
          <w:szCs w:val="18"/>
        </w:rPr>
      </w:pPr>
    </w:p>
    <w:p w:rsidR="00A92189" w:rsidRPr="00711536" w:rsidRDefault="00A92189" w:rsidP="00711536">
      <w:pPr>
        <w:pStyle w:val="Default"/>
        <w:jc w:val="both"/>
        <w:rPr>
          <w:color w:val="auto"/>
        </w:rPr>
      </w:pPr>
      <w:r w:rsidRPr="00711536">
        <w:rPr>
          <w:color w:val="auto"/>
        </w:rPr>
        <w:t>La</w:t>
      </w:r>
      <w:r w:rsidR="00B3148F">
        <w:rPr>
          <w:color w:val="auto"/>
        </w:rPr>
        <w:t xml:space="preserve"> Commissione</w:t>
      </w:r>
      <w:r w:rsidRPr="00711536">
        <w:rPr>
          <w:color w:val="auto"/>
        </w:rPr>
        <w:t xml:space="preserve"> si è inoltre interrogata sul fatto che la nostra Legge sull’Assistenza Sociale si avvii a raggiungere il mezzo secolo di vita, essendo dell’8 marzo 1971. Ha sì  subito delle puntuali modifiche negli anni ma ci si chiede se sia ancora adeguata nel suo complesso alla situazione attuale e alle trasformazioni avvenute negli anni. La</w:t>
      </w:r>
      <w:r w:rsidR="00B3148F">
        <w:rPr>
          <w:color w:val="auto"/>
        </w:rPr>
        <w:t xml:space="preserve"> Commissione</w:t>
      </w:r>
      <w:r w:rsidRPr="00711536">
        <w:rPr>
          <w:color w:val="auto"/>
        </w:rPr>
        <w:t xml:space="preserve"> chiede a questo proposito una valutazione del Consiglio di Stato. </w:t>
      </w:r>
    </w:p>
    <w:p w:rsidR="00A92189" w:rsidRPr="009F3C6A" w:rsidRDefault="00A92189" w:rsidP="00711536">
      <w:pPr>
        <w:pStyle w:val="Default"/>
        <w:jc w:val="both"/>
        <w:rPr>
          <w:color w:val="auto"/>
          <w:sz w:val="18"/>
          <w:szCs w:val="18"/>
        </w:rPr>
      </w:pPr>
    </w:p>
    <w:p w:rsidR="00A92189" w:rsidRPr="00711536" w:rsidRDefault="00A92189" w:rsidP="00711536">
      <w:pPr>
        <w:pStyle w:val="Default"/>
        <w:jc w:val="both"/>
        <w:rPr>
          <w:color w:val="auto"/>
        </w:rPr>
      </w:pPr>
      <w:r w:rsidRPr="00711536">
        <w:rPr>
          <w:color w:val="auto"/>
        </w:rPr>
        <w:t xml:space="preserve">Gli approfondimenti contenuti nel Rapporto riguardo all’Assistenza pubblica non vanno considerate quale giudizio di merito da cui far discendere decisioni, ma spunti di riflessioni all’indirizzo del CdS affinché approfondisca ulteriormente la materia e presenti alla CGF possibili misure di intervento. </w:t>
      </w:r>
    </w:p>
    <w:p w:rsidR="00A92189" w:rsidRPr="009F3C6A" w:rsidRDefault="00A92189" w:rsidP="00711536">
      <w:pPr>
        <w:rPr>
          <w:sz w:val="18"/>
          <w:szCs w:val="18"/>
        </w:rPr>
      </w:pPr>
    </w:p>
    <w:p w:rsidR="00A92189" w:rsidRPr="00C62C05" w:rsidRDefault="00A92189" w:rsidP="009E0EB1">
      <w:pPr>
        <w:rPr>
          <w:rFonts w:cs="Arial"/>
        </w:rPr>
      </w:pPr>
      <w:r>
        <w:rPr>
          <w:rFonts w:cs="Arial"/>
        </w:rPr>
        <w:t>T</w:t>
      </w:r>
      <w:r w:rsidRPr="00C62C05">
        <w:rPr>
          <w:rFonts w:cs="Arial"/>
        </w:rPr>
        <w:t>ornando all’immagine “agrodolce” iniziale, stiamo per votare un consuntivo bifronte, che da un lato ci rallegra per il quasi dimezzamento del disavanzo ma dall’altro ci preoccupa poiché non siamo ancora davanti alle cifre nere e all’inversione di rotta, né sono poche le incognite finanziarie e sociali che ci riserva l’immediato futuro.</w:t>
      </w:r>
    </w:p>
    <w:p w:rsidR="00A92189" w:rsidRDefault="00A92189" w:rsidP="009E0EB1"/>
    <w:p w:rsidR="009E0EB1" w:rsidRDefault="009E0EB1" w:rsidP="009E0EB1"/>
    <w:p w:rsidR="009E0EB1" w:rsidRPr="00C62C05" w:rsidRDefault="009E0EB1" w:rsidP="009E0EB1"/>
    <w:p w:rsidR="00A92189" w:rsidRPr="00C62C05" w:rsidRDefault="009E0EB1" w:rsidP="008C249E">
      <w:pPr>
        <w:pStyle w:val="Titolo1"/>
      </w:pPr>
      <w:bookmarkStart w:id="11" w:name="_Toc485131129"/>
      <w:r>
        <w:t>Conclusioni</w:t>
      </w:r>
      <w:bookmarkEnd w:id="11"/>
    </w:p>
    <w:p w:rsidR="00A92189" w:rsidRPr="00C62C05" w:rsidRDefault="008C249E" w:rsidP="00A92189">
      <w:pPr>
        <w:tabs>
          <w:tab w:val="left" w:pos="3143"/>
        </w:tabs>
        <w:rPr>
          <w:rFonts w:cs="Arial"/>
        </w:rPr>
      </w:pPr>
      <w:r>
        <w:rPr>
          <w:rFonts w:cs="Arial"/>
          <w:bCs/>
        </w:rPr>
        <w:t>La Commissione della gestione e delle f</w:t>
      </w:r>
      <w:r w:rsidR="00A92189" w:rsidRPr="00C62C05">
        <w:rPr>
          <w:rFonts w:cs="Arial"/>
          <w:bCs/>
        </w:rPr>
        <w:t xml:space="preserve">inanze auspica che il </w:t>
      </w:r>
      <w:r w:rsidR="00A92189" w:rsidRPr="00C62C05">
        <w:rPr>
          <w:rFonts w:cs="Arial"/>
          <w:iCs/>
        </w:rPr>
        <w:t xml:space="preserve">processo di revisione della presentazione dei conti venga proseguita nei prossimi anni con l’obiettivo di fornire al Parlamento e alla cittadinanza una visione più ampia e trasparente dei dati finanziari e delle attività dello Stato. In questo senso chiede pure che </w:t>
      </w:r>
      <w:r w:rsidR="00A92189" w:rsidRPr="00C62C05">
        <w:rPr>
          <w:rFonts w:cs="Arial"/>
          <w:bCs/>
        </w:rPr>
        <w:t xml:space="preserve">vengano </w:t>
      </w:r>
      <w:r w:rsidR="00A92189" w:rsidRPr="00C62C05">
        <w:rPr>
          <w:rFonts w:cs="Arial"/>
        </w:rPr>
        <w:t>integrate nelle schede di consuntivo anche gli indicatori prioritari che permettono di avere un’indicazione circa l’evoluzione del costo di una prestazione o complessivo di un servizio. L’obiettivo è quello di avere tutti i dati necessari per valutare più oggettivamente l’evoluzione della spesa che va letta in funzione dell’evoluzione della popolazione e dei bisogni. La CGF chiede pure di procedere con la razionalizzazione/integrazione delle banche dati a disposizione dell’Amministrazione cantonale, anche nell’ottica del controllo finanziario, cos</w:t>
      </w:r>
      <w:r w:rsidR="009F3C6A">
        <w:rPr>
          <w:rFonts w:cs="Arial"/>
        </w:rPr>
        <w:t>ì come segnalato dal Controllo cantonale delle f</w:t>
      </w:r>
      <w:r w:rsidR="00A92189" w:rsidRPr="00C62C05">
        <w:rPr>
          <w:rFonts w:cs="Arial"/>
        </w:rPr>
        <w:t>inanze.</w:t>
      </w:r>
    </w:p>
    <w:p w:rsidR="00A92189" w:rsidRDefault="00A92189" w:rsidP="00A92189">
      <w:pPr>
        <w:spacing w:after="259"/>
        <w:contextualSpacing/>
        <w:textAlignment w:val="baseline"/>
        <w:rPr>
          <w:rFonts w:cs="Arial"/>
        </w:rPr>
      </w:pPr>
    </w:p>
    <w:p w:rsidR="009F3C6A" w:rsidRDefault="009F3C6A" w:rsidP="00A92189">
      <w:pPr>
        <w:spacing w:after="259"/>
        <w:contextualSpacing/>
        <w:textAlignment w:val="baseline"/>
        <w:rPr>
          <w:rFonts w:cs="Arial"/>
        </w:rPr>
      </w:pPr>
    </w:p>
    <w:p w:rsidR="009E0EB1" w:rsidRPr="00586A8D" w:rsidRDefault="009E0EB1" w:rsidP="009E0EB1">
      <w:pPr>
        <w:pStyle w:val="Nessunaspaziatura"/>
        <w:jc w:val="center"/>
        <w:rPr>
          <w:rFonts w:ascii="Arial" w:hAnsi="Arial" w:cs="Arial"/>
          <w:sz w:val="28"/>
          <w:szCs w:val="28"/>
        </w:rPr>
      </w:pP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p>
    <w:p w:rsidR="009E0EB1" w:rsidRPr="00C62C05" w:rsidRDefault="009E0EB1" w:rsidP="00A92189">
      <w:pPr>
        <w:spacing w:after="259"/>
        <w:contextualSpacing/>
        <w:textAlignment w:val="baseline"/>
        <w:rPr>
          <w:rFonts w:cs="Arial"/>
        </w:rPr>
      </w:pPr>
    </w:p>
    <w:p w:rsidR="00A92189" w:rsidRPr="00C62C05" w:rsidRDefault="00A92189" w:rsidP="00A92189">
      <w:pPr>
        <w:spacing w:after="259"/>
        <w:contextualSpacing/>
        <w:textAlignment w:val="baseline"/>
        <w:rPr>
          <w:rFonts w:cs="Arial"/>
        </w:rPr>
      </w:pPr>
      <w:r w:rsidRPr="00C62C05">
        <w:rPr>
          <w:rFonts w:cs="Arial"/>
        </w:rPr>
        <w:lastRenderedPageBreak/>
        <w:t xml:space="preserve">La </w:t>
      </w:r>
      <w:r w:rsidR="009F3C6A">
        <w:rPr>
          <w:rFonts w:cs="Arial"/>
        </w:rPr>
        <w:t xml:space="preserve">Commissione della gestione e delle finanze </w:t>
      </w:r>
      <w:r w:rsidRPr="00C62C05">
        <w:rPr>
          <w:rFonts w:cs="Arial"/>
        </w:rPr>
        <w:t>invita quindi il Gran Consiglio ad approvare il decreto legislativo sul consuntivo 2016</w:t>
      </w:r>
      <w:r>
        <w:rPr>
          <w:rFonts w:cs="Arial"/>
        </w:rPr>
        <w:t>,</w:t>
      </w:r>
      <w:r w:rsidRPr="00C62C05">
        <w:rPr>
          <w:rFonts w:cs="Arial"/>
        </w:rPr>
        <w:t xml:space="preserve"> esortando il Consiglio di Stato a prestare </w:t>
      </w:r>
      <w:r>
        <w:rPr>
          <w:rFonts w:cs="Arial"/>
        </w:rPr>
        <w:t xml:space="preserve">attenzione </w:t>
      </w:r>
      <w:r w:rsidRPr="00C62C05">
        <w:rPr>
          <w:rFonts w:cs="Arial"/>
        </w:rPr>
        <w:t>al consolidamento finanziario</w:t>
      </w:r>
      <w:r>
        <w:rPr>
          <w:rFonts w:cs="Arial"/>
        </w:rPr>
        <w:t xml:space="preserve">, ricordando però che </w:t>
      </w:r>
      <w:r w:rsidRPr="00C62C05">
        <w:rPr>
          <w:rFonts w:cs="Arial"/>
        </w:rPr>
        <w:t>solo un paese senza emarginati ed esclusi può restare sano e crescere in armonia.</w:t>
      </w:r>
    </w:p>
    <w:p w:rsidR="00076E70" w:rsidRDefault="00076E70">
      <w:pPr>
        <w:rPr>
          <w:rFonts w:cs="Arial"/>
          <w:szCs w:val="24"/>
        </w:rPr>
      </w:pPr>
    </w:p>
    <w:p w:rsidR="00076E70" w:rsidRPr="00076E70" w:rsidRDefault="00076E70" w:rsidP="00076E70">
      <w:pPr>
        <w:autoSpaceDE w:val="0"/>
        <w:autoSpaceDN w:val="0"/>
        <w:adjustRightInd w:val="0"/>
        <w:rPr>
          <w:rFonts w:cs="Arial"/>
          <w:szCs w:val="24"/>
        </w:rPr>
      </w:pPr>
    </w:p>
    <w:p w:rsidR="00076E70" w:rsidRPr="00076E70" w:rsidRDefault="00076E70" w:rsidP="00076E70">
      <w:pPr>
        <w:rPr>
          <w:rFonts w:cs="Arial"/>
          <w:szCs w:val="24"/>
        </w:rPr>
      </w:pPr>
    </w:p>
    <w:p w:rsidR="00076E70" w:rsidRPr="00076E70" w:rsidRDefault="00076E70" w:rsidP="00076E70">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gestione e finanze:</w:t>
      </w:r>
    </w:p>
    <w:p w:rsidR="00076E70" w:rsidRPr="00076E70" w:rsidRDefault="009E0EB1" w:rsidP="00076E70">
      <w:pPr>
        <w:rPr>
          <w:rFonts w:cs="Arial"/>
          <w:szCs w:val="24"/>
        </w:rPr>
      </w:pPr>
      <w:r>
        <w:rPr>
          <w:rFonts w:cs="Arial"/>
        </w:rPr>
        <w:t>Pelin Kandemir Bordoli</w:t>
      </w:r>
      <w:r>
        <w:rPr>
          <w:rFonts w:cs="Arial"/>
          <w:szCs w:val="24"/>
        </w:rPr>
        <w:t>, relatrice</w:t>
      </w:r>
    </w:p>
    <w:p w:rsidR="00BC3F9E" w:rsidRDefault="00BC3F9E" w:rsidP="00BC3F9E">
      <w:pPr>
        <w:rPr>
          <w:rFonts w:cs="Arial"/>
        </w:rPr>
      </w:pPr>
      <w:bookmarkStart w:id="12" w:name="OLE_LINK1"/>
      <w:bookmarkStart w:id="13" w:name="OLE_LINK2"/>
      <w:r w:rsidRPr="005E5056">
        <w:rPr>
          <w:rFonts w:cs="Arial"/>
        </w:rPr>
        <w:t xml:space="preserve">Bacchetta-Cattori - </w:t>
      </w:r>
      <w:r>
        <w:rPr>
          <w:rFonts w:cs="Arial"/>
        </w:rPr>
        <w:t xml:space="preserve">Badasci (per le conclusioni) - </w:t>
      </w:r>
    </w:p>
    <w:p w:rsidR="00BC3F9E" w:rsidRDefault="00BC3F9E" w:rsidP="00BC3F9E">
      <w:pPr>
        <w:rPr>
          <w:rFonts w:cs="Arial"/>
        </w:rPr>
      </w:pPr>
      <w:r>
        <w:rPr>
          <w:rFonts w:cs="Arial"/>
        </w:rPr>
        <w:t xml:space="preserve">Caprara - Caverzasio (per le conclusioni) - Dadò - </w:t>
      </w:r>
    </w:p>
    <w:p w:rsidR="00BC3F9E" w:rsidRDefault="00BC3F9E" w:rsidP="00BC3F9E">
      <w:pPr>
        <w:rPr>
          <w:rFonts w:cs="Arial"/>
        </w:rPr>
      </w:pPr>
      <w:r>
        <w:rPr>
          <w:rFonts w:cs="Arial"/>
        </w:rPr>
        <w:t xml:space="preserve">De Rosa - Denti (per le conclusioni) - Durisch - </w:t>
      </w:r>
    </w:p>
    <w:p w:rsidR="00BC3F9E" w:rsidRDefault="00BC3F9E" w:rsidP="00BC3F9E">
      <w:pPr>
        <w:rPr>
          <w:rFonts w:cs="Arial"/>
        </w:rPr>
      </w:pPr>
      <w:r>
        <w:rPr>
          <w:rFonts w:cs="Arial"/>
        </w:rPr>
        <w:t xml:space="preserve">Farinelli - Frapolli (per le conclusioni) - Garobbio - </w:t>
      </w:r>
    </w:p>
    <w:p w:rsidR="00BC3F9E" w:rsidRDefault="00BC3F9E" w:rsidP="00BC3F9E">
      <w:pPr>
        <w:rPr>
          <w:rFonts w:cs="Arial"/>
        </w:rPr>
      </w:pPr>
      <w:r>
        <w:rPr>
          <w:rFonts w:cs="Arial"/>
        </w:rPr>
        <w:t>Garzoli - Guerra (per le conclusioni) - Pini - Quadranti</w:t>
      </w:r>
    </w:p>
    <w:bookmarkEnd w:id="12"/>
    <w:bookmarkEnd w:id="13"/>
    <w:p w:rsidR="00076E70" w:rsidRPr="00076E70" w:rsidRDefault="00076E70">
      <w:pPr>
        <w:rPr>
          <w:rFonts w:cs="Arial"/>
          <w:szCs w:val="24"/>
        </w:rPr>
      </w:pPr>
    </w:p>
    <w:sectPr w:rsidR="00076E70" w:rsidRPr="00076E70" w:rsidSect="008B4137">
      <w:footerReference w:type="default" r:id="rId1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C96" w:rsidRDefault="00BF6C96" w:rsidP="008E77C6">
      <w:r>
        <w:separator/>
      </w:r>
    </w:p>
  </w:endnote>
  <w:endnote w:type="continuationSeparator" w:id="0">
    <w:p w:rsidR="00BF6C96" w:rsidRDefault="00BF6C9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250939" w:rsidRPr="008E77C6" w:rsidRDefault="00250939">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967A5F" w:rsidRPr="00967A5F">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C96" w:rsidRDefault="00BF6C96" w:rsidP="008E77C6">
      <w:r>
        <w:separator/>
      </w:r>
    </w:p>
  </w:footnote>
  <w:footnote w:type="continuationSeparator" w:id="0">
    <w:p w:rsidR="00BF6C96" w:rsidRDefault="00BF6C96" w:rsidP="008E77C6">
      <w:r>
        <w:continuationSeparator/>
      </w:r>
    </w:p>
  </w:footnote>
  <w:footnote w:id="1">
    <w:p w:rsidR="00250939" w:rsidRPr="009E0EB1" w:rsidRDefault="00250939" w:rsidP="009E0EB1">
      <w:pPr>
        <w:shd w:val="clear" w:color="auto" w:fill="FFFFFF"/>
        <w:outlineLvl w:val="2"/>
        <w:rPr>
          <w:sz w:val="18"/>
          <w:szCs w:val="18"/>
        </w:rPr>
      </w:pPr>
      <w:r w:rsidRPr="009E0EB1">
        <w:rPr>
          <w:rStyle w:val="Rimandonotaapidipagina"/>
          <w:sz w:val="18"/>
          <w:szCs w:val="18"/>
        </w:rPr>
        <w:footnoteRef/>
      </w:r>
      <w:r w:rsidRPr="009E0EB1">
        <w:rPr>
          <w:sz w:val="18"/>
          <w:szCs w:val="18"/>
        </w:rPr>
        <w:t>“</w:t>
      </w:r>
      <w:r w:rsidRPr="009E0EB1">
        <w:rPr>
          <w:i/>
          <w:sz w:val="18"/>
          <w:szCs w:val="18"/>
        </w:rPr>
        <w:t>Ai margini del mercato del lavoro, Stato e dinamica del mercato del lavoro ticinese con focus sulla disoccupazione. Rapporto di sintesi dell’attività analitica condotta dal Gruppo di lavoro interdipartimentale per il Monitoraggio della disoccupazione in Ticino</w:t>
      </w:r>
      <w:r w:rsidRPr="009E0EB1">
        <w:rPr>
          <w:sz w:val="18"/>
          <w:szCs w:val="18"/>
        </w:rPr>
        <w:t>” del 21 dicembre 2015, “</w:t>
      </w:r>
      <w:r w:rsidRPr="009E0EB1">
        <w:rPr>
          <w:i/>
          <w:sz w:val="18"/>
          <w:szCs w:val="18"/>
        </w:rPr>
        <w:t xml:space="preserve">Percorsi dei beneficiari di assistenza sociale, Analisi delle domande chiuse dal 2003 al </w:t>
      </w:r>
      <w:r w:rsidRPr="009E0EB1">
        <w:rPr>
          <w:sz w:val="18"/>
          <w:szCs w:val="18"/>
        </w:rPr>
        <w:t>2014”, Documenti 5-2015, “</w:t>
      </w:r>
      <w:r w:rsidRPr="009E0EB1">
        <w:rPr>
          <w:i/>
          <w:sz w:val="18"/>
          <w:szCs w:val="18"/>
        </w:rPr>
        <w:t>L’assistenza sociale, tra lavoro ed esclusione. Un’analisi per qualificare oltre che quantificare</w:t>
      </w:r>
      <w:r w:rsidRPr="009E0EB1">
        <w:rPr>
          <w:sz w:val="18"/>
          <w:szCs w:val="18"/>
        </w:rPr>
        <w:t>”. Dati, XIV, 2 2014, 15-23.</w:t>
      </w:r>
    </w:p>
  </w:footnote>
  <w:footnote w:id="2">
    <w:p w:rsidR="00250939" w:rsidRDefault="00250939" w:rsidP="00A92189">
      <w:pPr>
        <w:pStyle w:val="Testonotaapidipagina"/>
      </w:pPr>
      <w:r>
        <w:rPr>
          <w:rStyle w:val="Rimandonotaapidipagina"/>
        </w:rPr>
        <w:footnoteRef/>
      </w:r>
      <w:r w:rsidRPr="00334274">
        <w:t>http://www.bfs.admin.ch/bfs/portal/it/index/themen/13/03/03.html</w:t>
      </w:r>
    </w:p>
  </w:footnote>
  <w:footnote w:id="3">
    <w:p w:rsidR="00250939" w:rsidRDefault="00250939" w:rsidP="00A92189">
      <w:pPr>
        <w:pStyle w:val="Testonotaapidipagina"/>
      </w:pPr>
      <w:r>
        <w:rPr>
          <w:rStyle w:val="Rimandonotaapidipagina"/>
        </w:rPr>
        <w:footnoteRef/>
      </w:r>
      <w:r w:rsidRPr="004D3908">
        <w:t>https://www.bfs.admin.ch/bfs/it/home/statistiche/sicurezza-sociale/aiuto-sociale/beneficiari-aiuto-sociale-senso-lato/aiuto-sociale-economico.html</w:t>
      </w:r>
    </w:p>
  </w:footnote>
  <w:footnote w:id="4">
    <w:p w:rsidR="00250939" w:rsidRPr="009F3C6A" w:rsidRDefault="00250939" w:rsidP="00A92189">
      <w:pPr>
        <w:pStyle w:val="Testonotaapidipagina"/>
        <w:rPr>
          <w:rFonts w:ascii="Arial" w:hAnsi="Arial" w:cs="Arial"/>
          <w:sz w:val="18"/>
          <w:szCs w:val="18"/>
        </w:rPr>
      </w:pPr>
      <w:r w:rsidRPr="009F3C6A">
        <w:rPr>
          <w:rStyle w:val="Rimandonotaapidipagina"/>
          <w:rFonts w:ascii="Arial" w:hAnsi="Arial" w:cs="Arial"/>
          <w:sz w:val="18"/>
          <w:szCs w:val="18"/>
        </w:rPr>
        <w:footnoteRef/>
      </w:r>
      <w:r w:rsidRPr="009F3C6A">
        <w:rPr>
          <w:rFonts w:ascii="Arial" w:hAnsi="Arial" w:cs="Arial"/>
          <w:sz w:val="18"/>
          <w:szCs w:val="18"/>
        </w:rPr>
        <w:t>http://www.contro-la-poverta.ch/programma-nazionale/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2F0E"/>
    <w:multiLevelType w:val="hybridMultilevel"/>
    <w:tmpl w:val="C272300E"/>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nsid w:val="0973203B"/>
    <w:multiLevelType w:val="hybridMultilevel"/>
    <w:tmpl w:val="A9C8E612"/>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1C2560E0"/>
    <w:multiLevelType w:val="hybridMultilevel"/>
    <w:tmpl w:val="931405BC"/>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nsid w:val="1F9C67F7"/>
    <w:multiLevelType w:val="hybridMultilevel"/>
    <w:tmpl w:val="AA90E6F0"/>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5">
    <w:nsid w:val="2A16559D"/>
    <w:multiLevelType w:val="hybridMultilevel"/>
    <w:tmpl w:val="3D3A2E4E"/>
    <w:lvl w:ilvl="0" w:tplc="7BD4E168">
      <w:numFmt w:val="bullet"/>
      <w:lvlText w:val="-"/>
      <w:lvlJc w:val="left"/>
      <w:pPr>
        <w:ind w:left="1080" w:hanging="360"/>
      </w:pPr>
      <w:rPr>
        <w:rFonts w:ascii="Calibri" w:eastAsia="Calibri" w:hAnsi="Calibri" w:cs="Calibri" w:hint="default"/>
      </w:rPr>
    </w:lvl>
    <w:lvl w:ilvl="1" w:tplc="08100003" w:tentative="1">
      <w:start w:val="1"/>
      <w:numFmt w:val="bullet"/>
      <w:lvlText w:val="o"/>
      <w:lvlJc w:val="left"/>
      <w:pPr>
        <w:ind w:left="1800" w:hanging="360"/>
      </w:pPr>
      <w:rPr>
        <w:rFonts w:ascii="Courier New" w:hAnsi="Courier New" w:cs="Courier New" w:hint="default"/>
      </w:rPr>
    </w:lvl>
    <w:lvl w:ilvl="2" w:tplc="08100005" w:tentative="1">
      <w:start w:val="1"/>
      <w:numFmt w:val="bullet"/>
      <w:lvlText w:val=""/>
      <w:lvlJc w:val="left"/>
      <w:pPr>
        <w:ind w:left="2520" w:hanging="360"/>
      </w:pPr>
      <w:rPr>
        <w:rFonts w:ascii="Wingdings" w:hAnsi="Wingdings" w:hint="default"/>
      </w:rPr>
    </w:lvl>
    <w:lvl w:ilvl="3" w:tplc="08100001" w:tentative="1">
      <w:start w:val="1"/>
      <w:numFmt w:val="bullet"/>
      <w:lvlText w:val=""/>
      <w:lvlJc w:val="left"/>
      <w:pPr>
        <w:ind w:left="3240" w:hanging="360"/>
      </w:pPr>
      <w:rPr>
        <w:rFonts w:ascii="Symbol" w:hAnsi="Symbol" w:hint="default"/>
      </w:rPr>
    </w:lvl>
    <w:lvl w:ilvl="4" w:tplc="08100003" w:tentative="1">
      <w:start w:val="1"/>
      <w:numFmt w:val="bullet"/>
      <w:lvlText w:val="o"/>
      <w:lvlJc w:val="left"/>
      <w:pPr>
        <w:ind w:left="3960" w:hanging="360"/>
      </w:pPr>
      <w:rPr>
        <w:rFonts w:ascii="Courier New" w:hAnsi="Courier New" w:cs="Courier New" w:hint="default"/>
      </w:rPr>
    </w:lvl>
    <w:lvl w:ilvl="5" w:tplc="08100005" w:tentative="1">
      <w:start w:val="1"/>
      <w:numFmt w:val="bullet"/>
      <w:lvlText w:val=""/>
      <w:lvlJc w:val="left"/>
      <w:pPr>
        <w:ind w:left="4680" w:hanging="360"/>
      </w:pPr>
      <w:rPr>
        <w:rFonts w:ascii="Wingdings" w:hAnsi="Wingdings" w:hint="default"/>
      </w:rPr>
    </w:lvl>
    <w:lvl w:ilvl="6" w:tplc="08100001" w:tentative="1">
      <w:start w:val="1"/>
      <w:numFmt w:val="bullet"/>
      <w:lvlText w:val=""/>
      <w:lvlJc w:val="left"/>
      <w:pPr>
        <w:ind w:left="5400" w:hanging="360"/>
      </w:pPr>
      <w:rPr>
        <w:rFonts w:ascii="Symbol" w:hAnsi="Symbol" w:hint="default"/>
      </w:rPr>
    </w:lvl>
    <w:lvl w:ilvl="7" w:tplc="08100003" w:tentative="1">
      <w:start w:val="1"/>
      <w:numFmt w:val="bullet"/>
      <w:lvlText w:val="o"/>
      <w:lvlJc w:val="left"/>
      <w:pPr>
        <w:ind w:left="6120" w:hanging="360"/>
      </w:pPr>
      <w:rPr>
        <w:rFonts w:ascii="Courier New" w:hAnsi="Courier New" w:cs="Courier New" w:hint="default"/>
      </w:rPr>
    </w:lvl>
    <w:lvl w:ilvl="8" w:tplc="08100005" w:tentative="1">
      <w:start w:val="1"/>
      <w:numFmt w:val="bullet"/>
      <w:lvlText w:val=""/>
      <w:lvlJc w:val="left"/>
      <w:pPr>
        <w:ind w:left="6840" w:hanging="360"/>
      </w:pPr>
      <w:rPr>
        <w:rFonts w:ascii="Wingdings" w:hAnsi="Wingdings" w:hint="default"/>
      </w:rPr>
    </w:lvl>
  </w:abstractNum>
  <w:abstractNum w:abstractNumId="6">
    <w:nsid w:val="42515706"/>
    <w:multiLevelType w:val="multilevel"/>
    <w:tmpl w:val="7F182A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4CE123BF"/>
    <w:multiLevelType w:val="hybridMultilevel"/>
    <w:tmpl w:val="20828D62"/>
    <w:lvl w:ilvl="0" w:tplc="1C74F142">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nsid w:val="7CC149FC"/>
    <w:multiLevelType w:val="hybridMultilevel"/>
    <w:tmpl w:val="3C4474E0"/>
    <w:lvl w:ilvl="0" w:tplc="0E48418E">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9"/>
  </w:num>
  <w:num w:numId="4">
    <w:abstractNumId w:val="2"/>
  </w:num>
  <w:num w:numId="5">
    <w:abstractNumId w:val="1"/>
  </w:num>
  <w:num w:numId="6">
    <w:abstractNumId w:val="5"/>
  </w:num>
  <w:num w:numId="7">
    <w:abstractNumId w:val="10"/>
  </w:num>
  <w:num w:numId="8">
    <w:abstractNumId w:val="3"/>
  </w:num>
  <w:num w:numId="9">
    <w:abstractNumId w:val="7"/>
  </w:num>
  <w:num w:numId="10">
    <w:abstractNumId w:val="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1476A"/>
    <w:rsid w:val="00076E70"/>
    <w:rsid w:val="00250939"/>
    <w:rsid w:val="002E5E40"/>
    <w:rsid w:val="0052425A"/>
    <w:rsid w:val="00586A8D"/>
    <w:rsid w:val="005F66A0"/>
    <w:rsid w:val="006D7A3B"/>
    <w:rsid w:val="00711536"/>
    <w:rsid w:val="007B5462"/>
    <w:rsid w:val="008034BD"/>
    <w:rsid w:val="008432CB"/>
    <w:rsid w:val="00876352"/>
    <w:rsid w:val="008B4137"/>
    <w:rsid w:val="008C249E"/>
    <w:rsid w:val="008C767A"/>
    <w:rsid w:val="008E77C6"/>
    <w:rsid w:val="00967A5F"/>
    <w:rsid w:val="009770BB"/>
    <w:rsid w:val="009E008D"/>
    <w:rsid w:val="009E0EB1"/>
    <w:rsid w:val="009F3C6A"/>
    <w:rsid w:val="00A5465F"/>
    <w:rsid w:val="00A77678"/>
    <w:rsid w:val="00A92189"/>
    <w:rsid w:val="00B3148F"/>
    <w:rsid w:val="00BC3F9E"/>
    <w:rsid w:val="00BC4C95"/>
    <w:rsid w:val="00BD5944"/>
    <w:rsid w:val="00BD7BB0"/>
    <w:rsid w:val="00BF6C96"/>
    <w:rsid w:val="00CF6858"/>
    <w:rsid w:val="00D377B5"/>
    <w:rsid w:val="00D93B31"/>
    <w:rsid w:val="00DB0EF3"/>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customStyle="1" w:styleId="Default">
    <w:name w:val="Default"/>
    <w:rsid w:val="00A92189"/>
    <w:pPr>
      <w:autoSpaceDE w:val="0"/>
      <w:autoSpaceDN w:val="0"/>
      <w:adjustRightInd w:val="0"/>
      <w:jc w:val="left"/>
    </w:pPr>
    <w:rPr>
      <w:rFonts w:ascii="Arial" w:hAnsi="Arial" w:cs="Arial"/>
      <w:color w:val="000000"/>
      <w:sz w:val="24"/>
      <w:szCs w:val="24"/>
    </w:rPr>
  </w:style>
  <w:style w:type="character" w:styleId="Rimandonotaapidipagina">
    <w:name w:val="footnote reference"/>
    <w:basedOn w:val="Carpredefinitoparagrafo"/>
    <w:semiHidden/>
    <w:rsid w:val="00A92189"/>
    <w:rPr>
      <w:rFonts w:cs="Times New Roman"/>
      <w:vertAlign w:val="superscript"/>
    </w:rPr>
  </w:style>
  <w:style w:type="paragraph" w:styleId="NormaleWeb">
    <w:name w:val="Normal (Web)"/>
    <w:basedOn w:val="Normale"/>
    <w:uiPriority w:val="99"/>
    <w:semiHidden/>
    <w:unhideWhenUsed/>
    <w:rsid w:val="00A92189"/>
    <w:pPr>
      <w:spacing w:after="138"/>
      <w:jc w:val="left"/>
    </w:pPr>
    <w:rPr>
      <w:rFonts w:ascii="Times New Roman" w:eastAsia="Times New Roman" w:hAnsi="Times New Roman" w:cs="Times New Roman"/>
      <w:sz w:val="26"/>
      <w:szCs w:val="26"/>
      <w:lang w:eastAsia="it-CH"/>
    </w:rPr>
  </w:style>
  <w:style w:type="paragraph" w:styleId="Testonotaapidipagina">
    <w:name w:val="footnote text"/>
    <w:basedOn w:val="Normale"/>
    <w:link w:val="TestonotaapidipaginaCarattere"/>
    <w:semiHidden/>
    <w:rsid w:val="00A92189"/>
    <w:pPr>
      <w:jc w:val="left"/>
    </w:pPr>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semiHidden/>
    <w:rsid w:val="00A92189"/>
    <w:rPr>
      <w:rFonts w:ascii="Calibri" w:eastAsia="Calibri" w:hAnsi="Calibri" w:cs="Times New Roman"/>
      <w:sz w:val="20"/>
      <w:szCs w:val="20"/>
    </w:rPr>
  </w:style>
  <w:style w:type="paragraph" w:styleId="Testofumetto">
    <w:name w:val="Balloon Text"/>
    <w:basedOn w:val="Normale"/>
    <w:link w:val="TestofumettoCarattere"/>
    <w:uiPriority w:val="99"/>
    <w:semiHidden/>
    <w:unhideWhenUsed/>
    <w:rsid w:val="00BD7BB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7BB0"/>
    <w:rPr>
      <w:rFonts w:ascii="Tahoma" w:hAnsi="Tahoma" w:cs="Tahoma"/>
      <w:sz w:val="16"/>
      <w:szCs w:val="16"/>
    </w:rPr>
  </w:style>
  <w:style w:type="character" w:styleId="Collegamentoipertestuale">
    <w:name w:val="Hyperlink"/>
    <w:basedOn w:val="Carpredefinitoparagrafo"/>
    <w:uiPriority w:val="99"/>
    <w:unhideWhenUsed/>
    <w:rsid w:val="005F66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customStyle="1" w:styleId="Default">
    <w:name w:val="Default"/>
    <w:rsid w:val="00A92189"/>
    <w:pPr>
      <w:autoSpaceDE w:val="0"/>
      <w:autoSpaceDN w:val="0"/>
      <w:adjustRightInd w:val="0"/>
      <w:jc w:val="left"/>
    </w:pPr>
    <w:rPr>
      <w:rFonts w:ascii="Arial" w:hAnsi="Arial" w:cs="Arial"/>
      <w:color w:val="000000"/>
      <w:sz w:val="24"/>
      <w:szCs w:val="24"/>
    </w:rPr>
  </w:style>
  <w:style w:type="character" w:styleId="Rimandonotaapidipagina">
    <w:name w:val="footnote reference"/>
    <w:basedOn w:val="Carpredefinitoparagrafo"/>
    <w:semiHidden/>
    <w:rsid w:val="00A92189"/>
    <w:rPr>
      <w:rFonts w:cs="Times New Roman"/>
      <w:vertAlign w:val="superscript"/>
    </w:rPr>
  </w:style>
  <w:style w:type="paragraph" w:styleId="NormaleWeb">
    <w:name w:val="Normal (Web)"/>
    <w:basedOn w:val="Normale"/>
    <w:uiPriority w:val="99"/>
    <w:semiHidden/>
    <w:unhideWhenUsed/>
    <w:rsid w:val="00A92189"/>
    <w:pPr>
      <w:spacing w:after="138"/>
      <w:jc w:val="left"/>
    </w:pPr>
    <w:rPr>
      <w:rFonts w:ascii="Times New Roman" w:eastAsia="Times New Roman" w:hAnsi="Times New Roman" w:cs="Times New Roman"/>
      <w:sz w:val="26"/>
      <w:szCs w:val="26"/>
      <w:lang w:eastAsia="it-CH"/>
    </w:rPr>
  </w:style>
  <w:style w:type="paragraph" w:styleId="Testonotaapidipagina">
    <w:name w:val="footnote text"/>
    <w:basedOn w:val="Normale"/>
    <w:link w:val="TestonotaapidipaginaCarattere"/>
    <w:semiHidden/>
    <w:rsid w:val="00A92189"/>
    <w:pPr>
      <w:jc w:val="left"/>
    </w:pPr>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semiHidden/>
    <w:rsid w:val="00A92189"/>
    <w:rPr>
      <w:rFonts w:ascii="Calibri" w:eastAsia="Calibri" w:hAnsi="Calibri" w:cs="Times New Roman"/>
      <w:sz w:val="20"/>
      <w:szCs w:val="20"/>
    </w:rPr>
  </w:style>
  <w:style w:type="paragraph" w:styleId="Testofumetto">
    <w:name w:val="Balloon Text"/>
    <w:basedOn w:val="Normale"/>
    <w:link w:val="TestofumettoCarattere"/>
    <w:uiPriority w:val="99"/>
    <w:semiHidden/>
    <w:unhideWhenUsed/>
    <w:rsid w:val="00BD7BB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7BB0"/>
    <w:rPr>
      <w:rFonts w:ascii="Tahoma" w:hAnsi="Tahoma" w:cs="Tahoma"/>
      <w:sz w:val="16"/>
      <w:szCs w:val="16"/>
    </w:rPr>
  </w:style>
  <w:style w:type="character" w:styleId="Collegamentoipertestuale">
    <w:name w:val="Hyperlink"/>
    <w:basedOn w:val="Carpredefinitoparagrafo"/>
    <w:uiPriority w:val="99"/>
    <w:unhideWhenUsed/>
    <w:rsid w:val="005F66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ww.bfs.admin.ch/bfsstatic/dam/assets/1600613/thumbnail?width=1980&amp;height=1200"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C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de-CH"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it-CH" sz="1100">
                <a:latin typeface="Arial" panose="020B0604020202020204" pitchFamily="34" charset="0"/>
                <a:cs typeface="Arial" panose="020B0604020202020204" pitchFamily="34" charset="0"/>
              </a:rPr>
              <a:t>Statuto occupazione del titolare, domande al 31.12</a:t>
            </a:r>
          </a:p>
        </c:rich>
      </c:tx>
      <c:overlay val="0"/>
      <c:spPr>
        <a:noFill/>
        <a:ln>
          <a:noFill/>
        </a:ln>
        <a:effectLst/>
      </c:spPr>
    </c:title>
    <c:autoTitleDeleted val="0"/>
    <c:plotArea>
      <c:layout/>
      <c:barChart>
        <c:barDir val="col"/>
        <c:grouping val="clustered"/>
        <c:varyColors val="0"/>
        <c:ser>
          <c:idx val="0"/>
          <c:order val="0"/>
          <c:tx>
            <c:strRef>
              <c:f>Foglio1!$B$2</c:f>
              <c:strCache>
                <c:ptCount val="1"/>
                <c:pt idx="0">
                  <c:v>dic.12</c:v>
                </c:pt>
              </c:strCache>
            </c:strRef>
          </c:tx>
          <c:spPr>
            <a:solidFill>
              <a:schemeClr val="accent1"/>
            </a:solidFill>
            <a:ln>
              <a:noFill/>
            </a:ln>
            <a:effectLst/>
          </c:spPr>
          <c:invertIfNegative val="0"/>
          <c:cat>
            <c:strRef>
              <c:f>Foglio1!$A$3:$A$6</c:f>
              <c:strCache>
                <c:ptCount val="4"/>
                <c:pt idx="0">
                  <c:v>Occupati</c:v>
                </c:pt>
                <c:pt idx="1">
                  <c:v>Disoccupati</c:v>
                </c:pt>
                <c:pt idx="2">
                  <c:v>Inattivi</c:v>
                </c:pt>
                <c:pt idx="3">
                  <c:v>Totale</c:v>
                </c:pt>
              </c:strCache>
            </c:strRef>
          </c:cat>
          <c:val>
            <c:numRef>
              <c:f>Foglio1!$B$3:$B$6</c:f>
              <c:numCache>
                <c:formatCode>General</c:formatCode>
                <c:ptCount val="4"/>
                <c:pt idx="0">
                  <c:v>634</c:v>
                </c:pt>
                <c:pt idx="1">
                  <c:v>1788</c:v>
                </c:pt>
                <c:pt idx="2">
                  <c:v>1446</c:v>
                </c:pt>
                <c:pt idx="3">
                  <c:v>3868</c:v>
                </c:pt>
              </c:numCache>
            </c:numRef>
          </c:val>
        </c:ser>
        <c:ser>
          <c:idx val="1"/>
          <c:order val="1"/>
          <c:tx>
            <c:strRef>
              <c:f>Foglio1!$C$2</c:f>
              <c:strCache>
                <c:ptCount val="1"/>
                <c:pt idx="0">
                  <c:v>dic.13</c:v>
                </c:pt>
              </c:strCache>
            </c:strRef>
          </c:tx>
          <c:spPr>
            <a:solidFill>
              <a:schemeClr val="accent2"/>
            </a:solidFill>
            <a:ln>
              <a:noFill/>
            </a:ln>
            <a:effectLst/>
          </c:spPr>
          <c:invertIfNegative val="0"/>
          <c:cat>
            <c:strRef>
              <c:f>Foglio1!$A$3:$A$6</c:f>
              <c:strCache>
                <c:ptCount val="4"/>
                <c:pt idx="0">
                  <c:v>Occupati</c:v>
                </c:pt>
                <c:pt idx="1">
                  <c:v>Disoccupati</c:v>
                </c:pt>
                <c:pt idx="2">
                  <c:v>Inattivi</c:v>
                </c:pt>
                <c:pt idx="3">
                  <c:v>Totale</c:v>
                </c:pt>
              </c:strCache>
            </c:strRef>
          </c:cat>
          <c:val>
            <c:numRef>
              <c:f>Foglio1!$C$3:$C$6</c:f>
              <c:numCache>
                <c:formatCode>General</c:formatCode>
                <c:ptCount val="4"/>
                <c:pt idx="0">
                  <c:v>692</c:v>
                </c:pt>
                <c:pt idx="1">
                  <c:v>2101</c:v>
                </c:pt>
                <c:pt idx="2">
                  <c:v>1499</c:v>
                </c:pt>
                <c:pt idx="3">
                  <c:v>4292</c:v>
                </c:pt>
              </c:numCache>
            </c:numRef>
          </c:val>
        </c:ser>
        <c:ser>
          <c:idx val="2"/>
          <c:order val="2"/>
          <c:tx>
            <c:strRef>
              <c:f>Foglio1!$D$2</c:f>
              <c:strCache>
                <c:ptCount val="1"/>
                <c:pt idx="0">
                  <c:v>dic.14</c:v>
                </c:pt>
              </c:strCache>
            </c:strRef>
          </c:tx>
          <c:spPr>
            <a:solidFill>
              <a:schemeClr val="accent3"/>
            </a:solidFill>
            <a:ln>
              <a:noFill/>
            </a:ln>
            <a:effectLst/>
          </c:spPr>
          <c:invertIfNegative val="0"/>
          <c:cat>
            <c:strRef>
              <c:f>Foglio1!$A$3:$A$6</c:f>
              <c:strCache>
                <c:ptCount val="4"/>
                <c:pt idx="0">
                  <c:v>Occupati</c:v>
                </c:pt>
                <c:pt idx="1">
                  <c:v>Disoccupati</c:v>
                </c:pt>
                <c:pt idx="2">
                  <c:v>Inattivi</c:v>
                </c:pt>
                <c:pt idx="3">
                  <c:v>Totale</c:v>
                </c:pt>
              </c:strCache>
            </c:strRef>
          </c:cat>
          <c:val>
            <c:numRef>
              <c:f>Foglio1!$D$3:$D$6</c:f>
              <c:numCache>
                <c:formatCode>General</c:formatCode>
                <c:ptCount val="4"/>
                <c:pt idx="0">
                  <c:v>813</c:v>
                </c:pt>
                <c:pt idx="1">
                  <c:v>2168</c:v>
                </c:pt>
                <c:pt idx="2">
                  <c:v>1701</c:v>
                </c:pt>
                <c:pt idx="3">
                  <c:v>4682</c:v>
                </c:pt>
              </c:numCache>
            </c:numRef>
          </c:val>
        </c:ser>
        <c:ser>
          <c:idx val="3"/>
          <c:order val="3"/>
          <c:tx>
            <c:strRef>
              <c:f>Foglio1!$E$2</c:f>
              <c:strCache>
                <c:ptCount val="1"/>
                <c:pt idx="0">
                  <c:v>dic.15</c:v>
                </c:pt>
              </c:strCache>
            </c:strRef>
          </c:tx>
          <c:spPr>
            <a:solidFill>
              <a:schemeClr val="accent4"/>
            </a:solidFill>
            <a:ln>
              <a:noFill/>
            </a:ln>
            <a:effectLst/>
          </c:spPr>
          <c:invertIfNegative val="0"/>
          <c:cat>
            <c:strRef>
              <c:f>Foglio1!$A$3:$A$6</c:f>
              <c:strCache>
                <c:ptCount val="4"/>
                <c:pt idx="0">
                  <c:v>Occupati</c:v>
                </c:pt>
                <c:pt idx="1">
                  <c:v>Disoccupati</c:v>
                </c:pt>
                <c:pt idx="2">
                  <c:v>Inattivi</c:v>
                </c:pt>
                <c:pt idx="3">
                  <c:v>Totale</c:v>
                </c:pt>
              </c:strCache>
            </c:strRef>
          </c:cat>
          <c:val>
            <c:numRef>
              <c:f>Foglio1!$E$3:$E$6</c:f>
              <c:numCache>
                <c:formatCode>General</c:formatCode>
                <c:ptCount val="4"/>
                <c:pt idx="0">
                  <c:v>910</c:v>
                </c:pt>
                <c:pt idx="1">
                  <c:v>2250</c:v>
                </c:pt>
                <c:pt idx="2">
                  <c:v>1701</c:v>
                </c:pt>
                <c:pt idx="3">
                  <c:v>4861</c:v>
                </c:pt>
              </c:numCache>
            </c:numRef>
          </c:val>
        </c:ser>
        <c:ser>
          <c:idx val="4"/>
          <c:order val="4"/>
          <c:tx>
            <c:strRef>
              <c:f>Foglio1!$F$2</c:f>
              <c:strCache>
                <c:ptCount val="1"/>
                <c:pt idx="0">
                  <c:v>dic.16</c:v>
                </c:pt>
              </c:strCache>
            </c:strRef>
          </c:tx>
          <c:spPr>
            <a:solidFill>
              <a:schemeClr val="accent5"/>
            </a:solidFill>
            <a:ln>
              <a:noFill/>
            </a:ln>
            <a:effectLst/>
          </c:spPr>
          <c:invertIfNegative val="0"/>
          <c:cat>
            <c:strRef>
              <c:f>Foglio1!$A$3:$A$6</c:f>
              <c:strCache>
                <c:ptCount val="4"/>
                <c:pt idx="0">
                  <c:v>Occupati</c:v>
                </c:pt>
                <c:pt idx="1">
                  <c:v>Disoccupati</c:v>
                </c:pt>
                <c:pt idx="2">
                  <c:v>Inattivi</c:v>
                </c:pt>
                <c:pt idx="3">
                  <c:v>Totale</c:v>
                </c:pt>
              </c:strCache>
            </c:strRef>
          </c:cat>
          <c:val>
            <c:numRef>
              <c:f>Foglio1!$F$3:$F$6</c:f>
              <c:numCache>
                <c:formatCode>General</c:formatCode>
                <c:ptCount val="4"/>
                <c:pt idx="0">
                  <c:v>1116</c:v>
                </c:pt>
                <c:pt idx="1">
                  <c:v>2401</c:v>
                </c:pt>
                <c:pt idx="2">
                  <c:v>1751</c:v>
                </c:pt>
                <c:pt idx="3">
                  <c:v>5268</c:v>
                </c:pt>
              </c:numCache>
            </c:numRef>
          </c:val>
        </c:ser>
        <c:dLbls>
          <c:showLegendKey val="0"/>
          <c:showVal val="0"/>
          <c:showCatName val="0"/>
          <c:showSerName val="0"/>
          <c:showPercent val="0"/>
          <c:showBubbleSize val="0"/>
        </c:dLbls>
        <c:gapWidth val="219"/>
        <c:overlap val="-27"/>
        <c:axId val="151753856"/>
        <c:axId val="151756800"/>
      </c:barChart>
      <c:catAx>
        <c:axId val="151753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de-CH" sz="900" b="0" i="0" u="none" strike="noStrike" kern="1200" baseline="0">
                <a:solidFill>
                  <a:schemeClr val="tx1">
                    <a:lumMod val="65000"/>
                    <a:lumOff val="35000"/>
                  </a:schemeClr>
                </a:solidFill>
                <a:latin typeface="+mn-lt"/>
                <a:ea typeface="+mn-ea"/>
                <a:cs typeface="+mn-cs"/>
              </a:defRPr>
            </a:pPr>
            <a:endParaRPr lang="it-CH"/>
          </a:p>
        </c:txPr>
        <c:crossAx val="151756800"/>
        <c:crosses val="autoZero"/>
        <c:auto val="1"/>
        <c:lblAlgn val="ctr"/>
        <c:lblOffset val="100"/>
        <c:noMultiLvlLbl val="0"/>
      </c:catAx>
      <c:valAx>
        <c:axId val="151756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de-CH" sz="900" b="0" i="0" u="none" strike="noStrike" kern="1200" baseline="0">
                <a:solidFill>
                  <a:schemeClr val="tx1">
                    <a:lumMod val="65000"/>
                    <a:lumOff val="35000"/>
                  </a:schemeClr>
                </a:solidFill>
                <a:latin typeface="+mn-lt"/>
                <a:ea typeface="+mn-ea"/>
                <a:cs typeface="+mn-cs"/>
              </a:defRPr>
            </a:pPr>
            <a:endParaRPr lang="it-CH"/>
          </a:p>
        </c:txPr>
        <c:crossAx val="151753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de-CH" sz="900" b="0" i="0" u="none" strike="noStrike" kern="1200" baseline="0">
              <a:solidFill>
                <a:schemeClr val="tx1">
                  <a:lumMod val="65000"/>
                  <a:lumOff val="35000"/>
                </a:schemeClr>
              </a:solidFill>
              <a:latin typeface="+mn-lt"/>
              <a:ea typeface="+mn-ea"/>
              <a:cs typeface="+mn-cs"/>
            </a:defRPr>
          </a:pPr>
          <a:endParaRPr lang="it-CH"/>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CH"/>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C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de-CH"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it-CH" sz="1100">
                <a:latin typeface="Arial" panose="020B0604020202020204" pitchFamily="34" charset="0"/>
                <a:cs typeface="Arial" panose="020B0604020202020204" pitchFamily="34" charset="0"/>
              </a:rPr>
              <a:t>Tipologia familiare, domande al 31.12</a:t>
            </a:r>
          </a:p>
        </c:rich>
      </c:tx>
      <c:overlay val="0"/>
      <c:spPr>
        <a:noFill/>
        <a:ln>
          <a:noFill/>
        </a:ln>
        <a:effectLst/>
      </c:spPr>
    </c:title>
    <c:autoTitleDeleted val="0"/>
    <c:plotArea>
      <c:layout/>
      <c:barChart>
        <c:barDir val="col"/>
        <c:grouping val="clustered"/>
        <c:varyColors val="0"/>
        <c:ser>
          <c:idx val="0"/>
          <c:order val="0"/>
          <c:tx>
            <c:strRef>
              <c:f>Foglio1!$B$9</c:f>
              <c:strCache>
                <c:ptCount val="1"/>
                <c:pt idx="0">
                  <c:v>dic.12</c:v>
                </c:pt>
              </c:strCache>
            </c:strRef>
          </c:tx>
          <c:spPr>
            <a:solidFill>
              <a:schemeClr val="accent1"/>
            </a:solidFill>
            <a:ln>
              <a:noFill/>
            </a:ln>
            <a:effectLst/>
          </c:spPr>
          <c:invertIfNegative val="0"/>
          <c:cat>
            <c:strRef>
              <c:f>Foglio1!$A$10:$A$14</c:f>
              <c:strCache>
                <c:ptCount val="5"/>
                <c:pt idx="0">
                  <c:v>Persone sole</c:v>
                </c:pt>
                <c:pt idx="1">
                  <c:v>Coppie senza figli</c:v>
                </c:pt>
                <c:pt idx="2">
                  <c:v>Persone sole con figli</c:v>
                </c:pt>
                <c:pt idx="3">
                  <c:v>Coppie con figli</c:v>
                </c:pt>
                <c:pt idx="4">
                  <c:v>Totale</c:v>
                </c:pt>
              </c:strCache>
            </c:strRef>
          </c:cat>
          <c:val>
            <c:numRef>
              <c:f>Foglio1!$B$10:$B$14</c:f>
              <c:numCache>
                <c:formatCode>General</c:formatCode>
                <c:ptCount val="5"/>
                <c:pt idx="0">
                  <c:v>2819</c:v>
                </c:pt>
                <c:pt idx="1">
                  <c:v>194</c:v>
                </c:pt>
                <c:pt idx="2">
                  <c:v>616</c:v>
                </c:pt>
                <c:pt idx="3">
                  <c:v>239</c:v>
                </c:pt>
                <c:pt idx="4" formatCode="#,##0">
                  <c:v>3868</c:v>
                </c:pt>
              </c:numCache>
            </c:numRef>
          </c:val>
        </c:ser>
        <c:ser>
          <c:idx val="1"/>
          <c:order val="1"/>
          <c:tx>
            <c:strRef>
              <c:f>Foglio1!$C$9</c:f>
              <c:strCache>
                <c:ptCount val="1"/>
                <c:pt idx="0">
                  <c:v>dic.13</c:v>
                </c:pt>
              </c:strCache>
            </c:strRef>
          </c:tx>
          <c:spPr>
            <a:solidFill>
              <a:schemeClr val="accent2"/>
            </a:solidFill>
            <a:ln>
              <a:noFill/>
            </a:ln>
            <a:effectLst/>
          </c:spPr>
          <c:invertIfNegative val="0"/>
          <c:cat>
            <c:strRef>
              <c:f>Foglio1!$A$10:$A$14</c:f>
              <c:strCache>
                <c:ptCount val="5"/>
                <c:pt idx="0">
                  <c:v>Persone sole</c:v>
                </c:pt>
                <c:pt idx="1">
                  <c:v>Coppie senza figli</c:v>
                </c:pt>
                <c:pt idx="2">
                  <c:v>Persone sole con figli</c:v>
                </c:pt>
                <c:pt idx="3">
                  <c:v>Coppie con figli</c:v>
                </c:pt>
                <c:pt idx="4">
                  <c:v>Totale</c:v>
                </c:pt>
              </c:strCache>
            </c:strRef>
          </c:cat>
          <c:val>
            <c:numRef>
              <c:f>Foglio1!$C$10:$C$14</c:f>
              <c:numCache>
                <c:formatCode>General</c:formatCode>
                <c:ptCount val="5"/>
                <c:pt idx="0">
                  <c:v>3092</c:v>
                </c:pt>
                <c:pt idx="1">
                  <c:v>215</c:v>
                </c:pt>
                <c:pt idx="2">
                  <c:v>703</c:v>
                </c:pt>
                <c:pt idx="3">
                  <c:v>282</c:v>
                </c:pt>
                <c:pt idx="4" formatCode="#,##0">
                  <c:v>4292</c:v>
                </c:pt>
              </c:numCache>
            </c:numRef>
          </c:val>
        </c:ser>
        <c:ser>
          <c:idx val="2"/>
          <c:order val="2"/>
          <c:tx>
            <c:strRef>
              <c:f>Foglio1!$D$9</c:f>
              <c:strCache>
                <c:ptCount val="1"/>
                <c:pt idx="0">
                  <c:v>dic.14</c:v>
                </c:pt>
              </c:strCache>
            </c:strRef>
          </c:tx>
          <c:spPr>
            <a:solidFill>
              <a:schemeClr val="accent3"/>
            </a:solidFill>
            <a:ln>
              <a:noFill/>
            </a:ln>
            <a:effectLst/>
          </c:spPr>
          <c:invertIfNegative val="0"/>
          <c:cat>
            <c:strRef>
              <c:f>Foglio1!$A$10:$A$14</c:f>
              <c:strCache>
                <c:ptCount val="5"/>
                <c:pt idx="0">
                  <c:v>Persone sole</c:v>
                </c:pt>
                <c:pt idx="1">
                  <c:v>Coppie senza figli</c:v>
                </c:pt>
                <c:pt idx="2">
                  <c:v>Persone sole con figli</c:v>
                </c:pt>
                <c:pt idx="3">
                  <c:v>Coppie con figli</c:v>
                </c:pt>
                <c:pt idx="4">
                  <c:v>Totale</c:v>
                </c:pt>
              </c:strCache>
            </c:strRef>
          </c:cat>
          <c:val>
            <c:numRef>
              <c:f>Foglio1!$D$10:$D$14</c:f>
              <c:numCache>
                <c:formatCode>General</c:formatCode>
                <c:ptCount val="5"/>
                <c:pt idx="0">
                  <c:v>3400</c:v>
                </c:pt>
                <c:pt idx="1">
                  <c:v>235</c:v>
                </c:pt>
                <c:pt idx="2">
                  <c:v>737</c:v>
                </c:pt>
                <c:pt idx="3">
                  <c:v>310</c:v>
                </c:pt>
                <c:pt idx="4" formatCode="#,##0">
                  <c:v>4682</c:v>
                </c:pt>
              </c:numCache>
            </c:numRef>
          </c:val>
        </c:ser>
        <c:ser>
          <c:idx val="3"/>
          <c:order val="3"/>
          <c:tx>
            <c:strRef>
              <c:f>Foglio1!$E$9</c:f>
              <c:strCache>
                <c:ptCount val="1"/>
                <c:pt idx="0">
                  <c:v>dic.15</c:v>
                </c:pt>
              </c:strCache>
            </c:strRef>
          </c:tx>
          <c:spPr>
            <a:solidFill>
              <a:schemeClr val="accent4"/>
            </a:solidFill>
            <a:ln>
              <a:noFill/>
            </a:ln>
            <a:effectLst/>
          </c:spPr>
          <c:invertIfNegative val="0"/>
          <c:cat>
            <c:strRef>
              <c:f>Foglio1!$A$10:$A$14</c:f>
              <c:strCache>
                <c:ptCount val="5"/>
                <c:pt idx="0">
                  <c:v>Persone sole</c:v>
                </c:pt>
                <c:pt idx="1">
                  <c:v>Coppie senza figli</c:v>
                </c:pt>
                <c:pt idx="2">
                  <c:v>Persone sole con figli</c:v>
                </c:pt>
                <c:pt idx="3">
                  <c:v>Coppie con figli</c:v>
                </c:pt>
                <c:pt idx="4">
                  <c:v>Totale</c:v>
                </c:pt>
              </c:strCache>
            </c:strRef>
          </c:cat>
          <c:val>
            <c:numRef>
              <c:f>Foglio1!$E$10:$E$14</c:f>
              <c:numCache>
                <c:formatCode>General</c:formatCode>
                <c:ptCount val="5"/>
                <c:pt idx="0">
                  <c:v>3595</c:v>
                </c:pt>
                <c:pt idx="1">
                  <c:v>225</c:v>
                </c:pt>
                <c:pt idx="2">
                  <c:v>735</c:v>
                </c:pt>
                <c:pt idx="3">
                  <c:v>306</c:v>
                </c:pt>
                <c:pt idx="4" formatCode="#,##0">
                  <c:v>4861</c:v>
                </c:pt>
              </c:numCache>
            </c:numRef>
          </c:val>
        </c:ser>
        <c:ser>
          <c:idx val="4"/>
          <c:order val="4"/>
          <c:tx>
            <c:strRef>
              <c:f>Foglio1!$F$9</c:f>
              <c:strCache>
                <c:ptCount val="1"/>
                <c:pt idx="0">
                  <c:v>dic.16</c:v>
                </c:pt>
              </c:strCache>
            </c:strRef>
          </c:tx>
          <c:spPr>
            <a:solidFill>
              <a:schemeClr val="accent5"/>
            </a:solidFill>
            <a:ln>
              <a:noFill/>
            </a:ln>
            <a:effectLst/>
          </c:spPr>
          <c:invertIfNegative val="0"/>
          <c:cat>
            <c:strRef>
              <c:f>Foglio1!$A$10:$A$14</c:f>
              <c:strCache>
                <c:ptCount val="5"/>
                <c:pt idx="0">
                  <c:v>Persone sole</c:v>
                </c:pt>
                <c:pt idx="1">
                  <c:v>Coppie senza figli</c:v>
                </c:pt>
                <c:pt idx="2">
                  <c:v>Persone sole con figli</c:v>
                </c:pt>
                <c:pt idx="3">
                  <c:v>Coppie con figli</c:v>
                </c:pt>
                <c:pt idx="4">
                  <c:v>Totale</c:v>
                </c:pt>
              </c:strCache>
            </c:strRef>
          </c:cat>
          <c:val>
            <c:numRef>
              <c:f>Foglio1!$F$10:$F$14</c:f>
              <c:numCache>
                <c:formatCode>General</c:formatCode>
                <c:ptCount val="5"/>
                <c:pt idx="0">
                  <c:v>3828</c:v>
                </c:pt>
                <c:pt idx="1">
                  <c:v>225</c:v>
                </c:pt>
                <c:pt idx="2">
                  <c:v>777</c:v>
                </c:pt>
                <c:pt idx="3">
                  <c:v>438</c:v>
                </c:pt>
                <c:pt idx="4" formatCode="#,##0">
                  <c:v>5268</c:v>
                </c:pt>
              </c:numCache>
            </c:numRef>
          </c:val>
        </c:ser>
        <c:dLbls>
          <c:showLegendKey val="0"/>
          <c:showVal val="0"/>
          <c:showCatName val="0"/>
          <c:showSerName val="0"/>
          <c:showPercent val="0"/>
          <c:showBubbleSize val="0"/>
        </c:dLbls>
        <c:gapWidth val="219"/>
        <c:overlap val="-27"/>
        <c:axId val="37560704"/>
        <c:axId val="37562240"/>
      </c:barChart>
      <c:catAx>
        <c:axId val="37560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de-CH" sz="900" b="0" i="0" u="none" strike="noStrike" kern="1200" baseline="0">
                <a:solidFill>
                  <a:schemeClr val="tx1">
                    <a:lumMod val="65000"/>
                    <a:lumOff val="35000"/>
                  </a:schemeClr>
                </a:solidFill>
                <a:latin typeface="+mn-lt"/>
                <a:ea typeface="+mn-ea"/>
                <a:cs typeface="+mn-cs"/>
              </a:defRPr>
            </a:pPr>
            <a:endParaRPr lang="it-CH"/>
          </a:p>
        </c:txPr>
        <c:crossAx val="37562240"/>
        <c:crosses val="autoZero"/>
        <c:auto val="1"/>
        <c:lblAlgn val="ctr"/>
        <c:lblOffset val="100"/>
        <c:noMultiLvlLbl val="0"/>
      </c:catAx>
      <c:valAx>
        <c:axId val="37562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de-CH" sz="900" b="0" i="0" u="none" strike="noStrike" kern="1200" baseline="0">
                <a:solidFill>
                  <a:schemeClr val="tx1">
                    <a:lumMod val="65000"/>
                    <a:lumOff val="35000"/>
                  </a:schemeClr>
                </a:solidFill>
                <a:latin typeface="+mn-lt"/>
                <a:ea typeface="+mn-ea"/>
                <a:cs typeface="+mn-cs"/>
              </a:defRPr>
            </a:pPr>
            <a:endParaRPr lang="it-CH"/>
          </a:p>
        </c:txPr>
        <c:crossAx val="37560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de-CH" sz="900" b="0" i="0" u="none" strike="noStrike" kern="1200" baseline="0">
              <a:solidFill>
                <a:schemeClr val="tx1">
                  <a:lumMod val="65000"/>
                  <a:lumOff val="35000"/>
                </a:schemeClr>
              </a:solidFill>
              <a:latin typeface="+mn-lt"/>
              <a:ea typeface="+mn-ea"/>
              <a:cs typeface="+mn-cs"/>
            </a:defRPr>
          </a:pPr>
          <a:endParaRPr lang="it-CH"/>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CH"/>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t-CH"/>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'4.T.94_12_16 TITnaz'!$B$20</c:f>
              <c:strCache>
                <c:ptCount val="1"/>
                <c:pt idx="0">
                  <c:v> Dicembre 2015</c:v>
                </c:pt>
              </c:strCache>
            </c:strRef>
          </c:tx>
          <c:invertIfNegative val="0"/>
          <c:dLbls>
            <c:spPr>
              <a:noFill/>
              <a:ln>
                <a:noFill/>
              </a:ln>
              <a:effectLst/>
            </c:spPr>
            <c:txPr>
              <a:bodyPr wrap="square" lIns="38100" tIns="19050" rIns="38100" bIns="19050" anchor="ctr">
                <a:spAutoFit/>
              </a:bodyPr>
              <a:lstStyle/>
              <a:p>
                <a:pPr>
                  <a:defRPr lang="de-CH" sz="800"/>
                </a:pPr>
                <a:endParaRPr lang="it-CH"/>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'4.T.94_12_16 TITnaz'!$A$27:$A$34</c:f>
              <c:strCache>
                <c:ptCount val="8"/>
                <c:pt idx="0">
                  <c:v>Titolari (totale UR)</c:v>
                </c:pt>
                <c:pt idx="1">
                  <c:v> &lt;18 anni</c:v>
                </c:pt>
                <c:pt idx="2">
                  <c:v>18-25 anni</c:v>
                </c:pt>
                <c:pt idx="3">
                  <c:v> 26-35 anni</c:v>
                </c:pt>
                <c:pt idx="4">
                  <c:v>36-45 anni</c:v>
                </c:pt>
                <c:pt idx="5">
                  <c:v>46-55 anni</c:v>
                </c:pt>
                <c:pt idx="6">
                  <c:v>56-65 anni</c:v>
                </c:pt>
                <c:pt idx="7">
                  <c:v>65 anni o più</c:v>
                </c:pt>
              </c:strCache>
            </c:strRef>
          </c:cat>
          <c:val>
            <c:numRef>
              <c:f>'4.T.94_12_16 TITnaz'!$B$27:$B$34</c:f>
              <c:numCache>
                <c:formatCode>#,##0</c:formatCode>
                <c:ptCount val="8"/>
                <c:pt idx="0">
                  <c:v>4861</c:v>
                </c:pt>
                <c:pt idx="1">
                  <c:v>4</c:v>
                </c:pt>
                <c:pt idx="2">
                  <c:v>626</c:v>
                </c:pt>
                <c:pt idx="3">
                  <c:v>937</c:v>
                </c:pt>
                <c:pt idx="4">
                  <c:v>1076</c:v>
                </c:pt>
                <c:pt idx="5">
                  <c:v>1371</c:v>
                </c:pt>
                <c:pt idx="6">
                  <c:v>783</c:v>
                </c:pt>
                <c:pt idx="7">
                  <c:v>64</c:v>
                </c:pt>
              </c:numCache>
            </c:numRef>
          </c:val>
        </c:ser>
        <c:ser>
          <c:idx val="1"/>
          <c:order val="1"/>
          <c:tx>
            <c:strRef>
              <c:f>'4.T.94_12_16 TITnaz'!$E$20</c:f>
              <c:strCache>
                <c:ptCount val="1"/>
                <c:pt idx="0">
                  <c:v> Dicembre 2016</c:v>
                </c:pt>
              </c:strCache>
            </c:strRef>
          </c:tx>
          <c:invertIfNegative val="0"/>
          <c:dLbls>
            <c:spPr>
              <a:noFill/>
              <a:ln>
                <a:noFill/>
              </a:ln>
              <a:effectLst/>
            </c:spPr>
            <c:txPr>
              <a:bodyPr wrap="square" lIns="38100" tIns="19050" rIns="38100" bIns="19050" anchor="ctr">
                <a:spAutoFit/>
              </a:bodyPr>
              <a:lstStyle/>
              <a:p>
                <a:pPr>
                  <a:defRPr lang="de-CH" sz="800"/>
                </a:pPr>
                <a:endParaRPr lang="it-CH"/>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'4.T.94_12_16 TITnaz'!$A$27:$A$34</c:f>
              <c:strCache>
                <c:ptCount val="8"/>
                <c:pt idx="0">
                  <c:v>Titolari (totale UR)</c:v>
                </c:pt>
                <c:pt idx="1">
                  <c:v> &lt;18 anni</c:v>
                </c:pt>
                <c:pt idx="2">
                  <c:v>18-25 anni</c:v>
                </c:pt>
                <c:pt idx="3">
                  <c:v> 26-35 anni</c:v>
                </c:pt>
                <c:pt idx="4">
                  <c:v>36-45 anni</c:v>
                </c:pt>
                <c:pt idx="5">
                  <c:v>46-55 anni</c:v>
                </c:pt>
                <c:pt idx="6">
                  <c:v>56-65 anni</c:v>
                </c:pt>
                <c:pt idx="7">
                  <c:v>65 anni o più</c:v>
                </c:pt>
              </c:strCache>
            </c:strRef>
          </c:cat>
          <c:val>
            <c:numRef>
              <c:f>'4.T.94_12_16 TITnaz'!$E$27:$E$34</c:f>
              <c:numCache>
                <c:formatCode>#,##0</c:formatCode>
                <c:ptCount val="8"/>
                <c:pt idx="0">
                  <c:v>5268</c:v>
                </c:pt>
                <c:pt idx="1">
                  <c:v>6</c:v>
                </c:pt>
                <c:pt idx="2">
                  <c:v>699</c:v>
                </c:pt>
                <c:pt idx="3">
                  <c:v>1040</c:v>
                </c:pt>
                <c:pt idx="4">
                  <c:v>1132</c:v>
                </c:pt>
                <c:pt idx="5">
                  <c:v>1499</c:v>
                </c:pt>
                <c:pt idx="6">
                  <c:v>829</c:v>
                </c:pt>
                <c:pt idx="7">
                  <c:v>63</c:v>
                </c:pt>
              </c:numCache>
            </c:numRef>
          </c:val>
        </c:ser>
        <c:dLbls>
          <c:showLegendKey val="0"/>
          <c:showVal val="1"/>
          <c:showCatName val="0"/>
          <c:showSerName val="0"/>
          <c:showPercent val="0"/>
          <c:showBubbleSize val="0"/>
        </c:dLbls>
        <c:gapWidth val="75"/>
        <c:axId val="81026432"/>
        <c:axId val="103404672"/>
      </c:barChart>
      <c:catAx>
        <c:axId val="81026432"/>
        <c:scaling>
          <c:orientation val="minMax"/>
        </c:scaling>
        <c:delete val="0"/>
        <c:axPos val="b"/>
        <c:numFmt formatCode="General" sourceLinked="0"/>
        <c:majorTickMark val="none"/>
        <c:minorTickMark val="none"/>
        <c:tickLblPos val="nextTo"/>
        <c:txPr>
          <a:bodyPr/>
          <a:lstStyle/>
          <a:p>
            <a:pPr>
              <a:defRPr lang="de-CH"/>
            </a:pPr>
            <a:endParaRPr lang="it-CH"/>
          </a:p>
        </c:txPr>
        <c:crossAx val="103404672"/>
        <c:crosses val="autoZero"/>
        <c:auto val="1"/>
        <c:lblAlgn val="ctr"/>
        <c:lblOffset val="100"/>
        <c:noMultiLvlLbl val="0"/>
      </c:catAx>
      <c:valAx>
        <c:axId val="103404672"/>
        <c:scaling>
          <c:orientation val="minMax"/>
        </c:scaling>
        <c:delete val="0"/>
        <c:axPos val="l"/>
        <c:numFmt formatCode="#,##0" sourceLinked="1"/>
        <c:majorTickMark val="none"/>
        <c:minorTickMark val="none"/>
        <c:tickLblPos val="nextTo"/>
        <c:txPr>
          <a:bodyPr/>
          <a:lstStyle/>
          <a:p>
            <a:pPr>
              <a:defRPr lang="de-CH"/>
            </a:pPr>
            <a:endParaRPr lang="it-CH"/>
          </a:p>
        </c:txPr>
        <c:crossAx val="81026432"/>
        <c:crosses val="autoZero"/>
        <c:crossBetween val="between"/>
      </c:valAx>
    </c:plotArea>
    <c:legend>
      <c:legendPos val="b"/>
      <c:overlay val="0"/>
      <c:txPr>
        <a:bodyPr/>
        <a:lstStyle/>
        <a:p>
          <a:pPr>
            <a:defRPr lang="de-CH"/>
          </a:pPr>
          <a:endParaRPr lang="it-CH"/>
        </a:p>
      </c:txPr>
    </c:legend>
    <c:plotVisOnly val="1"/>
    <c:dispBlanksAs val="gap"/>
    <c:showDLblsOverMax val="0"/>
  </c:chart>
  <c:externalData r:id="rId2">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DFABB-2478-4EB1-948F-1C6890C59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20</Pages>
  <Words>7066</Words>
  <Characters>40279</Characters>
  <Application>Microsoft Office Word</Application>
  <DocSecurity>0</DocSecurity>
  <Lines>335</Lines>
  <Paragraphs>94</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47251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12</cp:revision>
  <cp:lastPrinted>2017-06-13T15:07:00Z</cp:lastPrinted>
  <dcterms:created xsi:type="dcterms:W3CDTF">2017-06-13T12:53:00Z</dcterms:created>
  <dcterms:modified xsi:type="dcterms:W3CDTF">2017-06-13T15:34:00Z</dcterms:modified>
</cp:coreProperties>
</file>