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37" w:rsidRPr="00664560" w:rsidRDefault="00664560">
      <w:pPr>
        <w:rPr>
          <w:rFonts w:cs="Arial"/>
          <w:sz w:val="52"/>
          <w:szCs w:val="52"/>
        </w:rPr>
      </w:pPr>
      <w:r w:rsidRPr="00664560">
        <w:rPr>
          <w:rFonts w:ascii="Gill Sans MT" w:hAnsi="Gill Sans MT" w:cs="Arial"/>
          <w:b/>
          <w:sz w:val="52"/>
          <w:szCs w:val="52"/>
        </w:rPr>
        <w:t>Rapporto</w:t>
      </w:r>
    </w:p>
    <w:p w:rsidR="00076E70" w:rsidRDefault="00076E70">
      <w:pPr>
        <w:rPr>
          <w:rFonts w:cs="Arial"/>
          <w:szCs w:val="24"/>
        </w:rPr>
      </w:pPr>
      <w:bookmarkStart w:id="0" w:name="_GoBack"/>
      <w:bookmarkEnd w:id="0"/>
    </w:p>
    <w:p w:rsidR="00664560" w:rsidRDefault="00664560">
      <w:pPr>
        <w:rPr>
          <w:rFonts w:cs="Arial"/>
          <w:szCs w:val="24"/>
        </w:rPr>
      </w:pPr>
    </w:p>
    <w:p w:rsidR="008B4137" w:rsidRDefault="00E719F5" w:rsidP="006D7A3B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7262</w:t>
      </w:r>
      <w:r w:rsidR="008B4137" w:rsidRPr="008B4137">
        <w:rPr>
          <w:rFonts w:cs="Arial"/>
          <w:b/>
          <w:sz w:val="32"/>
          <w:szCs w:val="32"/>
        </w:rPr>
        <w:t xml:space="preserve"> R</w:t>
      </w:r>
      <w:r w:rsidR="008B4137" w:rsidRPr="008B4137">
        <w:rPr>
          <w:rFonts w:cs="Arial"/>
          <w:sz w:val="28"/>
          <w:szCs w:val="28"/>
        </w:rPr>
        <w:tab/>
      </w:r>
      <w:r>
        <w:rPr>
          <w:sz w:val="28"/>
        </w:rPr>
        <w:t>19 settembre 2017</w:t>
      </w:r>
      <w:r w:rsidR="008B4137" w:rsidRPr="008B4137">
        <w:rPr>
          <w:rFonts w:cs="Arial"/>
          <w:sz w:val="28"/>
          <w:szCs w:val="28"/>
        </w:rPr>
        <w:tab/>
      </w:r>
      <w:r>
        <w:rPr>
          <w:sz w:val="28"/>
        </w:rPr>
        <w:t>FINANZE E ECONOMIA</w:t>
      </w:r>
    </w:p>
    <w:p w:rsidR="008B4137" w:rsidRDefault="008B4137">
      <w:pPr>
        <w:rPr>
          <w:rFonts w:cs="Arial"/>
          <w:szCs w:val="24"/>
        </w:rPr>
      </w:pPr>
    </w:p>
    <w:p w:rsidR="008B4137" w:rsidRDefault="008B4137">
      <w:pPr>
        <w:rPr>
          <w:rFonts w:cs="Arial"/>
          <w:szCs w:val="24"/>
        </w:rPr>
      </w:pPr>
    </w:p>
    <w:p w:rsidR="00D377B5" w:rsidRDefault="00D377B5">
      <w:pPr>
        <w:rPr>
          <w:rFonts w:cs="Arial"/>
          <w:szCs w:val="24"/>
        </w:rPr>
      </w:pPr>
    </w:p>
    <w:p w:rsidR="008B4137" w:rsidRPr="008B4137" w:rsidRDefault="008B4137">
      <w:pPr>
        <w:rPr>
          <w:rFonts w:cs="Arial"/>
          <w:b/>
          <w:sz w:val="28"/>
          <w:szCs w:val="28"/>
        </w:rPr>
      </w:pPr>
      <w:r w:rsidRPr="008B4137">
        <w:rPr>
          <w:rFonts w:cs="Arial"/>
          <w:b/>
          <w:sz w:val="28"/>
          <w:szCs w:val="28"/>
        </w:rPr>
        <w:t>della Commissione della gestione e delle finanze</w:t>
      </w:r>
    </w:p>
    <w:p w:rsidR="00E719F5" w:rsidRDefault="00E719F5" w:rsidP="00E719F5">
      <w:pPr>
        <w:tabs>
          <w:tab w:val="left" w:pos="2098"/>
          <w:tab w:val="left" w:pos="49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sulle mozioni</w:t>
      </w:r>
    </w:p>
    <w:p w:rsidR="00E719F5" w:rsidRPr="00AB66B0" w:rsidRDefault="00E719F5" w:rsidP="00E719F5">
      <w:pPr>
        <w:pStyle w:val="Paragrafoelenco"/>
        <w:numPr>
          <w:ilvl w:val="0"/>
          <w:numId w:val="6"/>
        </w:numPr>
        <w:spacing w:before="60"/>
        <w:ind w:left="284" w:hanging="284"/>
        <w:rPr>
          <w:rFonts w:cs="Arial"/>
          <w:b/>
          <w:sz w:val="28"/>
          <w:szCs w:val="28"/>
        </w:rPr>
      </w:pPr>
      <w:r w:rsidRPr="00AB66B0">
        <w:rPr>
          <w:rFonts w:cs="Arial"/>
          <w:b/>
          <w:sz w:val="28"/>
          <w:szCs w:val="28"/>
        </w:rPr>
        <w:t xml:space="preserve">24 settembre 2012 presentata da Sergio Morisoli “È ora di un Patto economico di Paese” e </w:t>
      </w:r>
    </w:p>
    <w:p w:rsidR="00E719F5" w:rsidRPr="00AB66B0" w:rsidRDefault="00E719F5" w:rsidP="00E719F5">
      <w:pPr>
        <w:pStyle w:val="Paragrafoelenco"/>
        <w:numPr>
          <w:ilvl w:val="0"/>
          <w:numId w:val="6"/>
        </w:numPr>
        <w:spacing w:before="60"/>
        <w:ind w:left="284" w:hanging="284"/>
        <w:rPr>
          <w:rFonts w:cs="Arial"/>
          <w:b/>
          <w:sz w:val="28"/>
          <w:szCs w:val="28"/>
        </w:rPr>
      </w:pPr>
      <w:r w:rsidRPr="00AB66B0">
        <w:rPr>
          <w:rFonts w:cs="Arial"/>
          <w:b/>
          <w:sz w:val="28"/>
          <w:szCs w:val="28"/>
        </w:rPr>
        <w:t>22 febbraio 2016 presentata da Sergio Morisoli e cofirmatari “Ticino Futuro”</w:t>
      </w:r>
    </w:p>
    <w:p w:rsidR="008B4137" w:rsidRDefault="00E719F5" w:rsidP="00E719F5">
      <w:pPr>
        <w:spacing w:before="60"/>
        <w:rPr>
          <w:rFonts w:cs="Arial"/>
          <w:szCs w:val="24"/>
        </w:rPr>
      </w:pPr>
      <w:r>
        <w:rPr>
          <w:b/>
          <w:sz w:val="28"/>
          <w:szCs w:val="28"/>
        </w:rPr>
        <w:t>(v. m</w:t>
      </w:r>
      <w:r w:rsidRPr="00916B11">
        <w:rPr>
          <w:b/>
          <w:sz w:val="28"/>
          <w:szCs w:val="28"/>
        </w:rPr>
        <w:t>essaggio 2</w:t>
      </w:r>
      <w:r>
        <w:rPr>
          <w:b/>
          <w:sz w:val="28"/>
          <w:szCs w:val="28"/>
        </w:rPr>
        <w:t>1</w:t>
      </w:r>
      <w:r w:rsidRPr="00916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dicembre</w:t>
      </w:r>
      <w:r w:rsidRPr="00916B1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16 n. 7262)</w:t>
      </w:r>
    </w:p>
    <w:p w:rsidR="008B4137" w:rsidRDefault="008B4137">
      <w:pPr>
        <w:rPr>
          <w:rFonts w:cs="Arial"/>
          <w:szCs w:val="24"/>
        </w:rPr>
      </w:pPr>
    </w:p>
    <w:p w:rsidR="00E719F5" w:rsidRDefault="00E719F5">
      <w:pPr>
        <w:rPr>
          <w:rFonts w:cs="Arial"/>
          <w:szCs w:val="24"/>
        </w:rPr>
      </w:pPr>
    </w:p>
    <w:p w:rsidR="008B4137" w:rsidRDefault="008B4137">
      <w:pPr>
        <w:rPr>
          <w:rFonts w:cs="Arial"/>
          <w:szCs w:val="24"/>
        </w:rPr>
      </w:pPr>
    </w:p>
    <w:p w:rsidR="00E719F5" w:rsidRPr="00E37543" w:rsidRDefault="00E719F5" w:rsidP="00E719F5">
      <w:pPr>
        <w:pStyle w:val="Titolo1"/>
      </w:pPr>
      <w:r>
        <w:t>Introduzione</w:t>
      </w:r>
    </w:p>
    <w:p w:rsidR="00E719F5" w:rsidRDefault="00E719F5" w:rsidP="00E719F5">
      <w:pPr>
        <w:kinsoku w:val="0"/>
        <w:overflowPunct w:val="0"/>
      </w:pPr>
      <w:r>
        <w:t>Il deputato Sergio Morisoli con due distinte mozioni “</w:t>
      </w:r>
      <w:r w:rsidRPr="00830F48">
        <w:t>È ora di un Patto economico di Paese</w:t>
      </w:r>
      <w:r>
        <w:t>” del 24 settembre 2012 e “Ticino Futuro” del 22 febbraio 2016 (sottoscritto anche dai deputati T. Galeazzi e P. Pamini) chiede al Consiglio di Stato da un lato di elaborare un progetto “Patto di Paese” per il rilancio economico (partendo dai documenti e dalle analisi già presenti) e dall’altro lato di formare</w:t>
      </w:r>
      <w:r w:rsidRPr="004A1667">
        <w:t xml:space="preserve"> un gruppo di lavoro</w:t>
      </w:r>
      <w:r>
        <w:t xml:space="preserve"> pilota ristretto</w:t>
      </w:r>
      <w:r w:rsidRPr="004A1667">
        <w:t xml:space="preserve"> </w:t>
      </w:r>
      <w:r>
        <w:t>composto da un rappresentante del G</w:t>
      </w:r>
      <w:r w:rsidRPr="004A1667">
        <w:t xml:space="preserve">overno e dai </w:t>
      </w:r>
      <w:r>
        <w:t>sindaci</w:t>
      </w:r>
      <w:r w:rsidRPr="004A1667">
        <w:t xml:space="preserve"> delle tre città di Lugano, Bellinzona e Locarno </w:t>
      </w:r>
      <w:r>
        <w:t>per sviluppare un progetto che possa diventare il motore del rilancio cantonale e per questa ragione chiede di</w:t>
      </w:r>
      <w:r w:rsidRPr="004A1667">
        <w:t xml:space="preserve"> creare un fondo cantonale di 250 milioni di franchi per finanziare progetti innovativi nell’area urbana interessata.</w:t>
      </w:r>
    </w:p>
    <w:p w:rsidR="00E773CE" w:rsidRPr="004A1667" w:rsidRDefault="00E773CE" w:rsidP="00E719F5">
      <w:pPr>
        <w:kinsoku w:val="0"/>
        <w:overflowPunct w:val="0"/>
      </w:pPr>
    </w:p>
    <w:p w:rsidR="00E719F5" w:rsidRPr="00F979CA" w:rsidRDefault="00E719F5" w:rsidP="00E719F5">
      <w:pPr>
        <w:autoSpaceDE w:val="0"/>
        <w:autoSpaceDN w:val="0"/>
        <w:adjustRightInd w:val="0"/>
        <w:rPr>
          <w:rFonts w:cs="Arial"/>
        </w:rPr>
      </w:pPr>
      <w:r>
        <w:t xml:space="preserve">Il Consiglio di Stato nel suo messaggio 7262 presenta le misure già adottate e la strategia di sviluppo economico cantonale concludendo che buona parte di quanto proposto dalle mozioni, in particolare di </w:t>
      </w:r>
      <w:r>
        <w:rPr>
          <w:rFonts w:cs="Arial"/>
        </w:rPr>
        <w:t>disporre di una strategia di sviluppo economico in grado di porre le basi per un benessere sostenibile e duraturo, e di assicurare la condivisione e il coinvolgimento di tutte le forze attive in grado di dare un contributo sostanziale alla crescita e allo sviluppo economico del Cantone, sia già presente nell’operato del Governo. Per queste ragioni i</w:t>
      </w:r>
      <w:r w:rsidRPr="00150674">
        <w:rPr>
          <w:rFonts w:cs="Arial"/>
        </w:rPr>
        <w:t xml:space="preserve">nvita il </w:t>
      </w:r>
      <w:r>
        <w:rPr>
          <w:rFonts w:cs="Arial"/>
        </w:rPr>
        <w:t xml:space="preserve">Gran Consiglio </w:t>
      </w:r>
      <w:r w:rsidRPr="00150674">
        <w:rPr>
          <w:rFonts w:cs="Arial"/>
        </w:rPr>
        <w:t xml:space="preserve">a respingere </w:t>
      </w:r>
      <w:r>
        <w:rPr>
          <w:rFonts w:cs="Arial"/>
        </w:rPr>
        <w:t xml:space="preserve">le due </w:t>
      </w:r>
      <w:r w:rsidRPr="00150674">
        <w:rPr>
          <w:rFonts w:cs="Arial"/>
        </w:rPr>
        <w:t>mozion</w:t>
      </w:r>
      <w:r>
        <w:rPr>
          <w:rFonts w:cs="Arial"/>
        </w:rPr>
        <w:t>i</w:t>
      </w:r>
      <w:r w:rsidRPr="00150674">
        <w:rPr>
          <w:rFonts w:cs="Arial"/>
        </w:rPr>
        <w:t xml:space="preserve">, </w:t>
      </w:r>
      <w:r w:rsidRPr="00AF4D02">
        <w:rPr>
          <w:rFonts w:cs="Arial"/>
        </w:rPr>
        <w:t>considera</w:t>
      </w:r>
      <w:r>
        <w:rPr>
          <w:rFonts w:cs="Arial"/>
        </w:rPr>
        <w:t>ndo buona parte delle misure proposte superate o non necessarie</w:t>
      </w:r>
      <w:r w:rsidRPr="00150674">
        <w:rPr>
          <w:rFonts w:cs="Arial"/>
        </w:rPr>
        <w:t>.</w:t>
      </w:r>
    </w:p>
    <w:p w:rsidR="00E719F5" w:rsidRDefault="00E719F5" w:rsidP="00E719F5"/>
    <w:p w:rsidR="00E773CE" w:rsidRDefault="00E773CE" w:rsidP="00E719F5"/>
    <w:p w:rsidR="00E719F5" w:rsidRPr="00D71697" w:rsidRDefault="00E719F5" w:rsidP="00E719F5"/>
    <w:p w:rsidR="00E719F5" w:rsidRPr="007F1B48" w:rsidRDefault="00E719F5" w:rsidP="00E719F5">
      <w:pPr>
        <w:pStyle w:val="Titolo1"/>
      </w:pPr>
      <w:r w:rsidRPr="007F1B48">
        <w:t>Le richieste delle mozioni</w:t>
      </w:r>
    </w:p>
    <w:p w:rsidR="00E719F5" w:rsidRPr="007F1B48" w:rsidRDefault="00E719F5" w:rsidP="00E719F5">
      <w:pPr>
        <w:pStyle w:val="Titolo2"/>
        <w:rPr>
          <w:rFonts w:cs="Arial"/>
          <w:szCs w:val="24"/>
        </w:rPr>
      </w:pPr>
      <w:r>
        <w:rPr>
          <w:rFonts w:cs="Arial"/>
          <w:szCs w:val="24"/>
        </w:rPr>
        <w:t>2.1</w:t>
      </w:r>
      <w:r>
        <w:rPr>
          <w:rFonts w:cs="Arial"/>
          <w:szCs w:val="24"/>
        </w:rPr>
        <w:tab/>
      </w:r>
      <w:r w:rsidRPr="007F1B48">
        <w:rPr>
          <w:rFonts w:cs="Arial"/>
          <w:szCs w:val="24"/>
        </w:rPr>
        <w:t>Mozione “</w:t>
      </w:r>
      <w:r w:rsidRPr="00830F48">
        <w:t>È ora di un Patto economico di Paese</w:t>
      </w:r>
      <w:r>
        <w:t>” del 24 settembre 2012</w:t>
      </w:r>
    </w:p>
    <w:p w:rsidR="00E719F5" w:rsidRDefault="00E719F5" w:rsidP="00E719F5">
      <w:pPr>
        <w:rPr>
          <w:rFonts w:cs="Arial"/>
          <w:i/>
        </w:rPr>
      </w:pPr>
      <w:r>
        <w:rPr>
          <w:rFonts w:cs="Arial"/>
        </w:rPr>
        <w:t xml:space="preserve">Come riassume il Governo nel suo messaggio </w:t>
      </w:r>
      <w:r w:rsidRPr="007F1B48">
        <w:rPr>
          <w:rFonts w:cs="Arial"/>
          <w:i/>
        </w:rPr>
        <w:t xml:space="preserve">con la mozione del 24 settembre 2012 il deputato Sergio Morisoli chiedeva al Consiglio di Stato di farsi promotore di un’iniziativa di rilancio economico che innanzitutto procedesse a un riesame dei rapporti “Ticino 2015. Libro bianco sullo sviluppo economico cantonale nello scenario della globalizzazione” del 23 marzo 1998, in particolare per la sua parte sui </w:t>
      </w:r>
      <w:proofErr w:type="spellStart"/>
      <w:r w:rsidRPr="007F1B48">
        <w:rPr>
          <w:rFonts w:cs="Arial"/>
          <w:i/>
        </w:rPr>
        <w:t>macrotrend</w:t>
      </w:r>
      <w:proofErr w:type="spellEnd"/>
      <w:r w:rsidRPr="007F1B48">
        <w:rPr>
          <w:rFonts w:cs="Arial"/>
          <w:i/>
        </w:rPr>
        <w:t xml:space="preserve">, e “Parliamo della luna. Nove provocazioni sul Cantone Ticino” pubblicato nel 2007, e di tutta una serie di altri </w:t>
      </w:r>
      <w:r w:rsidRPr="007F1B48">
        <w:rPr>
          <w:rFonts w:cs="Arial"/>
          <w:i/>
        </w:rPr>
        <w:lastRenderedPageBreak/>
        <w:t>documenti tra i quali approfondimenti giornalistici, mozioni inevase e i programmi dei partiti in gara per le elezioni cantonali del 2011. Dopo aver proceduto al riesame dei documenti citati, il deputato chiedeva di istituire un’organizzazione di progetto che elaborasse e presentasse le misure, leggi o modifiche legislative necessarie per implementare la visione esplicitata in quei documenti e, infine, di coinvolgere nella fase finale i membri del Gran Consiglio, dei partiti, delle parti sociali, dell</w:t>
      </w:r>
      <w:r>
        <w:rPr>
          <w:rFonts w:cs="Arial"/>
          <w:i/>
        </w:rPr>
        <w:t>a</w:t>
      </w:r>
      <w:r w:rsidRPr="007F1B48">
        <w:rPr>
          <w:rFonts w:cs="Arial"/>
          <w:i/>
        </w:rPr>
        <w:t xml:space="preserve"> società civile, delle università e delle principali città del Cantone, questo al fine di costituire quel “Patto di Paese” ritenuto fondamentale per difendere il benessere raggiunto e per poter cogliere le opportunità di sviluppo nel medio-lungo termine.</w:t>
      </w:r>
    </w:p>
    <w:p w:rsidR="00E719F5" w:rsidRPr="007F1B48" w:rsidRDefault="00E719F5" w:rsidP="00E773CE"/>
    <w:p w:rsidR="00E719F5" w:rsidRPr="00AB66B0" w:rsidRDefault="00E719F5" w:rsidP="00E773CE"/>
    <w:p w:rsidR="00E719F5" w:rsidRPr="006D545C" w:rsidRDefault="00E719F5" w:rsidP="00E719F5">
      <w:pPr>
        <w:pStyle w:val="Titolo2"/>
        <w:rPr>
          <w:i/>
        </w:rPr>
      </w:pPr>
      <w:r>
        <w:t>2.2</w:t>
      </w:r>
      <w:r>
        <w:tab/>
        <w:t>Mozione “Ticino Futuro” del 22 febbraio 2016</w:t>
      </w:r>
    </w:p>
    <w:p w:rsidR="00E719F5" w:rsidRPr="00E67AA9" w:rsidRDefault="00E719F5" w:rsidP="00E719F5">
      <w:pPr>
        <w:kinsoku w:val="0"/>
        <w:overflowPunct w:val="0"/>
        <w:rPr>
          <w:rFonts w:cs="Arial"/>
          <w:i/>
          <w:szCs w:val="24"/>
        </w:rPr>
      </w:pPr>
      <w:r>
        <w:rPr>
          <w:rFonts w:cs="Arial"/>
          <w:szCs w:val="24"/>
        </w:rPr>
        <w:t>C</w:t>
      </w:r>
      <w:r w:rsidRPr="00E67AA9">
        <w:rPr>
          <w:rFonts w:cs="Arial"/>
          <w:szCs w:val="24"/>
        </w:rPr>
        <w:t>on la mozione “Ticino Futuro” del 22 febbraio 2016</w:t>
      </w:r>
      <w:r>
        <w:rPr>
          <w:rFonts w:cs="Arial"/>
          <w:szCs w:val="24"/>
        </w:rPr>
        <w:t xml:space="preserve"> </w:t>
      </w:r>
      <w:r w:rsidRPr="00E67AA9">
        <w:rPr>
          <w:rFonts w:cs="Arial"/>
          <w:szCs w:val="24"/>
        </w:rPr>
        <w:t>sottoscritt</w:t>
      </w:r>
      <w:r>
        <w:rPr>
          <w:rFonts w:cs="Arial"/>
          <w:szCs w:val="24"/>
        </w:rPr>
        <w:t>a</w:t>
      </w:r>
      <w:r w:rsidRPr="00E67AA9">
        <w:rPr>
          <w:rFonts w:cs="Arial"/>
          <w:szCs w:val="24"/>
        </w:rPr>
        <w:t xml:space="preserve"> anche dai deputati Tiziano Galeazzi e Paolo Pamini</w:t>
      </w:r>
      <w:r>
        <w:rPr>
          <w:rFonts w:cs="Arial"/>
          <w:szCs w:val="24"/>
        </w:rPr>
        <w:t>, il deputato Sergio Morisoli</w:t>
      </w:r>
      <w:r w:rsidRPr="00E67AA9">
        <w:rPr>
          <w:rFonts w:cs="Arial"/>
          <w:szCs w:val="24"/>
        </w:rPr>
        <w:t xml:space="preserve"> </w:t>
      </w:r>
      <w:r w:rsidRPr="00E67AA9">
        <w:rPr>
          <w:rFonts w:cs="Arial"/>
          <w:i/>
          <w:szCs w:val="24"/>
        </w:rPr>
        <w:t xml:space="preserve">chiedeva al Consiglio di Stato, alla luce della prossima apertura della galleria di base </w:t>
      </w:r>
      <w:proofErr w:type="spellStart"/>
      <w:r w:rsidRPr="00E67AA9">
        <w:rPr>
          <w:rFonts w:cs="Arial"/>
          <w:i/>
          <w:szCs w:val="24"/>
        </w:rPr>
        <w:t>AlpTransit</w:t>
      </w:r>
      <w:proofErr w:type="spellEnd"/>
      <w:r w:rsidRPr="00E67AA9">
        <w:rPr>
          <w:rFonts w:cs="Arial"/>
          <w:i/>
          <w:szCs w:val="24"/>
        </w:rPr>
        <w:t xml:space="preserve"> del Ceneri e dei processi di aggregazione comunale in atto nei principali agglomerati ticinesi, di istituire un gruppo di lavoro formato da un rappresentante del </w:t>
      </w:r>
      <w:r>
        <w:rPr>
          <w:rFonts w:cs="Arial"/>
          <w:i/>
          <w:szCs w:val="24"/>
        </w:rPr>
        <w:t>G</w:t>
      </w:r>
      <w:r w:rsidRPr="00E67AA9">
        <w:rPr>
          <w:rFonts w:cs="Arial"/>
          <w:i/>
          <w:szCs w:val="24"/>
        </w:rPr>
        <w:t>overno e dai rappresentanti delle tre città di Lugano, Bellinzona e Locarno che contribuisse a far partire quello che i deputati considerano come il motore per il rilancio del Ticino, ossia il triangolo urbano rappresentato dai tre poli citati. A tal fine, il Consiglio di Stato sarebbe chiamato a creare un fondo cantonale di 250 milioni di franchi per finanziare progetti innovativi nell’area urbana interessata.</w:t>
      </w:r>
    </w:p>
    <w:p w:rsidR="00E719F5" w:rsidRDefault="00E719F5" w:rsidP="00E719F5">
      <w:pPr>
        <w:rPr>
          <w:rFonts w:cs="Arial"/>
        </w:rPr>
      </w:pPr>
    </w:p>
    <w:p w:rsidR="00E719F5" w:rsidRDefault="00E719F5" w:rsidP="00E719F5">
      <w:pPr>
        <w:rPr>
          <w:rFonts w:cs="Arial"/>
        </w:rPr>
      </w:pPr>
    </w:p>
    <w:p w:rsidR="00E719F5" w:rsidRDefault="00E719F5" w:rsidP="00E719F5">
      <w:pPr>
        <w:rPr>
          <w:rFonts w:cs="Arial"/>
        </w:rPr>
      </w:pPr>
    </w:p>
    <w:p w:rsidR="00E719F5" w:rsidRPr="005F2F8F" w:rsidRDefault="00E719F5" w:rsidP="00E719F5">
      <w:pPr>
        <w:pStyle w:val="Titolo1"/>
      </w:pPr>
      <w:r w:rsidRPr="005F2F8F">
        <w:t>Posizione del Consiglio di Stato</w:t>
      </w:r>
    </w:p>
    <w:p w:rsidR="00E719F5" w:rsidRDefault="00E719F5" w:rsidP="00E719F5">
      <w:pPr>
        <w:rPr>
          <w:rFonts w:cs="Arial"/>
        </w:rPr>
      </w:pPr>
      <w:r>
        <w:rPr>
          <w:rFonts w:cs="Arial"/>
        </w:rPr>
        <w:t xml:space="preserve">Il Consiglio di Stato con il messaggio </w:t>
      </w:r>
      <w:r w:rsidR="00E773CE">
        <w:rPr>
          <w:rFonts w:cs="Arial"/>
        </w:rPr>
        <w:t xml:space="preserve">n. </w:t>
      </w:r>
      <w:r>
        <w:rPr>
          <w:rFonts w:cs="Arial"/>
        </w:rPr>
        <w:t xml:space="preserve">7262 del 21 dicembre 2016 risponde ad entrambe le mozioni presentando quanto già in atto ed </w:t>
      </w:r>
      <w:r w:rsidRPr="006E1FBA">
        <w:rPr>
          <w:rFonts w:cs="Arial"/>
        </w:rPr>
        <w:t>informando sull</w:t>
      </w:r>
      <w:r>
        <w:rPr>
          <w:rFonts w:cs="Arial"/>
        </w:rPr>
        <w:t>a strategia di sviluppo economico adottata, sulle</w:t>
      </w:r>
      <w:r w:rsidRPr="006E1FBA">
        <w:rPr>
          <w:rFonts w:cs="Arial"/>
        </w:rPr>
        <w:t xml:space="preserve"> iniziative </w:t>
      </w:r>
      <w:r>
        <w:rPr>
          <w:rFonts w:cs="Arial"/>
        </w:rPr>
        <w:t>promosse per incentiv</w:t>
      </w:r>
      <w:r w:rsidRPr="006E1FBA">
        <w:rPr>
          <w:rFonts w:cs="Arial"/>
        </w:rPr>
        <w:t xml:space="preserve">are </w:t>
      </w:r>
      <w:r>
        <w:rPr>
          <w:rFonts w:cs="Arial"/>
        </w:rPr>
        <w:t>la condivisione delle misure e per sostenere progetti innovativi.</w:t>
      </w:r>
    </w:p>
    <w:p w:rsidR="00E719F5" w:rsidRDefault="00E719F5" w:rsidP="00E719F5">
      <w:pPr>
        <w:rPr>
          <w:rFonts w:cs="Arial"/>
        </w:rPr>
      </w:pPr>
    </w:p>
    <w:p w:rsidR="00E719F5" w:rsidRPr="002A027E" w:rsidRDefault="00E719F5" w:rsidP="00E719F5">
      <w:pPr>
        <w:rPr>
          <w:i/>
        </w:rPr>
      </w:pPr>
      <w:r>
        <w:rPr>
          <w:rFonts w:cs="Arial"/>
        </w:rPr>
        <w:t xml:space="preserve">Dopo gli approfondimenti necessari e l’analisi delle politiche attuali di </w:t>
      </w:r>
      <w:r>
        <w:rPr>
          <w:color w:val="000000"/>
        </w:rPr>
        <w:t xml:space="preserve">sostegno allo sviluppo economico  </w:t>
      </w:r>
      <w:r>
        <w:t xml:space="preserve">il Consiglio di Stato </w:t>
      </w:r>
      <w:r w:rsidRPr="002A027E">
        <w:rPr>
          <w:i/>
        </w:rPr>
        <w:t xml:space="preserve">ha identificato </w:t>
      </w:r>
      <w:r w:rsidRPr="00E67AA9">
        <w:rPr>
          <w:i/>
          <w:u w:val="single"/>
        </w:rPr>
        <w:t>tre principali obiettivi di sviluppo economico</w:t>
      </w:r>
      <w:r w:rsidRPr="002A027E">
        <w:rPr>
          <w:i/>
        </w:rPr>
        <w:t>, riassunti nel programma d’attuazione della politica economica regionale 2016-2019.</w:t>
      </w:r>
    </w:p>
    <w:p w:rsidR="00E719F5" w:rsidRPr="002A027E" w:rsidRDefault="00E719F5" w:rsidP="00E719F5">
      <w:pPr>
        <w:rPr>
          <w:i/>
          <w:color w:val="000000"/>
          <w:sz w:val="20"/>
        </w:rPr>
      </w:pPr>
    </w:p>
    <w:p w:rsidR="00E719F5" w:rsidRPr="002A027E" w:rsidRDefault="00E719F5" w:rsidP="00E719F5">
      <w:pPr>
        <w:tabs>
          <w:tab w:val="left" w:pos="426"/>
        </w:tabs>
        <w:outlineLvl w:val="0"/>
        <w:rPr>
          <w:rFonts w:cs="Arial"/>
          <w:i/>
        </w:rPr>
      </w:pPr>
      <w:r w:rsidRPr="002A027E">
        <w:rPr>
          <w:rFonts w:cs="Arial"/>
          <w:i/>
        </w:rPr>
        <w:t>In particolare, per il quadriennio in corso, il Consiglio di Stato ha fissato le seguenti priorità:</w:t>
      </w:r>
    </w:p>
    <w:p w:rsidR="00E719F5" w:rsidRPr="002A027E" w:rsidRDefault="00E719F5" w:rsidP="00E719F5">
      <w:pPr>
        <w:pStyle w:val="Paragrafoelenco"/>
        <w:numPr>
          <w:ilvl w:val="0"/>
          <w:numId w:val="5"/>
        </w:numPr>
        <w:tabs>
          <w:tab w:val="left" w:pos="426"/>
        </w:tabs>
        <w:spacing w:before="80"/>
        <w:ind w:left="425" w:hanging="425"/>
        <w:outlineLvl w:val="0"/>
        <w:rPr>
          <w:rFonts w:cs="Arial"/>
          <w:i/>
          <w:szCs w:val="24"/>
        </w:rPr>
      </w:pPr>
      <w:r w:rsidRPr="002A027E">
        <w:rPr>
          <w:rFonts w:cs="Arial"/>
          <w:i/>
          <w:szCs w:val="24"/>
        </w:rPr>
        <w:t>Aumento della capacità d’innovazione e della competitività delle piccole e medie imprese (PMI).</w:t>
      </w:r>
    </w:p>
    <w:p w:rsidR="00E719F5" w:rsidRPr="002A027E" w:rsidRDefault="00E719F5" w:rsidP="00E719F5">
      <w:pPr>
        <w:pStyle w:val="Paragrafoelenco"/>
        <w:numPr>
          <w:ilvl w:val="0"/>
          <w:numId w:val="5"/>
        </w:numPr>
        <w:tabs>
          <w:tab w:val="left" w:pos="426"/>
        </w:tabs>
        <w:spacing w:before="80"/>
        <w:ind w:left="425" w:hanging="425"/>
        <w:outlineLvl w:val="0"/>
        <w:rPr>
          <w:rFonts w:cs="Arial"/>
          <w:i/>
          <w:szCs w:val="24"/>
        </w:rPr>
      </w:pPr>
      <w:r w:rsidRPr="002A027E">
        <w:rPr>
          <w:rFonts w:cs="Arial"/>
          <w:i/>
          <w:szCs w:val="24"/>
        </w:rPr>
        <w:t>Aumento della competitività e dell’attrattiva del Ticino e delle sue destinazioni turistiche.</w:t>
      </w:r>
    </w:p>
    <w:p w:rsidR="00E719F5" w:rsidRPr="002A027E" w:rsidRDefault="00E719F5" w:rsidP="00E719F5">
      <w:pPr>
        <w:pStyle w:val="Paragrafoelenco"/>
        <w:numPr>
          <w:ilvl w:val="0"/>
          <w:numId w:val="5"/>
        </w:numPr>
        <w:tabs>
          <w:tab w:val="left" w:pos="426"/>
        </w:tabs>
        <w:spacing w:before="80"/>
        <w:ind w:left="425" w:hanging="425"/>
        <w:outlineLvl w:val="0"/>
        <w:rPr>
          <w:rFonts w:cs="Arial"/>
          <w:i/>
          <w:szCs w:val="24"/>
        </w:rPr>
      </w:pPr>
      <w:r w:rsidRPr="002A027E">
        <w:rPr>
          <w:rFonts w:cs="Arial"/>
          <w:i/>
          <w:szCs w:val="24"/>
        </w:rPr>
        <w:t>Riposizionamento</w:t>
      </w:r>
      <w:r>
        <w:rPr>
          <w:rFonts w:cs="Arial"/>
          <w:i/>
          <w:szCs w:val="24"/>
        </w:rPr>
        <w:t xml:space="preserve"> </w:t>
      </w:r>
      <w:r w:rsidRPr="002A027E">
        <w:rPr>
          <w:rFonts w:cs="Arial"/>
          <w:i/>
          <w:szCs w:val="24"/>
        </w:rPr>
        <w:t>delle</w:t>
      </w:r>
      <w:r>
        <w:rPr>
          <w:rFonts w:cs="Arial"/>
          <w:i/>
          <w:szCs w:val="24"/>
        </w:rPr>
        <w:t xml:space="preserve"> </w:t>
      </w:r>
      <w:r w:rsidRPr="002A027E">
        <w:rPr>
          <w:rFonts w:cs="Arial"/>
          <w:i/>
          <w:szCs w:val="24"/>
        </w:rPr>
        <w:t>regioni</w:t>
      </w:r>
      <w:r>
        <w:rPr>
          <w:rFonts w:cs="Arial"/>
          <w:i/>
          <w:szCs w:val="24"/>
        </w:rPr>
        <w:t xml:space="preserve"> </w:t>
      </w:r>
      <w:r w:rsidRPr="002A027E">
        <w:rPr>
          <w:rFonts w:cs="Arial"/>
          <w:i/>
          <w:szCs w:val="24"/>
        </w:rPr>
        <w:t>periferiche.</w:t>
      </w:r>
    </w:p>
    <w:p w:rsidR="00E719F5" w:rsidRPr="00AB66B0" w:rsidRDefault="00E719F5" w:rsidP="00E719F5">
      <w:pPr>
        <w:rPr>
          <w:color w:val="000000"/>
          <w:sz w:val="20"/>
        </w:rPr>
      </w:pPr>
    </w:p>
    <w:p w:rsidR="00E719F5" w:rsidRPr="002A027E" w:rsidRDefault="00E719F5" w:rsidP="00E719F5">
      <w:pPr>
        <w:rPr>
          <w:i/>
        </w:rPr>
      </w:pPr>
      <w:r w:rsidRPr="002A027E">
        <w:rPr>
          <w:i/>
        </w:rPr>
        <w:t>La strategia adottata è volta a favorire una crescita sostenibile e duratura che valorizzi le peculiarità territoriali, lo spirito imprenditoriale e l'innovazione, creando posti di lavoro qualificati a favore della popolazione residente.</w:t>
      </w:r>
    </w:p>
    <w:p w:rsidR="00E719F5" w:rsidRPr="00AB66B0" w:rsidRDefault="00E719F5" w:rsidP="00E719F5">
      <w:pPr>
        <w:rPr>
          <w:sz w:val="20"/>
        </w:rPr>
      </w:pPr>
    </w:p>
    <w:p w:rsidR="00E719F5" w:rsidRPr="002A027E" w:rsidRDefault="00E719F5" w:rsidP="00E719F5">
      <w:pPr>
        <w:rPr>
          <w:i/>
        </w:rPr>
      </w:pPr>
      <w:r w:rsidRPr="002A027E">
        <w:rPr>
          <w:i/>
        </w:rPr>
        <w:t>Questa filosofia ha permesso di affrontare in maniera strutturata diverse revisioni legislative, quali quella della Legge sul turismo</w:t>
      </w:r>
      <w:r>
        <w:rPr>
          <w:i/>
        </w:rPr>
        <w:t xml:space="preserve"> </w:t>
      </w:r>
      <w:r w:rsidRPr="002A027E">
        <w:rPr>
          <w:i/>
        </w:rPr>
        <w:t xml:space="preserve">e della Legge per l’innovazione economica, e di rimodulare anche le relative disponibilità finanziarie (si veda a questo proposito i </w:t>
      </w:r>
      <w:r w:rsidRPr="002A027E">
        <w:rPr>
          <w:i/>
        </w:rPr>
        <w:lastRenderedPageBreak/>
        <w:t>messaggi n. 6897 “Nuova legge sul turismo (</w:t>
      </w:r>
      <w:proofErr w:type="spellStart"/>
      <w:r w:rsidRPr="002A027E">
        <w:rPr>
          <w:i/>
        </w:rPr>
        <w:t>LTur</w:t>
      </w:r>
      <w:proofErr w:type="spellEnd"/>
      <w:r w:rsidRPr="002A027E">
        <w:rPr>
          <w:i/>
        </w:rPr>
        <w:t xml:space="preserve">) e stanziamento di un credito quadro di </w:t>
      </w:r>
      <w:proofErr w:type="spellStart"/>
      <w:r w:rsidRPr="002A027E">
        <w:rPr>
          <w:i/>
        </w:rPr>
        <w:t>fr</w:t>
      </w:r>
      <w:proofErr w:type="spellEnd"/>
      <w:r w:rsidRPr="002A027E">
        <w:rPr>
          <w:i/>
        </w:rPr>
        <w:t xml:space="preserve">. 24'000'000.- per il finanziamento delle attività svolte dall’Agenzia turistica ticinese nel quadriennio 2015-2018”, n. 7041 “Stanziamento di un credito quadro di </w:t>
      </w:r>
      <w:proofErr w:type="spellStart"/>
      <w:r w:rsidRPr="002A027E">
        <w:rPr>
          <w:i/>
        </w:rPr>
        <w:t>fr</w:t>
      </w:r>
      <w:proofErr w:type="spellEnd"/>
      <w:r w:rsidRPr="002A027E">
        <w:rPr>
          <w:i/>
        </w:rPr>
        <w:t>. 12'000'000.- in base alla legge sul turismo (</w:t>
      </w:r>
      <w:proofErr w:type="spellStart"/>
      <w:r w:rsidRPr="002A027E">
        <w:rPr>
          <w:i/>
        </w:rPr>
        <w:t>LTur</w:t>
      </w:r>
      <w:proofErr w:type="spellEnd"/>
      <w:r w:rsidRPr="002A027E">
        <w:rPr>
          <w:i/>
        </w:rPr>
        <w:t>) del 25 giugno 2014 per la concessione di sussidi cantonali a sostegno degli investimenti e delle attività per il turismo nel quadriennio 2015-2018” e n. 7060 “Politica dell’innovazione: nuova Legge per l’innovazione economica (</w:t>
      </w:r>
      <w:proofErr w:type="spellStart"/>
      <w:r w:rsidRPr="002A027E">
        <w:rPr>
          <w:i/>
        </w:rPr>
        <w:t>LInn</w:t>
      </w:r>
      <w:proofErr w:type="spellEnd"/>
      <w:r w:rsidRPr="002A027E">
        <w:rPr>
          <w:i/>
        </w:rPr>
        <w:t xml:space="preserve">) e stanziamento di un credito quadro di </w:t>
      </w:r>
      <w:proofErr w:type="spellStart"/>
      <w:r w:rsidRPr="002A027E">
        <w:rPr>
          <w:i/>
        </w:rPr>
        <w:t>fr</w:t>
      </w:r>
      <w:proofErr w:type="spellEnd"/>
      <w:r w:rsidRPr="002A027E">
        <w:rPr>
          <w:i/>
        </w:rPr>
        <w:t xml:space="preserve">. 20'000'000.- per il periodo 2016-2019”). </w:t>
      </w:r>
    </w:p>
    <w:p w:rsidR="00E719F5" w:rsidRDefault="00E719F5" w:rsidP="00E719F5"/>
    <w:p w:rsidR="00E719F5" w:rsidRPr="00522B50" w:rsidRDefault="00E719F5" w:rsidP="00E719F5">
      <w:pPr>
        <w:tabs>
          <w:tab w:val="left" w:pos="426"/>
        </w:tabs>
        <w:outlineLvl w:val="0"/>
        <w:rPr>
          <w:rFonts w:cs="Arial"/>
        </w:rPr>
      </w:pPr>
      <w:r>
        <w:rPr>
          <w:rFonts w:cs="Arial"/>
        </w:rPr>
        <w:t>Il Governo cita inoltre che per garantire una discussione e una condivisione delle iniziative di sviluppo economico, dando seguito anche alla mozione del deputato Fiorenzo Dadò e cofirmatari “</w:t>
      </w:r>
      <w:r w:rsidRPr="00E67AA9">
        <w:rPr>
          <w:rFonts w:cs="Arial"/>
        </w:rPr>
        <w:t>Costituzione di un gruppo di riflessione strategica per la valutazione delle conseguenze dell’apprezzamento del franco”</w:t>
      </w:r>
      <w:r>
        <w:rPr>
          <w:rFonts w:cs="Arial"/>
        </w:rPr>
        <w:t xml:space="preserve">,  su iniziativa del Dipartimento delle finanze e dell’economia, </w:t>
      </w:r>
      <w:r w:rsidRPr="00522B50">
        <w:rPr>
          <w:rFonts w:cs="Arial"/>
        </w:rPr>
        <w:t xml:space="preserve">è stato costituito </w:t>
      </w:r>
      <w:r w:rsidRPr="00E67AA9">
        <w:rPr>
          <w:rFonts w:cs="Arial"/>
          <w:i/>
          <w:u w:val="single"/>
        </w:rPr>
        <w:t>il Tavolo di lavoro sull’economia ticinese</w:t>
      </w:r>
      <w:r w:rsidRPr="00522B50">
        <w:rPr>
          <w:rFonts w:cs="Arial"/>
        </w:rPr>
        <w:t xml:space="preserve"> </w:t>
      </w:r>
      <w:r w:rsidRPr="00B22AFB">
        <w:rPr>
          <w:rFonts w:cs="Arial"/>
        </w:rPr>
        <w:t>(</w:t>
      </w:r>
      <w:hyperlink r:id="rId9" w:history="1">
        <w:r w:rsidRPr="00B22AFB">
          <w:rPr>
            <w:rStyle w:val="Collegamentoipertestuale"/>
            <w:rFonts w:cs="Arial"/>
          </w:rPr>
          <w:t>http://www4.ti.ch/dfe/de/tavolo-economia/home/</w:t>
        </w:r>
      </w:hyperlink>
      <w:r w:rsidRPr="00B22AFB">
        <w:rPr>
          <w:rFonts w:cs="Arial"/>
        </w:rPr>
        <w:t xml:space="preserve">) che </w:t>
      </w:r>
      <w:r>
        <w:rPr>
          <w:rFonts w:cs="Arial"/>
        </w:rPr>
        <w:t>ha visto</w:t>
      </w:r>
      <w:r w:rsidRPr="00B22AFB">
        <w:rPr>
          <w:rFonts w:cs="Arial"/>
        </w:rPr>
        <w:t xml:space="preserve"> il coinvolgimento di </w:t>
      </w:r>
      <w:r w:rsidRPr="00522B50">
        <w:rPr>
          <w:rFonts w:cs="Arial"/>
        </w:rPr>
        <w:t>rappresentanti del mondo politico, economico, sindacale e accademico</w:t>
      </w:r>
      <w:r>
        <w:rPr>
          <w:rFonts w:cs="Arial"/>
        </w:rPr>
        <w:t xml:space="preserve"> e di funzionari </w:t>
      </w:r>
      <w:r w:rsidRPr="00522B50">
        <w:rPr>
          <w:rFonts w:cs="Arial"/>
        </w:rPr>
        <w:t xml:space="preserve"> cantonali, in particolare della Divisione dell’economia.</w:t>
      </w:r>
      <w:r>
        <w:rPr>
          <w:rFonts w:cs="Arial"/>
        </w:rPr>
        <w:t xml:space="preserve"> I risultati e lavori svolti da questo gruppo di lavoro sono accessibili sul sito dell’amministrazione cantonale</w:t>
      </w:r>
    </w:p>
    <w:p w:rsidR="00E719F5" w:rsidRDefault="00E719F5" w:rsidP="00E719F5">
      <w:pPr>
        <w:tabs>
          <w:tab w:val="left" w:pos="426"/>
        </w:tabs>
        <w:outlineLvl w:val="0"/>
        <w:rPr>
          <w:rFonts w:cs="Arial"/>
        </w:rPr>
      </w:pPr>
    </w:p>
    <w:p w:rsidR="00E719F5" w:rsidRPr="00E67AA9" w:rsidRDefault="00E719F5" w:rsidP="00E719F5">
      <w:pPr>
        <w:tabs>
          <w:tab w:val="left" w:pos="426"/>
        </w:tabs>
        <w:outlineLvl w:val="0"/>
        <w:rPr>
          <w:rFonts w:cs="Arial"/>
          <w:i/>
        </w:rPr>
      </w:pPr>
      <w:r>
        <w:rPr>
          <w:rFonts w:cs="Arial"/>
        </w:rPr>
        <w:t xml:space="preserve">Per quanto concerne il punto dello sviluppo economico e il coinvolgimento delle sole tre regioni citate nella mozione  “Ticino Futuro” il Governo  ricorda che </w:t>
      </w:r>
      <w:r w:rsidRPr="00E67AA9">
        <w:rPr>
          <w:rFonts w:cs="Arial"/>
          <w:i/>
        </w:rPr>
        <w:t xml:space="preserve">la strategia di sviluppo economico promossa dal Cantone non prevede differenziazioni territoriali, con la sola eccezione delle misure di politica economica regionale destinate al riposizionamento delle regioni periferiche e a quelle del Decreto legislativo per misure complementari al Programma d’attuazione 2016-2019. </w:t>
      </w:r>
    </w:p>
    <w:p w:rsidR="00E719F5" w:rsidRDefault="00E719F5" w:rsidP="00E719F5">
      <w:pPr>
        <w:tabs>
          <w:tab w:val="left" w:pos="426"/>
        </w:tabs>
        <w:outlineLvl w:val="0"/>
        <w:rPr>
          <w:rFonts w:cs="Arial"/>
        </w:rPr>
      </w:pPr>
      <w:r w:rsidRPr="00E67AA9">
        <w:rPr>
          <w:rFonts w:cs="Arial"/>
          <w:i/>
        </w:rPr>
        <w:t xml:space="preserve">Con la politica economica regionale, il Consiglio di Stato mira dunque proprio a ridurre le disparità di sviluppo tra le varie regioni del Cantone, mentre con le altre politiche di sviluppo economico assicura un sostegno indifferenziato delle attività sul territorio. </w:t>
      </w:r>
    </w:p>
    <w:p w:rsidR="00E719F5" w:rsidRDefault="00E719F5" w:rsidP="00E719F5">
      <w:pPr>
        <w:autoSpaceDE w:val="0"/>
        <w:autoSpaceDN w:val="0"/>
        <w:adjustRightInd w:val="0"/>
        <w:rPr>
          <w:rFonts w:cs="Arial"/>
        </w:rPr>
      </w:pPr>
    </w:p>
    <w:p w:rsidR="00E719F5" w:rsidRDefault="00E719F5" w:rsidP="00E719F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In conclusione </w:t>
      </w:r>
      <w:r w:rsidRPr="00F979CA">
        <w:rPr>
          <w:rFonts w:cs="Arial"/>
        </w:rPr>
        <w:t xml:space="preserve">il Consiglio di Stato ritiene che </w:t>
      </w:r>
      <w:r>
        <w:rPr>
          <w:rFonts w:cs="Arial"/>
        </w:rPr>
        <w:t xml:space="preserve">il suo operato colga già buona parte delle proposte avanzate dalle due mozioni e </w:t>
      </w:r>
      <w:r w:rsidRPr="00150674">
        <w:rPr>
          <w:rFonts w:cs="Arial"/>
        </w:rPr>
        <w:t xml:space="preserve">invita pertanto il </w:t>
      </w:r>
      <w:r>
        <w:rPr>
          <w:rFonts w:cs="Arial"/>
        </w:rPr>
        <w:t xml:space="preserve">Gran Consiglio </w:t>
      </w:r>
      <w:r w:rsidRPr="00150674">
        <w:rPr>
          <w:rFonts w:cs="Arial"/>
        </w:rPr>
        <w:t xml:space="preserve">a respingere </w:t>
      </w:r>
      <w:r>
        <w:rPr>
          <w:rFonts w:cs="Arial"/>
        </w:rPr>
        <w:t xml:space="preserve">le due </w:t>
      </w:r>
      <w:r w:rsidRPr="00150674">
        <w:rPr>
          <w:rFonts w:cs="Arial"/>
        </w:rPr>
        <w:t>mozion</w:t>
      </w:r>
      <w:r>
        <w:rPr>
          <w:rFonts w:cs="Arial"/>
        </w:rPr>
        <w:t>i</w:t>
      </w:r>
      <w:r w:rsidRPr="00150674">
        <w:rPr>
          <w:rFonts w:cs="Arial"/>
        </w:rPr>
        <w:t xml:space="preserve">, </w:t>
      </w:r>
      <w:r w:rsidRPr="00AF4D02">
        <w:rPr>
          <w:rFonts w:cs="Arial"/>
        </w:rPr>
        <w:t>considera</w:t>
      </w:r>
      <w:r>
        <w:rPr>
          <w:rFonts w:cs="Arial"/>
        </w:rPr>
        <w:t>ndo buona parte delle misure proposte superate o non necessarie</w:t>
      </w:r>
      <w:r w:rsidRPr="00150674">
        <w:rPr>
          <w:rFonts w:cs="Arial"/>
        </w:rPr>
        <w:t>.</w:t>
      </w:r>
    </w:p>
    <w:p w:rsidR="00E719F5" w:rsidRDefault="00E719F5" w:rsidP="00E719F5">
      <w:pPr>
        <w:autoSpaceDE w:val="0"/>
        <w:autoSpaceDN w:val="0"/>
        <w:adjustRightInd w:val="0"/>
        <w:rPr>
          <w:rFonts w:cs="Arial"/>
        </w:rPr>
      </w:pPr>
    </w:p>
    <w:p w:rsidR="00E719F5" w:rsidRPr="00F979CA" w:rsidRDefault="00E719F5" w:rsidP="00E719F5">
      <w:pPr>
        <w:autoSpaceDE w:val="0"/>
        <w:autoSpaceDN w:val="0"/>
        <w:adjustRightInd w:val="0"/>
        <w:rPr>
          <w:rFonts w:cs="Arial"/>
        </w:rPr>
      </w:pPr>
    </w:p>
    <w:p w:rsidR="00E719F5" w:rsidRDefault="00E719F5" w:rsidP="00E719F5">
      <w:pPr>
        <w:tabs>
          <w:tab w:val="left" w:pos="284"/>
          <w:tab w:val="left" w:pos="426"/>
          <w:tab w:val="left" w:pos="4962"/>
        </w:tabs>
      </w:pPr>
    </w:p>
    <w:p w:rsidR="00E719F5" w:rsidRDefault="00E719F5" w:rsidP="00E719F5">
      <w:pPr>
        <w:pStyle w:val="Titolo1"/>
      </w:pPr>
      <w:r w:rsidRPr="00B54C72">
        <w:t>Posizione della Commissione della Gestione e delle Finanze</w:t>
      </w:r>
    </w:p>
    <w:p w:rsidR="00E719F5" w:rsidRPr="007B5259" w:rsidRDefault="00E719F5" w:rsidP="00E719F5">
      <w:pPr>
        <w:rPr>
          <w:rFonts w:cs="Arial"/>
          <w:szCs w:val="24"/>
        </w:rPr>
      </w:pPr>
      <w:r>
        <w:rPr>
          <w:rFonts w:cs="Arial"/>
          <w:szCs w:val="24"/>
        </w:rPr>
        <w:t>La Commissione della g</w:t>
      </w:r>
      <w:r w:rsidRPr="007B5259">
        <w:rPr>
          <w:rFonts w:cs="Arial"/>
          <w:szCs w:val="24"/>
        </w:rPr>
        <w:t xml:space="preserve">estione e delle </w:t>
      </w:r>
      <w:r>
        <w:rPr>
          <w:rFonts w:cs="Arial"/>
          <w:szCs w:val="24"/>
        </w:rPr>
        <w:t>f</w:t>
      </w:r>
      <w:r w:rsidRPr="007B5259">
        <w:rPr>
          <w:rFonts w:cs="Arial"/>
          <w:szCs w:val="24"/>
        </w:rPr>
        <w:t xml:space="preserve">inanze, nell’ambito dei suoi lavori, ha sentito il </w:t>
      </w:r>
      <w:r>
        <w:rPr>
          <w:rFonts w:cs="Arial"/>
          <w:szCs w:val="24"/>
        </w:rPr>
        <w:br/>
      </w:r>
      <w:r w:rsidRPr="007B5259">
        <w:rPr>
          <w:rFonts w:cs="Arial"/>
          <w:szCs w:val="24"/>
        </w:rPr>
        <w:t xml:space="preserve">24 aprile 2017 in audizione il deputato Sergio Morisoli che ha rimarcato come le sue proposte </w:t>
      </w:r>
    </w:p>
    <w:p w:rsidR="00E719F5" w:rsidRPr="007B5259" w:rsidRDefault="00E719F5" w:rsidP="00E719F5">
      <w:pPr>
        <w:rPr>
          <w:rFonts w:cs="Arial"/>
          <w:bCs/>
          <w:szCs w:val="24"/>
          <w:lang w:eastAsia="it-CH"/>
        </w:rPr>
      </w:pPr>
      <w:r w:rsidRPr="007B5259">
        <w:rPr>
          <w:rFonts w:cs="Arial"/>
          <w:szCs w:val="24"/>
        </w:rPr>
        <w:t xml:space="preserve">siano ancora attuali. In modo particolare ha evidenziato come </w:t>
      </w:r>
      <w:r w:rsidRPr="007B5259">
        <w:rPr>
          <w:rFonts w:cs="Arial"/>
          <w:i/>
          <w:szCs w:val="24"/>
        </w:rPr>
        <w:t>l</w:t>
      </w:r>
      <w:r w:rsidRPr="007B5259">
        <w:rPr>
          <w:rFonts w:cs="Arial"/>
          <w:bCs/>
          <w:i/>
          <w:szCs w:val="24"/>
          <w:lang w:eastAsia="it-CH"/>
        </w:rPr>
        <w:t xml:space="preserve">’idea della mozione Ticino Futuro nasce anche dal progetto “Ticino futuro” con tre poli di sviluppo (le tre grandi Città) messe in rete tramite </w:t>
      </w:r>
      <w:proofErr w:type="spellStart"/>
      <w:r w:rsidRPr="007B5259">
        <w:rPr>
          <w:rFonts w:cs="Arial"/>
          <w:bCs/>
          <w:i/>
          <w:szCs w:val="24"/>
          <w:lang w:eastAsia="it-CH"/>
        </w:rPr>
        <w:t>Alptransit</w:t>
      </w:r>
      <w:proofErr w:type="spellEnd"/>
      <w:r w:rsidRPr="007B5259">
        <w:rPr>
          <w:rFonts w:cs="Arial"/>
          <w:bCs/>
          <w:i/>
          <w:szCs w:val="24"/>
          <w:lang w:eastAsia="it-CH"/>
        </w:rPr>
        <w:t>. La notevole occasione che ci sarà al momento dell’apertura del tunnel di base del Ceneri di avere tre poli urbani collegabili tra loro nel giro di un quarto d’ora/20 minuti, con un accesso a Nord in un’ora e mezza, andrà a creare una situazione infrastrutturale notevole. La mozione è stata dunque sviluppata attorno alle possibilità che offre questa infrastruttura. Qualora il Cantone facesse un primo passo, fungendo da locomotiva, attirerebbe anche investitori privati</w:t>
      </w:r>
      <w:r w:rsidRPr="007B5259">
        <w:rPr>
          <w:rFonts w:cs="Arial"/>
          <w:bCs/>
          <w:szCs w:val="24"/>
          <w:lang w:eastAsia="it-CH"/>
        </w:rPr>
        <w:t xml:space="preserve"> secondo il </w:t>
      </w:r>
      <w:proofErr w:type="spellStart"/>
      <w:r w:rsidRPr="007B5259">
        <w:rPr>
          <w:rFonts w:cs="Arial"/>
          <w:bCs/>
          <w:szCs w:val="24"/>
          <w:lang w:eastAsia="it-CH"/>
        </w:rPr>
        <w:t>mozionante</w:t>
      </w:r>
      <w:proofErr w:type="spellEnd"/>
      <w:r w:rsidRPr="007B5259">
        <w:rPr>
          <w:rFonts w:cs="Arial"/>
          <w:bCs/>
          <w:szCs w:val="24"/>
          <w:lang w:eastAsia="it-CH"/>
        </w:rPr>
        <w:t xml:space="preserve">. </w:t>
      </w:r>
    </w:p>
    <w:p w:rsidR="00E719F5" w:rsidRDefault="00E719F5" w:rsidP="00E719F5">
      <w:pPr>
        <w:rPr>
          <w:rFonts w:cs="Arial"/>
          <w:bCs/>
          <w:szCs w:val="24"/>
          <w:lang w:eastAsia="it-CH"/>
        </w:rPr>
      </w:pPr>
      <w:r w:rsidRPr="007B5259">
        <w:rPr>
          <w:rFonts w:cs="Arial"/>
          <w:bCs/>
          <w:szCs w:val="24"/>
          <w:lang w:eastAsia="it-CH"/>
        </w:rPr>
        <w:t xml:space="preserve">Il deputato Morisoli ritiene che il Governo non abbia sufficientemente approfondito e affrontato le proposte contenute negli atti parlamentari e chiede alla Commissione della </w:t>
      </w:r>
      <w:r>
        <w:rPr>
          <w:rFonts w:cs="Arial"/>
          <w:bCs/>
          <w:szCs w:val="24"/>
          <w:lang w:eastAsia="it-CH"/>
        </w:rPr>
        <w:t>g</w:t>
      </w:r>
      <w:r w:rsidRPr="007B5259">
        <w:rPr>
          <w:rFonts w:cs="Arial"/>
          <w:bCs/>
          <w:szCs w:val="24"/>
          <w:lang w:eastAsia="it-CH"/>
        </w:rPr>
        <w:t xml:space="preserve">estione e delle </w:t>
      </w:r>
      <w:r>
        <w:rPr>
          <w:rFonts w:cs="Arial"/>
          <w:bCs/>
          <w:szCs w:val="24"/>
          <w:lang w:eastAsia="it-CH"/>
        </w:rPr>
        <w:t>f</w:t>
      </w:r>
      <w:r w:rsidRPr="007B5259">
        <w:rPr>
          <w:rFonts w:cs="Arial"/>
          <w:bCs/>
          <w:szCs w:val="24"/>
          <w:lang w:eastAsia="it-CH"/>
        </w:rPr>
        <w:t xml:space="preserve">inanze di invitare il Governo a riprendere in mano l’atto e a riflettere meglio circa le proposte che contiene. </w:t>
      </w:r>
    </w:p>
    <w:p w:rsidR="00E719F5" w:rsidRPr="007B5259" w:rsidRDefault="00E719F5" w:rsidP="00E719F5">
      <w:pPr>
        <w:rPr>
          <w:rFonts w:cs="Arial"/>
          <w:szCs w:val="24"/>
        </w:rPr>
      </w:pPr>
    </w:p>
    <w:p w:rsidR="00E719F5" w:rsidRDefault="00E719F5" w:rsidP="00E719F5">
      <w:pPr>
        <w:rPr>
          <w:rFonts w:cs="Arial"/>
          <w:szCs w:val="24"/>
        </w:rPr>
      </w:pPr>
    </w:p>
    <w:p w:rsidR="00E719F5" w:rsidRDefault="00E719F5" w:rsidP="00E719F5">
      <w:pPr>
        <w:rPr>
          <w:rFonts w:cs="Arial"/>
          <w:szCs w:val="24"/>
        </w:rPr>
      </w:pPr>
      <w:r w:rsidRPr="00B15E93">
        <w:rPr>
          <w:rFonts w:cs="Arial"/>
          <w:szCs w:val="24"/>
        </w:rPr>
        <w:t xml:space="preserve">La Commissione della </w:t>
      </w:r>
      <w:r>
        <w:rPr>
          <w:rFonts w:cs="Arial"/>
          <w:szCs w:val="24"/>
        </w:rPr>
        <w:t>g</w:t>
      </w:r>
      <w:r w:rsidRPr="00B15E93">
        <w:rPr>
          <w:rFonts w:cs="Arial"/>
          <w:szCs w:val="24"/>
        </w:rPr>
        <w:t xml:space="preserve">estione e delle </w:t>
      </w:r>
      <w:r>
        <w:rPr>
          <w:rFonts w:cs="Arial"/>
          <w:szCs w:val="24"/>
        </w:rPr>
        <w:t>f</w:t>
      </w:r>
      <w:r w:rsidRPr="00B15E93">
        <w:rPr>
          <w:rFonts w:cs="Arial"/>
          <w:szCs w:val="24"/>
        </w:rPr>
        <w:t>inanze, preso atto di quanto presentato d</w:t>
      </w:r>
      <w:r>
        <w:rPr>
          <w:rFonts w:cs="Arial"/>
          <w:szCs w:val="24"/>
        </w:rPr>
        <w:t>a</w:t>
      </w:r>
      <w:r w:rsidRPr="00B15E93">
        <w:rPr>
          <w:rFonts w:cs="Arial"/>
          <w:szCs w:val="24"/>
        </w:rPr>
        <w:t>l Governo e delle strategie oggi messe in atto che sono formalizzate anche nelle Linee direttive 2015-2019 approvate dal Parlamento, condivide la posizione del Consiglio di Stato.</w:t>
      </w:r>
    </w:p>
    <w:p w:rsidR="00E719F5" w:rsidRDefault="00E719F5" w:rsidP="00E719F5">
      <w:pPr>
        <w:rPr>
          <w:rFonts w:cs="Arial"/>
          <w:szCs w:val="24"/>
        </w:rPr>
      </w:pPr>
    </w:p>
    <w:p w:rsidR="00E719F5" w:rsidRDefault="00E719F5" w:rsidP="00E719F5">
      <w:pPr>
        <w:rPr>
          <w:rFonts w:cs="Arial"/>
          <w:szCs w:val="24"/>
        </w:rPr>
      </w:pPr>
    </w:p>
    <w:p w:rsidR="00E719F5" w:rsidRDefault="00E719F5" w:rsidP="00E719F5">
      <w:pPr>
        <w:rPr>
          <w:rFonts w:cs="Arial"/>
          <w:szCs w:val="24"/>
        </w:rPr>
      </w:pPr>
    </w:p>
    <w:p w:rsidR="00E719F5" w:rsidRPr="00B54C72" w:rsidRDefault="00E719F5" w:rsidP="00E719F5">
      <w:pPr>
        <w:pStyle w:val="Titolo1"/>
      </w:pPr>
      <w:r w:rsidRPr="00B54C72">
        <w:t>Conclusione</w:t>
      </w:r>
    </w:p>
    <w:p w:rsidR="00E719F5" w:rsidRDefault="00E719F5" w:rsidP="00E719F5">
      <w:pPr>
        <w:rPr>
          <w:rFonts w:cs="Arial"/>
          <w:szCs w:val="24"/>
        </w:rPr>
      </w:pPr>
      <w:r>
        <w:rPr>
          <w:rFonts w:cs="Arial"/>
          <w:szCs w:val="24"/>
        </w:rPr>
        <w:t>La Commissione della gestione e delle finanze invita il Parlamento ad approvare il Messaggio n. 7262 e a respingere le mozioni:</w:t>
      </w:r>
    </w:p>
    <w:p w:rsidR="00E773CE" w:rsidRDefault="00E719F5" w:rsidP="00E773CE">
      <w:pPr>
        <w:pStyle w:val="Paragrafoelenco"/>
        <w:numPr>
          <w:ilvl w:val="0"/>
          <w:numId w:val="8"/>
        </w:numPr>
        <w:spacing w:before="60"/>
        <w:ind w:left="284" w:hanging="284"/>
      </w:pPr>
      <w:r>
        <w:t>“</w:t>
      </w:r>
      <w:r w:rsidRPr="00830F48">
        <w:t>È ora di un Patto economico di Paese</w:t>
      </w:r>
      <w:r>
        <w:t>” del 24 settembre 2012;</w:t>
      </w:r>
    </w:p>
    <w:p w:rsidR="00E719F5" w:rsidRDefault="00E719F5" w:rsidP="00E773CE">
      <w:pPr>
        <w:pStyle w:val="Paragrafoelenco"/>
        <w:numPr>
          <w:ilvl w:val="0"/>
          <w:numId w:val="8"/>
        </w:numPr>
        <w:spacing w:before="60"/>
        <w:ind w:left="284" w:hanging="284"/>
      </w:pPr>
      <w:r>
        <w:t>“Ticino Futuro” del 22 febbraio 2016</w:t>
      </w:r>
      <w:r w:rsidR="00E773CE">
        <w:t>.</w:t>
      </w:r>
    </w:p>
    <w:p w:rsidR="00076E70" w:rsidRPr="00076E70" w:rsidRDefault="00076E70" w:rsidP="00076E70">
      <w:pPr>
        <w:rPr>
          <w:rFonts w:cs="Arial"/>
          <w:szCs w:val="24"/>
        </w:rPr>
      </w:pPr>
    </w:p>
    <w:p w:rsidR="00076E70" w:rsidRPr="00076E70" w:rsidRDefault="00076E70" w:rsidP="00076E70">
      <w:pPr>
        <w:autoSpaceDE w:val="0"/>
        <w:autoSpaceDN w:val="0"/>
        <w:adjustRightInd w:val="0"/>
        <w:rPr>
          <w:rFonts w:cs="Arial"/>
          <w:szCs w:val="24"/>
        </w:rPr>
      </w:pPr>
    </w:p>
    <w:p w:rsidR="00076E70" w:rsidRPr="00076E70" w:rsidRDefault="00076E70" w:rsidP="00076E70">
      <w:pPr>
        <w:rPr>
          <w:rFonts w:cs="Arial"/>
          <w:szCs w:val="24"/>
        </w:rPr>
      </w:pPr>
    </w:p>
    <w:p w:rsidR="00076E70" w:rsidRPr="00076E70" w:rsidRDefault="00076E70" w:rsidP="00076E70">
      <w:pPr>
        <w:spacing w:after="120"/>
        <w:rPr>
          <w:rFonts w:cs="Arial"/>
          <w:szCs w:val="24"/>
        </w:rPr>
      </w:pPr>
      <w:r w:rsidRPr="00076E70">
        <w:rPr>
          <w:rFonts w:cs="Arial"/>
          <w:szCs w:val="24"/>
        </w:rPr>
        <w:t xml:space="preserve">Per </w:t>
      </w:r>
      <w:smartTag w:uri="urn:schemas-microsoft-com:office:smarttags" w:element="PersonName">
        <w:smartTagPr>
          <w:attr w:name="ProductID" w:val="la Commissione"/>
        </w:smartTagPr>
        <w:r w:rsidRPr="00076E70">
          <w:rPr>
            <w:rFonts w:cs="Arial"/>
            <w:szCs w:val="24"/>
          </w:rPr>
          <w:t>la Commissione</w:t>
        </w:r>
      </w:smartTag>
      <w:r w:rsidRPr="00076E70">
        <w:rPr>
          <w:rFonts w:cs="Arial"/>
          <w:szCs w:val="24"/>
        </w:rPr>
        <w:t xml:space="preserve"> gestione e finanze:</w:t>
      </w:r>
    </w:p>
    <w:p w:rsidR="00076E70" w:rsidRPr="00076E70" w:rsidRDefault="00E719F5" w:rsidP="00076E70">
      <w:pPr>
        <w:rPr>
          <w:rFonts w:cs="Arial"/>
          <w:szCs w:val="24"/>
        </w:rPr>
      </w:pPr>
      <w:r>
        <w:rPr>
          <w:rFonts w:cs="Arial"/>
          <w:szCs w:val="24"/>
        </w:rPr>
        <w:t>Pelin Kandemir Bordoli,</w:t>
      </w:r>
      <w:r w:rsidR="00076E70" w:rsidRPr="00076E70">
        <w:rPr>
          <w:rFonts w:cs="Arial"/>
          <w:szCs w:val="24"/>
        </w:rPr>
        <w:t xml:space="preserve"> relatr</w:t>
      </w:r>
      <w:r>
        <w:rPr>
          <w:rFonts w:cs="Arial"/>
          <w:szCs w:val="24"/>
        </w:rPr>
        <w:t>ic</w:t>
      </w:r>
      <w:r w:rsidR="00076E70" w:rsidRPr="00076E70">
        <w:rPr>
          <w:rFonts w:cs="Arial"/>
          <w:szCs w:val="24"/>
        </w:rPr>
        <w:t>e</w:t>
      </w:r>
    </w:p>
    <w:p w:rsidR="00E773CE" w:rsidRDefault="00E773CE" w:rsidP="00E773CE">
      <w:pPr>
        <w:rPr>
          <w:rFonts w:cs="Arial"/>
        </w:rPr>
      </w:pPr>
      <w:bookmarkStart w:id="1" w:name="OLE_LINK1"/>
      <w:bookmarkStart w:id="2" w:name="OLE_LINK2"/>
      <w:r>
        <w:rPr>
          <w:rFonts w:cs="Arial"/>
        </w:rPr>
        <w:t>Badasci - Caprara - Caverzasio - Dadò -</w:t>
      </w:r>
    </w:p>
    <w:p w:rsidR="00E773CE" w:rsidRDefault="00E773CE" w:rsidP="00E773CE">
      <w:pPr>
        <w:rPr>
          <w:rFonts w:cs="Arial"/>
        </w:rPr>
      </w:pPr>
      <w:r>
        <w:rPr>
          <w:rFonts w:cs="Arial"/>
        </w:rPr>
        <w:t xml:space="preserve">De Rosa - Durisch - Farinelli - Garobbio - </w:t>
      </w:r>
    </w:p>
    <w:p w:rsidR="00E773CE" w:rsidRDefault="00E773CE" w:rsidP="00E773CE">
      <w:pPr>
        <w:rPr>
          <w:rFonts w:cs="Arial"/>
        </w:rPr>
      </w:pPr>
      <w:r>
        <w:rPr>
          <w:rFonts w:cs="Arial"/>
        </w:rPr>
        <w:t>Pini - Quadranti</w:t>
      </w:r>
    </w:p>
    <w:bookmarkEnd w:id="1"/>
    <w:bookmarkEnd w:id="2"/>
    <w:p w:rsidR="00076E70" w:rsidRPr="00076E70" w:rsidRDefault="00076E70" w:rsidP="00076E70">
      <w:pPr>
        <w:rPr>
          <w:rFonts w:cs="Arial"/>
          <w:szCs w:val="24"/>
        </w:rPr>
      </w:pPr>
    </w:p>
    <w:p w:rsidR="00076E70" w:rsidRPr="00076E70" w:rsidRDefault="00076E70">
      <w:pPr>
        <w:rPr>
          <w:rFonts w:cs="Arial"/>
          <w:szCs w:val="24"/>
        </w:rPr>
      </w:pPr>
    </w:p>
    <w:sectPr w:rsidR="00076E70" w:rsidRPr="00076E70" w:rsidSect="008B4137">
      <w:footerReference w:type="default" r:id="rId10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52" w:rsidRDefault="00F36752" w:rsidP="008E77C6">
      <w:r>
        <w:separator/>
      </w:r>
    </w:p>
  </w:endnote>
  <w:endnote w:type="continuationSeparator" w:id="0">
    <w:p w:rsidR="00F36752" w:rsidRDefault="00F36752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664560" w:rsidRPr="00664560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52" w:rsidRDefault="00F36752" w:rsidP="008E77C6">
      <w:r>
        <w:separator/>
      </w:r>
    </w:p>
  </w:footnote>
  <w:footnote w:type="continuationSeparator" w:id="0">
    <w:p w:rsidR="00F36752" w:rsidRDefault="00F36752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BD9"/>
    <w:multiLevelType w:val="hybridMultilevel"/>
    <w:tmpl w:val="29D4FC1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43C82"/>
    <w:multiLevelType w:val="hybridMultilevel"/>
    <w:tmpl w:val="0E5AE77A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31632"/>
    <w:multiLevelType w:val="multilevel"/>
    <w:tmpl w:val="9F94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EB555F6"/>
    <w:multiLevelType w:val="hybridMultilevel"/>
    <w:tmpl w:val="245A14CC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2E5E40"/>
    <w:rsid w:val="00324A0C"/>
    <w:rsid w:val="0052425A"/>
    <w:rsid w:val="00586A8D"/>
    <w:rsid w:val="00664560"/>
    <w:rsid w:val="006D7A3B"/>
    <w:rsid w:val="007B5462"/>
    <w:rsid w:val="008034BD"/>
    <w:rsid w:val="00876352"/>
    <w:rsid w:val="008B4137"/>
    <w:rsid w:val="008C767A"/>
    <w:rsid w:val="008E77C6"/>
    <w:rsid w:val="009770BB"/>
    <w:rsid w:val="009E008D"/>
    <w:rsid w:val="00A5465F"/>
    <w:rsid w:val="00A77678"/>
    <w:rsid w:val="00BC4C95"/>
    <w:rsid w:val="00BD5944"/>
    <w:rsid w:val="00CF6858"/>
    <w:rsid w:val="00D377B5"/>
    <w:rsid w:val="00D93B31"/>
    <w:rsid w:val="00E719F5"/>
    <w:rsid w:val="00E773CE"/>
    <w:rsid w:val="00F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72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E719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72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E719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4.ti.ch/dfe/de/tavolo-economia/hom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372C-C5B2-4E8C-9CAD-E2570E61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4</cp:revision>
  <cp:lastPrinted>2017-09-21T07:31:00Z</cp:lastPrinted>
  <dcterms:created xsi:type="dcterms:W3CDTF">2017-09-21T07:25:00Z</dcterms:created>
  <dcterms:modified xsi:type="dcterms:W3CDTF">2017-10-04T08:15:00Z</dcterms:modified>
</cp:coreProperties>
</file>