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5D3533">
      <w:pPr>
        <w:rPr>
          <w:rFonts w:cs="Arial"/>
          <w:sz w:val="20"/>
          <w:szCs w:val="20"/>
        </w:rPr>
      </w:pPr>
      <w:r w:rsidRPr="00664560">
        <w:rPr>
          <w:rFonts w:ascii="Gill Sans MT" w:hAnsi="Gill Sans MT" w:cs="Arial"/>
          <w:b/>
          <w:sz w:val="52"/>
          <w:szCs w:val="52"/>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8B4137" w:rsidRDefault="007A52A7" w:rsidP="006D7A3B">
      <w:pPr>
        <w:tabs>
          <w:tab w:val="left" w:pos="2098"/>
          <w:tab w:val="left" w:pos="4933"/>
        </w:tabs>
        <w:rPr>
          <w:rFonts w:cs="Arial"/>
          <w:szCs w:val="24"/>
        </w:rPr>
      </w:pPr>
      <w:r>
        <w:rPr>
          <w:rFonts w:cs="Arial"/>
          <w:b/>
          <w:sz w:val="32"/>
          <w:szCs w:val="32"/>
        </w:rPr>
        <w:t>737</w:t>
      </w:r>
      <w:r w:rsidR="008B4137" w:rsidRPr="008B4137">
        <w:rPr>
          <w:rFonts w:cs="Arial"/>
          <w:b/>
          <w:sz w:val="32"/>
          <w:szCs w:val="32"/>
        </w:rPr>
        <w:t>0 R</w:t>
      </w:r>
      <w:r w:rsidR="008B4137" w:rsidRPr="008B4137">
        <w:rPr>
          <w:rFonts w:cs="Arial"/>
          <w:sz w:val="28"/>
          <w:szCs w:val="28"/>
        </w:rPr>
        <w:tab/>
      </w:r>
      <w:r>
        <w:rPr>
          <w:rFonts w:cs="Arial"/>
          <w:sz w:val="28"/>
          <w:szCs w:val="28"/>
        </w:rPr>
        <w:t>26 settembre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7A52A7" w:rsidRPr="007A52A7" w:rsidRDefault="008B4137" w:rsidP="007A52A7">
      <w:pPr>
        <w:rPr>
          <w:b/>
          <w:sz w:val="28"/>
          <w:szCs w:val="28"/>
        </w:rPr>
      </w:pPr>
      <w:r w:rsidRPr="008B4137">
        <w:rPr>
          <w:rFonts w:cs="Arial"/>
          <w:b/>
          <w:sz w:val="28"/>
          <w:szCs w:val="28"/>
        </w:rPr>
        <w:t>sul messaggio</w:t>
      </w:r>
      <w:r w:rsidR="007A52A7">
        <w:rPr>
          <w:rFonts w:cs="Arial"/>
          <w:b/>
          <w:sz w:val="28"/>
          <w:szCs w:val="28"/>
        </w:rPr>
        <w:t xml:space="preserve"> 11 luglio 2017 concernente la </w:t>
      </w:r>
      <w:r w:rsidR="007A52A7" w:rsidRPr="007A52A7">
        <w:rPr>
          <w:b/>
          <w:sz w:val="28"/>
          <w:szCs w:val="28"/>
        </w:rPr>
        <w:t xml:space="preserve">richiesta di un credito di 11.7 mio CHF per il rinnovo completo delle funivie </w:t>
      </w:r>
      <w:proofErr w:type="spellStart"/>
      <w:r w:rsidR="007A52A7" w:rsidRPr="007A52A7">
        <w:rPr>
          <w:b/>
          <w:sz w:val="28"/>
          <w:szCs w:val="28"/>
        </w:rPr>
        <w:t>Verdasio</w:t>
      </w:r>
      <w:proofErr w:type="spellEnd"/>
      <w:r w:rsidR="007A52A7" w:rsidRPr="007A52A7">
        <w:rPr>
          <w:b/>
          <w:sz w:val="28"/>
          <w:szCs w:val="28"/>
        </w:rPr>
        <w:t xml:space="preserve">-Rasa e Intragna-Pila-Costa nel Comune di </w:t>
      </w:r>
      <w:proofErr w:type="spellStart"/>
      <w:r w:rsidR="007A52A7" w:rsidRPr="007A52A7">
        <w:rPr>
          <w:b/>
          <w:sz w:val="28"/>
          <w:szCs w:val="28"/>
        </w:rPr>
        <w:t>Centovalli</w:t>
      </w:r>
      <w:proofErr w:type="spellEnd"/>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C9017F" w:rsidRPr="00EA40D0" w:rsidRDefault="00C9017F" w:rsidP="007A52A7">
      <w:pPr>
        <w:pStyle w:val="Titolo1"/>
      </w:pPr>
      <w:r w:rsidRPr="00EA40D0">
        <w:t>INTRODUZIONE</w:t>
      </w:r>
    </w:p>
    <w:p w:rsidR="00C9017F" w:rsidRDefault="00C9017F" w:rsidP="00C9017F">
      <w:pPr>
        <w:pStyle w:val="Default"/>
        <w:jc w:val="both"/>
        <w:rPr>
          <w:color w:val="auto"/>
        </w:rPr>
      </w:pPr>
      <w:r>
        <w:rPr>
          <w:color w:val="auto"/>
        </w:rPr>
        <w:t xml:space="preserve">Gli aspetti tecnici relativi alla necessità di procedere al rinnovo completo di entrambi gli impianti sono ben riassunti nel messaggio governativo. Lo stesso vale per la descrizione degli interventi che il rinnovo di cui sopra comporterà. L'iter seguito non dà adito a particolari commenti. </w:t>
      </w:r>
    </w:p>
    <w:p w:rsidR="00C9017F" w:rsidRDefault="00C9017F" w:rsidP="00C9017F">
      <w:pPr>
        <w:pStyle w:val="Default"/>
        <w:jc w:val="both"/>
        <w:rPr>
          <w:color w:val="auto"/>
        </w:rPr>
      </w:pPr>
    </w:p>
    <w:p w:rsidR="00C9017F" w:rsidRDefault="00C9017F" w:rsidP="00C9017F">
      <w:pPr>
        <w:pStyle w:val="Default"/>
        <w:jc w:val="both"/>
      </w:pPr>
      <w:r w:rsidRPr="003C288B">
        <w:t xml:space="preserve">Le funivie Intragna-Pila-Costa (IPC) e </w:t>
      </w:r>
      <w:proofErr w:type="spellStart"/>
      <w:r w:rsidRPr="003C288B">
        <w:t>Verdasio</w:t>
      </w:r>
      <w:proofErr w:type="spellEnd"/>
      <w:r w:rsidRPr="003C288B">
        <w:t xml:space="preserve">-Rasa (VR) sono situate nel Comune di </w:t>
      </w:r>
      <w:proofErr w:type="spellStart"/>
      <w:r w:rsidRPr="003C288B">
        <w:t>Centovalli</w:t>
      </w:r>
      <w:proofErr w:type="spellEnd"/>
      <w:r w:rsidRPr="003C288B">
        <w:t>-Intragna. La funivia IPC è di proprietà delle FART, impresa di trasporto pubblico con sede a Locarno</w:t>
      </w:r>
      <w:r>
        <w:t>,</w:t>
      </w:r>
      <w:r w:rsidRPr="003C288B">
        <w:t xml:space="preserve"> che ne assicura la gestione</w:t>
      </w:r>
      <w:r>
        <w:t>. I</w:t>
      </w:r>
      <w:r w:rsidRPr="003C288B">
        <w:t xml:space="preserve">l Comune di </w:t>
      </w:r>
      <w:proofErr w:type="spellStart"/>
      <w:r w:rsidRPr="003C288B">
        <w:t>Centovalli</w:t>
      </w:r>
      <w:proofErr w:type="spellEnd"/>
      <w:r w:rsidRPr="003C288B">
        <w:t xml:space="preserve"> è invece proprietario della funivia VR, il cui esercizio è stato affidato dal Comune all</w:t>
      </w:r>
      <w:r>
        <w:t>e</w:t>
      </w:r>
      <w:r w:rsidRPr="003C288B">
        <w:t xml:space="preserve"> stess</w:t>
      </w:r>
      <w:r>
        <w:t>e</w:t>
      </w:r>
      <w:r w:rsidRPr="003C288B">
        <w:t xml:space="preserve"> FART</w:t>
      </w:r>
      <w:r>
        <w:t>.</w:t>
      </w:r>
    </w:p>
    <w:p w:rsidR="00C9017F" w:rsidRDefault="00C9017F" w:rsidP="00C9017F">
      <w:pPr>
        <w:pStyle w:val="Default"/>
        <w:jc w:val="both"/>
      </w:pPr>
    </w:p>
    <w:p w:rsidR="00C9017F" w:rsidRDefault="00C9017F" w:rsidP="00C9017F">
      <w:pPr>
        <w:pStyle w:val="Default"/>
        <w:jc w:val="both"/>
        <w:rPr>
          <w:color w:val="auto"/>
        </w:rPr>
      </w:pPr>
      <w:r>
        <w:t>Per la loro capacità di trasporto g</w:t>
      </w:r>
      <w:r w:rsidRPr="003C288B">
        <w:t xml:space="preserve">li impianti sono esonerati dal rilascio di una </w:t>
      </w:r>
      <w:r>
        <w:t>c</w:t>
      </w:r>
      <w:r w:rsidRPr="003C288B">
        <w:t xml:space="preserve">oncessione </w:t>
      </w:r>
      <w:r>
        <w:t xml:space="preserve">e di un’autorizzazione </w:t>
      </w:r>
      <w:r w:rsidRPr="003C288B">
        <w:t>federale e svolgono l’esercizio sulla base di un’autorizzazione cantonale per il trasporto di persone</w:t>
      </w:r>
      <w:r>
        <w:t>,</w:t>
      </w:r>
      <w:r w:rsidRPr="003C288B">
        <w:t xml:space="preserve"> che giungerà a scadenza per le due funivie il 31.12.2017</w:t>
      </w:r>
      <w:r>
        <w:t>.</w:t>
      </w:r>
    </w:p>
    <w:p w:rsidR="00C9017F" w:rsidRDefault="00C9017F" w:rsidP="00C9017F">
      <w:pPr>
        <w:pStyle w:val="Default"/>
        <w:jc w:val="both"/>
        <w:rPr>
          <w:color w:val="auto"/>
        </w:rPr>
      </w:pPr>
    </w:p>
    <w:p w:rsidR="00C9017F" w:rsidRDefault="00C9017F" w:rsidP="00C9017F">
      <w:pPr>
        <w:pStyle w:val="Default"/>
        <w:jc w:val="both"/>
        <w:rPr>
          <w:color w:val="auto"/>
        </w:rPr>
      </w:pPr>
      <w:r w:rsidRPr="009C4754">
        <w:rPr>
          <w:color w:val="auto"/>
        </w:rPr>
        <w:t>Dai controlli eseguiti risulta chiaramente che, senza un intervento di rinnovo completo, le funivie nello stato attuale dovranno cessare l’esercizio con la scadenza dell’attuale autorizzazione. Per l’Organo di controllo</w:t>
      </w:r>
      <w:r>
        <w:rPr>
          <w:color w:val="auto"/>
        </w:rPr>
        <w:t xml:space="preserve"> del Concordato </w:t>
      </w:r>
      <w:proofErr w:type="spellStart"/>
      <w:r>
        <w:rPr>
          <w:color w:val="auto"/>
        </w:rPr>
        <w:t>intercantonale</w:t>
      </w:r>
      <w:proofErr w:type="spellEnd"/>
      <w:r w:rsidRPr="009C4754">
        <w:rPr>
          <w:color w:val="auto"/>
        </w:rPr>
        <w:t xml:space="preserve"> IKSS/CITT</w:t>
      </w:r>
      <w:r>
        <w:rPr>
          <w:color w:val="auto"/>
        </w:rPr>
        <w:t>, al quale entrambe le funivie sono sottoposte,</w:t>
      </w:r>
      <w:r w:rsidRPr="009C4754">
        <w:rPr>
          <w:color w:val="auto"/>
        </w:rPr>
        <w:t xml:space="preserve"> non sono infatti date le condizioni per un prolungamento del servizio dell’impianto nel suo stato attuale</w:t>
      </w:r>
      <w:r>
        <w:rPr>
          <w:color w:val="auto"/>
        </w:rPr>
        <w:t>.</w:t>
      </w:r>
    </w:p>
    <w:p w:rsidR="00C9017F" w:rsidRDefault="00C9017F" w:rsidP="00C9017F">
      <w:pPr>
        <w:pStyle w:val="Default"/>
        <w:jc w:val="both"/>
        <w:rPr>
          <w:color w:val="auto"/>
        </w:rPr>
      </w:pPr>
    </w:p>
    <w:p w:rsidR="00C9017F" w:rsidRDefault="00C9017F" w:rsidP="00C9017F">
      <w:pPr>
        <w:pStyle w:val="Default"/>
        <w:jc w:val="both"/>
      </w:pPr>
      <w:r>
        <w:t>L’IKSS/CITT</w:t>
      </w:r>
      <w:r w:rsidRPr="003C288B">
        <w:t xml:space="preserve"> ha </w:t>
      </w:r>
      <w:r>
        <w:t>però</w:t>
      </w:r>
      <w:r w:rsidRPr="003C288B">
        <w:t xml:space="preserve"> indicato che potrebbe tollerare una fase ulteriore d’esercizio degli impianti attuali per 1-2 anni dopo la scadenza di fine 2017, solo alla condizione che entro tale data un progetto concreto di risanamento degli impianti sia già in fase esecutiva.</w:t>
      </w:r>
      <w:r>
        <w:t xml:space="preserve"> Per questo motivo lo stesso organo di controllo </w:t>
      </w:r>
      <w:r w:rsidRPr="003C288B">
        <w:t>ha chiesto all’impresa FART, gerente degli impianti, di presentare un</w:t>
      </w:r>
      <w:r>
        <w:t>a valutazione del loro stato unitamente ad uno studio di fattibilità per il loro rinnovo.</w:t>
      </w:r>
      <w:r w:rsidRPr="00C32688">
        <w:t xml:space="preserve"> </w:t>
      </w:r>
      <w:r w:rsidRPr="003C288B">
        <w:t xml:space="preserve">La perizia è stata eseguita nel 2014/2015 dal consorzio di studi di ingegneria </w:t>
      </w:r>
      <w:proofErr w:type="spellStart"/>
      <w:r w:rsidRPr="003C288B">
        <w:t>Schönholzer</w:t>
      </w:r>
      <w:proofErr w:type="spellEnd"/>
      <w:r w:rsidRPr="003C288B">
        <w:t xml:space="preserve"> AG, </w:t>
      </w:r>
      <w:proofErr w:type="spellStart"/>
      <w:r w:rsidRPr="003C288B">
        <w:t>Hili</w:t>
      </w:r>
      <w:proofErr w:type="spellEnd"/>
      <w:r w:rsidRPr="003C288B">
        <w:t xml:space="preserve"> </w:t>
      </w:r>
      <w:proofErr w:type="spellStart"/>
      <w:r w:rsidRPr="003C288B">
        <w:t>Manz</w:t>
      </w:r>
      <w:proofErr w:type="spellEnd"/>
      <w:r w:rsidRPr="003C288B">
        <w:t xml:space="preserve"> </w:t>
      </w:r>
      <w:proofErr w:type="spellStart"/>
      <w:r w:rsidRPr="003C288B">
        <w:t>GmbH</w:t>
      </w:r>
      <w:proofErr w:type="spellEnd"/>
      <w:r w:rsidRPr="003C288B">
        <w:t xml:space="preserve"> e </w:t>
      </w:r>
      <w:proofErr w:type="spellStart"/>
      <w:r w:rsidRPr="003C288B">
        <w:t>Cenix</w:t>
      </w:r>
      <w:proofErr w:type="spellEnd"/>
      <w:r w:rsidRPr="003C288B">
        <w:t xml:space="preserve"> </w:t>
      </w:r>
      <w:proofErr w:type="spellStart"/>
      <w:r w:rsidRPr="003C288B">
        <w:t>GmbH</w:t>
      </w:r>
      <w:proofErr w:type="spellEnd"/>
      <w:r w:rsidRPr="003C288B">
        <w:t xml:space="preserve"> (IGSMC), </w:t>
      </w:r>
      <w:proofErr w:type="spellStart"/>
      <w:r w:rsidRPr="003C288B">
        <w:t>Bettmeralp</w:t>
      </w:r>
      <w:proofErr w:type="spellEnd"/>
      <w:r w:rsidRPr="003C288B">
        <w:t>.</w:t>
      </w:r>
    </w:p>
    <w:p w:rsidR="00C9017F" w:rsidRDefault="00C9017F" w:rsidP="00C9017F">
      <w:pPr>
        <w:pStyle w:val="Default"/>
        <w:jc w:val="both"/>
      </w:pPr>
    </w:p>
    <w:p w:rsidR="00C9017F" w:rsidRDefault="00C9017F" w:rsidP="00C9017F">
      <w:pPr>
        <w:pStyle w:val="Default"/>
        <w:jc w:val="both"/>
        <w:rPr>
          <w:color w:val="auto"/>
        </w:rPr>
      </w:pPr>
    </w:p>
    <w:p w:rsidR="00C9017F" w:rsidRDefault="00C9017F" w:rsidP="00C9017F">
      <w:pPr>
        <w:pStyle w:val="Default"/>
        <w:jc w:val="both"/>
        <w:rPr>
          <w:color w:val="auto"/>
        </w:rPr>
      </w:pPr>
    </w:p>
    <w:p w:rsidR="00C9017F" w:rsidRDefault="00C9017F" w:rsidP="00C9017F">
      <w:pPr>
        <w:rPr>
          <w:rFonts w:eastAsia="Times New Roman" w:cs="Arial"/>
          <w:b/>
          <w:szCs w:val="24"/>
          <w:lang w:val="it-IT" w:eastAsia="it-IT"/>
        </w:rPr>
      </w:pPr>
      <w:r>
        <w:rPr>
          <w:b/>
        </w:rPr>
        <w:br w:type="page"/>
      </w:r>
    </w:p>
    <w:p w:rsidR="00C9017F" w:rsidRPr="00235865" w:rsidRDefault="00C9017F" w:rsidP="007A52A7">
      <w:pPr>
        <w:pStyle w:val="Titolo1"/>
      </w:pPr>
      <w:r>
        <w:lastRenderedPageBreak/>
        <w:t>N</w:t>
      </w:r>
      <w:r w:rsidRPr="00235865">
        <w:t>EL MERITO</w:t>
      </w:r>
    </w:p>
    <w:p w:rsidR="00C9017F" w:rsidRPr="00695CD0" w:rsidRDefault="007A52A7" w:rsidP="007A52A7">
      <w:pPr>
        <w:pStyle w:val="Titolo2"/>
      </w:pPr>
      <w:r>
        <w:t>2.1</w:t>
      </w:r>
      <w:r>
        <w:tab/>
      </w:r>
      <w:r w:rsidR="00C9017F" w:rsidRPr="00695CD0">
        <w:t>Le due varianti e il rinnovo completo</w:t>
      </w:r>
    </w:p>
    <w:p w:rsidR="00C9017F" w:rsidRDefault="00C9017F" w:rsidP="00C9017F">
      <w:pPr>
        <w:pStyle w:val="Default"/>
        <w:jc w:val="both"/>
        <w:rPr>
          <w:color w:val="auto"/>
        </w:rPr>
      </w:pPr>
      <w:r>
        <w:rPr>
          <w:color w:val="auto"/>
        </w:rPr>
        <w:t xml:space="preserve">Dalla perizia svolta </w:t>
      </w:r>
      <w:r w:rsidRPr="003C288B">
        <w:t xml:space="preserve">dal </w:t>
      </w:r>
      <w:r>
        <w:t>C</w:t>
      </w:r>
      <w:r w:rsidRPr="003C288B">
        <w:t xml:space="preserve">onsorzio di studi di ingegneria </w:t>
      </w:r>
      <w:proofErr w:type="spellStart"/>
      <w:r w:rsidRPr="003C288B">
        <w:t>Schönholzer</w:t>
      </w:r>
      <w:proofErr w:type="spellEnd"/>
      <w:r w:rsidRPr="003C288B">
        <w:t xml:space="preserve"> AG, </w:t>
      </w:r>
      <w:proofErr w:type="spellStart"/>
      <w:r w:rsidRPr="003C288B">
        <w:t>Hili</w:t>
      </w:r>
      <w:proofErr w:type="spellEnd"/>
      <w:r w:rsidRPr="003C288B">
        <w:t xml:space="preserve"> </w:t>
      </w:r>
      <w:proofErr w:type="spellStart"/>
      <w:r w:rsidRPr="003C288B">
        <w:t>Manz</w:t>
      </w:r>
      <w:proofErr w:type="spellEnd"/>
      <w:r w:rsidRPr="003C288B">
        <w:t xml:space="preserve"> </w:t>
      </w:r>
      <w:proofErr w:type="spellStart"/>
      <w:r w:rsidRPr="003C288B">
        <w:t>GmbH</w:t>
      </w:r>
      <w:proofErr w:type="spellEnd"/>
      <w:r w:rsidRPr="003C288B">
        <w:t xml:space="preserve"> e </w:t>
      </w:r>
      <w:proofErr w:type="spellStart"/>
      <w:r w:rsidRPr="003C288B">
        <w:t>Cenix</w:t>
      </w:r>
      <w:proofErr w:type="spellEnd"/>
      <w:r w:rsidRPr="003C288B">
        <w:t xml:space="preserve"> </w:t>
      </w:r>
      <w:proofErr w:type="spellStart"/>
      <w:r w:rsidRPr="003C288B">
        <w:t>GmbH</w:t>
      </w:r>
      <w:proofErr w:type="spellEnd"/>
      <w:r w:rsidRPr="003C288B">
        <w:t xml:space="preserve"> (IGSMC), </w:t>
      </w:r>
      <w:proofErr w:type="spellStart"/>
      <w:r w:rsidRPr="003C288B">
        <w:t>Bettmeralp</w:t>
      </w:r>
      <w:proofErr w:type="spellEnd"/>
      <w:r>
        <w:rPr>
          <w:color w:val="auto"/>
        </w:rPr>
        <w:t>, che ha analizzato due varianti, una di rinnovo parziale e l'altra di rinnovo completo, è emerso che la sostituzione completa degli impianti è la più vantaggiosa per i seguenti motivi:</w:t>
      </w:r>
    </w:p>
    <w:p w:rsidR="00C9017F" w:rsidRDefault="007A52A7" w:rsidP="007A52A7">
      <w:pPr>
        <w:pStyle w:val="Default"/>
        <w:numPr>
          <w:ilvl w:val="0"/>
          <w:numId w:val="5"/>
        </w:numPr>
        <w:spacing w:before="80"/>
        <w:ind w:left="284" w:hanging="284"/>
        <w:jc w:val="both"/>
        <w:rPr>
          <w:color w:val="auto"/>
        </w:rPr>
      </w:pPr>
      <w:r>
        <w:rPr>
          <w:color w:val="auto"/>
        </w:rPr>
        <w:t>l</w:t>
      </w:r>
      <w:r w:rsidR="00C9017F" w:rsidRPr="00C32688">
        <w:rPr>
          <w:color w:val="auto"/>
        </w:rPr>
        <w:t>a sostituzione completa degli impianti permette di gestirli a norma e secondo gli standard di sicurezza attuali per i prossimi 30 anni. I costi di esercizio e ammortamento sono più contenuti rispetto alle altre varianti poiché per i primi anni non dovrebbero essere sostenute ingenti spese di manutenzione ordinar</w:t>
      </w:r>
      <w:r>
        <w:rPr>
          <w:color w:val="auto"/>
        </w:rPr>
        <w:t>ia (sostituzione parti usurate),</w:t>
      </w:r>
    </w:p>
    <w:p w:rsidR="00C9017F" w:rsidRPr="00C32688" w:rsidRDefault="007A52A7" w:rsidP="007A52A7">
      <w:pPr>
        <w:pStyle w:val="Default"/>
        <w:numPr>
          <w:ilvl w:val="0"/>
          <w:numId w:val="5"/>
        </w:numPr>
        <w:spacing w:before="80"/>
        <w:ind w:left="284" w:hanging="284"/>
        <w:jc w:val="both"/>
        <w:rPr>
          <w:color w:val="auto"/>
        </w:rPr>
      </w:pPr>
      <w:r>
        <w:rPr>
          <w:color w:val="auto"/>
        </w:rPr>
        <w:t>q</w:t>
      </w:r>
      <w:r w:rsidR="00C9017F" w:rsidRPr="00C32688">
        <w:rPr>
          <w:color w:val="auto"/>
        </w:rPr>
        <w:t>uesto scenario determina un rapporto costi/benefici più favorevole, poiché la durata tecnica di vita degli impianti risulta sensibilmente più lunga rispetto alle altre due varianti che prevedono un rinnovo parziale.</w:t>
      </w:r>
    </w:p>
    <w:p w:rsidR="00C9017F" w:rsidRPr="00C32688" w:rsidRDefault="00C9017F" w:rsidP="00C9017F">
      <w:pPr>
        <w:pStyle w:val="Default"/>
        <w:jc w:val="both"/>
        <w:rPr>
          <w:color w:val="auto"/>
        </w:rPr>
      </w:pPr>
    </w:p>
    <w:p w:rsidR="00C9017F" w:rsidRPr="00C32688" w:rsidRDefault="00C9017F" w:rsidP="00C9017F">
      <w:pPr>
        <w:pStyle w:val="Default"/>
        <w:jc w:val="both"/>
        <w:rPr>
          <w:color w:val="auto"/>
        </w:rPr>
      </w:pPr>
      <w:r w:rsidRPr="00C32688">
        <w:rPr>
          <w:color w:val="auto"/>
        </w:rPr>
        <w:t>Lo scenario della ricostruzione completa permette dunque di realizzare e mettere in esercizio nuove funivie che, nonostante un investimento iniziale più alto, generano spese di esercizio più contenute in ragione della durata di vita nettamente maggiore.</w:t>
      </w:r>
      <w:r w:rsidRPr="005A3EDB">
        <w:t xml:space="preserve"> </w:t>
      </w:r>
      <w:r>
        <w:t>L</w:t>
      </w:r>
      <w:r w:rsidRPr="003C288B">
        <w:t xml:space="preserve">o studio indica un costo di investimento stimato in </w:t>
      </w:r>
      <w:r w:rsidRPr="005A3EDB">
        <w:rPr>
          <w:b/>
        </w:rPr>
        <w:t>4.2 mio</w:t>
      </w:r>
      <w:r w:rsidRPr="003C288B">
        <w:t xml:space="preserve"> </w:t>
      </w:r>
      <w:r>
        <w:t xml:space="preserve">di </w:t>
      </w:r>
      <w:r w:rsidRPr="003C288B">
        <w:t xml:space="preserve">franchi per la funivia VR e una spesa di </w:t>
      </w:r>
      <w:r w:rsidRPr="005A3EDB">
        <w:rPr>
          <w:b/>
        </w:rPr>
        <w:t>4.8 mio</w:t>
      </w:r>
      <w:r w:rsidRPr="003C288B">
        <w:t xml:space="preserve"> di franchi per la funivia IPC (IVA esclusa, precisione +/- 20%, inclusa semi-automazione)</w:t>
      </w:r>
      <w:r>
        <w:t>.</w:t>
      </w:r>
    </w:p>
    <w:p w:rsidR="00C9017F" w:rsidRPr="0002748B" w:rsidRDefault="00C9017F" w:rsidP="00C9017F">
      <w:pPr>
        <w:pStyle w:val="Default"/>
        <w:jc w:val="both"/>
        <w:rPr>
          <w:color w:val="auto"/>
          <w:sz w:val="20"/>
          <w:szCs w:val="20"/>
          <w:lang w:val="it-CH"/>
        </w:rPr>
      </w:pPr>
    </w:p>
    <w:p w:rsidR="007A52A7" w:rsidRPr="0002748B" w:rsidRDefault="007A52A7" w:rsidP="00C9017F">
      <w:pPr>
        <w:pStyle w:val="Default"/>
        <w:jc w:val="both"/>
        <w:rPr>
          <w:color w:val="auto"/>
          <w:sz w:val="20"/>
          <w:szCs w:val="20"/>
          <w:lang w:val="it-CH"/>
        </w:rPr>
      </w:pPr>
    </w:p>
    <w:p w:rsidR="00C9017F" w:rsidRPr="005A3EDB" w:rsidRDefault="007A52A7" w:rsidP="007A52A7">
      <w:pPr>
        <w:pStyle w:val="Titolo2"/>
      </w:pPr>
      <w:r>
        <w:t>2.2</w:t>
      </w:r>
      <w:r>
        <w:tab/>
      </w:r>
      <w:r w:rsidR="00C9017F" w:rsidRPr="005A3EDB">
        <w:t>Il progetto</w:t>
      </w:r>
      <w:r w:rsidR="00C9017F">
        <w:t xml:space="preserve"> e le modalità di finanziamento</w:t>
      </w:r>
    </w:p>
    <w:p w:rsidR="00C9017F" w:rsidRPr="005A3EDB" w:rsidRDefault="00C9017F" w:rsidP="00C9017F">
      <w:pPr>
        <w:rPr>
          <w:rFonts w:eastAsia="Times New Roman" w:cs="Arial"/>
          <w:szCs w:val="24"/>
          <w:lang w:val="it-IT" w:eastAsia="it-IT"/>
        </w:rPr>
      </w:pPr>
      <w:r>
        <w:rPr>
          <w:rFonts w:eastAsia="Times New Roman" w:cs="Arial"/>
          <w:szCs w:val="24"/>
          <w:lang w:val="it-IT" w:eastAsia="it-IT"/>
        </w:rPr>
        <w:t>L</w:t>
      </w:r>
      <w:r w:rsidRPr="005A3EDB">
        <w:rPr>
          <w:rFonts w:eastAsia="Times New Roman" w:cs="Arial"/>
          <w:szCs w:val="24"/>
          <w:lang w:val="it-IT" w:eastAsia="it-IT"/>
        </w:rPr>
        <w:t xml:space="preserve">a sostituzione completa degli impianti comprende l’istallazione di tutta la parte motrice e del comando principale nelle stazioni a valle (Intragna per la IPC e </w:t>
      </w:r>
      <w:proofErr w:type="spellStart"/>
      <w:r w:rsidRPr="005A3EDB">
        <w:rPr>
          <w:rFonts w:eastAsia="Times New Roman" w:cs="Arial"/>
          <w:szCs w:val="24"/>
          <w:lang w:val="it-IT" w:eastAsia="it-IT"/>
        </w:rPr>
        <w:t>Verdasio</w:t>
      </w:r>
      <w:proofErr w:type="spellEnd"/>
      <w:r w:rsidRPr="005A3EDB">
        <w:rPr>
          <w:rFonts w:eastAsia="Times New Roman" w:cs="Arial"/>
          <w:szCs w:val="24"/>
          <w:lang w:val="it-IT" w:eastAsia="it-IT"/>
        </w:rPr>
        <w:t xml:space="preserve"> per la VR). Per la IPC l’impianto è concepito per un funzionamento in automatico, per la VR il funzionamento è automatico</w:t>
      </w:r>
      <w:r>
        <w:rPr>
          <w:rFonts w:eastAsia="Times New Roman" w:cs="Arial"/>
          <w:szCs w:val="24"/>
          <w:lang w:val="it-IT" w:eastAsia="it-IT"/>
        </w:rPr>
        <w:t>,</w:t>
      </w:r>
      <w:r w:rsidRPr="005A3EDB">
        <w:rPr>
          <w:rFonts w:eastAsia="Times New Roman" w:cs="Arial"/>
          <w:szCs w:val="24"/>
          <w:lang w:val="it-IT" w:eastAsia="it-IT"/>
        </w:rPr>
        <w:t xml:space="preserve"> ma è richiesta la presenza parziale del macchinista.</w:t>
      </w:r>
    </w:p>
    <w:p w:rsidR="00C9017F" w:rsidRPr="005A3EDB" w:rsidRDefault="00C9017F" w:rsidP="00C9017F">
      <w:pPr>
        <w:rPr>
          <w:rFonts w:eastAsia="Times New Roman" w:cs="Arial"/>
          <w:szCs w:val="24"/>
          <w:lang w:val="it-IT" w:eastAsia="it-IT"/>
        </w:rPr>
      </w:pPr>
      <w:r w:rsidRPr="005A3EDB">
        <w:rPr>
          <w:rFonts w:eastAsia="Times New Roman" w:cs="Arial"/>
          <w:szCs w:val="24"/>
          <w:lang w:val="it-IT" w:eastAsia="it-IT"/>
        </w:rPr>
        <w:t>Sulla base dello studio di fattibilità allestito, i costi d’investimento per il rinnovo completo degli impianti sono illustrati nella tabella che segue:</w:t>
      </w:r>
    </w:p>
    <w:p w:rsidR="00C9017F" w:rsidRPr="005A3EDB" w:rsidRDefault="00C9017F" w:rsidP="00C9017F">
      <w:pPr>
        <w:rPr>
          <w:rFonts w:eastAsia="Times New Roman" w:cs="Arial"/>
          <w:szCs w:val="24"/>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1523"/>
        <w:gridCol w:w="2196"/>
      </w:tblGrid>
      <w:tr w:rsidR="00C9017F" w:rsidRPr="007A52A7" w:rsidTr="00703F7D">
        <w:tc>
          <w:tcPr>
            <w:tcW w:w="4361" w:type="dxa"/>
            <w:shd w:val="clear" w:color="auto" w:fill="auto"/>
          </w:tcPr>
          <w:p w:rsidR="00C9017F" w:rsidRPr="007A52A7" w:rsidRDefault="00C9017F" w:rsidP="00703F7D">
            <w:pPr>
              <w:rPr>
                <w:rFonts w:eastAsia="Times New Roman" w:cs="Arial"/>
                <w:sz w:val="22"/>
                <w:lang w:val="it-IT" w:eastAsia="it-IT"/>
              </w:rPr>
            </w:pPr>
          </w:p>
        </w:tc>
        <w:tc>
          <w:tcPr>
            <w:tcW w:w="1559" w:type="dxa"/>
            <w:shd w:val="clear" w:color="auto" w:fill="auto"/>
          </w:tcPr>
          <w:p w:rsidR="00C9017F" w:rsidRPr="007A52A7" w:rsidRDefault="00C9017F" w:rsidP="00703F7D">
            <w:pPr>
              <w:rPr>
                <w:rFonts w:eastAsia="Times New Roman" w:cs="Arial"/>
                <w:sz w:val="22"/>
                <w:lang w:val="it-IT" w:eastAsia="it-IT"/>
              </w:rPr>
            </w:pPr>
            <w:r w:rsidRPr="007A52A7">
              <w:rPr>
                <w:rFonts w:eastAsia="Times New Roman" w:cs="Arial"/>
                <w:sz w:val="22"/>
                <w:lang w:val="it-IT" w:eastAsia="it-IT"/>
              </w:rPr>
              <w:t>IPC</w:t>
            </w:r>
          </w:p>
          <w:p w:rsidR="00C9017F" w:rsidRPr="007A52A7" w:rsidRDefault="00C9017F" w:rsidP="00703F7D">
            <w:pPr>
              <w:rPr>
                <w:rFonts w:eastAsia="Times New Roman" w:cs="Arial"/>
                <w:sz w:val="22"/>
                <w:lang w:val="it-IT" w:eastAsia="it-IT"/>
              </w:rPr>
            </w:pPr>
            <w:r w:rsidRPr="007A52A7">
              <w:rPr>
                <w:rFonts w:eastAsia="Times New Roman" w:cs="Arial"/>
                <w:sz w:val="22"/>
                <w:lang w:val="it-IT" w:eastAsia="it-IT"/>
              </w:rPr>
              <w:t>(in CHF)</w:t>
            </w:r>
          </w:p>
        </w:tc>
        <w:tc>
          <w:tcPr>
            <w:tcW w:w="1523" w:type="dxa"/>
            <w:shd w:val="clear" w:color="auto" w:fill="auto"/>
          </w:tcPr>
          <w:p w:rsidR="00C9017F" w:rsidRPr="007A52A7" w:rsidRDefault="00C9017F" w:rsidP="00703F7D">
            <w:pPr>
              <w:rPr>
                <w:rFonts w:eastAsia="Times New Roman" w:cs="Arial"/>
                <w:sz w:val="22"/>
                <w:lang w:val="it-IT" w:eastAsia="it-IT"/>
              </w:rPr>
            </w:pPr>
            <w:r w:rsidRPr="007A52A7">
              <w:rPr>
                <w:rFonts w:eastAsia="Times New Roman" w:cs="Arial"/>
                <w:sz w:val="22"/>
                <w:lang w:val="it-IT" w:eastAsia="it-IT"/>
              </w:rPr>
              <w:t>VR</w:t>
            </w:r>
          </w:p>
          <w:p w:rsidR="00C9017F" w:rsidRPr="007A52A7" w:rsidRDefault="00C9017F" w:rsidP="00703F7D">
            <w:pPr>
              <w:rPr>
                <w:rFonts w:eastAsia="Times New Roman" w:cs="Arial"/>
                <w:sz w:val="22"/>
                <w:lang w:val="it-IT" w:eastAsia="it-IT"/>
              </w:rPr>
            </w:pPr>
            <w:r w:rsidRPr="007A52A7">
              <w:rPr>
                <w:rFonts w:eastAsia="Times New Roman" w:cs="Arial"/>
                <w:sz w:val="22"/>
                <w:lang w:val="it-IT" w:eastAsia="it-IT"/>
              </w:rPr>
              <w:t>(in CHF)</w:t>
            </w:r>
          </w:p>
        </w:tc>
        <w:tc>
          <w:tcPr>
            <w:tcW w:w="2196" w:type="dxa"/>
            <w:shd w:val="clear" w:color="auto" w:fill="auto"/>
          </w:tcPr>
          <w:p w:rsidR="00C9017F" w:rsidRPr="007A52A7" w:rsidRDefault="00C9017F" w:rsidP="00703F7D">
            <w:pPr>
              <w:rPr>
                <w:rFonts w:eastAsia="Times New Roman" w:cs="Arial"/>
                <w:sz w:val="22"/>
                <w:lang w:val="it-IT" w:eastAsia="it-IT"/>
              </w:rPr>
            </w:pPr>
            <w:r w:rsidRPr="007A52A7">
              <w:rPr>
                <w:rFonts w:eastAsia="Times New Roman" w:cs="Arial"/>
                <w:sz w:val="22"/>
                <w:lang w:val="it-IT" w:eastAsia="it-IT"/>
              </w:rPr>
              <w:t>Totale investimento complessivo</w:t>
            </w:r>
          </w:p>
          <w:p w:rsidR="00C9017F" w:rsidRPr="007A52A7" w:rsidRDefault="00C9017F" w:rsidP="00703F7D">
            <w:pPr>
              <w:rPr>
                <w:rFonts w:eastAsia="Times New Roman" w:cs="Arial"/>
                <w:sz w:val="22"/>
                <w:lang w:val="it-IT" w:eastAsia="it-IT"/>
              </w:rPr>
            </w:pPr>
            <w:r w:rsidRPr="007A52A7">
              <w:rPr>
                <w:rFonts w:eastAsia="Times New Roman" w:cs="Arial"/>
                <w:sz w:val="22"/>
                <w:lang w:val="it-IT" w:eastAsia="it-IT"/>
              </w:rPr>
              <w:t>(in CHF)</w:t>
            </w:r>
          </w:p>
        </w:tc>
      </w:tr>
      <w:tr w:rsidR="00C9017F" w:rsidRPr="007A52A7" w:rsidTr="00703F7D">
        <w:tc>
          <w:tcPr>
            <w:tcW w:w="4361" w:type="dxa"/>
            <w:shd w:val="clear" w:color="auto" w:fill="auto"/>
          </w:tcPr>
          <w:p w:rsidR="00C9017F" w:rsidRPr="007A52A7" w:rsidRDefault="00C9017F" w:rsidP="007A52A7">
            <w:pPr>
              <w:jc w:val="left"/>
              <w:rPr>
                <w:rFonts w:eastAsia="Times New Roman" w:cs="Arial"/>
                <w:sz w:val="22"/>
                <w:lang w:val="it-IT" w:eastAsia="it-IT"/>
              </w:rPr>
            </w:pPr>
            <w:r w:rsidRPr="007A52A7">
              <w:rPr>
                <w:rFonts w:eastAsia="Times New Roman" w:cs="Arial"/>
                <w:sz w:val="22"/>
                <w:lang w:val="it-IT" w:eastAsia="it-IT"/>
              </w:rPr>
              <w:t>Progettazione, onorari, equipaggiamento elettromeccanico, infrastruttura, imprevisti e tasse</w:t>
            </w:r>
          </w:p>
        </w:tc>
        <w:tc>
          <w:tcPr>
            <w:tcW w:w="1559"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5'520'000.-</w:t>
            </w:r>
          </w:p>
        </w:tc>
        <w:tc>
          <w:tcPr>
            <w:tcW w:w="1523"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4'800'000.-</w:t>
            </w:r>
          </w:p>
        </w:tc>
        <w:tc>
          <w:tcPr>
            <w:tcW w:w="2196" w:type="dxa"/>
            <w:shd w:val="clear" w:color="auto" w:fill="auto"/>
          </w:tcPr>
          <w:p w:rsidR="00C9017F" w:rsidRPr="007A52A7" w:rsidRDefault="00C9017F" w:rsidP="00703F7D">
            <w:pPr>
              <w:tabs>
                <w:tab w:val="right" w:pos="1605"/>
              </w:tabs>
              <w:rPr>
                <w:rFonts w:eastAsia="Times New Roman" w:cs="Arial"/>
                <w:sz w:val="22"/>
                <w:lang w:val="it-IT" w:eastAsia="it-IT"/>
              </w:rPr>
            </w:pPr>
            <w:r w:rsidRPr="007A52A7">
              <w:rPr>
                <w:rFonts w:eastAsia="Times New Roman" w:cs="Arial"/>
                <w:sz w:val="22"/>
                <w:lang w:val="it-IT" w:eastAsia="it-IT"/>
              </w:rPr>
              <w:tab/>
              <w:t>10'320'000.-</w:t>
            </w:r>
          </w:p>
        </w:tc>
      </w:tr>
      <w:tr w:rsidR="00C9017F" w:rsidRPr="007A52A7" w:rsidTr="00703F7D">
        <w:tc>
          <w:tcPr>
            <w:tcW w:w="4361" w:type="dxa"/>
            <w:shd w:val="clear" w:color="auto" w:fill="auto"/>
          </w:tcPr>
          <w:p w:rsidR="00C9017F" w:rsidRPr="007A52A7" w:rsidRDefault="00C9017F" w:rsidP="007A52A7">
            <w:pPr>
              <w:jc w:val="left"/>
              <w:rPr>
                <w:rFonts w:eastAsia="Times New Roman" w:cs="Arial"/>
                <w:sz w:val="22"/>
                <w:lang w:val="it-IT" w:eastAsia="it-IT"/>
              </w:rPr>
            </w:pPr>
            <w:r w:rsidRPr="007A52A7">
              <w:rPr>
                <w:rFonts w:eastAsia="Times New Roman" w:cs="Arial"/>
                <w:sz w:val="22"/>
                <w:lang w:val="it-IT" w:eastAsia="it-IT"/>
              </w:rPr>
              <w:t>Impianto per il controllo alle entrate (tornelli, videocamere)</w:t>
            </w:r>
          </w:p>
        </w:tc>
        <w:tc>
          <w:tcPr>
            <w:tcW w:w="1559"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300'000.-</w:t>
            </w:r>
          </w:p>
        </w:tc>
        <w:tc>
          <w:tcPr>
            <w:tcW w:w="1523"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 xml:space="preserve">  200'000.-</w:t>
            </w:r>
          </w:p>
        </w:tc>
        <w:tc>
          <w:tcPr>
            <w:tcW w:w="2196" w:type="dxa"/>
            <w:shd w:val="clear" w:color="auto" w:fill="auto"/>
          </w:tcPr>
          <w:p w:rsidR="00C9017F" w:rsidRPr="007A52A7" w:rsidRDefault="00C9017F" w:rsidP="00703F7D">
            <w:pPr>
              <w:tabs>
                <w:tab w:val="right" w:pos="1605"/>
              </w:tabs>
              <w:rPr>
                <w:rFonts w:eastAsia="Times New Roman" w:cs="Arial"/>
                <w:sz w:val="22"/>
                <w:lang w:val="it-IT" w:eastAsia="it-IT"/>
              </w:rPr>
            </w:pPr>
            <w:r w:rsidRPr="007A52A7">
              <w:rPr>
                <w:rFonts w:eastAsia="Times New Roman" w:cs="Arial"/>
                <w:sz w:val="22"/>
                <w:lang w:val="it-IT" w:eastAsia="it-IT"/>
              </w:rPr>
              <w:tab/>
              <w:t>500'000.-</w:t>
            </w:r>
          </w:p>
        </w:tc>
      </w:tr>
      <w:tr w:rsidR="00C9017F" w:rsidRPr="007A52A7" w:rsidTr="00703F7D">
        <w:tc>
          <w:tcPr>
            <w:tcW w:w="4361" w:type="dxa"/>
            <w:shd w:val="clear" w:color="auto" w:fill="auto"/>
          </w:tcPr>
          <w:p w:rsidR="00C9017F" w:rsidRPr="007A52A7" w:rsidRDefault="00C9017F" w:rsidP="007A52A7">
            <w:pPr>
              <w:jc w:val="left"/>
              <w:rPr>
                <w:rFonts w:eastAsia="Times New Roman" w:cs="Arial"/>
                <w:sz w:val="22"/>
                <w:lang w:val="it-IT" w:eastAsia="it-IT"/>
              </w:rPr>
            </w:pPr>
            <w:r w:rsidRPr="007A52A7">
              <w:rPr>
                <w:rFonts w:eastAsia="Times New Roman" w:cs="Arial"/>
                <w:sz w:val="22"/>
                <w:lang w:val="it-IT" w:eastAsia="it-IT"/>
              </w:rPr>
              <w:t>Totale intermedio</w:t>
            </w:r>
          </w:p>
        </w:tc>
        <w:tc>
          <w:tcPr>
            <w:tcW w:w="1559"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5'820'000.-</w:t>
            </w:r>
          </w:p>
        </w:tc>
        <w:tc>
          <w:tcPr>
            <w:tcW w:w="1523"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5'000'000.-</w:t>
            </w:r>
          </w:p>
        </w:tc>
        <w:tc>
          <w:tcPr>
            <w:tcW w:w="2196" w:type="dxa"/>
            <w:shd w:val="clear" w:color="auto" w:fill="auto"/>
          </w:tcPr>
          <w:p w:rsidR="00C9017F" w:rsidRPr="007A52A7" w:rsidRDefault="00C9017F" w:rsidP="00703F7D">
            <w:pPr>
              <w:tabs>
                <w:tab w:val="right" w:pos="1605"/>
              </w:tabs>
              <w:rPr>
                <w:rFonts w:eastAsia="Times New Roman" w:cs="Arial"/>
                <w:sz w:val="22"/>
                <w:lang w:val="it-IT" w:eastAsia="it-IT"/>
              </w:rPr>
            </w:pPr>
            <w:r w:rsidRPr="007A52A7">
              <w:rPr>
                <w:rFonts w:eastAsia="Times New Roman" w:cs="Arial"/>
                <w:sz w:val="22"/>
                <w:lang w:val="it-IT" w:eastAsia="it-IT"/>
              </w:rPr>
              <w:tab/>
              <w:t>10'820'000.-</w:t>
            </w:r>
          </w:p>
        </w:tc>
      </w:tr>
      <w:tr w:rsidR="00C9017F" w:rsidRPr="007A52A7" w:rsidTr="00703F7D">
        <w:tc>
          <w:tcPr>
            <w:tcW w:w="4361" w:type="dxa"/>
            <w:shd w:val="clear" w:color="auto" w:fill="auto"/>
          </w:tcPr>
          <w:p w:rsidR="00C9017F" w:rsidRPr="007A52A7" w:rsidRDefault="00C9017F" w:rsidP="007A52A7">
            <w:pPr>
              <w:jc w:val="left"/>
              <w:rPr>
                <w:rFonts w:eastAsia="Times New Roman" w:cs="Arial"/>
                <w:sz w:val="22"/>
                <w:lang w:val="it-IT" w:eastAsia="it-IT"/>
              </w:rPr>
            </w:pPr>
            <w:r w:rsidRPr="007A52A7">
              <w:rPr>
                <w:rFonts w:eastAsia="Times New Roman" w:cs="Arial"/>
                <w:sz w:val="22"/>
                <w:lang w:val="it-IT" w:eastAsia="it-IT"/>
              </w:rPr>
              <w:t>IVA (8%) e arrotondamento</w:t>
            </w:r>
          </w:p>
        </w:tc>
        <w:tc>
          <w:tcPr>
            <w:tcW w:w="1559"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480'000.-</w:t>
            </w:r>
          </w:p>
        </w:tc>
        <w:tc>
          <w:tcPr>
            <w:tcW w:w="1523" w:type="dxa"/>
            <w:shd w:val="clear" w:color="auto" w:fill="auto"/>
          </w:tcPr>
          <w:p w:rsidR="00C9017F" w:rsidRPr="007A52A7" w:rsidRDefault="00C9017F" w:rsidP="00703F7D">
            <w:pPr>
              <w:tabs>
                <w:tab w:val="right" w:pos="1168"/>
              </w:tabs>
              <w:rPr>
                <w:rFonts w:eastAsia="Times New Roman" w:cs="Arial"/>
                <w:sz w:val="22"/>
                <w:lang w:val="it-IT" w:eastAsia="it-IT"/>
              </w:rPr>
            </w:pPr>
            <w:r w:rsidRPr="007A52A7">
              <w:rPr>
                <w:rFonts w:eastAsia="Times New Roman" w:cs="Arial"/>
                <w:sz w:val="22"/>
                <w:lang w:val="it-IT" w:eastAsia="it-IT"/>
              </w:rPr>
              <w:tab/>
              <w:t>400'000.-</w:t>
            </w:r>
          </w:p>
        </w:tc>
        <w:tc>
          <w:tcPr>
            <w:tcW w:w="2196" w:type="dxa"/>
            <w:shd w:val="clear" w:color="auto" w:fill="auto"/>
          </w:tcPr>
          <w:p w:rsidR="00C9017F" w:rsidRPr="007A52A7" w:rsidRDefault="00C9017F" w:rsidP="00703F7D">
            <w:pPr>
              <w:tabs>
                <w:tab w:val="right" w:pos="1605"/>
              </w:tabs>
              <w:rPr>
                <w:rFonts w:eastAsia="Times New Roman" w:cs="Arial"/>
                <w:sz w:val="22"/>
                <w:lang w:val="it-IT" w:eastAsia="it-IT"/>
              </w:rPr>
            </w:pPr>
            <w:r w:rsidRPr="007A52A7">
              <w:rPr>
                <w:rFonts w:eastAsia="Times New Roman" w:cs="Arial"/>
                <w:sz w:val="22"/>
                <w:lang w:val="it-IT" w:eastAsia="it-IT"/>
              </w:rPr>
              <w:tab/>
              <w:t>880'000.-</w:t>
            </w:r>
          </w:p>
        </w:tc>
      </w:tr>
      <w:tr w:rsidR="00C9017F" w:rsidRPr="007A52A7" w:rsidTr="00703F7D">
        <w:tc>
          <w:tcPr>
            <w:tcW w:w="4361" w:type="dxa"/>
            <w:shd w:val="clear" w:color="auto" w:fill="auto"/>
          </w:tcPr>
          <w:p w:rsidR="00C9017F" w:rsidRPr="007A52A7" w:rsidRDefault="00C9017F" w:rsidP="00703F7D">
            <w:pPr>
              <w:spacing w:before="40" w:after="40"/>
              <w:rPr>
                <w:rFonts w:eastAsia="Times New Roman" w:cs="Arial"/>
                <w:sz w:val="22"/>
                <w:lang w:val="it-IT" w:eastAsia="it-IT"/>
              </w:rPr>
            </w:pPr>
            <w:r w:rsidRPr="007A52A7">
              <w:rPr>
                <w:rFonts w:eastAsia="Times New Roman" w:cs="Arial"/>
                <w:sz w:val="22"/>
                <w:lang w:val="it-IT" w:eastAsia="it-IT"/>
              </w:rPr>
              <w:t>Totale</w:t>
            </w:r>
          </w:p>
        </w:tc>
        <w:tc>
          <w:tcPr>
            <w:tcW w:w="1559" w:type="dxa"/>
            <w:shd w:val="clear" w:color="auto" w:fill="auto"/>
          </w:tcPr>
          <w:p w:rsidR="00C9017F" w:rsidRPr="007A52A7" w:rsidRDefault="00C9017F" w:rsidP="00703F7D">
            <w:pPr>
              <w:tabs>
                <w:tab w:val="right" w:pos="1168"/>
              </w:tabs>
              <w:spacing w:before="40" w:after="40"/>
              <w:rPr>
                <w:rFonts w:eastAsia="Times New Roman" w:cs="Arial"/>
                <w:sz w:val="22"/>
                <w:lang w:val="it-IT" w:eastAsia="it-IT"/>
              </w:rPr>
            </w:pPr>
            <w:r w:rsidRPr="007A52A7">
              <w:rPr>
                <w:rFonts w:eastAsia="Times New Roman" w:cs="Arial"/>
                <w:sz w:val="22"/>
                <w:lang w:val="it-IT" w:eastAsia="it-IT"/>
              </w:rPr>
              <w:tab/>
              <w:t>6'300'000.-</w:t>
            </w:r>
          </w:p>
        </w:tc>
        <w:tc>
          <w:tcPr>
            <w:tcW w:w="1523" w:type="dxa"/>
            <w:shd w:val="clear" w:color="auto" w:fill="auto"/>
          </w:tcPr>
          <w:p w:rsidR="00C9017F" w:rsidRPr="007A52A7" w:rsidRDefault="00C9017F" w:rsidP="00703F7D">
            <w:pPr>
              <w:tabs>
                <w:tab w:val="right" w:pos="1168"/>
              </w:tabs>
              <w:spacing w:before="40" w:after="40"/>
              <w:rPr>
                <w:rFonts w:eastAsia="Times New Roman" w:cs="Arial"/>
                <w:sz w:val="22"/>
                <w:lang w:val="it-IT" w:eastAsia="it-IT"/>
              </w:rPr>
            </w:pPr>
            <w:r w:rsidRPr="007A52A7">
              <w:rPr>
                <w:rFonts w:eastAsia="Times New Roman" w:cs="Arial"/>
                <w:sz w:val="22"/>
                <w:lang w:val="it-IT" w:eastAsia="it-IT"/>
              </w:rPr>
              <w:tab/>
              <w:t>5'400'000.-</w:t>
            </w:r>
          </w:p>
        </w:tc>
        <w:tc>
          <w:tcPr>
            <w:tcW w:w="2196" w:type="dxa"/>
            <w:shd w:val="clear" w:color="auto" w:fill="auto"/>
          </w:tcPr>
          <w:p w:rsidR="00C9017F" w:rsidRPr="007A52A7" w:rsidRDefault="00C9017F" w:rsidP="00703F7D">
            <w:pPr>
              <w:tabs>
                <w:tab w:val="right" w:pos="1605"/>
              </w:tabs>
              <w:spacing w:before="40" w:after="40"/>
              <w:rPr>
                <w:rFonts w:eastAsia="Times New Roman" w:cs="Arial"/>
                <w:sz w:val="22"/>
                <w:lang w:val="it-IT" w:eastAsia="it-IT"/>
              </w:rPr>
            </w:pPr>
            <w:r w:rsidRPr="007A52A7">
              <w:rPr>
                <w:rFonts w:eastAsia="Times New Roman" w:cs="Arial"/>
                <w:sz w:val="22"/>
                <w:lang w:val="it-IT" w:eastAsia="it-IT"/>
              </w:rPr>
              <w:t xml:space="preserve"> </w:t>
            </w:r>
            <w:r w:rsidRPr="007A52A7">
              <w:rPr>
                <w:rFonts w:eastAsia="Times New Roman" w:cs="Arial"/>
                <w:sz w:val="22"/>
                <w:lang w:val="it-IT" w:eastAsia="it-IT"/>
              </w:rPr>
              <w:tab/>
              <w:t>11'700'000.-</w:t>
            </w:r>
          </w:p>
        </w:tc>
      </w:tr>
    </w:tbl>
    <w:p w:rsidR="00C9017F" w:rsidRPr="005A3EDB" w:rsidRDefault="00C9017F" w:rsidP="00C9017F">
      <w:pPr>
        <w:rPr>
          <w:rFonts w:eastAsia="Times New Roman" w:cs="Arial"/>
          <w:szCs w:val="24"/>
          <w:lang w:val="it-IT" w:eastAsia="it-IT"/>
        </w:rPr>
      </w:pPr>
    </w:p>
    <w:p w:rsidR="00C9017F" w:rsidRPr="005A3EDB" w:rsidRDefault="00C9017F" w:rsidP="00C9017F">
      <w:pPr>
        <w:rPr>
          <w:rFonts w:eastAsia="Times New Roman" w:cs="Arial"/>
          <w:szCs w:val="24"/>
          <w:lang w:val="it-IT" w:eastAsia="it-IT"/>
        </w:rPr>
      </w:pPr>
      <w:r w:rsidRPr="005A3EDB">
        <w:rPr>
          <w:rFonts w:eastAsia="Times New Roman" w:cs="Arial"/>
          <w:szCs w:val="24"/>
          <w:lang w:val="it-IT" w:eastAsia="it-IT"/>
        </w:rPr>
        <w:t>Gli oneri indicati sono da considerare quale spesa massima riconosciuta per l</w:t>
      </w:r>
      <w:r>
        <w:rPr>
          <w:rFonts w:eastAsia="Times New Roman" w:cs="Arial"/>
          <w:szCs w:val="24"/>
          <w:lang w:val="it-IT" w:eastAsia="it-IT"/>
        </w:rPr>
        <w:t>o stanziamento del credito. Essa</w:t>
      </w:r>
      <w:r w:rsidRPr="005A3EDB">
        <w:rPr>
          <w:rFonts w:eastAsia="Times New Roman" w:cs="Arial"/>
          <w:szCs w:val="24"/>
          <w:lang w:val="it-IT" w:eastAsia="it-IT"/>
        </w:rPr>
        <w:t xml:space="preserve"> include i costi esterni di progettazione, quelli di conduzione da parte del Comune e gli oneri per lo smaltimento dei vecchi impianti, oltre alla riserva necessaria per tenere conto del grado di precisione del preventivo dei due oggetti, allestito sulla base di uno studio di fattibilità (+/- 20%).</w:t>
      </w:r>
    </w:p>
    <w:p w:rsidR="00C9017F" w:rsidRPr="00793749" w:rsidRDefault="00C9017F" w:rsidP="0002748B">
      <w:pPr>
        <w:spacing w:before="120"/>
        <w:rPr>
          <w:rFonts w:eastAsia="Times New Roman" w:cs="Arial"/>
          <w:szCs w:val="24"/>
          <w:lang w:val="it-IT" w:eastAsia="it-IT"/>
        </w:rPr>
      </w:pPr>
      <w:r w:rsidRPr="005A3EDB">
        <w:rPr>
          <w:rFonts w:eastAsia="Times New Roman" w:cs="Arial"/>
          <w:szCs w:val="24"/>
          <w:lang w:val="it-IT" w:eastAsia="it-IT"/>
        </w:rPr>
        <w:t xml:space="preserve">Il Cantone finanzia a fondo perso l’investimento complessivo fino all’importo stabilito di </w:t>
      </w:r>
      <w:r w:rsidRPr="00793749">
        <w:rPr>
          <w:rFonts w:eastAsia="Times New Roman" w:cs="Arial"/>
          <w:szCs w:val="24"/>
          <w:lang w:val="it-IT" w:eastAsia="it-IT"/>
        </w:rPr>
        <w:t xml:space="preserve">11,7 milioni di franchi. Le modalità di finanziamento, realizzazione e gestione delle nuove funivie sono state definite nel dettaglio in una convenzione sottoscritta dal Consiglio di </w:t>
      </w:r>
      <w:r w:rsidRPr="00793749">
        <w:rPr>
          <w:rFonts w:eastAsia="Times New Roman" w:cs="Arial"/>
          <w:szCs w:val="24"/>
          <w:lang w:val="it-IT" w:eastAsia="it-IT"/>
        </w:rPr>
        <w:lastRenderedPageBreak/>
        <w:t xml:space="preserve">Stato, dal Comune di </w:t>
      </w:r>
      <w:proofErr w:type="spellStart"/>
      <w:r w:rsidRPr="00793749">
        <w:rPr>
          <w:rFonts w:eastAsia="Times New Roman" w:cs="Arial"/>
          <w:szCs w:val="24"/>
          <w:lang w:val="it-IT" w:eastAsia="it-IT"/>
        </w:rPr>
        <w:t>Centovalli</w:t>
      </w:r>
      <w:proofErr w:type="spellEnd"/>
      <w:r w:rsidRPr="00793749">
        <w:rPr>
          <w:rFonts w:eastAsia="Times New Roman" w:cs="Arial"/>
          <w:szCs w:val="24"/>
          <w:lang w:val="it-IT" w:eastAsia="it-IT"/>
        </w:rPr>
        <w:t xml:space="preserve"> e dalle FART. In caso di superamento di questa spesa, il Comune di </w:t>
      </w:r>
      <w:proofErr w:type="spellStart"/>
      <w:r w:rsidRPr="00793749">
        <w:rPr>
          <w:rFonts w:eastAsia="Times New Roman" w:cs="Arial"/>
          <w:szCs w:val="24"/>
          <w:lang w:val="it-IT" w:eastAsia="it-IT"/>
        </w:rPr>
        <w:t>Centovalli</w:t>
      </w:r>
      <w:proofErr w:type="spellEnd"/>
      <w:r w:rsidRPr="00793749">
        <w:rPr>
          <w:rFonts w:eastAsia="Times New Roman" w:cs="Arial"/>
          <w:szCs w:val="24"/>
          <w:lang w:val="it-IT" w:eastAsia="it-IT"/>
        </w:rPr>
        <w:t xml:space="preserve"> si impegna a garantire l’eventuale credito d’investimento supplementare che dovesse rendersi necessario. Sulla base della convenzione, la competenza per la progettazione e la costruzione dei nuovi impianti è assunta dal Comune, al quale il Cantone versa il contributo. Dopo il completamento delle opere le FART, su incarico del Comune, possono assumere la gestione operativa e la manutenzione ordinaria dei due nuovi impianti.</w:t>
      </w:r>
    </w:p>
    <w:p w:rsidR="00C9017F" w:rsidRPr="00793749" w:rsidRDefault="00C9017F" w:rsidP="0002748B">
      <w:pPr>
        <w:spacing w:before="120"/>
        <w:rPr>
          <w:rFonts w:eastAsia="Times New Roman" w:cs="Arial"/>
          <w:szCs w:val="24"/>
          <w:lang w:val="it-IT" w:eastAsia="it-IT"/>
        </w:rPr>
      </w:pPr>
      <w:r w:rsidRPr="00793749">
        <w:rPr>
          <w:rFonts w:eastAsia="Times New Roman" w:cs="Arial"/>
          <w:szCs w:val="24"/>
          <w:lang w:val="it-IT" w:eastAsia="it-IT"/>
        </w:rPr>
        <w:t xml:space="preserve">Nel quadro del </w:t>
      </w:r>
      <w:proofErr w:type="spellStart"/>
      <w:r w:rsidRPr="00793749">
        <w:rPr>
          <w:rFonts w:eastAsia="Times New Roman" w:cs="Arial"/>
          <w:szCs w:val="24"/>
          <w:lang w:val="it-IT" w:eastAsia="it-IT"/>
        </w:rPr>
        <w:t>businessplan</w:t>
      </w:r>
      <w:proofErr w:type="spellEnd"/>
      <w:r w:rsidRPr="00793749">
        <w:rPr>
          <w:rFonts w:eastAsia="Times New Roman" w:cs="Arial"/>
          <w:szCs w:val="24"/>
          <w:lang w:val="it-IT" w:eastAsia="it-IT"/>
        </w:rPr>
        <w:t>, allestito dal Comune congiuntamente con le FART, è in particolare emersa l’importanza di stabilire tariffe (per abbonamenti e per corse singole) atte a coprire i costi di gestione e manutenzione e a generare le risorse finanziarie necessarie a rifinanziare l’investimento al termine della durata d’utilizzo tecnico degli impianti. Questo aspetto sarà regolato dal Comune.</w:t>
      </w:r>
    </w:p>
    <w:p w:rsidR="00C9017F" w:rsidRPr="00793749" w:rsidRDefault="00C9017F" w:rsidP="0002748B">
      <w:pPr>
        <w:pStyle w:val="Default"/>
        <w:spacing w:before="120"/>
        <w:jc w:val="both"/>
      </w:pPr>
      <w:r w:rsidRPr="00793749">
        <w:rPr>
          <w:color w:val="auto"/>
        </w:rPr>
        <w:t xml:space="preserve">Considerato il finanziamento a fondo perso dell’investimento, il </w:t>
      </w:r>
      <w:proofErr w:type="spellStart"/>
      <w:r w:rsidRPr="00793749">
        <w:rPr>
          <w:color w:val="auto"/>
        </w:rPr>
        <w:t>businessplan</w:t>
      </w:r>
      <w:proofErr w:type="spellEnd"/>
      <w:r w:rsidRPr="00793749">
        <w:rPr>
          <w:color w:val="auto"/>
        </w:rPr>
        <w:t>, allestito sulla</w:t>
      </w:r>
      <w:r w:rsidRPr="00793749">
        <w:t xml:space="preserve"> base di un conto pluriennale, comprendente la stima dei costi e dei ricavi d’esercizio e </w:t>
      </w:r>
      <w:r w:rsidRPr="00793749">
        <w:rPr>
          <w:u w:val="single"/>
        </w:rPr>
        <w:t>mostra la sostenibilità economica del progetto in caso di gestione comune dei due impianti</w:t>
      </w:r>
      <w:r w:rsidRPr="00793749">
        <w:t>.</w:t>
      </w:r>
    </w:p>
    <w:p w:rsidR="00C9017F" w:rsidRPr="00793749" w:rsidRDefault="00C9017F" w:rsidP="0002748B">
      <w:pPr>
        <w:spacing w:before="120"/>
        <w:rPr>
          <w:rFonts w:eastAsia="Times New Roman" w:cs="Arial"/>
          <w:color w:val="000000"/>
          <w:szCs w:val="24"/>
          <w:lang w:val="it-IT" w:eastAsia="it-IT"/>
        </w:rPr>
      </w:pPr>
      <w:r w:rsidRPr="00793749">
        <w:rPr>
          <w:rFonts w:eastAsia="Times New Roman" w:cs="Arial"/>
          <w:color w:val="000000"/>
          <w:szCs w:val="24"/>
          <w:lang w:val="it-IT" w:eastAsia="it-IT"/>
        </w:rPr>
        <w:t xml:space="preserve">Il Cantone non parteciperà comunque in nessun caso alla copertura dei costi, né in forma di contributo sulla gestione corrente, né a posteriori a copertura di un eventuale disavanzo d’esercizio. </w:t>
      </w:r>
    </w:p>
    <w:p w:rsidR="00C9017F" w:rsidRPr="0002748B" w:rsidRDefault="00C9017F" w:rsidP="00C9017F">
      <w:pPr>
        <w:pStyle w:val="Default"/>
        <w:jc w:val="both"/>
        <w:rPr>
          <w:sz w:val="20"/>
          <w:szCs w:val="20"/>
        </w:rPr>
      </w:pPr>
    </w:p>
    <w:p w:rsidR="00C9017F" w:rsidRPr="0002748B" w:rsidRDefault="00C9017F" w:rsidP="00C9017F">
      <w:pPr>
        <w:pStyle w:val="Default"/>
        <w:jc w:val="both"/>
        <w:rPr>
          <w:color w:val="auto"/>
          <w:sz w:val="20"/>
          <w:szCs w:val="20"/>
        </w:rPr>
      </w:pPr>
    </w:p>
    <w:p w:rsidR="00C9017F" w:rsidRPr="00793749" w:rsidRDefault="007A52A7" w:rsidP="007A52A7">
      <w:pPr>
        <w:pStyle w:val="Titolo2"/>
      </w:pPr>
      <w:r>
        <w:t>2.3</w:t>
      </w:r>
      <w:r>
        <w:tab/>
      </w:r>
      <w:r w:rsidR="00C9017F" w:rsidRPr="00793749">
        <w:t>Giustificazione dell'investimento e valutazioni economiche</w:t>
      </w:r>
    </w:p>
    <w:p w:rsidR="00C9017F" w:rsidRPr="00793749" w:rsidRDefault="00C9017F" w:rsidP="00C9017F">
      <w:pPr>
        <w:rPr>
          <w:rFonts w:eastAsia="Times New Roman" w:cs="Arial"/>
          <w:color w:val="000000"/>
          <w:szCs w:val="24"/>
          <w:lang w:val="it-IT" w:eastAsia="it-IT"/>
        </w:rPr>
      </w:pPr>
      <w:r w:rsidRPr="00793749">
        <w:rPr>
          <w:rFonts w:eastAsia="Times New Roman" w:cs="Arial"/>
          <w:color w:val="000000"/>
          <w:szCs w:val="24"/>
          <w:lang w:val="it-IT" w:eastAsia="it-IT"/>
        </w:rPr>
        <w:t xml:space="preserve">In data 19 giugno 2017, il Consiglio comunale di </w:t>
      </w:r>
      <w:proofErr w:type="spellStart"/>
      <w:r w:rsidRPr="00793749">
        <w:rPr>
          <w:rFonts w:eastAsia="Times New Roman" w:cs="Arial"/>
          <w:color w:val="000000"/>
          <w:szCs w:val="24"/>
          <w:lang w:val="it-IT" w:eastAsia="it-IT"/>
        </w:rPr>
        <w:t>Centovalli</w:t>
      </w:r>
      <w:proofErr w:type="spellEnd"/>
      <w:r w:rsidRPr="00793749">
        <w:rPr>
          <w:rFonts w:eastAsia="Times New Roman" w:cs="Arial"/>
          <w:color w:val="000000"/>
          <w:szCs w:val="24"/>
          <w:lang w:val="it-IT" w:eastAsia="it-IT"/>
        </w:rPr>
        <w:t xml:space="preserve"> ha approvato </w:t>
      </w:r>
      <w:r w:rsidRPr="00793749">
        <w:rPr>
          <w:rFonts w:eastAsia="Times New Roman" w:cs="Arial"/>
          <w:color w:val="000000"/>
          <w:szCs w:val="24"/>
          <w:u w:val="single"/>
          <w:lang w:val="it-IT" w:eastAsia="it-IT"/>
        </w:rPr>
        <w:t>all’unanimità</w:t>
      </w:r>
      <w:r w:rsidRPr="00793749">
        <w:rPr>
          <w:rFonts w:eastAsia="Times New Roman" w:cs="Arial"/>
          <w:color w:val="000000"/>
          <w:szCs w:val="24"/>
          <w:lang w:val="it-IT" w:eastAsia="it-IT"/>
        </w:rPr>
        <w:t xml:space="preserve"> il Messaggio municipale (n. 161) che postula la ratifica della convenzione concernente il rinnovo e la gestione delle funivie IPC e VR e lo stanziamento del credito lordo necessario. </w:t>
      </w:r>
    </w:p>
    <w:p w:rsidR="00C9017F" w:rsidRPr="00793749" w:rsidRDefault="00C9017F" w:rsidP="0002748B">
      <w:pPr>
        <w:spacing w:before="120"/>
        <w:rPr>
          <w:rFonts w:eastAsia="Times New Roman" w:cs="Arial"/>
          <w:color w:val="000000"/>
          <w:szCs w:val="24"/>
          <w:lang w:val="it-IT" w:eastAsia="it-IT"/>
        </w:rPr>
      </w:pPr>
      <w:r w:rsidRPr="00793749">
        <w:rPr>
          <w:rFonts w:eastAsia="Times New Roman" w:cs="Arial"/>
          <w:color w:val="000000"/>
          <w:szCs w:val="24"/>
          <w:lang w:val="it-IT" w:eastAsia="it-IT"/>
        </w:rPr>
        <w:t>L'investimento complessivo di 11.7 mio di CHF è pienamente giustificato in quanto le due funivie hanno assunto una funzione di collegamento stabile e duratura, anche se prevalentemente di natura turistica, con i relativi nuclei. Particolarmente utile ed apprezzata dai residenti domiciliati è la rapidità di trasporto assicurata, visto che le frazioni di Rasa e Pila non potrebbero essere raggiunte altrimenti se non percorrendo ripidi sentieri. Queste località non sono raggiungibili con strade carrozzabili e gli impianti a fune che le collegano con la valle sono quindi inseriti nel piano regolatore della sezione di Intragna quali vie di comunicazione atte a favorirne l’urbanizzazione.</w:t>
      </w:r>
    </w:p>
    <w:p w:rsidR="00C9017F" w:rsidRPr="00793749" w:rsidRDefault="00C9017F" w:rsidP="0002748B">
      <w:pPr>
        <w:spacing w:before="120"/>
        <w:rPr>
          <w:rFonts w:eastAsia="Times New Roman" w:cs="Arial"/>
          <w:color w:val="000000"/>
          <w:szCs w:val="24"/>
          <w:lang w:val="it-IT" w:eastAsia="it-IT"/>
        </w:rPr>
      </w:pPr>
      <w:r w:rsidRPr="00793749">
        <w:rPr>
          <w:rFonts w:eastAsia="Times New Roman" w:cs="Arial"/>
          <w:color w:val="000000"/>
          <w:szCs w:val="24"/>
          <w:lang w:val="it-IT" w:eastAsia="it-IT"/>
        </w:rPr>
        <w:t xml:space="preserve">Nell’area servita dalla funivia IPC sono ubicate circa un centinaio di abitazioni, mentre in quella della funivia VR un’ottantina. In maggioranza si tratta di abitazioni secondarie, che, accanto alle ricadute economiche, hanno un influsso positivo per la gestione del territorio. Per quanto concerne le infrastrutture turistiche, l’Ostello Al Forno (Pila) e l’hotel Campo Rasa registrano una media di circa 6’000 pernottamenti all’anno ognuno, per un totale di oltre 12'000 pernottamenti. </w:t>
      </w:r>
    </w:p>
    <w:p w:rsidR="00C9017F" w:rsidRDefault="00C9017F" w:rsidP="0002748B">
      <w:pPr>
        <w:spacing w:before="120"/>
        <w:rPr>
          <w:rFonts w:eastAsia="Times New Roman" w:cs="Arial"/>
          <w:color w:val="000000"/>
          <w:szCs w:val="24"/>
          <w:lang w:val="it-IT" w:eastAsia="it-IT"/>
        </w:rPr>
      </w:pPr>
      <w:r w:rsidRPr="00793749">
        <w:rPr>
          <w:rFonts w:eastAsia="Times New Roman" w:cs="Arial"/>
          <w:color w:val="000000"/>
          <w:szCs w:val="24"/>
          <w:lang w:val="it-IT" w:eastAsia="it-IT"/>
        </w:rPr>
        <w:t>La richiesta della costruzione di una strada per Pila, giunta da alcuni cittadini, appare assai improbabile, per non dire, oggi come oggi, impossibile. Si noti che grazie alla funivia vi sono attualmente 8 posti di lavoro in loco, che l'unica strada forestale promossa nella zona, quella denominata Valle dei Mulini, ha generato seri problemi finanziari al patriziato locale, e che alla costruzione di una strada si opporrebbero certamente motivi pianificatori, nonché la maggioranza dei proprietari di Pila che hanno sottoscritto la petizione a favore del mantenimento del mezzo di trasporto pubblico attuale. Non si dimentichi che la citata strada servirebbe unicamente Pila. V'è ancora da citare una ulteriore problematica. Costruire una strada significherebbe dotare le frazioni succitate di posteggi, il che</w:t>
      </w:r>
      <w:r>
        <w:rPr>
          <w:rFonts w:eastAsia="Times New Roman" w:cs="Arial"/>
          <w:color w:val="000000"/>
          <w:szCs w:val="24"/>
          <w:lang w:val="it-IT" w:eastAsia="it-IT"/>
        </w:rPr>
        <w:t xml:space="preserve"> genererebbe certo costi molto alti e problemi di carattere </w:t>
      </w:r>
      <w:proofErr w:type="spellStart"/>
      <w:r>
        <w:rPr>
          <w:rFonts w:eastAsia="Times New Roman" w:cs="Arial"/>
          <w:color w:val="000000"/>
          <w:szCs w:val="24"/>
          <w:lang w:val="it-IT" w:eastAsia="it-IT"/>
        </w:rPr>
        <w:t>pianificatorio</w:t>
      </w:r>
      <w:proofErr w:type="spellEnd"/>
      <w:r>
        <w:rPr>
          <w:rFonts w:eastAsia="Times New Roman" w:cs="Arial"/>
          <w:color w:val="000000"/>
          <w:szCs w:val="24"/>
          <w:lang w:val="it-IT" w:eastAsia="it-IT"/>
        </w:rPr>
        <w:t xml:space="preserve"> non irrilevanti.  </w:t>
      </w:r>
    </w:p>
    <w:p w:rsidR="00C9017F" w:rsidRPr="00657027" w:rsidRDefault="00C9017F" w:rsidP="0002748B">
      <w:pPr>
        <w:spacing w:before="120"/>
        <w:rPr>
          <w:rFonts w:eastAsia="Times New Roman" w:cs="Arial"/>
          <w:color w:val="000000"/>
          <w:szCs w:val="24"/>
          <w:lang w:val="it-IT" w:eastAsia="it-IT"/>
        </w:rPr>
      </w:pPr>
      <w:r>
        <w:rPr>
          <w:rFonts w:eastAsia="Times New Roman" w:cs="Arial"/>
          <w:color w:val="000000"/>
          <w:szCs w:val="24"/>
          <w:lang w:val="it-IT" w:eastAsia="it-IT"/>
        </w:rPr>
        <w:lastRenderedPageBreak/>
        <w:t xml:space="preserve">Si ricorda, in conclusione, che il credito oggetto del presente messaggio proviene dai fondi per il trasporto pubblico e non può essere utilizzato per il finanziamento di strade comunali. La soluzione proposta, quindi, rappresenta l'unica solida via da percorrere per dare all'intero comparto qui considerato una garanzia di mobilità costante e sicura anche sul lungo termine.  </w:t>
      </w:r>
    </w:p>
    <w:p w:rsidR="00C9017F" w:rsidRPr="0002748B" w:rsidRDefault="00C9017F" w:rsidP="00C9017F">
      <w:pPr>
        <w:pStyle w:val="Default"/>
        <w:jc w:val="both"/>
        <w:rPr>
          <w:sz w:val="20"/>
          <w:szCs w:val="20"/>
        </w:rPr>
      </w:pPr>
    </w:p>
    <w:p w:rsidR="00C9017F" w:rsidRPr="0002748B" w:rsidRDefault="00C9017F" w:rsidP="00C9017F">
      <w:pPr>
        <w:pStyle w:val="Default"/>
        <w:jc w:val="both"/>
        <w:rPr>
          <w:sz w:val="20"/>
          <w:szCs w:val="20"/>
        </w:rPr>
      </w:pPr>
    </w:p>
    <w:p w:rsidR="00C9017F" w:rsidRDefault="007A52A7" w:rsidP="007A52A7">
      <w:pPr>
        <w:pStyle w:val="Titolo2"/>
      </w:pPr>
      <w:r>
        <w:t>2.4</w:t>
      </w:r>
      <w:r>
        <w:tab/>
      </w:r>
      <w:r w:rsidR="006A19E2">
        <w:t>Piano direttore, L</w:t>
      </w:r>
      <w:r w:rsidR="00C9017F">
        <w:t xml:space="preserve">inee </w:t>
      </w:r>
      <w:r w:rsidR="006A19E2">
        <w:t>d</w:t>
      </w:r>
      <w:r w:rsidR="00C9017F">
        <w:t>irettive e</w:t>
      </w:r>
      <w:r w:rsidR="006A19E2">
        <w:t xml:space="preserve"> P</w:t>
      </w:r>
      <w:r w:rsidR="00C9017F" w:rsidRPr="00780233">
        <w:t>iano finanziario</w:t>
      </w:r>
    </w:p>
    <w:p w:rsidR="00C9017F" w:rsidRPr="00CD6366" w:rsidRDefault="00C9017F" w:rsidP="00C9017F">
      <w:pPr>
        <w:tabs>
          <w:tab w:val="left" w:pos="567"/>
        </w:tabs>
        <w:rPr>
          <w:rFonts w:eastAsia="Times New Roman" w:cs="Arial"/>
          <w:color w:val="000000"/>
          <w:szCs w:val="24"/>
          <w:lang w:val="it-IT" w:eastAsia="it-IT"/>
        </w:rPr>
      </w:pPr>
      <w:r w:rsidRPr="00CD6366">
        <w:rPr>
          <w:rFonts w:eastAsia="Times New Roman" w:cs="Arial"/>
          <w:color w:val="000000"/>
          <w:szCs w:val="24"/>
          <w:lang w:val="it-IT" w:eastAsia="it-IT"/>
        </w:rPr>
        <w:t>Trattandosi di rifacimento completo di impianti esistenti, non è necessaria una base di riferimento specifica nel Piano Direttore.</w:t>
      </w:r>
    </w:p>
    <w:p w:rsidR="00C9017F" w:rsidRDefault="00C9017F" w:rsidP="0002748B">
      <w:pPr>
        <w:spacing w:before="120"/>
        <w:rPr>
          <w:rFonts w:eastAsia="Times New Roman" w:cs="Arial"/>
          <w:color w:val="000000"/>
          <w:szCs w:val="24"/>
          <w:lang w:val="it-IT" w:eastAsia="it-IT"/>
        </w:rPr>
      </w:pPr>
      <w:r w:rsidRPr="00CD6366">
        <w:rPr>
          <w:rFonts w:eastAsia="Times New Roman" w:cs="Arial"/>
          <w:color w:val="000000"/>
          <w:szCs w:val="24"/>
          <w:lang w:val="it-IT" w:eastAsia="it-IT"/>
        </w:rPr>
        <w:t xml:space="preserve">Nelle Linee Direttive 2016-2019 (aprile 2016), e in particolare nella parte relativa al Piano finanziario 2016-2019, tra gli obiettivi e i progetti definiti per il quadriennio figura per il settore 63 dei trasporti “la sostituzione degli impianti delle Funivie delle </w:t>
      </w:r>
      <w:proofErr w:type="spellStart"/>
      <w:r w:rsidRPr="00CD6366">
        <w:rPr>
          <w:rFonts w:eastAsia="Times New Roman" w:cs="Arial"/>
          <w:color w:val="000000"/>
          <w:szCs w:val="24"/>
          <w:lang w:val="it-IT" w:eastAsia="it-IT"/>
        </w:rPr>
        <w:t>Centovalli</w:t>
      </w:r>
      <w:proofErr w:type="spellEnd"/>
      <w:r w:rsidRPr="00CD6366">
        <w:rPr>
          <w:rFonts w:eastAsia="Times New Roman" w:cs="Arial"/>
          <w:color w:val="000000"/>
          <w:szCs w:val="24"/>
          <w:lang w:val="it-IT" w:eastAsia="it-IT"/>
        </w:rPr>
        <w:t xml:space="preserve"> (Intragna-Pila-Costa e </w:t>
      </w:r>
      <w:proofErr w:type="spellStart"/>
      <w:r w:rsidRPr="00CD6366">
        <w:rPr>
          <w:rFonts w:eastAsia="Times New Roman" w:cs="Arial"/>
          <w:color w:val="000000"/>
          <w:szCs w:val="24"/>
          <w:lang w:val="it-IT" w:eastAsia="it-IT"/>
        </w:rPr>
        <w:t>Verdasio</w:t>
      </w:r>
      <w:proofErr w:type="spellEnd"/>
      <w:r w:rsidRPr="00CD6366">
        <w:rPr>
          <w:rFonts w:eastAsia="Times New Roman" w:cs="Arial"/>
          <w:color w:val="000000"/>
          <w:szCs w:val="24"/>
          <w:lang w:val="it-IT" w:eastAsia="it-IT"/>
        </w:rPr>
        <w:t>-Rasa), obsoleti e no</w:t>
      </w:r>
      <w:r w:rsidR="0002748B">
        <w:rPr>
          <w:rFonts w:eastAsia="Times New Roman" w:cs="Arial"/>
          <w:color w:val="000000"/>
          <w:szCs w:val="24"/>
          <w:lang w:val="it-IT" w:eastAsia="it-IT"/>
        </w:rPr>
        <w:t>n più a norma” (cfr. pag. 166).</w:t>
      </w:r>
    </w:p>
    <w:p w:rsidR="00C9017F" w:rsidRPr="00CD6366" w:rsidRDefault="00C9017F" w:rsidP="0002748B">
      <w:pPr>
        <w:spacing w:before="120"/>
        <w:rPr>
          <w:rFonts w:eastAsia="Times New Roman" w:cs="Arial"/>
          <w:color w:val="000000"/>
          <w:szCs w:val="24"/>
          <w:lang w:val="it-IT" w:eastAsia="it-IT"/>
        </w:rPr>
      </w:pPr>
      <w:r w:rsidRPr="00CD6366">
        <w:rPr>
          <w:rFonts w:eastAsia="Times New Roman" w:cs="Arial"/>
          <w:color w:val="000000"/>
          <w:szCs w:val="24"/>
          <w:lang w:val="it-IT" w:eastAsia="it-IT"/>
        </w:rPr>
        <w:t xml:space="preserve">La spesa lorda per il rinnovo completo delle funivie IPC e VR, pari a 11.7 mio CHF, è prevista nel PFI del settore 63 "Trasporti" e va a carico del conto 56400005 “Contributi alle imprese di trasporto”, WBS 767 51 1011 denominato “FART funivie </w:t>
      </w:r>
      <w:proofErr w:type="spellStart"/>
      <w:r w:rsidRPr="00CD6366">
        <w:rPr>
          <w:rFonts w:eastAsia="Times New Roman" w:cs="Arial"/>
          <w:color w:val="000000"/>
          <w:szCs w:val="24"/>
          <w:lang w:val="it-IT" w:eastAsia="it-IT"/>
        </w:rPr>
        <w:t>Centovalli</w:t>
      </w:r>
      <w:proofErr w:type="spellEnd"/>
      <w:r w:rsidRPr="00CD6366">
        <w:rPr>
          <w:rFonts w:eastAsia="Times New Roman" w:cs="Arial"/>
          <w:color w:val="000000"/>
          <w:szCs w:val="24"/>
          <w:lang w:val="it-IT" w:eastAsia="it-IT"/>
        </w:rPr>
        <w:t xml:space="preserve">”, CRB 767 della Sezione della mobilità (PFI 631.10). </w:t>
      </w:r>
    </w:p>
    <w:p w:rsidR="00C9017F" w:rsidRPr="00CD6366" w:rsidRDefault="00C9017F" w:rsidP="0002748B">
      <w:pPr>
        <w:spacing w:before="120"/>
        <w:rPr>
          <w:rFonts w:eastAsia="Times New Roman" w:cs="Arial"/>
          <w:color w:val="000000"/>
          <w:szCs w:val="24"/>
          <w:lang w:val="it-IT" w:eastAsia="it-IT"/>
        </w:rPr>
      </w:pPr>
      <w:r w:rsidRPr="00CD6366">
        <w:rPr>
          <w:rFonts w:eastAsia="Times New Roman" w:cs="Arial"/>
          <w:color w:val="000000"/>
          <w:szCs w:val="24"/>
          <w:lang w:val="it-IT" w:eastAsia="it-IT"/>
        </w:rPr>
        <w:t xml:space="preserve">Il credito di 11.7 mio CHF viene suddiviso sui quadrienni 2016-2019 (6 mio CHF) e 2020-2023 (5.7 mio CHF). </w:t>
      </w:r>
    </w:p>
    <w:p w:rsidR="00C9017F" w:rsidRPr="00CD6366" w:rsidRDefault="00C9017F" w:rsidP="0002748B">
      <w:pPr>
        <w:spacing w:before="120"/>
        <w:rPr>
          <w:rFonts w:eastAsia="Times New Roman" w:cs="Arial"/>
          <w:color w:val="000000"/>
          <w:szCs w:val="24"/>
          <w:lang w:val="it-IT" w:eastAsia="it-IT"/>
        </w:rPr>
      </w:pPr>
      <w:r w:rsidRPr="00CD6366">
        <w:rPr>
          <w:rFonts w:eastAsia="Times New Roman" w:cs="Arial"/>
          <w:color w:val="000000"/>
          <w:szCs w:val="24"/>
          <w:lang w:val="it-IT" w:eastAsia="it-IT"/>
        </w:rPr>
        <w:t>La richiesta di credito oggetto del presente messaggio comporta, nella fase di esercizio, l’annullamento della spesa sui conti di gestione corrente dello Stato.</w:t>
      </w:r>
    </w:p>
    <w:p w:rsidR="00C9017F" w:rsidRPr="00CD6366" w:rsidRDefault="00C9017F" w:rsidP="0002748B">
      <w:pPr>
        <w:spacing w:before="120"/>
        <w:rPr>
          <w:rFonts w:eastAsia="Times New Roman" w:cs="Arial"/>
          <w:color w:val="000000"/>
          <w:szCs w:val="24"/>
          <w:lang w:val="it-IT" w:eastAsia="it-IT"/>
        </w:rPr>
      </w:pPr>
      <w:r w:rsidRPr="00CD6366">
        <w:rPr>
          <w:rFonts w:eastAsia="Times New Roman" w:cs="Arial"/>
          <w:color w:val="000000"/>
          <w:szCs w:val="24"/>
          <w:lang w:val="it-IT" w:eastAsia="it-IT"/>
        </w:rPr>
        <w:t xml:space="preserve">Non vi sono effetti sul personale dello Stato. </w:t>
      </w:r>
    </w:p>
    <w:p w:rsidR="00C9017F" w:rsidRPr="0002748B" w:rsidRDefault="00C9017F" w:rsidP="00C9017F">
      <w:pPr>
        <w:pStyle w:val="Default"/>
        <w:jc w:val="both"/>
        <w:rPr>
          <w:color w:val="auto"/>
          <w:sz w:val="20"/>
          <w:szCs w:val="20"/>
        </w:rPr>
      </w:pPr>
    </w:p>
    <w:p w:rsidR="007A52A7" w:rsidRPr="0002748B" w:rsidRDefault="007A52A7" w:rsidP="00C9017F">
      <w:pPr>
        <w:pStyle w:val="Default"/>
        <w:jc w:val="both"/>
        <w:rPr>
          <w:color w:val="auto"/>
          <w:sz w:val="20"/>
          <w:szCs w:val="20"/>
        </w:rPr>
      </w:pPr>
    </w:p>
    <w:p w:rsidR="007A52A7" w:rsidRPr="0002748B" w:rsidRDefault="007A52A7" w:rsidP="00C9017F">
      <w:pPr>
        <w:pStyle w:val="Default"/>
        <w:jc w:val="both"/>
        <w:rPr>
          <w:color w:val="auto"/>
          <w:sz w:val="20"/>
          <w:szCs w:val="20"/>
        </w:rPr>
      </w:pPr>
    </w:p>
    <w:p w:rsidR="00C9017F" w:rsidRDefault="00C9017F" w:rsidP="007A52A7">
      <w:pPr>
        <w:pStyle w:val="Titolo1"/>
      </w:pPr>
      <w:r>
        <w:t>CONCLUSIONE</w:t>
      </w:r>
    </w:p>
    <w:p w:rsidR="00C9017F" w:rsidRDefault="00C9017F" w:rsidP="00C9017F">
      <w:pPr>
        <w:numPr>
          <w:ilvl w:val="12"/>
          <w:numId w:val="0"/>
        </w:numPr>
        <w:rPr>
          <w:rFonts w:eastAsia="Times New Roman" w:cs="Arial"/>
          <w:color w:val="000000"/>
          <w:szCs w:val="24"/>
          <w:lang w:val="it-IT" w:eastAsia="it-IT"/>
        </w:rPr>
      </w:pPr>
      <w:r w:rsidRPr="00E374E9">
        <w:rPr>
          <w:rFonts w:eastAsia="Times New Roman" w:cs="Arial"/>
          <w:color w:val="000000"/>
          <w:szCs w:val="24"/>
          <w:lang w:val="it-IT" w:eastAsia="it-IT"/>
        </w:rPr>
        <w:t xml:space="preserve">L'importante investimento previsto sulle funivie Intragna-Pila Costa e </w:t>
      </w:r>
      <w:proofErr w:type="spellStart"/>
      <w:r w:rsidRPr="00E374E9">
        <w:rPr>
          <w:rFonts w:eastAsia="Times New Roman" w:cs="Arial"/>
          <w:color w:val="000000"/>
          <w:szCs w:val="24"/>
          <w:lang w:val="it-IT" w:eastAsia="it-IT"/>
        </w:rPr>
        <w:t>Verdasio</w:t>
      </w:r>
      <w:proofErr w:type="spellEnd"/>
      <w:r w:rsidRPr="00E374E9">
        <w:rPr>
          <w:rFonts w:eastAsia="Times New Roman" w:cs="Arial"/>
          <w:color w:val="000000"/>
          <w:szCs w:val="24"/>
          <w:lang w:val="it-IT" w:eastAsia="it-IT"/>
        </w:rPr>
        <w:t>-Rasa permette il rinnovo dell’autorizzazione per l’esercizio di questi impianti</w:t>
      </w:r>
      <w:r>
        <w:rPr>
          <w:rFonts w:eastAsia="Times New Roman" w:cs="Arial"/>
          <w:color w:val="000000"/>
          <w:szCs w:val="24"/>
          <w:lang w:val="it-IT" w:eastAsia="it-IT"/>
        </w:rPr>
        <w:t>,</w:t>
      </w:r>
      <w:r w:rsidRPr="00E374E9">
        <w:rPr>
          <w:rFonts w:eastAsia="Times New Roman" w:cs="Arial"/>
          <w:color w:val="000000"/>
          <w:szCs w:val="24"/>
          <w:lang w:val="it-IT" w:eastAsia="it-IT"/>
        </w:rPr>
        <w:t xml:space="preserve"> scongiurando l'inevitabile chiusura degli stessi. </w:t>
      </w:r>
    </w:p>
    <w:p w:rsidR="00C9017F" w:rsidRPr="00E374E9" w:rsidRDefault="00C9017F" w:rsidP="00C9017F">
      <w:pPr>
        <w:numPr>
          <w:ilvl w:val="12"/>
          <w:numId w:val="0"/>
        </w:numPr>
        <w:rPr>
          <w:rFonts w:eastAsia="Times New Roman" w:cs="Arial"/>
          <w:color w:val="000000"/>
          <w:szCs w:val="24"/>
          <w:lang w:val="it-IT" w:eastAsia="it-IT"/>
        </w:rPr>
      </w:pPr>
      <w:r w:rsidRPr="00E374E9">
        <w:rPr>
          <w:rFonts w:eastAsia="Times New Roman" w:cs="Arial"/>
          <w:color w:val="000000"/>
          <w:szCs w:val="24"/>
          <w:lang w:val="it-IT" w:eastAsia="it-IT"/>
        </w:rPr>
        <w:t xml:space="preserve">Come indicato nel </w:t>
      </w:r>
      <w:proofErr w:type="spellStart"/>
      <w:r w:rsidRPr="00E374E9">
        <w:rPr>
          <w:rFonts w:eastAsia="Times New Roman" w:cs="Arial"/>
          <w:color w:val="000000"/>
          <w:szCs w:val="24"/>
          <w:lang w:val="it-IT" w:eastAsia="it-IT"/>
        </w:rPr>
        <w:t>Masterplan</w:t>
      </w:r>
      <w:proofErr w:type="spellEnd"/>
      <w:r w:rsidRPr="00E374E9">
        <w:rPr>
          <w:rFonts w:eastAsia="Times New Roman" w:cs="Arial"/>
          <w:color w:val="000000"/>
          <w:szCs w:val="24"/>
          <w:lang w:val="it-IT" w:eastAsia="it-IT"/>
        </w:rPr>
        <w:t xml:space="preserve"> del Comune delle </w:t>
      </w:r>
      <w:proofErr w:type="spellStart"/>
      <w:r w:rsidRPr="00E374E9">
        <w:rPr>
          <w:rFonts w:eastAsia="Times New Roman" w:cs="Arial"/>
          <w:color w:val="000000"/>
          <w:szCs w:val="24"/>
          <w:lang w:val="it-IT" w:eastAsia="it-IT"/>
        </w:rPr>
        <w:t>Centovalli</w:t>
      </w:r>
      <w:proofErr w:type="spellEnd"/>
      <w:r w:rsidRPr="00E374E9">
        <w:rPr>
          <w:rFonts w:eastAsia="Times New Roman" w:cs="Arial"/>
          <w:color w:val="000000"/>
          <w:szCs w:val="24"/>
          <w:lang w:val="it-IT" w:eastAsia="it-IT"/>
        </w:rPr>
        <w:t>, la mobilità è un asse strategico importante per lo sviluppo economico e sociale della regione. Il progetto di rinnovo e i provvedimenti per aumentare l’utenza trasportata dai due impianti rientra in questa strategia oltre che in quella per il rilancio turistico, perseguita dal Comune con il sostegno dell’Ufficio per lo sviluppo economico del DFE.</w:t>
      </w:r>
    </w:p>
    <w:p w:rsidR="007A52A7" w:rsidRDefault="007A52A7" w:rsidP="00C9017F">
      <w:pPr>
        <w:pStyle w:val="Default"/>
        <w:jc w:val="both"/>
        <w:rPr>
          <w:lang w:val="it-CH"/>
        </w:rPr>
      </w:pPr>
    </w:p>
    <w:p w:rsidR="00C9017F" w:rsidRDefault="00C9017F" w:rsidP="00C9017F">
      <w:pPr>
        <w:pStyle w:val="Default"/>
        <w:jc w:val="both"/>
        <w:rPr>
          <w:lang w:val="it-CH"/>
        </w:rPr>
      </w:pPr>
      <w:r w:rsidRPr="000B32FD">
        <w:rPr>
          <w:lang w:val="it-CH"/>
        </w:rPr>
        <w:t xml:space="preserve">Sulla base delle considerazioni illustrate, </w:t>
      </w:r>
      <w:r>
        <w:rPr>
          <w:lang w:val="it-CH"/>
        </w:rPr>
        <w:t xml:space="preserve">invitiamo le colleghe e i colleghi </w:t>
      </w:r>
      <w:r w:rsidRPr="000B32FD">
        <w:rPr>
          <w:lang w:val="it-CH"/>
        </w:rPr>
        <w:t xml:space="preserve">a voler dare il </w:t>
      </w:r>
      <w:r w:rsidR="007A52A7">
        <w:rPr>
          <w:lang w:val="it-CH"/>
        </w:rPr>
        <w:t>loro</w:t>
      </w:r>
      <w:r w:rsidRPr="000B32FD">
        <w:rPr>
          <w:lang w:val="it-CH"/>
        </w:rPr>
        <w:t xml:space="preserve"> consenso alla richiesta di credito formulata nel messaggio</w:t>
      </w:r>
      <w:r w:rsidR="007A52A7">
        <w:rPr>
          <w:lang w:val="it-CH"/>
        </w:rPr>
        <w:t xml:space="preserve"> in esame</w:t>
      </w:r>
      <w:r w:rsidRPr="000B32FD">
        <w:rPr>
          <w:lang w:val="it-CH"/>
        </w:rPr>
        <w:t xml:space="preserve">, approvando il disegno di Decreto legislativo </w:t>
      </w:r>
      <w:r w:rsidR="007A52A7">
        <w:rPr>
          <w:lang w:val="it-CH"/>
        </w:rPr>
        <w:t xml:space="preserve">ad esso </w:t>
      </w:r>
      <w:r w:rsidRPr="000B32FD">
        <w:rPr>
          <w:lang w:val="it-CH"/>
        </w:rPr>
        <w:t>allegato</w:t>
      </w:r>
      <w:r>
        <w:rPr>
          <w:lang w:val="it-CH"/>
        </w:rPr>
        <w:t>.</w:t>
      </w:r>
    </w:p>
    <w:p w:rsidR="00C9017F" w:rsidRPr="00076E70" w:rsidRDefault="00C9017F" w:rsidP="00C9017F">
      <w:pPr>
        <w:rPr>
          <w:rFonts w:cs="Arial"/>
          <w:szCs w:val="24"/>
        </w:rPr>
      </w:pPr>
    </w:p>
    <w:p w:rsidR="00C9017F" w:rsidRPr="00076E70" w:rsidRDefault="00C9017F" w:rsidP="00C9017F">
      <w:pPr>
        <w:autoSpaceDE w:val="0"/>
        <w:autoSpaceDN w:val="0"/>
        <w:adjustRightInd w:val="0"/>
        <w:rPr>
          <w:rFonts w:cs="Arial"/>
          <w:szCs w:val="24"/>
        </w:rPr>
      </w:pPr>
    </w:p>
    <w:p w:rsidR="00C9017F" w:rsidRPr="00076E70" w:rsidRDefault="00C9017F" w:rsidP="00C9017F">
      <w:pPr>
        <w:rPr>
          <w:rFonts w:cs="Arial"/>
          <w:szCs w:val="24"/>
        </w:rPr>
      </w:pPr>
    </w:p>
    <w:p w:rsidR="00C9017F" w:rsidRPr="00076E70" w:rsidRDefault="00C9017F" w:rsidP="00C9017F">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C9017F" w:rsidRPr="00076E70" w:rsidRDefault="00C9017F" w:rsidP="00C9017F">
      <w:pPr>
        <w:rPr>
          <w:rFonts w:cs="Arial"/>
          <w:szCs w:val="24"/>
        </w:rPr>
      </w:pPr>
      <w:r>
        <w:rPr>
          <w:rFonts w:cs="Arial"/>
          <w:szCs w:val="24"/>
        </w:rPr>
        <w:t>Giacomo Garzoli</w:t>
      </w:r>
      <w:r w:rsidRPr="00076E70">
        <w:rPr>
          <w:rFonts w:cs="Arial"/>
          <w:szCs w:val="24"/>
        </w:rPr>
        <w:t>, relatore</w:t>
      </w:r>
    </w:p>
    <w:p w:rsidR="00C9017F" w:rsidRDefault="00C9017F" w:rsidP="00C9017F">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02748B" w:rsidRDefault="00C9017F" w:rsidP="00C9017F">
      <w:pPr>
        <w:rPr>
          <w:rFonts w:cs="Arial"/>
        </w:rPr>
      </w:pPr>
      <w:r>
        <w:rPr>
          <w:rFonts w:cs="Arial"/>
        </w:rPr>
        <w:t xml:space="preserve">Caverzasio - De Rosa - Denti - Durisch - </w:t>
      </w:r>
    </w:p>
    <w:p w:rsidR="0002748B" w:rsidRDefault="00C9017F" w:rsidP="00C9017F">
      <w:pPr>
        <w:rPr>
          <w:rFonts w:cs="Arial"/>
        </w:rPr>
      </w:pPr>
      <w:r>
        <w:rPr>
          <w:rFonts w:cs="Arial"/>
        </w:rPr>
        <w:t xml:space="preserve">Farinelli - Garobbio - Guerra - </w:t>
      </w:r>
    </w:p>
    <w:p w:rsidR="00C9017F" w:rsidRDefault="00C9017F" w:rsidP="00C9017F">
      <w:pPr>
        <w:rPr>
          <w:rFonts w:cs="Arial"/>
        </w:rPr>
      </w:pPr>
      <w:r>
        <w:rPr>
          <w:rFonts w:cs="Arial"/>
        </w:rPr>
        <w:t>Kandemir Bordoli - Quadranti</w:t>
      </w:r>
      <w:bookmarkEnd w:id="1"/>
      <w:bookmarkEnd w:id="2"/>
    </w:p>
    <w:sectPr w:rsidR="00C9017F"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3E" w:rsidRDefault="00A33B3E" w:rsidP="008E77C6">
      <w:r>
        <w:separator/>
      </w:r>
    </w:p>
  </w:endnote>
  <w:endnote w:type="continuationSeparator" w:id="0">
    <w:p w:rsidR="00A33B3E" w:rsidRDefault="00A33B3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D3533" w:rsidRPr="005D353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3E" w:rsidRDefault="00A33B3E" w:rsidP="008E77C6">
      <w:r>
        <w:separator/>
      </w:r>
    </w:p>
  </w:footnote>
  <w:footnote w:type="continuationSeparator" w:id="0">
    <w:p w:rsidR="00A33B3E" w:rsidRDefault="00A33B3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5841188"/>
    <w:multiLevelType w:val="singleLevel"/>
    <w:tmpl w:val="61183B66"/>
    <w:lvl w:ilvl="0">
      <w:numFmt w:val="bullet"/>
      <w:lvlText w:val="-"/>
      <w:lvlJc w:val="left"/>
      <w:pPr>
        <w:tabs>
          <w:tab w:val="num" w:pos="420"/>
        </w:tabs>
        <w:ind w:left="420" w:hanging="420"/>
      </w:pPr>
      <w:rPr>
        <w:rFonts w:ascii="Times New Roman" w:hAnsi="Times New Roman" w:hint="default"/>
      </w:rPr>
    </w:lvl>
  </w:abstractNum>
  <w:abstractNum w:abstractNumId="2">
    <w:nsid w:val="68734369"/>
    <w:multiLevelType w:val="hybridMultilevel"/>
    <w:tmpl w:val="CFD2337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748B"/>
    <w:rsid w:val="00076E70"/>
    <w:rsid w:val="002E5E40"/>
    <w:rsid w:val="0052425A"/>
    <w:rsid w:val="00586A8D"/>
    <w:rsid w:val="005D3533"/>
    <w:rsid w:val="006A19E2"/>
    <w:rsid w:val="006D7A3B"/>
    <w:rsid w:val="007A52A7"/>
    <w:rsid w:val="007B5462"/>
    <w:rsid w:val="008034BD"/>
    <w:rsid w:val="00876352"/>
    <w:rsid w:val="008B4137"/>
    <w:rsid w:val="008C767A"/>
    <w:rsid w:val="008E77C6"/>
    <w:rsid w:val="009770BB"/>
    <w:rsid w:val="009E008D"/>
    <w:rsid w:val="00A33B3E"/>
    <w:rsid w:val="00A5465F"/>
    <w:rsid w:val="00A77678"/>
    <w:rsid w:val="00BC4C95"/>
    <w:rsid w:val="00BD5944"/>
    <w:rsid w:val="00C9017F"/>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uiPriority w:val="99"/>
    <w:rsid w:val="00C9017F"/>
    <w:pPr>
      <w:autoSpaceDE w:val="0"/>
      <w:autoSpaceDN w:val="0"/>
      <w:adjustRightInd w:val="0"/>
      <w:jc w:val="left"/>
    </w:pPr>
    <w:rPr>
      <w:rFonts w:ascii="Arial" w:eastAsia="Times New Roman" w:hAnsi="Arial" w:cs="Arial"/>
      <w:color w:val="000000"/>
      <w:sz w:val="24"/>
      <w:szCs w:val="24"/>
      <w:lang w:val="it-IT" w:eastAsia="it-IT"/>
    </w:rPr>
  </w:style>
  <w:style w:type="paragraph" w:styleId="NormaleWeb">
    <w:name w:val="Normal (Web)"/>
    <w:basedOn w:val="Normale"/>
    <w:rsid w:val="00C9017F"/>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A52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uiPriority w:val="99"/>
    <w:rsid w:val="00C9017F"/>
    <w:pPr>
      <w:autoSpaceDE w:val="0"/>
      <w:autoSpaceDN w:val="0"/>
      <w:adjustRightInd w:val="0"/>
      <w:jc w:val="left"/>
    </w:pPr>
    <w:rPr>
      <w:rFonts w:ascii="Arial" w:eastAsia="Times New Roman" w:hAnsi="Arial" w:cs="Arial"/>
      <w:color w:val="000000"/>
      <w:sz w:val="24"/>
      <w:szCs w:val="24"/>
      <w:lang w:val="it-IT" w:eastAsia="it-IT"/>
    </w:rPr>
  </w:style>
  <w:style w:type="paragraph" w:styleId="NormaleWeb">
    <w:name w:val="Normal (Web)"/>
    <w:basedOn w:val="Normale"/>
    <w:rsid w:val="00C9017F"/>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A52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1A1D-536B-4DC1-84B4-59E308D6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1764</Words>
  <Characters>10058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2017-10-02T08:14:00Z</cp:lastPrinted>
  <dcterms:created xsi:type="dcterms:W3CDTF">2017-10-02T07:52:00Z</dcterms:created>
  <dcterms:modified xsi:type="dcterms:W3CDTF">2017-10-04T08:17:00Z</dcterms:modified>
</cp:coreProperties>
</file>