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6D7A3B" w:rsidRDefault="008034BD">
      <w:pPr>
        <w:rPr>
          <w:rFonts w:cs="Arial"/>
          <w:sz w:val="20"/>
          <w:szCs w:val="20"/>
        </w:rPr>
      </w:pPr>
      <w:bookmarkStart w:id="0" w:name="_GoBack"/>
      <w:bookmarkEnd w:id="0"/>
    </w:p>
    <w:p w:rsidR="008B4137" w:rsidRDefault="008B4137" w:rsidP="00076E70"/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8B4137" w:rsidRDefault="00C130A8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728</w:t>
      </w:r>
      <w:r w:rsidR="008B4137" w:rsidRPr="008B4137">
        <w:rPr>
          <w:rFonts w:cs="Arial"/>
          <w:b/>
          <w:sz w:val="32"/>
          <w:szCs w:val="32"/>
        </w:rPr>
        <w:t>0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7 novembre 2017</w:t>
      </w:r>
      <w:r w:rsidR="008B4137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8B4137" w:rsidRPr="00C130A8" w:rsidRDefault="008B4137">
      <w:pPr>
        <w:rPr>
          <w:rFonts w:cs="Arial"/>
          <w:b/>
          <w:sz w:val="28"/>
          <w:szCs w:val="28"/>
        </w:rPr>
      </w:pPr>
      <w:r w:rsidRPr="00C130A8">
        <w:rPr>
          <w:rFonts w:cs="Arial"/>
          <w:b/>
          <w:sz w:val="28"/>
          <w:szCs w:val="28"/>
        </w:rPr>
        <w:t>della Commissione della gestione e delle finanze</w:t>
      </w:r>
    </w:p>
    <w:p w:rsidR="00C130A8" w:rsidRPr="00C130A8" w:rsidRDefault="00C130A8">
      <w:pPr>
        <w:rPr>
          <w:b/>
          <w:sz w:val="28"/>
          <w:szCs w:val="28"/>
        </w:rPr>
      </w:pPr>
      <w:r w:rsidRPr="00C130A8">
        <w:rPr>
          <w:b/>
          <w:sz w:val="28"/>
          <w:szCs w:val="28"/>
        </w:rPr>
        <w:t xml:space="preserve">sulla mozione 6 giugno 2016 presentata da Germano Mattei e cofirmatari “Trasporti pubblici nelle zone periferiche e di montagna: quale strategia intende proporre il Cantone per assicurare e sviluppare un servizio pubblico sostenibile” </w:t>
      </w:r>
    </w:p>
    <w:p w:rsidR="008B4137" w:rsidRPr="00C130A8" w:rsidRDefault="00C130A8" w:rsidP="00C130A8">
      <w:pPr>
        <w:spacing w:before="100"/>
        <w:rPr>
          <w:rFonts w:cs="Arial"/>
          <w:b/>
          <w:sz w:val="26"/>
          <w:szCs w:val="26"/>
        </w:rPr>
      </w:pPr>
      <w:r w:rsidRPr="00C130A8">
        <w:rPr>
          <w:rFonts w:cs="Arial"/>
          <w:b/>
          <w:sz w:val="26"/>
          <w:szCs w:val="26"/>
        </w:rPr>
        <w:t xml:space="preserve">(v. </w:t>
      </w:r>
      <w:r w:rsidR="008B4137" w:rsidRPr="00C130A8">
        <w:rPr>
          <w:rFonts w:cs="Arial"/>
          <w:b/>
          <w:sz w:val="26"/>
          <w:szCs w:val="26"/>
        </w:rPr>
        <w:t>messaggio</w:t>
      </w:r>
      <w:r w:rsidRPr="00C130A8">
        <w:rPr>
          <w:rFonts w:cs="Arial"/>
          <w:b/>
          <w:sz w:val="26"/>
          <w:szCs w:val="26"/>
        </w:rPr>
        <w:t xml:space="preserve"> 8 febbraio 2017 n. 7280)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630A9C" w:rsidRPr="00303F56" w:rsidRDefault="00630A9C" w:rsidP="00C130A8">
      <w:pPr>
        <w:pStyle w:val="Titolo2"/>
      </w:pPr>
      <w:r w:rsidRPr="00303F56">
        <w:t>PREMESSA</w:t>
      </w: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 xml:space="preserve">La mozione prendendo spunto da un riassetto del servizio di trasporto pubblico delle linee dell’Alta </w:t>
      </w:r>
      <w:proofErr w:type="spellStart"/>
      <w:r w:rsidRPr="00303F56">
        <w:rPr>
          <w:szCs w:val="24"/>
        </w:rPr>
        <w:t>Vallemaggia</w:t>
      </w:r>
      <w:proofErr w:type="spellEnd"/>
      <w:r w:rsidRPr="00303F56">
        <w:rPr>
          <w:szCs w:val="24"/>
        </w:rPr>
        <w:t xml:space="preserve"> esprime preoccupazione sul futuro di questo servizio nelle zone periferiche del Cantone e chiede di conoscere la strategia per assicurare, sviluppare e finanziare il servizio, di allestire un elenco delle linee a rischio smantellamento e di valutare misure di agevolazione dell’acquisto di carburante per gli abitanti delle zone periferiche.</w:t>
      </w:r>
    </w:p>
    <w:p w:rsidR="00630A9C" w:rsidRDefault="00630A9C" w:rsidP="00630A9C">
      <w:pPr>
        <w:rPr>
          <w:szCs w:val="24"/>
        </w:rPr>
      </w:pPr>
    </w:p>
    <w:p w:rsidR="00C92CBE" w:rsidRPr="00303F56" w:rsidRDefault="00C92CBE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</w:p>
    <w:p w:rsidR="00630A9C" w:rsidRPr="00303F56" w:rsidRDefault="00630A9C" w:rsidP="00C130A8">
      <w:pPr>
        <w:pStyle w:val="Titolo2"/>
      </w:pPr>
      <w:r w:rsidRPr="00303F56">
        <w:t>POSIZIONE DEL CONSIGLIO DI STATO</w:t>
      </w: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>Il Consiglio di Stato, tramite Messaggio no 7280, ha illustrato in modo completo la situazione e rassicura sul fatto che non vi siano piani di dismissione del servizio ed elenchi di linee a rischio.</w:t>
      </w: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 xml:space="preserve">Il Governo ricorda i principi della politica in materia di trasporti pubblici, spiegata in modo completo in due recenti messaggi: </w:t>
      </w:r>
    </w:p>
    <w:p w:rsidR="00630A9C" w:rsidRPr="00303F56" w:rsidRDefault="00630A9C" w:rsidP="00C92CBE">
      <w:pPr>
        <w:pStyle w:val="Paragrafoelenco"/>
        <w:numPr>
          <w:ilvl w:val="0"/>
          <w:numId w:val="6"/>
        </w:numPr>
        <w:spacing w:before="80"/>
        <w:ind w:left="284" w:hanging="284"/>
        <w:rPr>
          <w:szCs w:val="24"/>
        </w:rPr>
      </w:pPr>
      <w:r w:rsidRPr="00303F56">
        <w:rPr>
          <w:szCs w:val="24"/>
        </w:rPr>
        <w:t>M7140</w:t>
      </w:r>
      <w:r>
        <w:rPr>
          <w:szCs w:val="24"/>
        </w:rPr>
        <w:t xml:space="preserve"> (</w:t>
      </w:r>
      <w:r w:rsidRPr="00303F56">
        <w:rPr>
          <w:szCs w:val="24"/>
        </w:rPr>
        <w:t>4 novembre 2015</w:t>
      </w:r>
      <w:r>
        <w:rPr>
          <w:szCs w:val="24"/>
        </w:rPr>
        <w:t>)</w:t>
      </w:r>
      <w:r w:rsidRPr="00303F56">
        <w:rPr>
          <w:szCs w:val="24"/>
        </w:rPr>
        <w:t xml:space="preserve"> sul credito-quadro per il finanziamento delle prestazioni di trasporto pubblico nel quadriennio 2016-2019</w:t>
      </w:r>
    </w:p>
    <w:p w:rsidR="00630A9C" w:rsidRPr="00303F56" w:rsidRDefault="00630A9C" w:rsidP="00C92CBE">
      <w:pPr>
        <w:pStyle w:val="Paragrafoelenco"/>
        <w:numPr>
          <w:ilvl w:val="0"/>
          <w:numId w:val="6"/>
        </w:numPr>
        <w:spacing w:before="80"/>
        <w:ind w:left="284" w:hanging="284"/>
        <w:rPr>
          <w:szCs w:val="24"/>
        </w:rPr>
      </w:pPr>
      <w:r w:rsidRPr="00303F56">
        <w:rPr>
          <w:szCs w:val="24"/>
        </w:rPr>
        <w:t xml:space="preserve">M7203 </w:t>
      </w:r>
      <w:r>
        <w:rPr>
          <w:szCs w:val="24"/>
        </w:rPr>
        <w:t>(</w:t>
      </w:r>
      <w:r w:rsidRPr="00303F56">
        <w:rPr>
          <w:szCs w:val="24"/>
        </w:rPr>
        <w:t>6 luglio 2016</w:t>
      </w:r>
      <w:r>
        <w:rPr>
          <w:szCs w:val="24"/>
        </w:rPr>
        <w:t>)</w:t>
      </w:r>
      <w:r w:rsidRPr="00303F56">
        <w:rPr>
          <w:szCs w:val="24"/>
        </w:rPr>
        <w:t xml:space="preserve"> relativo alla progettazione ed alla realizzazione delle opere necessarie per l’attuazione del servizio ferroviario regionale Ticino-Lombardia (TILO) e alla progettazione delle modifiche delle linee di trasporto pubblico su gomma in vista dell’apertura della galleria di base del Monte Ceneri.</w:t>
      </w:r>
    </w:p>
    <w:p w:rsidR="00C130A8" w:rsidRDefault="00C130A8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>Alle zone periferiche va garantito un servizio di base, soprattutto per coloro che non hanno alternativa (scolari, persone senza automobile) e per il turismo.</w:t>
      </w:r>
    </w:p>
    <w:p w:rsidR="00630A9C" w:rsidRPr="00303F56" w:rsidRDefault="00630A9C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>L’ordinanza federale sulle indennità per il traffico regionale viaggiatori (OITRV) contiene dei parametri che definiscono la quantità di offerta di trasporto pubblico che Confederazione e Cantoni finanziano. Nel caso di linee periferiche sono finanziate quattro coppie di corse al giorno se sono trasportati almeno 32 passeggeri.</w:t>
      </w: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 xml:space="preserve">Il rapporto del CdS indica per alcune linee il grado di copertura dei costi. In taluni casi si situa al di sotto del 5% con meno di due passeggeri trasportati per ogni corsa. Si tratta di </w:t>
      </w:r>
      <w:r w:rsidRPr="00303F56">
        <w:rPr>
          <w:szCs w:val="24"/>
        </w:rPr>
        <w:lastRenderedPageBreak/>
        <w:t>valori estremamente bassi che giustificano, a mente del Governo, la valutazione dei servizi e la ristrutturazione messa in atto</w:t>
      </w:r>
      <w:r>
        <w:rPr>
          <w:szCs w:val="24"/>
        </w:rPr>
        <w:t>.</w:t>
      </w:r>
    </w:p>
    <w:p w:rsidR="00630A9C" w:rsidRPr="00303F56" w:rsidRDefault="00630A9C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>Riguardo alle agevolazioni per l’acquisto di carburante, il Governo si dice sorpreso poiché la proposta indebolirebbe la competitività dei trasporti pubblici.</w:t>
      </w:r>
    </w:p>
    <w:p w:rsidR="00630A9C" w:rsidRPr="00303F56" w:rsidRDefault="00630A9C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>In conclusione il Consiglio di Stato raccomanda di respingere la mozione.</w:t>
      </w:r>
    </w:p>
    <w:p w:rsidR="00630A9C" w:rsidRDefault="00630A9C" w:rsidP="00630A9C">
      <w:pPr>
        <w:rPr>
          <w:szCs w:val="24"/>
        </w:rPr>
      </w:pPr>
    </w:p>
    <w:p w:rsidR="00630A9C" w:rsidRDefault="00630A9C" w:rsidP="00630A9C">
      <w:pPr>
        <w:rPr>
          <w:szCs w:val="24"/>
        </w:rPr>
      </w:pPr>
    </w:p>
    <w:p w:rsidR="00C92CBE" w:rsidRPr="00303F56" w:rsidRDefault="00C92CBE" w:rsidP="00630A9C">
      <w:pPr>
        <w:rPr>
          <w:szCs w:val="24"/>
        </w:rPr>
      </w:pPr>
    </w:p>
    <w:p w:rsidR="00630A9C" w:rsidRPr="00303F56" w:rsidRDefault="00630A9C" w:rsidP="00C130A8">
      <w:pPr>
        <w:pStyle w:val="Titolo2"/>
      </w:pPr>
      <w:r w:rsidRPr="00303F56">
        <w:t>APPROFONDIMENTO DELLA MOZIONE</w:t>
      </w: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>La Commissione prende atto con favore della sensibilità del Governo su questa delicata tematica e ritiene giustificate le argomentazioni portate nel suo Messaggio</w:t>
      </w:r>
      <w:r>
        <w:rPr>
          <w:szCs w:val="24"/>
        </w:rPr>
        <w:t xml:space="preserve"> con particolare riguardo nei confronti verso le zone meno favorite del Ticino dove il trasporto pubblico è uno dei tasselli importanti per garantire un minimo vitale ai pochi abitanti rimasti pur non raggiungendo più il minimo di percorrenza richiesto dalla legge federale.</w:t>
      </w:r>
    </w:p>
    <w:p w:rsidR="00630A9C" w:rsidRPr="00303F56" w:rsidRDefault="00630A9C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>In sede di discussione commissionale sono emersi alcuni quesiti poi chiariti con i funzionari del Dipartimento.</w:t>
      </w:r>
    </w:p>
    <w:p w:rsidR="00630A9C" w:rsidRPr="00303F56" w:rsidRDefault="00630A9C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>Si è potuto appurare che l’Agenzia turistica ticinese (ATT), con il sostegno del Dipartimento delle finanze e dell’economia e di quello del territorio, ha in corso i preparativi per confermare anche nel 2018 il prodotto Ticino Ticket che offre al turista che pernotta in una struttura in Ticino l’uso del trasporto pubblico e una serie di agevolazioni per le attrazioni turistiche. Questa notizia è sicuramente molto positiva alla luce del successo registrato negli scorsi mesi dall’azione.</w:t>
      </w:r>
    </w:p>
    <w:p w:rsidR="00630A9C" w:rsidRPr="00303F56" w:rsidRDefault="00630A9C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>Vista la forte affluenza turistica dei mesi estivi appena trascorsi</w:t>
      </w:r>
      <w:r>
        <w:rPr>
          <w:szCs w:val="24"/>
        </w:rPr>
        <w:t xml:space="preserve"> proprio grazie a questa iniziativa</w:t>
      </w:r>
      <w:r w:rsidRPr="00303F56">
        <w:rPr>
          <w:szCs w:val="24"/>
        </w:rPr>
        <w:t xml:space="preserve">, il Dipartimento del territorio ha inoltre predisposto un aumento delle corse in </w:t>
      </w:r>
      <w:proofErr w:type="spellStart"/>
      <w:r w:rsidRPr="00303F56">
        <w:rPr>
          <w:szCs w:val="24"/>
        </w:rPr>
        <w:t>Vallemaggia</w:t>
      </w:r>
      <w:proofErr w:type="spellEnd"/>
      <w:r w:rsidRPr="00303F56">
        <w:rPr>
          <w:szCs w:val="24"/>
        </w:rPr>
        <w:t xml:space="preserve"> e Valle </w:t>
      </w:r>
      <w:proofErr w:type="spellStart"/>
      <w:r w:rsidRPr="00303F56">
        <w:rPr>
          <w:szCs w:val="24"/>
        </w:rPr>
        <w:t>Verzasca</w:t>
      </w:r>
      <w:proofErr w:type="spellEnd"/>
      <w:r w:rsidRPr="00303F56">
        <w:rPr>
          <w:szCs w:val="24"/>
        </w:rPr>
        <w:t xml:space="preserve"> che entrerà in vigore con il cambio d’orario di dicembre 2017.</w:t>
      </w:r>
    </w:p>
    <w:p w:rsidR="00630A9C" w:rsidRPr="00303F56" w:rsidRDefault="00630A9C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  <w:r w:rsidRPr="00303F56">
        <w:rPr>
          <w:szCs w:val="24"/>
        </w:rPr>
        <w:t xml:space="preserve">Un ulteriore tema emerso in sede commissionale è la larghezza delle strade cantonali in taluni tratti nelle valli laterali. Questo argomento è tuttavia già trattato in altra sede e non </w:t>
      </w:r>
      <w:r>
        <w:rPr>
          <w:szCs w:val="24"/>
        </w:rPr>
        <w:t>si</w:t>
      </w:r>
      <w:r w:rsidRPr="00303F56">
        <w:rPr>
          <w:szCs w:val="24"/>
        </w:rPr>
        <w:t xml:space="preserve"> </w:t>
      </w:r>
      <w:r>
        <w:rPr>
          <w:szCs w:val="24"/>
        </w:rPr>
        <w:t>ritiene debba essere approfondito ulteriormente in merito a questa mozione.</w:t>
      </w:r>
    </w:p>
    <w:p w:rsidR="00630A9C" w:rsidRPr="00303F56" w:rsidRDefault="00630A9C" w:rsidP="00630A9C">
      <w:pPr>
        <w:rPr>
          <w:szCs w:val="24"/>
        </w:rPr>
      </w:pPr>
    </w:p>
    <w:p w:rsidR="00630A9C" w:rsidRDefault="00630A9C" w:rsidP="00630A9C">
      <w:pPr>
        <w:rPr>
          <w:szCs w:val="24"/>
        </w:rPr>
      </w:pPr>
    </w:p>
    <w:p w:rsidR="00C92CBE" w:rsidRPr="00303F56" w:rsidRDefault="00C92CBE" w:rsidP="00630A9C">
      <w:pPr>
        <w:rPr>
          <w:szCs w:val="24"/>
        </w:rPr>
      </w:pPr>
    </w:p>
    <w:p w:rsidR="00630A9C" w:rsidRPr="00303F56" w:rsidRDefault="00630A9C" w:rsidP="00C130A8">
      <w:pPr>
        <w:pStyle w:val="Titolo2"/>
      </w:pPr>
      <w:r w:rsidRPr="00303F56">
        <w:t>CONCLUSIONE</w:t>
      </w:r>
    </w:p>
    <w:p w:rsidR="00630A9C" w:rsidRDefault="00C92CBE" w:rsidP="00630A9C">
      <w:pPr>
        <w:rPr>
          <w:szCs w:val="24"/>
        </w:rPr>
      </w:pPr>
      <w:r>
        <w:rPr>
          <w:szCs w:val="24"/>
        </w:rPr>
        <w:t>La Commissione della g</w:t>
      </w:r>
      <w:r w:rsidR="00630A9C" w:rsidRPr="00303F56">
        <w:rPr>
          <w:szCs w:val="24"/>
        </w:rPr>
        <w:t>estione ritiene più che esaustivo l’approfondimento fatto</w:t>
      </w:r>
      <w:r w:rsidR="00630A9C">
        <w:rPr>
          <w:szCs w:val="24"/>
        </w:rPr>
        <w:t xml:space="preserve"> </w:t>
      </w:r>
      <w:r w:rsidR="00630A9C" w:rsidRPr="00303F56">
        <w:rPr>
          <w:szCs w:val="24"/>
        </w:rPr>
        <w:t xml:space="preserve">dal CdS e </w:t>
      </w:r>
      <w:r w:rsidR="00630A9C">
        <w:rPr>
          <w:szCs w:val="24"/>
        </w:rPr>
        <w:t xml:space="preserve">le misure che grazie alla sensibilità dimostrata sta già implementando. Invitiamo quindi il CdS a continuare in questa direzione e monitorare costantemente la situazione sul terreno. </w:t>
      </w:r>
    </w:p>
    <w:p w:rsidR="00630A9C" w:rsidRDefault="00630A9C" w:rsidP="00630A9C">
      <w:pPr>
        <w:rPr>
          <w:szCs w:val="24"/>
        </w:rPr>
      </w:pPr>
    </w:p>
    <w:p w:rsidR="00630A9C" w:rsidRPr="00C92CBE" w:rsidRDefault="00630A9C" w:rsidP="00630A9C">
      <w:pPr>
        <w:spacing w:after="120"/>
        <w:rPr>
          <w:szCs w:val="24"/>
        </w:rPr>
      </w:pPr>
      <w:r w:rsidRPr="00C92CBE">
        <w:rPr>
          <w:szCs w:val="24"/>
        </w:rPr>
        <w:t xml:space="preserve">La Commissione saluta con favore il messaggio del Consiglio di Stato, rassicurando nuovamente i </w:t>
      </w:r>
      <w:proofErr w:type="spellStart"/>
      <w:r w:rsidRPr="00C92CBE">
        <w:rPr>
          <w:szCs w:val="24"/>
        </w:rPr>
        <w:t>mozionanti</w:t>
      </w:r>
      <w:proofErr w:type="spellEnd"/>
      <w:r w:rsidRPr="00C92CBE">
        <w:rPr>
          <w:szCs w:val="24"/>
        </w:rPr>
        <w:t xml:space="preserve"> sul fatto che non vi sono piani di dismissione del servizio di linee. A garanzia di ciò si ricordano gli articoli 4 e 5 del Decreto legislativo allegato al rapporto sul Messaggio no 7140 sul credito-quadro per il finanziamento delle prestazioni di trasporto pubblico nel quadriennio 2016-2019, approvato dal Gran Consiglio il 18.04.2016, del seguente tenore: </w:t>
      </w:r>
    </w:p>
    <w:p w:rsidR="00630A9C" w:rsidRPr="00C92CBE" w:rsidRDefault="00630A9C" w:rsidP="00630A9C">
      <w:pPr>
        <w:autoSpaceDE w:val="0"/>
        <w:autoSpaceDN w:val="0"/>
        <w:adjustRightInd w:val="0"/>
        <w:rPr>
          <w:rFonts w:cs="Arial"/>
          <w:i/>
          <w:sz w:val="23"/>
          <w:szCs w:val="23"/>
          <w:lang w:eastAsia="it-CH"/>
        </w:rPr>
      </w:pPr>
      <w:r w:rsidRPr="00C92CBE">
        <w:rPr>
          <w:rFonts w:cs="Arial"/>
          <w:i/>
          <w:sz w:val="23"/>
          <w:szCs w:val="23"/>
          <w:lang w:eastAsia="it-CH"/>
        </w:rPr>
        <w:t>“</w:t>
      </w:r>
      <w:r w:rsidRPr="00C92CBE">
        <w:rPr>
          <w:rFonts w:cs="Arial"/>
          <w:i/>
          <w:sz w:val="23"/>
          <w:szCs w:val="23"/>
          <w:vertAlign w:val="superscript"/>
          <w:lang w:eastAsia="it-CH"/>
        </w:rPr>
        <w:t>4</w:t>
      </w:r>
      <w:r w:rsidRPr="00C92CBE">
        <w:rPr>
          <w:rFonts w:cs="Arial"/>
          <w:i/>
          <w:sz w:val="23"/>
          <w:szCs w:val="23"/>
          <w:lang w:eastAsia="it-CH"/>
        </w:rPr>
        <w:t>Qualora dovesse venir meno l'introito derivante dalla tassa di collegamento il Consiglio di</w:t>
      </w:r>
      <w:r w:rsidR="00C92CBE" w:rsidRPr="00C92CBE">
        <w:rPr>
          <w:rFonts w:cs="Arial"/>
          <w:i/>
          <w:sz w:val="23"/>
          <w:szCs w:val="23"/>
          <w:lang w:eastAsia="it-CH"/>
        </w:rPr>
        <w:t xml:space="preserve"> </w:t>
      </w:r>
      <w:r w:rsidRPr="00C92CBE">
        <w:rPr>
          <w:rFonts w:cs="Arial"/>
          <w:i/>
          <w:sz w:val="23"/>
          <w:szCs w:val="23"/>
          <w:lang w:eastAsia="it-CH"/>
        </w:rPr>
        <w:t>Stato elabora un messaggio aggiuntivo entro il 31 ottobre 2016, riguardante misure</w:t>
      </w:r>
      <w:r w:rsidR="00C92CBE" w:rsidRPr="00C92CBE">
        <w:rPr>
          <w:rFonts w:cs="Arial"/>
          <w:i/>
          <w:sz w:val="23"/>
          <w:szCs w:val="23"/>
          <w:lang w:eastAsia="it-CH"/>
        </w:rPr>
        <w:t xml:space="preserve"> </w:t>
      </w:r>
      <w:r w:rsidRPr="00C92CBE">
        <w:rPr>
          <w:rFonts w:cs="Arial"/>
          <w:i/>
          <w:sz w:val="23"/>
          <w:szCs w:val="23"/>
          <w:lang w:eastAsia="it-CH"/>
        </w:rPr>
        <w:t>compensatorie che devono essere identificate all'interno del Dipartimento del territorio.</w:t>
      </w:r>
    </w:p>
    <w:p w:rsidR="00630A9C" w:rsidRPr="00C92CBE" w:rsidRDefault="00630A9C" w:rsidP="00C92CBE">
      <w:pPr>
        <w:autoSpaceDE w:val="0"/>
        <w:autoSpaceDN w:val="0"/>
        <w:adjustRightInd w:val="0"/>
        <w:spacing w:before="120"/>
        <w:rPr>
          <w:rFonts w:cs="Arial"/>
          <w:i/>
          <w:sz w:val="23"/>
          <w:szCs w:val="23"/>
          <w:lang w:eastAsia="it-CH"/>
        </w:rPr>
      </w:pPr>
      <w:r w:rsidRPr="00C92CBE">
        <w:rPr>
          <w:rFonts w:cs="Arial"/>
          <w:i/>
          <w:sz w:val="23"/>
          <w:szCs w:val="23"/>
          <w:vertAlign w:val="superscript"/>
          <w:lang w:eastAsia="it-CH"/>
        </w:rPr>
        <w:t>5</w:t>
      </w:r>
      <w:r w:rsidRPr="00C92CBE">
        <w:rPr>
          <w:rFonts w:cs="Arial"/>
          <w:i/>
          <w:sz w:val="23"/>
          <w:szCs w:val="23"/>
          <w:lang w:eastAsia="it-CH"/>
        </w:rPr>
        <w:t>L’approvazione del presente decreto non è da intendersi come una volontà di riduzione</w:t>
      </w:r>
      <w:r w:rsidR="00C92CBE" w:rsidRPr="00C92CBE">
        <w:rPr>
          <w:rFonts w:cs="Arial"/>
          <w:i/>
          <w:sz w:val="23"/>
          <w:szCs w:val="23"/>
          <w:lang w:eastAsia="it-CH"/>
        </w:rPr>
        <w:t xml:space="preserve"> </w:t>
      </w:r>
      <w:r w:rsidRPr="00C92CBE">
        <w:rPr>
          <w:rFonts w:cs="Arial"/>
          <w:i/>
          <w:sz w:val="23"/>
          <w:szCs w:val="23"/>
          <w:lang w:eastAsia="it-CH"/>
        </w:rPr>
        <w:t>automatica delle prestazioni di trasporto pubblico in caso di bocciatura della tassa di</w:t>
      </w:r>
    </w:p>
    <w:p w:rsidR="00630A9C" w:rsidRPr="00C92CBE" w:rsidRDefault="00630A9C" w:rsidP="00630A9C">
      <w:pPr>
        <w:rPr>
          <w:i/>
          <w:sz w:val="23"/>
          <w:szCs w:val="23"/>
        </w:rPr>
      </w:pPr>
      <w:r w:rsidRPr="00C92CBE">
        <w:rPr>
          <w:rFonts w:cs="Arial"/>
          <w:i/>
          <w:sz w:val="23"/>
          <w:szCs w:val="23"/>
          <w:lang w:eastAsia="it-CH"/>
        </w:rPr>
        <w:t>collegamento.”</w:t>
      </w:r>
    </w:p>
    <w:p w:rsidR="00630A9C" w:rsidRDefault="00630A9C" w:rsidP="00630A9C">
      <w:pPr>
        <w:rPr>
          <w:szCs w:val="24"/>
        </w:rPr>
      </w:pPr>
    </w:p>
    <w:p w:rsidR="00C92CBE" w:rsidRPr="00C92CBE" w:rsidRDefault="00C92CBE" w:rsidP="00630A9C">
      <w:pPr>
        <w:rPr>
          <w:szCs w:val="24"/>
        </w:rPr>
      </w:pPr>
    </w:p>
    <w:p w:rsidR="00630A9C" w:rsidRPr="00303F56" w:rsidRDefault="00630A9C" w:rsidP="00630A9C">
      <w:pPr>
        <w:rPr>
          <w:szCs w:val="24"/>
        </w:rPr>
      </w:pPr>
      <w:r w:rsidRPr="00C92CBE">
        <w:rPr>
          <w:szCs w:val="24"/>
        </w:rPr>
        <w:t xml:space="preserve">Per queste ragioni invitiamo il Gran Consiglio ad approvare il messaggio </w:t>
      </w:r>
      <w:r w:rsidR="00C92CBE">
        <w:rPr>
          <w:szCs w:val="24"/>
        </w:rPr>
        <w:t xml:space="preserve">n. </w:t>
      </w:r>
      <w:r w:rsidRPr="00C92CBE">
        <w:rPr>
          <w:szCs w:val="24"/>
        </w:rPr>
        <w:t>7280 che chiede di ritenere evasa la Mozione in oggetto.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C130A8" w:rsidP="00076E70">
      <w:pPr>
        <w:rPr>
          <w:rFonts w:cs="Arial"/>
          <w:szCs w:val="24"/>
        </w:rPr>
      </w:pPr>
      <w:r>
        <w:rPr>
          <w:rFonts w:cs="Arial"/>
          <w:szCs w:val="24"/>
        </w:rPr>
        <w:t>Fabio Badasci</w:t>
      </w:r>
      <w:r w:rsidR="00076E70" w:rsidRPr="00076E70">
        <w:rPr>
          <w:rFonts w:cs="Arial"/>
          <w:szCs w:val="24"/>
        </w:rPr>
        <w:t>, relatore</w:t>
      </w:r>
    </w:p>
    <w:p w:rsidR="00C92CBE" w:rsidRDefault="00C92CBE" w:rsidP="00C92CBE">
      <w:pPr>
        <w:rPr>
          <w:rFonts w:cs="Arial"/>
        </w:rPr>
      </w:pPr>
      <w:bookmarkStart w:id="1" w:name="OLE_LINK1"/>
      <w:bookmarkStart w:id="2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Caprara - Caverzasio - </w:t>
      </w:r>
    </w:p>
    <w:p w:rsidR="00C92CBE" w:rsidRDefault="00C92CBE" w:rsidP="00C92CBE">
      <w:pPr>
        <w:rPr>
          <w:rFonts w:cs="Arial"/>
        </w:rPr>
      </w:pPr>
      <w:r>
        <w:rPr>
          <w:rFonts w:cs="Arial"/>
        </w:rPr>
        <w:t xml:space="preserve">Dadò - De Rosa - Durisch - Farinelli - </w:t>
      </w:r>
    </w:p>
    <w:p w:rsidR="00C92CBE" w:rsidRDefault="00C92CBE" w:rsidP="00C92CBE">
      <w:pPr>
        <w:rPr>
          <w:rFonts w:cs="Arial"/>
        </w:rPr>
      </w:pPr>
      <w:r>
        <w:rPr>
          <w:rFonts w:cs="Arial"/>
        </w:rPr>
        <w:t>Frapolli -</w:t>
      </w:r>
      <w:r>
        <w:rPr>
          <w:rFonts w:cs="Arial"/>
        </w:rPr>
        <w:t xml:space="preserve"> </w:t>
      </w:r>
      <w:r>
        <w:rPr>
          <w:rFonts w:cs="Arial"/>
        </w:rPr>
        <w:t xml:space="preserve">Garobbio - Garzoli - Guerra - </w:t>
      </w:r>
    </w:p>
    <w:p w:rsidR="00C92CBE" w:rsidRDefault="00C92CBE" w:rsidP="00C92CBE">
      <w:pPr>
        <w:rPr>
          <w:rFonts w:cs="Arial"/>
        </w:rPr>
      </w:pPr>
      <w:r>
        <w:rPr>
          <w:rFonts w:cs="Arial"/>
        </w:rPr>
        <w:t xml:space="preserve">Kandemir Bordoli - </w:t>
      </w:r>
      <w:r>
        <w:rPr>
          <w:rFonts w:cs="Arial"/>
        </w:rPr>
        <w:t xml:space="preserve">Pini - Pinoja </w:t>
      </w:r>
    </w:p>
    <w:bookmarkEnd w:id="1"/>
    <w:bookmarkEnd w:id="2"/>
    <w:p w:rsidR="00076E70" w:rsidRPr="00076E70" w:rsidRDefault="00076E70" w:rsidP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C92CBE" w:rsidRPr="00C92CBE">
          <w:rPr>
            <w:noProof/>
            <w:sz w:val="20"/>
            <w:szCs w:val="20"/>
            <w:lang w:val="it-IT"/>
          </w:rPr>
          <w:t>3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2310C0"/>
    <w:multiLevelType w:val="hybridMultilevel"/>
    <w:tmpl w:val="87E6204E"/>
    <w:lvl w:ilvl="0" w:tplc="C7360BDA">
      <w:start w:val="1"/>
      <w:numFmt w:val="upperRoman"/>
      <w:pStyle w:val="Titolo2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5AF4"/>
    <w:multiLevelType w:val="hybridMultilevel"/>
    <w:tmpl w:val="1E6EBBCA"/>
    <w:lvl w:ilvl="0" w:tplc="D6B0C7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E5E40"/>
    <w:rsid w:val="0052425A"/>
    <w:rsid w:val="00586A8D"/>
    <w:rsid w:val="00630A9C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130A8"/>
    <w:rsid w:val="00C92CBE"/>
    <w:rsid w:val="00CF6858"/>
    <w:rsid w:val="00D377B5"/>
    <w:rsid w:val="00D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C130A8"/>
    <w:pPr>
      <w:keepNext/>
      <w:numPr>
        <w:numId w:val="5"/>
      </w:numPr>
      <w:tabs>
        <w:tab w:val="left" w:pos="567"/>
      </w:tabs>
      <w:spacing w:after="120"/>
      <w:ind w:left="567" w:hanging="567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C130A8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C130A8"/>
    <w:pPr>
      <w:keepNext/>
      <w:numPr>
        <w:numId w:val="5"/>
      </w:numPr>
      <w:tabs>
        <w:tab w:val="left" w:pos="567"/>
      </w:tabs>
      <w:spacing w:after="120"/>
      <w:ind w:left="567" w:hanging="567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C130A8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49E5-C1EA-479E-B2E7-68624EBE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2017-11-08T09:14:00Z</cp:lastPrinted>
  <dcterms:created xsi:type="dcterms:W3CDTF">2017-11-07T16:36:00Z</dcterms:created>
  <dcterms:modified xsi:type="dcterms:W3CDTF">2017-11-08T09:17:00Z</dcterms:modified>
</cp:coreProperties>
</file>