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786C25" w:rsidP="00F242E5">
      <w:pPr>
        <w:tabs>
          <w:tab w:val="left" w:pos="2495"/>
        </w:tabs>
        <w:spacing w:before="80" w:after="40"/>
        <w:rPr>
          <w:rFonts w:ascii="Gill Sans MT" w:hAnsi="Gill Sans MT"/>
          <w:b/>
          <w:sz w:val="56"/>
          <w:szCs w:val="56"/>
        </w:rPr>
      </w:pPr>
      <w:r w:rsidRPr="00AD7756">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266064">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877EAC" w:rsidP="00F242E5">
      <w:pPr>
        <w:tabs>
          <w:tab w:val="left" w:pos="2098"/>
          <w:tab w:val="left" w:pos="4962"/>
        </w:tabs>
        <w:rPr>
          <w:position w:val="4"/>
        </w:rPr>
      </w:pPr>
      <w:r>
        <w:rPr>
          <w:b/>
          <w:position w:val="4"/>
          <w:sz w:val="32"/>
          <w:szCs w:val="32"/>
        </w:rPr>
        <w:t>731</w:t>
      </w:r>
      <w:r w:rsidR="00F242E5">
        <w:rPr>
          <w:b/>
          <w:position w:val="4"/>
          <w:sz w:val="32"/>
          <w:szCs w:val="32"/>
        </w:rPr>
        <w:t>0</w:t>
      </w:r>
      <w:r w:rsidR="00F242E5" w:rsidRPr="002D7BF1">
        <w:rPr>
          <w:b/>
          <w:position w:val="4"/>
          <w:sz w:val="32"/>
          <w:szCs w:val="32"/>
        </w:rPr>
        <w:t xml:space="preserve"> R</w:t>
      </w:r>
      <w:r w:rsidR="00266064">
        <w:rPr>
          <w:b/>
          <w:position w:val="4"/>
          <w:sz w:val="32"/>
          <w:szCs w:val="32"/>
        </w:rPr>
        <w:t>2</w:t>
      </w:r>
      <w:r w:rsidR="00F242E5">
        <w:rPr>
          <w:position w:val="4"/>
          <w:sz w:val="28"/>
        </w:rPr>
        <w:tab/>
      </w:r>
      <w:r>
        <w:rPr>
          <w:position w:val="4"/>
          <w:sz w:val="28"/>
        </w:rPr>
        <w:t>31 gennaio 2018</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877EAC" w:rsidRPr="003F1B6C" w:rsidRDefault="00877EAC" w:rsidP="00877EAC">
      <w:pPr>
        <w:ind w:right="-1"/>
        <w:rPr>
          <w:b/>
          <w:snapToGrid w:val="0"/>
          <w:sz w:val="28"/>
          <w:szCs w:val="28"/>
        </w:rPr>
      </w:pPr>
      <w:r w:rsidRPr="003F1B6C">
        <w:rPr>
          <w:b/>
          <w:snapToGrid w:val="0"/>
          <w:sz w:val="28"/>
          <w:szCs w:val="28"/>
        </w:rPr>
        <w:t>della Commissione della legislazione</w:t>
      </w:r>
    </w:p>
    <w:p w:rsidR="00877EAC" w:rsidRPr="00040776" w:rsidRDefault="00877EAC" w:rsidP="00877EAC">
      <w:pPr>
        <w:rPr>
          <w:b/>
          <w:sz w:val="28"/>
          <w:szCs w:val="28"/>
        </w:rPr>
      </w:pPr>
      <w:r w:rsidRPr="003B08FC">
        <w:rPr>
          <w:b/>
          <w:sz w:val="28"/>
          <w:szCs w:val="28"/>
        </w:rPr>
        <w:t>su</w:t>
      </w:r>
      <w:r>
        <w:rPr>
          <w:b/>
          <w:sz w:val="28"/>
          <w:szCs w:val="28"/>
        </w:rPr>
        <w:t xml:space="preserve">lla mozione 13 marzo 2017 presentata da Michela Delcò Petralli e cofirmatari </w:t>
      </w:r>
      <w:r w:rsidR="00040776" w:rsidRPr="00040776">
        <w:rPr>
          <w:b/>
          <w:sz w:val="28"/>
          <w:szCs w:val="28"/>
        </w:rPr>
        <w:t>“</w:t>
      </w:r>
      <w:r w:rsidRPr="00040776">
        <w:rPr>
          <w:b/>
          <w:sz w:val="28"/>
          <w:szCs w:val="28"/>
        </w:rPr>
        <w:t>Celebrazione di matrimoni e unioni domestiche registrate</w:t>
      </w:r>
      <w:r w:rsidR="00040776" w:rsidRPr="00040776">
        <w:rPr>
          <w:b/>
          <w:sz w:val="28"/>
          <w:szCs w:val="28"/>
        </w:rPr>
        <w:t>”</w:t>
      </w:r>
    </w:p>
    <w:p w:rsidR="00877EAC" w:rsidRDefault="00877EAC" w:rsidP="00877EAC">
      <w:pPr>
        <w:tabs>
          <w:tab w:val="left" w:pos="426"/>
        </w:tabs>
        <w:spacing w:before="100"/>
        <w:rPr>
          <w:rFonts w:cs="Arial"/>
          <w:b/>
          <w:sz w:val="26"/>
          <w:szCs w:val="26"/>
        </w:rPr>
      </w:pPr>
      <w:r>
        <w:rPr>
          <w:rFonts w:cs="Arial"/>
          <w:b/>
          <w:sz w:val="26"/>
          <w:szCs w:val="26"/>
        </w:rPr>
        <w:t xml:space="preserve">(v. messaggio </w:t>
      </w:r>
      <w:r>
        <w:rPr>
          <w:b/>
          <w:sz w:val="26"/>
          <w:szCs w:val="26"/>
        </w:rPr>
        <w:t xml:space="preserve">26 aprile 2017 </w:t>
      </w:r>
      <w:r>
        <w:rPr>
          <w:rFonts w:cs="Arial"/>
          <w:b/>
          <w:sz w:val="26"/>
          <w:szCs w:val="26"/>
        </w:rPr>
        <w:t>n. 7310)</w:t>
      </w:r>
    </w:p>
    <w:p w:rsidR="00266064" w:rsidRPr="00252E43" w:rsidRDefault="00266064" w:rsidP="00266064">
      <w:pPr>
        <w:ind w:right="-1"/>
        <w:rPr>
          <w:sz w:val="28"/>
          <w:szCs w:val="28"/>
        </w:rPr>
      </w:pPr>
    </w:p>
    <w:p w:rsidR="00266064" w:rsidRPr="00252E43" w:rsidRDefault="00266064" w:rsidP="00266064">
      <w:pPr>
        <w:ind w:right="-1"/>
        <w:rPr>
          <w:sz w:val="28"/>
          <w:szCs w:val="28"/>
        </w:rPr>
      </w:pPr>
    </w:p>
    <w:p w:rsidR="00266064" w:rsidRPr="00252E43" w:rsidRDefault="00266064" w:rsidP="00266064">
      <w:pPr>
        <w:ind w:right="-1"/>
        <w:rPr>
          <w:sz w:val="28"/>
          <w:szCs w:val="28"/>
        </w:rPr>
      </w:pPr>
    </w:p>
    <w:p w:rsidR="00266064" w:rsidRPr="00CF451E" w:rsidRDefault="00266064" w:rsidP="00266064">
      <w:pPr>
        <w:tabs>
          <w:tab w:val="left" w:pos="426"/>
        </w:tabs>
        <w:spacing w:after="160"/>
        <w:ind w:left="426" w:right="-1" w:hanging="426"/>
        <w:rPr>
          <w:rFonts w:cs="Arial"/>
          <w:szCs w:val="24"/>
        </w:rPr>
      </w:pPr>
      <w:r w:rsidRPr="00CF451E">
        <w:rPr>
          <w:rFonts w:ascii="Arial Grassetto" w:eastAsia="MS Mincho" w:hAnsi="Arial Grassetto" w:cs="Arial"/>
          <w:b/>
          <w:caps/>
          <w:szCs w:val="24"/>
        </w:rPr>
        <w:t>I.</w:t>
      </w:r>
      <w:r w:rsidRPr="00CF451E">
        <w:rPr>
          <w:rFonts w:ascii="Arial Grassetto" w:eastAsia="MS Mincho" w:hAnsi="Arial Grassetto" w:cs="Arial"/>
          <w:b/>
          <w:caps/>
          <w:szCs w:val="24"/>
        </w:rPr>
        <w:tab/>
        <w:t>la mozione</w:t>
      </w:r>
    </w:p>
    <w:p w:rsidR="00266064" w:rsidRDefault="00266064" w:rsidP="00CF451E">
      <w:r w:rsidRPr="00252E43">
        <w:t xml:space="preserve">La mozione </w:t>
      </w:r>
      <w:r w:rsidRPr="00252E43">
        <w:rPr>
          <w:i/>
        </w:rPr>
        <w:t>Celebrazione di matrimoni e unioni domestiche registrate</w:t>
      </w:r>
      <w:r w:rsidRPr="00252E43">
        <w:t>, presentata il 13 marzo 2017</w:t>
      </w:r>
      <w:r>
        <w:t xml:space="preserve"> da Michela Delcò Petralli e co</w:t>
      </w:r>
      <w:r w:rsidRPr="00252E43">
        <w:t xml:space="preserve">firmatari, invita il Consiglio di Stato a intervenire </w:t>
      </w:r>
      <w:r>
        <w:t>nei confronti de</w:t>
      </w:r>
      <w:r w:rsidRPr="00252E43">
        <w:t>l Consiglio fed</w:t>
      </w:r>
      <w:r>
        <w:t>erale</w:t>
      </w:r>
      <w:r w:rsidRPr="00252E43">
        <w:t xml:space="preserve"> affinché i membri degli esecutivi comunali possano celebrare non solo i matrimoni ma anche l</w:t>
      </w:r>
      <w:r>
        <w:t>e unioni domestiche registrate.</w:t>
      </w:r>
    </w:p>
    <w:p w:rsidR="00266064" w:rsidRDefault="00266064" w:rsidP="00CF451E"/>
    <w:p w:rsidR="00266064" w:rsidRPr="00252E43" w:rsidRDefault="00266064" w:rsidP="00CF451E">
      <w:r w:rsidRPr="00252E43">
        <w:t xml:space="preserve">Con il </w:t>
      </w:r>
      <w:r>
        <w:t>lor</w:t>
      </w:r>
      <w:r w:rsidRPr="00252E43">
        <w:t xml:space="preserve">o atto i </w:t>
      </w:r>
      <w:proofErr w:type="spellStart"/>
      <w:r w:rsidRPr="00252E43">
        <w:t>mozionanti</w:t>
      </w:r>
      <w:proofErr w:type="spellEnd"/>
      <w:r w:rsidRPr="00252E43">
        <w:t xml:space="preserve"> si dolgono in sostanza di una lesione del divieto di discriminazione e di tutela della sfera privata e familiar</w:t>
      </w:r>
      <w:r>
        <w:t>e</w:t>
      </w:r>
      <w:r w:rsidRPr="00252E43">
        <w:t xml:space="preserve"> sancit</w:t>
      </w:r>
      <w:r>
        <w:t>o</w:t>
      </w:r>
      <w:r w:rsidRPr="00252E43">
        <w:t xml:space="preserve"> dalla Convenzione europea dei diritti dell'uomo (CEDU) come anche del principio della parità di trattamento garantito dalla Costituzione federale.</w:t>
      </w:r>
    </w:p>
    <w:p w:rsidR="00266064" w:rsidRDefault="00266064" w:rsidP="00CF451E"/>
    <w:p w:rsidR="00B42FF6" w:rsidRPr="00252E43" w:rsidRDefault="00B42FF6" w:rsidP="00CF451E"/>
    <w:p w:rsidR="00266064" w:rsidRPr="00252E43" w:rsidRDefault="00266064" w:rsidP="00CF451E"/>
    <w:p w:rsidR="00266064" w:rsidRPr="00CF451E" w:rsidRDefault="00266064" w:rsidP="00266064">
      <w:pPr>
        <w:tabs>
          <w:tab w:val="left" w:pos="426"/>
        </w:tabs>
        <w:spacing w:after="160"/>
        <w:ind w:left="426" w:right="-1" w:hanging="426"/>
        <w:rPr>
          <w:rFonts w:cs="Arial"/>
          <w:color w:val="000000"/>
          <w:szCs w:val="24"/>
        </w:rPr>
      </w:pPr>
      <w:r w:rsidRPr="00CF451E">
        <w:rPr>
          <w:rFonts w:ascii="Arial Grassetto" w:eastAsia="MS Mincho" w:hAnsi="Arial Grassetto" w:cs="Arial"/>
          <w:b/>
          <w:caps/>
          <w:szCs w:val="24"/>
        </w:rPr>
        <w:t>II.</w:t>
      </w:r>
      <w:r w:rsidRPr="00CF451E">
        <w:rPr>
          <w:rFonts w:ascii="Arial Grassetto" w:eastAsia="MS Mincho" w:hAnsi="Arial Grassetto" w:cs="Arial"/>
          <w:b/>
          <w:caps/>
          <w:szCs w:val="24"/>
        </w:rPr>
        <w:tab/>
        <w:t>il messaggio</w:t>
      </w:r>
    </w:p>
    <w:p w:rsidR="00266064" w:rsidRPr="00252E43" w:rsidRDefault="00266064" w:rsidP="00CF451E">
      <w:r w:rsidRPr="00252E43">
        <w:t xml:space="preserve">Il Consiglio di Stato rileva innanzitutto che la celebrazione del matrimonio e dell'unione domestica registrata (UDR) non sono uguali. Il Governo rileva anche che se è una tradizione in Ticino la celebrazione del matrimonio da parte del Sindaco, non può esserlo per l'UDR che è possibile solo dal 1° gennaio </w:t>
      </w:r>
      <w:smartTag w:uri="urn:schemas-microsoft-com:office:smarttags" w:element="metricconverter">
        <w:smartTagPr>
          <w:attr w:name="ProductID" w:val="2007. L"/>
        </w:smartTagPr>
        <w:r w:rsidRPr="00252E43">
          <w:t>2007. L</w:t>
        </w:r>
      </w:smartTag>
      <w:r w:rsidRPr="00252E43">
        <w:t>'Esecutivo cantonale, alla luce del numero di celebrazioni di UDR</w:t>
      </w:r>
      <w:r>
        <w:t>,</w:t>
      </w:r>
      <w:r w:rsidRPr="00252E43">
        <w:t xml:space="preserve"> avanza ragioni pratiche.</w:t>
      </w:r>
    </w:p>
    <w:p w:rsidR="00266064" w:rsidRDefault="00266064" w:rsidP="00CF451E"/>
    <w:p w:rsidR="00266064" w:rsidRDefault="00266064" w:rsidP="00CF451E"/>
    <w:p w:rsidR="00266064" w:rsidRPr="00252E43" w:rsidRDefault="00266064" w:rsidP="00CF451E"/>
    <w:p w:rsidR="00266064" w:rsidRPr="00CF451E" w:rsidRDefault="00266064" w:rsidP="00266064">
      <w:pPr>
        <w:tabs>
          <w:tab w:val="left" w:pos="426"/>
        </w:tabs>
        <w:spacing w:after="160"/>
        <w:ind w:left="426" w:right="-1" w:hanging="426"/>
        <w:rPr>
          <w:szCs w:val="24"/>
        </w:rPr>
      </w:pPr>
      <w:r w:rsidRPr="00CF451E">
        <w:rPr>
          <w:rFonts w:ascii="Arial Grassetto" w:eastAsia="MS Mincho" w:hAnsi="Arial Grassetto" w:cs="Arial"/>
          <w:b/>
          <w:caps/>
          <w:szCs w:val="24"/>
        </w:rPr>
        <w:t>III.</w:t>
      </w:r>
      <w:r w:rsidRPr="00CF451E">
        <w:rPr>
          <w:rFonts w:ascii="Arial Grassetto" w:eastAsia="MS Mincho" w:hAnsi="Arial Grassetto" w:cs="Arial"/>
          <w:b/>
          <w:caps/>
          <w:szCs w:val="24"/>
        </w:rPr>
        <w:tab/>
        <w:t>Considerazioni della minoranza della commissione</w:t>
      </w:r>
    </w:p>
    <w:p w:rsidR="00266064" w:rsidRPr="00CF451E" w:rsidRDefault="00266064" w:rsidP="00266064">
      <w:pPr>
        <w:rPr>
          <w:szCs w:val="24"/>
        </w:rPr>
      </w:pPr>
      <w:r w:rsidRPr="00CF451E">
        <w:rPr>
          <w:szCs w:val="24"/>
        </w:rPr>
        <w:t>La minoranza della Commissione fonda il suo rapporto su tre ordini di motivi l'uno indipendente dall'altro:</w:t>
      </w:r>
    </w:p>
    <w:p w:rsidR="00266064" w:rsidRPr="00CF451E" w:rsidRDefault="00266064" w:rsidP="00266064">
      <w:pPr>
        <w:spacing w:before="120"/>
        <w:ind w:left="567" w:hanging="567"/>
        <w:rPr>
          <w:szCs w:val="24"/>
        </w:rPr>
      </w:pPr>
      <w:r w:rsidRPr="00CF451E">
        <w:rPr>
          <w:szCs w:val="24"/>
        </w:rPr>
        <w:t>a)</w:t>
      </w:r>
      <w:r w:rsidRPr="00CF451E">
        <w:rPr>
          <w:szCs w:val="24"/>
        </w:rPr>
        <w:tab/>
        <w:t>la diversità tra matrimonio e UDR</w:t>
      </w:r>
    </w:p>
    <w:p w:rsidR="00266064" w:rsidRPr="00CF451E" w:rsidRDefault="00266064" w:rsidP="00266064">
      <w:pPr>
        <w:spacing w:before="120"/>
        <w:ind w:left="567" w:hanging="567"/>
        <w:rPr>
          <w:szCs w:val="24"/>
        </w:rPr>
      </w:pPr>
      <w:r w:rsidRPr="00CF451E">
        <w:rPr>
          <w:szCs w:val="24"/>
        </w:rPr>
        <w:t>b)</w:t>
      </w:r>
      <w:r w:rsidRPr="00CF451E">
        <w:rPr>
          <w:szCs w:val="24"/>
        </w:rPr>
        <w:tab/>
        <w:t>l'interpretazione corretta dei diritti fondamentali e convenzionali</w:t>
      </w:r>
    </w:p>
    <w:p w:rsidR="00266064" w:rsidRPr="00CF451E" w:rsidRDefault="00266064" w:rsidP="00266064">
      <w:pPr>
        <w:spacing w:before="120"/>
        <w:ind w:left="567" w:hanging="567"/>
        <w:rPr>
          <w:szCs w:val="24"/>
        </w:rPr>
      </w:pPr>
      <w:r w:rsidRPr="00CF451E">
        <w:rPr>
          <w:szCs w:val="24"/>
        </w:rPr>
        <w:t>c)</w:t>
      </w:r>
      <w:r w:rsidRPr="00CF451E">
        <w:rPr>
          <w:szCs w:val="24"/>
        </w:rPr>
        <w:tab/>
        <w:t>il voto del Popolo ticinese in occasione della votazione popolare del 5 giugno 2005.</w:t>
      </w:r>
    </w:p>
    <w:p w:rsidR="00266064" w:rsidRPr="00CF451E" w:rsidRDefault="00266064" w:rsidP="00266064">
      <w:pPr>
        <w:rPr>
          <w:szCs w:val="24"/>
        </w:rPr>
      </w:pPr>
    </w:p>
    <w:p w:rsidR="00266064" w:rsidRPr="00CF451E" w:rsidRDefault="00266064" w:rsidP="00266064">
      <w:pPr>
        <w:rPr>
          <w:szCs w:val="24"/>
        </w:rPr>
      </w:pPr>
    </w:p>
    <w:p w:rsidR="00266064" w:rsidRPr="007652E7" w:rsidRDefault="00266064" w:rsidP="00B42FF6">
      <w:pPr>
        <w:pStyle w:val="Titolo2"/>
      </w:pPr>
      <w:r w:rsidRPr="007652E7">
        <w:lastRenderedPageBreak/>
        <w:t>1.</w:t>
      </w:r>
      <w:r w:rsidRPr="007652E7">
        <w:tab/>
        <w:t>Diversità tra matrimonio e UDR</w:t>
      </w:r>
    </w:p>
    <w:p w:rsidR="00266064" w:rsidRPr="00252E43" w:rsidRDefault="00266064" w:rsidP="00CF451E">
      <w:r w:rsidRPr="00252E43">
        <w:t xml:space="preserve">Sebbene vi siano alcune analogie con il matrimonio, l'UDR così come è concepita dal diritto svizzero non è un matrimonio. Volutamente e in maniera qualificata il legislatore federale ha voluto introdurre nel sistema giuridico qualche cosa di diverso e nuovo che si rivolgesse unicamente alle coppie omosessuali. Diversamente da altri ordinamenti civili, l'unione domestica registrata non è aperta agli eterosessuali. Oltre a una diversa celebrazione dell'unione, l'UDR </w:t>
      </w:r>
      <w:r>
        <w:t>prevede</w:t>
      </w:r>
      <w:r w:rsidRPr="00252E43">
        <w:t xml:space="preserve"> disposizioni differenti anche sul cognome e sul reg</w:t>
      </w:r>
      <w:r>
        <w:t>ime dei beni. È vero</w:t>
      </w:r>
      <w:r w:rsidRPr="00252E43">
        <w:t xml:space="preserve"> che</w:t>
      </w:r>
      <w:r>
        <w:t>,</w:t>
      </w:r>
      <w:r w:rsidRPr="00252E43">
        <w:t xml:space="preserve"> tramite alcune dichiarazioni congiunte delle persone interessati, è possibile rendere l'UDR molto simile agli effetti di un matrimonio, ma comunque rimane uno stato giuridico differente. Del resto, la normativa relativa all'UDR è retta </w:t>
      </w:r>
      <w:r>
        <w:t>da</w:t>
      </w:r>
      <w:r w:rsidRPr="00252E43">
        <w:t xml:space="preserve">lla </w:t>
      </w:r>
      <w:r>
        <w:t>L</w:t>
      </w:r>
      <w:r w:rsidRPr="00252E43">
        <w:t xml:space="preserve">egge sull'unione domestica registrata (LUD; RS 211.231), una legge separata e </w:t>
      </w:r>
      <w:r>
        <w:t xml:space="preserve">che </w:t>
      </w:r>
      <w:r w:rsidRPr="00252E43">
        <w:t>non trova la sua fonte nel Codice civile.</w:t>
      </w:r>
    </w:p>
    <w:p w:rsidR="00266064" w:rsidRPr="00252E43" w:rsidRDefault="00266064" w:rsidP="00CF451E"/>
    <w:p w:rsidR="00266064" w:rsidRPr="00252E43" w:rsidRDefault="00266064" w:rsidP="00CF451E"/>
    <w:p w:rsidR="00266064" w:rsidRPr="007652E7" w:rsidRDefault="00266064" w:rsidP="00B42FF6">
      <w:pPr>
        <w:pStyle w:val="Titolo2"/>
      </w:pPr>
      <w:r w:rsidRPr="007652E7">
        <w:t>2.</w:t>
      </w:r>
      <w:r w:rsidRPr="007652E7">
        <w:tab/>
        <w:t>L'interpretazione corretta dei diritti fondamentali e convenzionali</w:t>
      </w:r>
    </w:p>
    <w:p w:rsidR="00266064" w:rsidRPr="00252E43" w:rsidRDefault="00266064" w:rsidP="00CF451E">
      <w:r w:rsidRPr="00252E43">
        <w:t>La mozione</w:t>
      </w:r>
      <w:r>
        <w:t>,</w:t>
      </w:r>
      <w:r w:rsidRPr="00252E43">
        <w:t xml:space="preserve"> in maniera erronea</w:t>
      </w:r>
      <w:r>
        <w:t>,</w:t>
      </w:r>
      <w:r w:rsidRPr="00252E43">
        <w:t xml:space="preserve"> cita i diritti fondamentali. Una situazione differente non provoca automati</w:t>
      </w:r>
      <w:r>
        <w:t>camente una discriminazione. Sem</w:t>
      </w:r>
      <w:r w:rsidRPr="00252E43">
        <w:t>mai è vero solo il contrario. Il Tribunale federale nella DTF 143 I 1, relativa proprio a un caso ticinese</w:t>
      </w:r>
      <w:r>
        <w:t>,</w:t>
      </w:r>
      <w:r w:rsidRPr="00252E43">
        <w:t xml:space="preserve"> ha affermato innanzitutto che </w:t>
      </w:r>
      <w:r>
        <w:rPr>
          <w:i/>
          <w:iCs/>
        </w:rPr>
        <w:t>«</w:t>
      </w:r>
      <w:r w:rsidRPr="00252E43">
        <w:rPr>
          <w:i/>
          <w:iCs/>
        </w:rPr>
        <w:t>il diverso non è in quanto tale discriminatorio</w:t>
      </w:r>
      <w:r>
        <w:rPr>
          <w:i/>
          <w:iCs/>
        </w:rPr>
        <w:t>»</w:t>
      </w:r>
      <w:r w:rsidRPr="00252E43">
        <w:t xml:space="preserve"> e poi </w:t>
      </w:r>
      <w:r>
        <w:rPr>
          <w:i/>
          <w:iCs/>
        </w:rPr>
        <w:t>«a</w:t>
      </w:r>
      <w:r w:rsidRPr="00252E43">
        <w:rPr>
          <w:i/>
          <w:iCs/>
        </w:rPr>
        <w:t>nzi, in alcune circostanze, è proprio l'assenza di una disciplina differenziata per correggere una disuguaglianza che può comportare una violazione del divieto di non discriminazione (...). Perché si realizzi una discriminazione sanzionata dalla convenzione, occorre piuttosto che si presenti una differenza, la quale non si fonda su di una giustificazione oggettiva e ragionevole, vale a dire che non persegue uno scopo legittimo o se non è in una relazione ragionevole di proporzionalità tra i mezzi usati e il fine perseguito</w:t>
      </w:r>
      <w:r>
        <w:rPr>
          <w:i/>
          <w:iCs/>
        </w:rPr>
        <w:t>»</w:t>
      </w:r>
      <w:r w:rsidRPr="00252E43">
        <w:t xml:space="preserve"> (DTF 143 I 1 </w:t>
      </w:r>
      <w:proofErr w:type="spellStart"/>
      <w:r w:rsidRPr="00252E43">
        <w:t>consid</w:t>
      </w:r>
      <w:proofErr w:type="spellEnd"/>
      <w:r w:rsidRPr="00252E43">
        <w:t>. 5.5. pag. 17). Le unioni omosessuali non traggono in sostanza alcun danno dall'impossibilità per i membri degli esecutivi comunali di celebrare l'unione, che rimane loro permessa in ogni momento. La differenza tra matrimonio e UDR è senz'altro oggettiva e ragionevole perché consiste nell'essenza stessa del discorso: il legislatore federale esplicitamente e chiaramente ha voluto distinguere le due cose. Anche la parità di trattamento non è lesa.</w:t>
      </w:r>
    </w:p>
    <w:p w:rsidR="00266064" w:rsidRPr="00252E43" w:rsidRDefault="00266064" w:rsidP="00CF451E"/>
    <w:p w:rsidR="00266064" w:rsidRPr="00252E43" w:rsidRDefault="00266064" w:rsidP="00CF451E"/>
    <w:p w:rsidR="00266064" w:rsidRPr="007652E7" w:rsidRDefault="00266064" w:rsidP="00B42FF6">
      <w:pPr>
        <w:pStyle w:val="Titolo2"/>
      </w:pPr>
      <w:r w:rsidRPr="007652E7">
        <w:t>3.</w:t>
      </w:r>
      <w:r w:rsidRPr="007652E7">
        <w:tab/>
        <w:t>Il voto del Popolo ticinese il 5 giugno 2005</w:t>
      </w:r>
    </w:p>
    <w:p w:rsidR="00266064" w:rsidRPr="00252E43" w:rsidRDefault="00266064" w:rsidP="00CF451E">
      <w:pPr>
        <w:rPr>
          <w:rFonts w:cs="Arial"/>
          <w:color w:val="000000"/>
        </w:rPr>
      </w:pPr>
      <w:r w:rsidRPr="00252E43">
        <w:t>A queste considerazioni si deve aggiungere il voto del Popolo ticinese sulla LUD in occasione della votazione popolare del 5 giugno 2005. Nel Cantone Ticino l'unione domestica registrata è stata chiaramente respinta con 54'256 (53.2%) voti contro 47'699 (46.8%). In tali condizioni, si ritiene che non sia il Cantone Ticino a dover assumere un ruolo attivo nella questione, che peraltro è stato già assunto dal Canton Ginevra.</w:t>
      </w:r>
    </w:p>
    <w:p w:rsidR="00266064" w:rsidRDefault="00266064" w:rsidP="00CF451E">
      <w:pPr>
        <w:rPr>
          <w:rFonts w:cs="Arial"/>
          <w:color w:val="000000"/>
        </w:rPr>
      </w:pPr>
    </w:p>
    <w:p w:rsidR="00B42FF6" w:rsidRPr="00252E43" w:rsidRDefault="00B42FF6" w:rsidP="00CF451E">
      <w:pPr>
        <w:rPr>
          <w:rFonts w:cs="Arial"/>
          <w:color w:val="000000"/>
        </w:rPr>
      </w:pPr>
    </w:p>
    <w:p w:rsidR="00266064" w:rsidRPr="00252E43" w:rsidRDefault="00266064" w:rsidP="00CF451E">
      <w:pPr>
        <w:rPr>
          <w:rFonts w:cs="Arial"/>
          <w:color w:val="000000"/>
        </w:rPr>
      </w:pPr>
    </w:p>
    <w:p w:rsidR="00266064" w:rsidRPr="00CF451E" w:rsidRDefault="00266064" w:rsidP="00266064">
      <w:pPr>
        <w:tabs>
          <w:tab w:val="left" w:pos="426"/>
        </w:tabs>
        <w:spacing w:after="160"/>
        <w:ind w:left="426" w:right="-1" w:hanging="426"/>
        <w:rPr>
          <w:rFonts w:cs="Arial"/>
          <w:szCs w:val="24"/>
        </w:rPr>
      </w:pPr>
      <w:r w:rsidRPr="00CF451E">
        <w:rPr>
          <w:rFonts w:ascii="Arial Grassetto" w:eastAsia="MS Mincho" w:hAnsi="Arial Grassetto" w:cs="Arial"/>
          <w:b/>
          <w:caps/>
          <w:szCs w:val="24"/>
        </w:rPr>
        <w:t>IV.</w:t>
      </w:r>
      <w:r w:rsidRPr="00CF451E">
        <w:rPr>
          <w:rFonts w:ascii="Arial Grassetto" w:eastAsia="MS Mincho" w:hAnsi="Arial Grassetto" w:cs="Arial"/>
          <w:b/>
          <w:caps/>
          <w:szCs w:val="24"/>
        </w:rPr>
        <w:tab/>
        <w:t>Conclusioni</w:t>
      </w:r>
    </w:p>
    <w:p w:rsidR="00266064" w:rsidRPr="00252E43" w:rsidRDefault="00266064" w:rsidP="00CF451E">
      <w:r w:rsidRPr="00252E43">
        <w:t xml:space="preserve">La </w:t>
      </w:r>
      <w:r w:rsidRPr="0063739D">
        <w:t>minoranza</w:t>
      </w:r>
      <w:r w:rsidRPr="00252E43">
        <w:t xml:space="preserve"> della Commissione della legislazione ritiene in definit</w:t>
      </w:r>
      <w:r>
        <w:t>iv</w:t>
      </w:r>
      <w:r w:rsidRPr="00252E43">
        <w:t xml:space="preserve">a che la mozione sia da rigettare. In maniera nemmeno troppo implicita la mozione fa riferimento alle battaglie LGBTIQ e alla corrente di pensiero per il "matrimonio per tutti" con la possibilità di adozione. Il vero fine della mozione a ben vedere non è tanto un aspetto formale (che peraltro è legato alle tradizioni, circostanza che il Popolo ticinese ha confermato non essere fra le proprie), ma voler veicolare tramite un dettaglio procedurale un pensiero generale su una questione molto controversa anche nella società civile. Si vuole quasi </w:t>
      </w:r>
      <w:r w:rsidRPr="00252E43">
        <w:lastRenderedPageBreak/>
        <w:t xml:space="preserve">lasciar intendere così che il Gran Consiglio ticinese </w:t>
      </w:r>
      <w:r>
        <w:t>voglia</w:t>
      </w:r>
      <w:r w:rsidRPr="00252E43">
        <w:t xml:space="preserve"> promuovere un cambiamento di paradigma. Come si è già visto, le coppie omosessuali non risultano discriminate, anzi possono unirsi in ogni momento in UDR nel rispetto delle disposizioni legali vigenti. Le doglianze della mo</w:t>
      </w:r>
      <w:r>
        <w:t>zione sono più che altro fondate</w:t>
      </w:r>
      <w:r w:rsidRPr="00252E43">
        <w:t xml:space="preserve"> su di un approccio di principio sul concetto di matrimonio, che però non possono essere fatte in sede cantonale, essendo la materia di esclusiva competenza federale.</w:t>
      </w:r>
    </w:p>
    <w:p w:rsidR="00266064" w:rsidRDefault="00266064" w:rsidP="00CF451E"/>
    <w:p w:rsidR="00B42FF6" w:rsidRDefault="00B42FF6" w:rsidP="00B42FF6"/>
    <w:p w:rsidR="00B42FF6" w:rsidRDefault="00B42FF6" w:rsidP="00B42FF6">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B42FF6" w:rsidRDefault="00B42FF6" w:rsidP="00B42FF6"/>
    <w:p w:rsidR="00CF451E" w:rsidRPr="00252E43" w:rsidRDefault="00CF451E" w:rsidP="00CF451E"/>
    <w:p w:rsidR="00266064" w:rsidRPr="0063739D" w:rsidRDefault="00266064" w:rsidP="00CF451E">
      <w:r w:rsidRPr="00252E43">
        <w:t>Alla luce di tutte queste consid</w:t>
      </w:r>
      <w:r w:rsidRPr="0063739D">
        <w:t>erazioni, la minoranza della Commissione vi invita pertanto a respingere la mozione.</w:t>
      </w:r>
    </w:p>
    <w:p w:rsidR="00266064" w:rsidRPr="0063739D" w:rsidRDefault="00266064" w:rsidP="00CF451E"/>
    <w:p w:rsidR="00266064" w:rsidRPr="0063739D" w:rsidRDefault="00266064" w:rsidP="00CF451E">
      <w:pPr>
        <w:rPr>
          <w:color w:val="000000"/>
        </w:rPr>
      </w:pPr>
    </w:p>
    <w:p w:rsidR="00266064" w:rsidRPr="0063739D" w:rsidRDefault="00266064" w:rsidP="00CF451E">
      <w:pPr>
        <w:rPr>
          <w:color w:val="000000"/>
        </w:rPr>
      </w:pPr>
    </w:p>
    <w:p w:rsidR="00266064" w:rsidRPr="00CF451E" w:rsidRDefault="00266064" w:rsidP="00266064">
      <w:pPr>
        <w:pStyle w:val="Corpotesto"/>
        <w:tabs>
          <w:tab w:val="clear" w:pos="284"/>
          <w:tab w:val="clear" w:pos="426"/>
          <w:tab w:val="clear" w:pos="4962"/>
        </w:tabs>
        <w:spacing w:after="120"/>
        <w:ind w:right="-1"/>
        <w:rPr>
          <w:rFonts w:eastAsia="Cambria" w:cs="Arial"/>
          <w:szCs w:val="24"/>
        </w:rPr>
      </w:pPr>
      <w:r w:rsidRPr="00CF451E">
        <w:rPr>
          <w:rFonts w:cs="Arial"/>
          <w:szCs w:val="24"/>
          <w:lang w:val="it-CH"/>
        </w:rPr>
        <w:t>Per la minoranza della Commissione della legislazione</w:t>
      </w:r>
    </w:p>
    <w:p w:rsidR="00266064" w:rsidRPr="00CF451E" w:rsidRDefault="00266064" w:rsidP="00266064">
      <w:pPr>
        <w:rPr>
          <w:rFonts w:eastAsia="Cambria" w:cs="Arial"/>
          <w:szCs w:val="24"/>
        </w:rPr>
      </w:pPr>
      <w:r w:rsidRPr="00CF451E">
        <w:rPr>
          <w:rFonts w:eastAsia="Cambria" w:cs="Arial"/>
          <w:szCs w:val="24"/>
        </w:rPr>
        <w:t>Andrea Giudici, relatore</w:t>
      </w:r>
    </w:p>
    <w:p w:rsidR="00CF451E" w:rsidRDefault="00CF451E" w:rsidP="00266064">
      <w:pPr>
        <w:rPr>
          <w:szCs w:val="24"/>
        </w:rPr>
      </w:pPr>
      <w:r>
        <w:rPr>
          <w:szCs w:val="24"/>
        </w:rPr>
        <w:t xml:space="preserve">Bignasca (con riserva) - Celio - </w:t>
      </w:r>
    </w:p>
    <w:p w:rsidR="00266064" w:rsidRPr="00CF451E" w:rsidRDefault="00CF451E" w:rsidP="00266064">
      <w:pPr>
        <w:rPr>
          <w:szCs w:val="24"/>
        </w:rPr>
      </w:pPr>
      <w:r>
        <w:rPr>
          <w:szCs w:val="24"/>
        </w:rPr>
        <w:t>Filippini - Minotti</w:t>
      </w:r>
    </w:p>
    <w:p w:rsidR="00266064" w:rsidRPr="00CF451E" w:rsidRDefault="00266064" w:rsidP="00266064">
      <w:pPr>
        <w:rPr>
          <w:szCs w:val="24"/>
        </w:rPr>
      </w:pPr>
    </w:p>
    <w:sectPr w:rsidR="00266064" w:rsidRPr="00CF451E"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64" w:rsidRDefault="00AE2864" w:rsidP="008E77C6">
      <w:r>
        <w:separator/>
      </w:r>
    </w:p>
  </w:endnote>
  <w:endnote w:type="continuationSeparator" w:id="0">
    <w:p w:rsidR="00AE2864" w:rsidRDefault="00AE286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86C25" w:rsidRPr="00786C2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64" w:rsidRDefault="00AE2864" w:rsidP="008E77C6">
      <w:r>
        <w:separator/>
      </w:r>
    </w:p>
  </w:footnote>
  <w:footnote w:type="continuationSeparator" w:id="0">
    <w:p w:rsidR="00AE2864" w:rsidRDefault="00AE286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0776"/>
    <w:rsid w:val="00076E70"/>
    <w:rsid w:val="00266064"/>
    <w:rsid w:val="002E5E40"/>
    <w:rsid w:val="0052425A"/>
    <w:rsid w:val="00586A8D"/>
    <w:rsid w:val="006D7A3B"/>
    <w:rsid w:val="00786C25"/>
    <w:rsid w:val="007B5462"/>
    <w:rsid w:val="008034BD"/>
    <w:rsid w:val="00876352"/>
    <w:rsid w:val="00877EAC"/>
    <w:rsid w:val="008B4137"/>
    <w:rsid w:val="008C767A"/>
    <w:rsid w:val="008E77C6"/>
    <w:rsid w:val="009770BB"/>
    <w:rsid w:val="009E008D"/>
    <w:rsid w:val="00A5465F"/>
    <w:rsid w:val="00A77678"/>
    <w:rsid w:val="00AE2864"/>
    <w:rsid w:val="00B42FF6"/>
    <w:rsid w:val="00BC4C95"/>
    <w:rsid w:val="00BD5944"/>
    <w:rsid w:val="00CF451E"/>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877EA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877EAC"/>
    <w:rPr>
      <w:rFonts w:ascii="Arial" w:eastAsia="Times New Roman" w:hAnsi="Arial" w:cs="Times New Roman"/>
      <w:sz w:val="24"/>
      <w:szCs w:val="20"/>
      <w:lang w:val="it-IT" w:eastAsia="it-IT"/>
    </w:rPr>
  </w:style>
  <w:style w:type="paragraph" w:customStyle="1" w:styleId="Notaapidipagina">
    <w:name w:val="Nota a piè di pagina"/>
    <w:rsid w:val="00877EAC"/>
    <w:pPr>
      <w:pBdr>
        <w:top w:val="nil"/>
        <w:left w:val="nil"/>
        <w:bottom w:val="nil"/>
        <w:right w:val="nil"/>
        <w:between w:val="nil"/>
        <w:bar w:val="nil"/>
      </w:pBdr>
      <w:jc w:val="left"/>
    </w:pPr>
    <w:rPr>
      <w:rFonts w:ascii="Helvetica" w:eastAsia="Helvetica" w:hAnsi="Helvetica" w:cs="Helvetica"/>
      <w:color w:val="000000"/>
      <w:bdr w:val="nil"/>
      <w:lang w:val="en-US"/>
    </w:rPr>
  </w:style>
  <w:style w:type="paragraph" w:styleId="Testofumetto">
    <w:name w:val="Balloon Text"/>
    <w:basedOn w:val="Normale"/>
    <w:link w:val="TestofumettoCarattere"/>
    <w:uiPriority w:val="99"/>
    <w:semiHidden/>
    <w:unhideWhenUsed/>
    <w:rsid w:val="000407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877EA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877EAC"/>
    <w:rPr>
      <w:rFonts w:ascii="Arial" w:eastAsia="Times New Roman" w:hAnsi="Arial" w:cs="Times New Roman"/>
      <w:sz w:val="24"/>
      <w:szCs w:val="20"/>
      <w:lang w:val="it-IT" w:eastAsia="it-IT"/>
    </w:rPr>
  </w:style>
  <w:style w:type="paragraph" w:customStyle="1" w:styleId="Notaapidipagina">
    <w:name w:val="Nota a piè di pagina"/>
    <w:rsid w:val="00877EAC"/>
    <w:pPr>
      <w:pBdr>
        <w:top w:val="nil"/>
        <w:left w:val="nil"/>
        <w:bottom w:val="nil"/>
        <w:right w:val="nil"/>
        <w:between w:val="nil"/>
        <w:bar w:val="nil"/>
      </w:pBdr>
      <w:jc w:val="left"/>
    </w:pPr>
    <w:rPr>
      <w:rFonts w:ascii="Helvetica" w:eastAsia="Helvetica" w:hAnsi="Helvetica" w:cs="Helvetica"/>
      <w:color w:val="000000"/>
      <w:bdr w:val="nil"/>
      <w:lang w:val="en-US"/>
    </w:rPr>
  </w:style>
  <w:style w:type="paragraph" w:styleId="Testofumetto">
    <w:name w:val="Balloon Text"/>
    <w:basedOn w:val="Normale"/>
    <w:link w:val="TestofumettoCarattere"/>
    <w:uiPriority w:val="99"/>
    <w:semiHidden/>
    <w:unhideWhenUsed/>
    <w:rsid w:val="000407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6B21-4349-423C-913D-104DAB52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907</Words>
  <Characters>5175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2018-02-05T16:22:00Z</cp:lastPrinted>
  <dcterms:created xsi:type="dcterms:W3CDTF">2018-02-05T16:15:00Z</dcterms:created>
  <dcterms:modified xsi:type="dcterms:W3CDTF">2018-02-07T09:00:00Z</dcterms:modified>
</cp:coreProperties>
</file>