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9B6FC4" w:rsidRDefault="00120B0A" w:rsidP="00F242E5">
      <w:pPr>
        <w:tabs>
          <w:tab w:val="left" w:pos="2495"/>
        </w:tabs>
        <w:spacing w:before="80" w:after="40"/>
        <w:rPr>
          <w:rFonts w:ascii="Gill Sans MT" w:hAnsi="Gill Sans MT"/>
          <w:b/>
          <w:spacing w:val="10"/>
          <w:sz w:val="56"/>
          <w:szCs w:val="56"/>
        </w:rPr>
      </w:pPr>
      <w:bookmarkStart w:id="0" w:name="_GoBack"/>
      <w:bookmarkEnd w:id="0"/>
      <w:r>
        <w:rPr>
          <w:rFonts w:ascii="Gill Sans MT" w:hAnsi="Gill Sans MT"/>
          <w:b/>
          <w:spacing w:val="10"/>
          <w:sz w:val="56"/>
          <w:szCs w:val="56"/>
        </w:rPr>
        <w:t>Rapporto f</w:t>
      </w:r>
      <w:r w:rsidR="00D51C98" w:rsidRPr="009B6FC4">
        <w:rPr>
          <w:rFonts w:ascii="Gill Sans MT" w:hAnsi="Gill Sans MT"/>
          <w:b/>
          <w:spacing w:val="10"/>
          <w:sz w:val="56"/>
          <w:szCs w:val="56"/>
        </w:rPr>
        <w:t>inale</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D51C98">
        <w:rPr>
          <w:position w:val="4"/>
          <w:sz w:val="28"/>
        </w:rPr>
        <w:t>5 aprile 2017</w:t>
      </w:r>
    </w:p>
    <w:p w:rsidR="00F242E5" w:rsidRDefault="00F242E5" w:rsidP="00F242E5"/>
    <w:p w:rsidR="00F242E5" w:rsidRDefault="00F242E5" w:rsidP="00F242E5"/>
    <w:p w:rsidR="00F242E5" w:rsidRDefault="00F242E5" w:rsidP="00F242E5"/>
    <w:p w:rsidR="00951F6D" w:rsidRDefault="00951F6D" w:rsidP="00951F6D">
      <w:pPr>
        <w:rPr>
          <w:b/>
          <w:sz w:val="28"/>
          <w:szCs w:val="28"/>
        </w:rPr>
      </w:pPr>
      <w:r>
        <w:rPr>
          <w:b/>
          <w:sz w:val="28"/>
          <w:szCs w:val="28"/>
        </w:rPr>
        <w:t xml:space="preserve">della Commissione </w:t>
      </w:r>
      <w:r w:rsidR="001967E3">
        <w:rPr>
          <w:b/>
          <w:sz w:val="28"/>
          <w:szCs w:val="28"/>
        </w:rPr>
        <w:t>speciale per l'attuazione dell'i</w:t>
      </w:r>
      <w:r>
        <w:rPr>
          <w:b/>
          <w:sz w:val="28"/>
          <w:szCs w:val="28"/>
        </w:rPr>
        <w:t xml:space="preserve">niziativa popolare costituzionale "Prima i nostri!" </w:t>
      </w:r>
    </w:p>
    <w:p w:rsidR="00951F6D" w:rsidRDefault="00951F6D" w:rsidP="00951F6D"/>
    <w:p w:rsidR="00951F6D" w:rsidRDefault="00951F6D" w:rsidP="00951F6D"/>
    <w:p w:rsidR="00951F6D" w:rsidRPr="009D0963" w:rsidRDefault="00951F6D" w:rsidP="00951F6D"/>
    <w:p w:rsidR="00D51C98" w:rsidRDefault="00D51C98" w:rsidP="003F058C">
      <w:pPr>
        <w:pStyle w:val="Titolo1"/>
      </w:pPr>
      <w:r>
        <w:t xml:space="preserve">PROSIEGUO DEI LAVORI COMMISSIONALI </w:t>
      </w:r>
    </w:p>
    <w:p w:rsidR="00D51C98" w:rsidRDefault="00D51C98" w:rsidP="00D51C98">
      <w:r>
        <w:rPr>
          <w:lang w:val="it-IT"/>
        </w:rPr>
        <w:t>La Commissione speciale</w:t>
      </w:r>
      <w:r>
        <w:rPr>
          <w:rFonts w:cs="Arial"/>
          <w:szCs w:val="24"/>
        </w:rPr>
        <w:t xml:space="preserve"> ha </w:t>
      </w:r>
      <w:r w:rsidRPr="00DB748E">
        <w:t xml:space="preserve">continuato </w:t>
      </w:r>
      <w:r>
        <w:t>a lavorare</w:t>
      </w:r>
      <w:r w:rsidRPr="00DB748E">
        <w:t xml:space="preserve"> con entusiasmo e impegno</w:t>
      </w:r>
      <w:r>
        <w:t xml:space="preserve">, intenzionata a dar seguito nel migliore dei modi alla volontà espressa dal popolo ticinese il </w:t>
      </w:r>
      <w:smartTag w:uri="urn:schemas-microsoft-com:office:smarttags" w:element="date">
        <w:smartTagPr>
          <w:attr w:name="Year" w:val="2016"/>
          <w:attr w:name="Day" w:val="25"/>
          <w:attr w:name="Month" w:val="9"/>
          <w:attr w:name="ls" w:val="trans"/>
        </w:smartTagPr>
        <w:r>
          <w:t>25 settembre 2016</w:t>
        </w:r>
      </w:smartTag>
      <w:r>
        <w:t>.</w:t>
      </w:r>
    </w:p>
    <w:p w:rsidR="00D51C98" w:rsidRDefault="00D51C98" w:rsidP="00D51C98"/>
    <w:p w:rsidR="00D51C98" w:rsidRPr="00DB748E" w:rsidRDefault="00D51C98" w:rsidP="00D51C98">
      <w:r>
        <w:t>Il presente rapporto finale, che fa seguito al rapporto intermedio del 23 dicembre 2016, ricapitola succintamente il lavoro svolto, richiamando in particolare gli atti parlamentari presentati dalla Commissione speciale, nonché gli emendamenti da essa proposti al disegno di nuova legge sulle commesse pubbliche (</w:t>
      </w:r>
      <w:proofErr w:type="spellStart"/>
      <w:r>
        <w:t>LCPubb</w:t>
      </w:r>
      <w:proofErr w:type="spellEnd"/>
      <w:r>
        <w:t>) che sarà presto al vaglio del plenum del Parlamento. Infatti, il frutto dei lavori di questa Commissione si ritrova essenzialmente in tali atti e proposte, dal momento che il Gran Consiglio non ha voluto affidarle l’evasione di nessun atto parlamentare, ad eccezione di una proposta d’iniziativa cantonale del deputato Matteo Pronzini, di cui si dirà in seguito.</w:t>
      </w:r>
    </w:p>
    <w:p w:rsidR="00D51C98" w:rsidRDefault="00D51C98" w:rsidP="00D51C98">
      <w:pPr>
        <w:rPr>
          <w:lang w:eastAsia="it-IT"/>
        </w:rPr>
      </w:pPr>
    </w:p>
    <w:p w:rsidR="00D51C98" w:rsidRPr="00D51C98" w:rsidRDefault="00D51C98" w:rsidP="00D51C98">
      <w:pPr>
        <w:rPr>
          <w:lang w:eastAsia="it-IT"/>
        </w:rPr>
      </w:pPr>
    </w:p>
    <w:p w:rsidR="00D51C98" w:rsidRPr="00FB2A9B" w:rsidRDefault="00D51C98" w:rsidP="00B9242E">
      <w:pPr>
        <w:pStyle w:val="Titolo2"/>
      </w:pPr>
      <w:r>
        <w:t>1.</w:t>
      </w:r>
      <w:r>
        <w:tab/>
      </w:r>
      <w:r w:rsidRPr="00FB2A9B">
        <w:t>Audizioni</w:t>
      </w:r>
      <w:r>
        <w:t xml:space="preserve"> commissionali</w:t>
      </w:r>
    </w:p>
    <w:p w:rsidR="00D51C98" w:rsidRPr="00FB2A9B" w:rsidRDefault="00D51C98" w:rsidP="00D51C98">
      <w:pPr>
        <w:tabs>
          <w:tab w:val="left" w:pos="284"/>
        </w:tabs>
        <w:spacing w:before="120" w:after="120"/>
        <w:ind w:left="284" w:hanging="284"/>
      </w:pPr>
      <w:r>
        <w:t xml:space="preserve">Nel corso dei propri lavori, la Commissione ha ricevuto </w:t>
      </w:r>
      <w:r w:rsidRPr="00FB2A9B">
        <w:t>in audizione:</w:t>
      </w:r>
    </w:p>
    <w:p w:rsidR="00D51C98" w:rsidRDefault="00D51C98" w:rsidP="00D51C98">
      <w:pPr>
        <w:tabs>
          <w:tab w:val="left" w:pos="284"/>
        </w:tabs>
        <w:spacing w:after="120"/>
        <w:ind w:left="284" w:hanging="284"/>
      </w:pPr>
      <w:r w:rsidRPr="008862F5">
        <w:t>-</w:t>
      </w:r>
      <w:r w:rsidRPr="008862F5">
        <w:tab/>
        <w:t xml:space="preserve">il Presidente </w:t>
      </w:r>
      <w:r>
        <w:t xml:space="preserve">di </w:t>
      </w:r>
      <w:r w:rsidRPr="008862F5">
        <w:t>UDC</w:t>
      </w:r>
      <w:r>
        <w:t xml:space="preserve"> Ticino</w:t>
      </w:r>
      <w:r w:rsidRPr="008862F5">
        <w:t xml:space="preserve">, signor Piero Marchesi, </w:t>
      </w:r>
      <w:r>
        <w:t>che ha illustrato una serie di proposte per applicare la preferenza indigena;</w:t>
      </w:r>
    </w:p>
    <w:p w:rsidR="00D51C98" w:rsidRDefault="00D51C98" w:rsidP="00D51C98">
      <w:pPr>
        <w:tabs>
          <w:tab w:val="left" w:pos="284"/>
        </w:tabs>
        <w:spacing w:after="120"/>
        <w:ind w:left="284" w:hanging="284"/>
      </w:pPr>
      <w:r w:rsidRPr="00850618">
        <w:t>-</w:t>
      </w:r>
      <w:r w:rsidRPr="00850618">
        <w:tab/>
        <w:t xml:space="preserve">il Consigliere nazionale Marco Chiesa, </w:t>
      </w:r>
      <w:r>
        <w:t xml:space="preserve">con il quale i commissari hanno potuto intrattenersi utilmente </w:t>
      </w:r>
      <w:r w:rsidRPr="004D5F5C">
        <w:t xml:space="preserve">su vari aspetti riguardanti l’iniziativa popolare </w:t>
      </w:r>
      <w:r>
        <w:t xml:space="preserve">in oggetto </w:t>
      </w:r>
      <w:r w:rsidRPr="004D5F5C">
        <w:t xml:space="preserve">e, </w:t>
      </w:r>
      <w:r w:rsidRPr="00850618">
        <w:t>in particolar modo</w:t>
      </w:r>
      <w:r>
        <w:t>,</w:t>
      </w:r>
      <w:r w:rsidRPr="00850618">
        <w:t xml:space="preserve"> su</w:t>
      </w:r>
      <w:r w:rsidRPr="004D5F5C">
        <w:t xml:space="preserve">l disegno di legge di applicazione della preferenza indigena </w:t>
      </w:r>
      <w:r w:rsidRPr="004D5F5C">
        <w:rPr>
          <w:lang w:val="it-IT"/>
        </w:rPr>
        <w:t>("Prima i nostri</w:t>
      </w:r>
      <w:r>
        <w:rPr>
          <w:lang w:val="it-IT"/>
        </w:rPr>
        <w:t>!")</w:t>
      </w:r>
      <w:r w:rsidRPr="00850618">
        <w:t>;</w:t>
      </w:r>
    </w:p>
    <w:p w:rsidR="00D51C98" w:rsidRDefault="00D51C98" w:rsidP="00D51C98">
      <w:pPr>
        <w:tabs>
          <w:tab w:val="left" w:pos="284"/>
        </w:tabs>
        <w:spacing w:after="120"/>
        <w:ind w:left="284" w:hanging="284"/>
      </w:pPr>
      <w:r>
        <w:t xml:space="preserve">- </w:t>
      </w:r>
      <w:r>
        <w:tab/>
        <w:t>il deputato Matteo Pronzini, in merito alla sua proposta d’iniziativa cantonale del 7 novembre 2016 "Lotta al dumping: creare le condizioni per combattere i licenziamenti sostitutivi";</w:t>
      </w:r>
    </w:p>
    <w:p w:rsidR="00D51C98" w:rsidRPr="008862F5" w:rsidRDefault="00D51C98" w:rsidP="00D51C98">
      <w:pPr>
        <w:tabs>
          <w:tab w:val="left" w:pos="284"/>
        </w:tabs>
        <w:spacing w:after="120"/>
        <w:ind w:left="284" w:hanging="284"/>
      </w:pPr>
      <w:r>
        <w:t>-</w:t>
      </w:r>
      <w:r>
        <w:tab/>
        <w:t xml:space="preserve">la deputata Natalia Ferrara, in relazione al progetto di nuova </w:t>
      </w:r>
      <w:proofErr w:type="spellStart"/>
      <w:r>
        <w:t>LCPubb</w:t>
      </w:r>
      <w:proofErr w:type="spellEnd"/>
      <w:r>
        <w:t xml:space="preserve"> sul quale è stata designata relatrice dalla Commissione della legislazione;</w:t>
      </w:r>
    </w:p>
    <w:p w:rsidR="00D51C98" w:rsidRDefault="00D51C98" w:rsidP="00D51C98">
      <w:pPr>
        <w:spacing w:after="80"/>
        <w:ind w:left="284" w:hanging="284"/>
        <w:rPr>
          <w:rFonts w:cs="Arial"/>
          <w:spacing w:val="2"/>
          <w:szCs w:val="20"/>
          <w:lang w:val="it-IT" w:eastAsia="it-IT"/>
        </w:rPr>
      </w:pPr>
      <w:r>
        <w:t>-</w:t>
      </w:r>
      <w:r>
        <w:tab/>
        <w:t xml:space="preserve">il Coordinatore del DSS, signor Paolo Bianchi, che ha illustrato </w:t>
      </w:r>
      <w:r>
        <w:rPr>
          <w:rFonts w:cs="Arial"/>
          <w:spacing w:val="2"/>
          <w:szCs w:val="20"/>
          <w:lang w:val="it-IT" w:eastAsia="it-IT"/>
        </w:rPr>
        <w:t>la realtà del mercato occupazionale nel settore socio</w:t>
      </w:r>
      <w:r w:rsidR="00C9414A">
        <w:rPr>
          <w:rFonts w:cs="Arial"/>
          <w:spacing w:val="2"/>
          <w:szCs w:val="20"/>
          <w:lang w:val="it-IT" w:eastAsia="it-IT"/>
        </w:rPr>
        <w:t>-</w:t>
      </w:r>
      <w:r>
        <w:rPr>
          <w:rFonts w:cs="Arial"/>
          <w:spacing w:val="2"/>
          <w:szCs w:val="20"/>
          <w:lang w:val="it-IT" w:eastAsia="it-IT"/>
        </w:rPr>
        <w:t>sanitario;</w:t>
      </w:r>
    </w:p>
    <w:p w:rsidR="00D51C98" w:rsidRDefault="00D51C98" w:rsidP="00D51C98">
      <w:pPr>
        <w:spacing w:after="80"/>
        <w:ind w:left="284" w:hanging="284"/>
      </w:pPr>
      <w:r>
        <w:rPr>
          <w:lang w:val="it-IT"/>
        </w:rPr>
        <w:t>-</w:t>
      </w:r>
      <w:r>
        <w:rPr>
          <w:lang w:val="it-IT"/>
        </w:rPr>
        <w:tab/>
      </w:r>
      <w:r>
        <w:rPr>
          <w:rFonts w:cs="Arial"/>
          <w:spacing w:val="2"/>
          <w:szCs w:val="20"/>
          <w:lang w:val="it-IT" w:eastAsia="it-IT"/>
        </w:rPr>
        <w:t>il Coordinatore del DFE, signor Nicola Novaresi, che ha spiegato le modalità con cui il DFE attua la "preferenza indigena";</w:t>
      </w:r>
    </w:p>
    <w:p w:rsidR="00D51C98" w:rsidRDefault="00D51C98" w:rsidP="00D51C98">
      <w:pPr>
        <w:spacing w:after="80"/>
        <w:ind w:left="284" w:hanging="284"/>
      </w:pPr>
      <w:r>
        <w:t>-</w:t>
      </w:r>
      <w:r>
        <w:tab/>
        <w:t xml:space="preserve">il Coordinatore del DT, signor Moreno Celio, che ha affrontato il tema della preferenza indigena in riferimento ai settori di attività del DT; </w:t>
      </w:r>
    </w:p>
    <w:p w:rsidR="00D51C98" w:rsidRDefault="00D51C98" w:rsidP="00D51C98">
      <w:pPr>
        <w:spacing w:after="80"/>
        <w:ind w:left="284" w:hanging="284"/>
      </w:pPr>
      <w:r>
        <w:lastRenderedPageBreak/>
        <w:t>-</w:t>
      </w:r>
      <w:r>
        <w:tab/>
        <w:t xml:space="preserve">il Coordinatore del DI, signor Luca Filippini, con il quale </w:t>
      </w:r>
      <w:r w:rsidR="00C9414A">
        <w:t>sono stati</w:t>
      </w:r>
      <w:r>
        <w:t xml:space="preserve"> affrontat</w:t>
      </w:r>
      <w:r w:rsidR="00C9414A">
        <w:t>i</w:t>
      </w:r>
      <w:r>
        <w:t xml:space="preserve"> soprattutto i tem</w:t>
      </w:r>
      <w:r w:rsidR="00C9414A">
        <w:t>i</w:t>
      </w:r>
      <w:r>
        <w:t xml:space="preserve"> dei mandati e dei permessi di soggiorno;</w:t>
      </w:r>
    </w:p>
    <w:p w:rsidR="00D51C98" w:rsidRDefault="00D51C98" w:rsidP="00D51C98">
      <w:pPr>
        <w:spacing w:after="80"/>
        <w:ind w:left="284" w:hanging="284"/>
      </w:pPr>
      <w:r>
        <w:t>-</w:t>
      </w:r>
      <w:r>
        <w:tab/>
        <w:t>il Coordinatore del DECS, signor Emanuele Berger, che ha illustrato la questione delle abilitazioni all'insegnamento e la procedura di assunzione dei docenti.</w:t>
      </w:r>
    </w:p>
    <w:p w:rsidR="00D51C98" w:rsidRDefault="00D51C98" w:rsidP="00CA3EAD"/>
    <w:p w:rsidR="00D51C98" w:rsidRDefault="00D51C98" w:rsidP="00CA3EAD"/>
    <w:p w:rsidR="00D51C98" w:rsidRPr="00A012F4" w:rsidRDefault="00D51C98" w:rsidP="00B9242E">
      <w:pPr>
        <w:pStyle w:val="Titolo2"/>
      </w:pPr>
      <w:r>
        <w:t>2.</w:t>
      </w:r>
      <w:r>
        <w:tab/>
        <w:t>Elaborazione e sottoscrizione di a</w:t>
      </w:r>
      <w:r w:rsidRPr="00A012F4">
        <w:t>tti parlamentari</w:t>
      </w:r>
    </w:p>
    <w:p w:rsidR="00D51C98" w:rsidRDefault="00D51C98" w:rsidP="00D51C98">
      <w:pPr>
        <w:rPr>
          <w:lang w:val="it-IT"/>
        </w:rPr>
      </w:pPr>
      <w:r>
        <w:rPr>
          <w:lang w:val="it-IT"/>
        </w:rPr>
        <w:t xml:space="preserve">La Commissione speciale ha elaborato e sottoscritto numerosi atti parlamentari, alcuni dei quali sono già stati menzionati nel rapporto intermedio del </w:t>
      </w:r>
      <w:smartTag w:uri="urn:schemas-microsoft-com:office:smarttags" w:element="date">
        <w:smartTagPr>
          <w:attr w:name="Year" w:val="2016"/>
          <w:attr w:name="Day" w:val="23"/>
          <w:attr w:name="Month" w:val="12"/>
          <w:attr w:name="ls" w:val="trans"/>
        </w:smartTagPr>
        <w:r>
          <w:rPr>
            <w:lang w:val="it-IT"/>
          </w:rPr>
          <w:t>23 dicembre 2016</w:t>
        </w:r>
      </w:smartTag>
      <w:r>
        <w:rPr>
          <w:lang w:val="it-IT"/>
        </w:rPr>
        <w:t>:</w:t>
      </w:r>
    </w:p>
    <w:p w:rsidR="00D51C98" w:rsidRDefault="00D51C98" w:rsidP="00C9414A">
      <w:pPr>
        <w:spacing w:before="100"/>
        <w:ind w:left="284" w:hanging="284"/>
        <w:rPr>
          <w:lang w:val="it-IT"/>
        </w:rPr>
      </w:pPr>
      <w:r>
        <w:rPr>
          <w:lang w:val="it-IT"/>
        </w:rPr>
        <w:t>-</w:t>
      </w:r>
      <w:r>
        <w:rPr>
          <w:lang w:val="it-IT"/>
        </w:rPr>
        <w:tab/>
        <w:t xml:space="preserve">iniziativa elaborata "Modifica degli art. 31 e 134 della Legge tributaria" del </w:t>
      </w:r>
      <w:smartTag w:uri="urn:schemas-microsoft-com:office:smarttags" w:element="date">
        <w:smartTagPr>
          <w:attr w:name="Year" w:val="2016"/>
          <w:attr w:name="Day" w:val="12"/>
          <w:attr w:name="Month" w:val="12"/>
          <w:attr w:name="ls" w:val="trans"/>
        </w:smartTagPr>
        <w:r>
          <w:rPr>
            <w:lang w:val="it-IT"/>
          </w:rPr>
          <w:t>12 dicembre 2016</w:t>
        </w:r>
      </w:smartTag>
      <w:r>
        <w:rPr>
          <w:lang w:val="it-IT"/>
        </w:rPr>
        <w:t>;</w:t>
      </w:r>
    </w:p>
    <w:p w:rsidR="00D51C98" w:rsidRDefault="00D51C98" w:rsidP="00C9414A">
      <w:pPr>
        <w:spacing w:before="100"/>
        <w:ind w:left="284" w:hanging="284"/>
        <w:rPr>
          <w:lang w:val="it-IT"/>
        </w:rPr>
      </w:pPr>
      <w:r>
        <w:rPr>
          <w:lang w:val="it-IT"/>
        </w:rPr>
        <w:t>-</w:t>
      </w:r>
      <w:r>
        <w:rPr>
          <w:lang w:val="it-IT"/>
        </w:rPr>
        <w:tab/>
        <w:t xml:space="preserve">iniziativa elaborata "Preferenza indigena per il personale di </w:t>
      </w:r>
      <w:proofErr w:type="spellStart"/>
      <w:r>
        <w:rPr>
          <w:lang w:val="it-IT"/>
        </w:rPr>
        <w:t>BancaStato</w:t>
      </w:r>
      <w:proofErr w:type="spellEnd"/>
      <w:r>
        <w:rPr>
          <w:lang w:val="it-IT"/>
        </w:rPr>
        <w:t>" del 12 dicembre 2016;</w:t>
      </w:r>
    </w:p>
    <w:p w:rsidR="00D51C98" w:rsidRDefault="00D51C98" w:rsidP="00C9414A">
      <w:pPr>
        <w:spacing w:before="100"/>
        <w:ind w:left="284" w:hanging="284"/>
        <w:rPr>
          <w:lang w:val="it-IT"/>
        </w:rPr>
      </w:pPr>
      <w:r>
        <w:rPr>
          <w:lang w:val="it-IT"/>
        </w:rPr>
        <w:t>-</w:t>
      </w:r>
      <w:r>
        <w:rPr>
          <w:lang w:val="it-IT"/>
        </w:rPr>
        <w:tab/>
        <w:t xml:space="preserve">iniziativa elaborata "Modifica della Legge concernente l'istituzione dell'Azienda cantonale dei rifiuti - Preferenza indigena per il personale dell'ACR" del </w:t>
      </w:r>
      <w:smartTag w:uri="urn:schemas-microsoft-com:office:smarttags" w:element="date">
        <w:smartTagPr>
          <w:attr w:name="Year" w:val="2017"/>
          <w:attr w:name="Day" w:val="23"/>
          <w:attr w:name="Month" w:val="1"/>
          <w:attr w:name="ls" w:val="trans"/>
        </w:smartTagPr>
        <w:r>
          <w:rPr>
            <w:lang w:val="it-IT"/>
          </w:rPr>
          <w:t>23 gennaio 2017</w:t>
        </w:r>
      </w:smartTag>
      <w:r>
        <w:rPr>
          <w:lang w:val="it-IT"/>
        </w:rPr>
        <w:t>;</w:t>
      </w:r>
    </w:p>
    <w:p w:rsidR="00D51C98" w:rsidRDefault="00D51C98" w:rsidP="00C9414A">
      <w:pPr>
        <w:spacing w:before="100"/>
        <w:ind w:left="284" w:hanging="284"/>
        <w:rPr>
          <w:lang w:val="it-IT"/>
        </w:rPr>
      </w:pPr>
      <w:r>
        <w:rPr>
          <w:lang w:val="it-IT"/>
        </w:rPr>
        <w:t>-</w:t>
      </w:r>
      <w:r>
        <w:rPr>
          <w:lang w:val="it-IT"/>
        </w:rPr>
        <w:tab/>
        <w:t xml:space="preserve">iniziativa elaborata "Modifica della Legge sull'Ente ospedaliero cantonale (EOC) - Preferenza indigena per il personale dell'EOC" del </w:t>
      </w:r>
      <w:smartTag w:uri="urn:schemas-microsoft-com:office:smarttags" w:element="date">
        <w:smartTagPr>
          <w:attr w:name="Year" w:val="2017"/>
          <w:attr w:name="Day" w:val="23"/>
          <w:attr w:name="Month" w:val="1"/>
          <w:attr w:name="ls" w:val="trans"/>
        </w:smartTagPr>
        <w:r>
          <w:rPr>
            <w:lang w:val="it-IT"/>
          </w:rPr>
          <w:t>23 gennaio 2017</w:t>
        </w:r>
      </w:smartTag>
      <w:r>
        <w:rPr>
          <w:lang w:val="it-IT"/>
        </w:rPr>
        <w:t>;</w:t>
      </w:r>
    </w:p>
    <w:p w:rsidR="00D51C98" w:rsidRDefault="00D51C98" w:rsidP="00C9414A">
      <w:pPr>
        <w:spacing w:before="100"/>
        <w:ind w:left="284" w:hanging="284"/>
        <w:rPr>
          <w:lang w:val="it-IT"/>
        </w:rPr>
      </w:pPr>
      <w:r>
        <w:rPr>
          <w:lang w:val="it-IT"/>
        </w:rPr>
        <w:t>-</w:t>
      </w:r>
      <w:r>
        <w:rPr>
          <w:lang w:val="it-IT"/>
        </w:rPr>
        <w:tab/>
        <w:t xml:space="preserve">iniziativa generica "Preferenza indigena per il personale delle strutture ospedaliere private e delle altre istituzioni finanziate dal Cantone tramite un contratto di prestazione" del </w:t>
      </w:r>
      <w:smartTag w:uri="urn:schemas-microsoft-com:office:smarttags" w:element="date">
        <w:smartTagPr>
          <w:attr w:name="Year" w:val="2017"/>
          <w:attr w:name="Day" w:val="23"/>
          <w:attr w:name="Month" w:val="1"/>
          <w:attr w:name="ls" w:val="trans"/>
        </w:smartTagPr>
        <w:r>
          <w:rPr>
            <w:lang w:val="it-IT"/>
          </w:rPr>
          <w:t>23 gennaio 2017</w:t>
        </w:r>
      </w:smartTag>
      <w:r>
        <w:rPr>
          <w:lang w:val="it-IT"/>
        </w:rPr>
        <w:t>;</w:t>
      </w:r>
    </w:p>
    <w:p w:rsidR="00D51C98" w:rsidRDefault="00D51C98" w:rsidP="00C9414A">
      <w:pPr>
        <w:spacing w:before="100"/>
        <w:ind w:left="284" w:hanging="284"/>
        <w:rPr>
          <w:lang w:val="it-IT"/>
        </w:rPr>
      </w:pPr>
      <w:r>
        <w:rPr>
          <w:lang w:val="it-IT"/>
        </w:rPr>
        <w:t>-</w:t>
      </w:r>
      <w:r>
        <w:rPr>
          <w:lang w:val="it-IT"/>
        </w:rPr>
        <w:tab/>
        <w:t xml:space="preserve">mozione "Per una formazione del personale infermieristico e di cura che rispecchi le esigenze socio-sanitarie del nostro Cantone" del </w:t>
      </w:r>
      <w:smartTag w:uri="urn:schemas-microsoft-com:office:smarttags" w:element="date">
        <w:smartTagPr>
          <w:attr w:name="Year" w:val="2017"/>
          <w:attr w:name="Day" w:val="23"/>
          <w:attr w:name="Month" w:val="1"/>
          <w:attr w:name="ls" w:val="trans"/>
        </w:smartTagPr>
        <w:r>
          <w:rPr>
            <w:lang w:val="it-IT"/>
          </w:rPr>
          <w:t>23 gennaio 2017</w:t>
        </w:r>
      </w:smartTag>
      <w:r>
        <w:rPr>
          <w:lang w:val="it-IT"/>
        </w:rPr>
        <w:t>;</w:t>
      </w:r>
    </w:p>
    <w:p w:rsidR="00D51C98" w:rsidRDefault="00D51C98" w:rsidP="00C9414A">
      <w:pPr>
        <w:spacing w:before="100"/>
        <w:ind w:left="284" w:hanging="284"/>
        <w:rPr>
          <w:lang w:val="it-IT"/>
        </w:rPr>
      </w:pPr>
      <w:r>
        <w:rPr>
          <w:lang w:val="it-IT"/>
        </w:rPr>
        <w:t>-</w:t>
      </w:r>
      <w:r>
        <w:rPr>
          <w:lang w:val="it-IT"/>
        </w:rPr>
        <w:tab/>
        <w:t>iniziativa elaborata "Preferenza indigena per il personale delle aziende di trasporto beneficiarie dei contributi pubblici" del 13 marzo 2017;</w:t>
      </w:r>
    </w:p>
    <w:p w:rsidR="00D51C98" w:rsidRDefault="00D51C98" w:rsidP="00C9414A">
      <w:pPr>
        <w:spacing w:before="100"/>
        <w:ind w:left="284" w:hanging="284"/>
        <w:rPr>
          <w:lang w:val="it-IT"/>
        </w:rPr>
      </w:pPr>
      <w:r>
        <w:rPr>
          <w:lang w:val="it-IT"/>
        </w:rPr>
        <w:t>-</w:t>
      </w:r>
      <w:r>
        <w:rPr>
          <w:lang w:val="it-IT"/>
        </w:rPr>
        <w:tab/>
        <w:t>iniziativa elaborata "Preferenza indigena per il personale amministrativo, bibliotecario, tecnico e ausiliario dell'Università della Svizzera italiana (USI), della Scuola universitaria professionale della Svizzera italiana (SUPSI) e degli Istituti di ricerca” del 13 marzo 2017;</w:t>
      </w:r>
    </w:p>
    <w:p w:rsidR="00D51C98" w:rsidRDefault="00D51C98" w:rsidP="00C9414A">
      <w:pPr>
        <w:spacing w:before="100"/>
        <w:ind w:left="284" w:hanging="284"/>
        <w:rPr>
          <w:lang w:val="it-IT"/>
        </w:rPr>
      </w:pPr>
      <w:r>
        <w:rPr>
          <w:lang w:val="it-IT"/>
        </w:rPr>
        <w:t>-</w:t>
      </w:r>
      <w:r>
        <w:rPr>
          <w:lang w:val="it-IT"/>
        </w:rPr>
        <w:tab/>
        <w:t>iniziativa elaborata "Preferenza indigena per il personale dell'Agenzia turistica ticinese (ATT) e delle Organizzazioni turistiche regionali (OTR)" del 22 marzo/10 aprile 2017;</w:t>
      </w:r>
    </w:p>
    <w:p w:rsidR="00D51C98" w:rsidRDefault="00D51C98" w:rsidP="00C9414A">
      <w:pPr>
        <w:spacing w:before="100"/>
        <w:ind w:left="284" w:hanging="284"/>
        <w:rPr>
          <w:lang w:val="it-IT"/>
        </w:rPr>
      </w:pPr>
      <w:r>
        <w:rPr>
          <w:lang w:val="it-IT"/>
        </w:rPr>
        <w:t>-</w:t>
      </w:r>
      <w:r>
        <w:rPr>
          <w:lang w:val="it-IT"/>
        </w:rPr>
        <w:tab/>
        <w:t>mozione "Per incentivi fiscali atti a favorire la responsabilità sociale d'impresa" del 22 marzo/10 aprile 2017;</w:t>
      </w:r>
    </w:p>
    <w:p w:rsidR="00D51C98" w:rsidRDefault="00D51C98" w:rsidP="00C9414A">
      <w:pPr>
        <w:spacing w:before="100"/>
        <w:ind w:left="284" w:hanging="284"/>
        <w:rPr>
          <w:lang w:val="it-IT"/>
        </w:rPr>
      </w:pPr>
      <w:r>
        <w:rPr>
          <w:lang w:val="it-IT"/>
        </w:rPr>
        <w:t>-</w:t>
      </w:r>
      <w:r>
        <w:rPr>
          <w:lang w:val="it-IT"/>
        </w:rPr>
        <w:tab/>
        <w:t>iniziativa generica "Sgravi fiscali per le aziende neocostituite che servono gli interessi economici del Cantone" del 29 marzo/10 aprile 2017</w:t>
      </w:r>
      <w:r w:rsidR="00C9414A" w:rsidRPr="006946CE">
        <w:rPr>
          <w:rStyle w:val="Rimandonotaapidipagina"/>
          <w:b/>
          <w:lang w:val="it-IT"/>
        </w:rPr>
        <w:footnoteReference w:customMarkFollows="1" w:id="1"/>
        <w:t>*</w:t>
      </w:r>
      <w:r>
        <w:rPr>
          <w:lang w:val="it-IT"/>
        </w:rPr>
        <w:t>;</w:t>
      </w:r>
    </w:p>
    <w:p w:rsidR="00D51C98" w:rsidRDefault="00D51C98" w:rsidP="00C9414A">
      <w:pPr>
        <w:spacing w:before="100"/>
        <w:ind w:left="284" w:hanging="284"/>
        <w:rPr>
          <w:lang w:val="it-IT"/>
        </w:rPr>
      </w:pPr>
      <w:r>
        <w:rPr>
          <w:lang w:val="it-IT"/>
        </w:rPr>
        <w:t>-</w:t>
      </w:r>
      <w:r>
        <w:rPr>
          <w:lang w:val="it-IT"/>
        </w:rPr>
        <w:tab/>
        <w:t>mozione "</w:t>
      </w:r>
      <w:r w:rsidR="00C9414A">
        <w:rPr>
          <w:lang w:val="it-IT"/>
        </w:rPr>
        <w:t>R</w:t>
      </w:r>
      <w:r>
        <w:rPr>
          <w:lang w:val="it-IT"/>
        </w:rPr>
        <w:t>eciprocità</w:t>
      </w:r>
      <w:r w:rsidR="00C9414A">
        <w:rPr>
          <w:lang w:val="it-IT"/>
        </w:rPr>
        <w:t>:</w:t>
      </w:r>
      <w:r w:rsidR="0080193A">
        <w:rPr>
          <w:lang w:val="it-IT"/>
        </w:rPr>
        <w:t xml:space="preserve"> </w:t>
      </w:r>
      <w:r w:rsidR="00C9414A">
        <w:rPr>
          <w:lang w:val="it-IT"/>
        </w:rPr>
        <w:t xml:space="preserve">esiste davvero?” </w:t>
      </w:r>
      <w:r>
        <w:rPr>
          <w:lang w:val="it-IT"/>
        </w:rPr>
        <w:t>del 29 marzo/10 aprile 2017</w:t>
      </w:r>
      <w:r w:rsidR="0080193A">
        <w:rPr>
          <w:lang w:val="it-IT"/>
        </w:rPr>
        <w:t>,</w:t>
      </w:r>
      <w:r w:rsidR="00C9414A">
        <w:rPr>
          <w:lang w:val="it-IT"/>
        </w:rPr>
        <w:t xml:space="preserve"> riguardante i rapporti tra Svizzera e Italia</w:t>
      </w:r>
      <w:r>
        <w:rPr>
          <w:lang w:val="it-IT"/>
        </w:rPr>
        <w:t>;</w:t>
      </w:r>
    </w:p>
    <w:p w:rsidR="00D51C98" w:rsidRDefault="00D51C98" w:rsidP="00C9414A">
      <w:pPr>
        <w:spacing w:before="100"/>
        <w:ind w:left="284" w:hanging="284"/>
        <w:rPr>
          <w:lang w:val="it-IT"/>
        </w:rPr>
      </w:pPr>
      <w:r>
        <w:rPr>
          <w:lang w:val="it-IT"/>
        </w:rPr>
        <w:t>-</w:t>
      </w:r>
      <w:r>
        <w:rPr>
          <w:lang w:val="it-IT"/>
        </w:rPr>
        <w:tab/>
      </w:r>
      <w:r w:rsidRPr="00F45863">
        <w:rPr>
          <w:lang w:val="it-IT"/>
        </w:rPr>
        <w:t>iniziativa generica "Legge di applicazione della preferenza indigena ("Prim</w:t>
      </w:r>
      <w:r>
        <w:rPr>
          <w:lang w:val="it-IT"/>
        </w:rPr>
        <w:t>a i nostri")" del 29 marzo/10 aprile 2017</w:t>
      </w:r>
      <w:r w:rsidR="00C9414A">
        <w:rPr>
          <w:lang w:val="it-IT"/>
        </w:rPr>
        <w:t>*</w:t>
      </w:r>
      <w:r>
        <w:rPr>
          <w:lang w:val="it-IT"/>
        </w:rPr>
        <w:t>, con la quale si propone di condizionare il rilascio e il rinnovo di permessi per stranieri che consentono l’esercizio di un’attività dipendente: (1) al fatto che il datore di lavoro dimostri di non aver potuto trovare personale indigeno che corrisponda al profilo richiesto; 2) alla corresponsione di salari dignitosi;</w:t>
      </w:r>
    </w:p>
    <w:p w:rsidR="00D51C98" w:rsidRPr="00F45863" w:rsidRDefault="00CA3EAD" w:rsidP="00C9414A">
      <w:pPr>
        <w:spacing w:before="100"/>
        <w:ind w:left="284" w:hanging="284"/>
        <w:rPr>
          <w:lang w:val="it-IT"/>
        </w:rPr>
      </w:pPr>
      <w:r>
        <w:rPr>
          <w:lang w:val="it-IT"/>
        </w:rPr>
        <w:t>-</w:t>
      </w:r>
      <w:r w:rsidR="00D51C98" w:rsidRPr="006946CE">
        <w:rPr>
          <w:lang w:val="it-IT"/>
        </w:rPr>
        <w:tab/>
        <w:t xml:space="preserve">mozione “Per un rafforzamento e miglior coordinamento dei controlli nel settore del collocamento e prestito di personale” del </w:t>
      </w:r>
      <w:r w:rsidR="00D51C98">
        <w:rPr>
          <w:lang w:val="it-IT"/>
        </w:rPr>
        <w:t>5 aprile/10 aprile</w:t>
      </w:r>
      <w:r w:rsidR="00D51C98" w:rsidRPr="006946CE">
        <w:rPr>
          <w:lang w:val="it-IT"/>
        </w:rPr>
        <w:t xml:space="preserve"> 2017.</w:t>
      </w:r>
    </w:p>
    <w:p w:rsidR="00C9414A" w:rsidRPr="00C9414A" w:rsidRDefault="00C9414A" w:rsidP="00D51C98">
      <w:pPr>
        <w:rPr>
          <w:sz w:val="12"/>
          <w:szCs w:val="12"/>
          <w:lang w:val="it-IT"/>
        </w:rPr>
      </w:pPr>
    </w:p>
    <w:p w:rsidR="00D51C98" w:rsidRDefault="00D51C98" w:rsidP="00D51C98">
      <w:pPr>
        <w:rPr>
          <w:lang w:val="it-IT"/>
        </w:rPr>
      </w:pPr>
      <w:r>
        <w:rPr>
          <w:lang w:val="it-IT"/>
        </w:rPr>
        <w:lastRenderedPageBreak/>
        <w:t>Come accaduto per le prime iniziative presentate dalla Commissione speciale, verosimilmente l’esame di tutti gli atti parlamentari sopra menzionati verrà assegnato ad altre Commissioni.</w:t>
      </w:r>
    </w:p>
    <w:p w:rsidR="00D51C98" w:rsidRDefault="00D51C98" w:rsidP="00D51C98">
      <w:pPr>
        <w:rPr>
          <w:lang w:val="it-IT"/>
        </w:rPr>
      </w:pPr>
    </w:p>
    <w:p w:rsidR="00D51C98" w:rsidRDefault="00D51C98" w:rsidP="00D51C98">
      <w:pPr>
        <w:rPr>
          <w:lang w:val="it-IT"/>
        </w:rPr>
      </w:pPr>
    </w:p>
    <w:p w:rsidR="00D51C98" w:rsidRPr="00A012F4" w:rsidRDefault="00D51C98" w:rsidP="00B9242E">
      <w:pPr>
        <w:pStyle w:val="Titolo2"/>
      </w:pPr>
      <w:r>
        <w:t>3.</w:t>
      </w:r>
      <w:r>
        <w:tab/>
      </w:r>
      <w:r w:rsidRPr="00A012F4">
        <w:t xml:space="preserve">Emendamenti alla </w:t>
      </w:r>
      <w:proofErr w:type="spellStart"/>
      <w:r w:rsidRPr="00A012F4">
        <w:t>LCPubb</w:t>
      </w:r>
      <w:proofErr w:type="spellEnd"/>
      <w:r w:rsidRPr="00A012F4">
        <w:t xml:space="preserve"> </w:t>
      </w:r>
    </w:p>
    <w:p w:rsidR="00D51C98" w:rsidRDefault="00D51C98" w:rsidP="00D51C98">
      <w:pPr>
        <w:spacing w:before="120"/>
        <w:rPr>
          <w:rFonts w:cs="Arial"/>
          <w:spacing w:val="2"/>
          <w:szCs w:val="24"/>
          <w:lang w:val="it-IT" w:eastAsia="it-IT"/>
        </w:rPr>
      </w:pPr>
      <w:r w:rsidRPr="007103FC">
        <w:rPr>
          <w:szCs w:val="24"/>
          <w:lang w:val="it-IT"/>
        </w:rPr>
        <w:t>S</w:t>
      </w:r>
      <w:r w:rsidRPr="007103FC">
        <w:rPr>
          <w:rFonts w:cs="Arial"/>
          <w:spacing w:val="2"/>
          <w:szCs w:val="24"/>
          <w:lang w:val="it-IT" w:eastAsia="it-IT"/>
        </w:rPr>
        <w:t xml:space="preserve">ull'esempio del Canton Neuchâtel, la cui legge sulle commesse pubbliche </w:t>
      </w:r>
      <w:r>
        <w:rPr>
          <w:rFonts w:cs="Arial"/>
          <w:spacing w:val="2"/>
          <w:szCs w:val="24"/>
          <w:lang w:val="it-IT" w:eastAsia="it-IT"/>
        </w:rPr>
        <w:t>contempla</w:t>
      </w:r>
      <w:r w:rsidRPr="007103FC">
        <w:rPr>
          <w:rFonts w:cs="Arial"/>
          <w:spacing w:val="2"/>
          <w:szCs w:val="24"/>
          <w:lang w:val="it-IT" w:eastAsia="it-IT"/>
        </w:rPr>
        <w:t xml:space="preserve">, tra gli enti assoggettati alla stessa, quelli </w:t>
      </w:r>
      <w:r>
        <w:rPr>
          <w:rFonts w:cs="Arial"/>
          <w:spacing w:val="2"/>
          <w:szCs w:val="24"/>
          <w:lang w:val="it-IT" w:eastAsia="it-IT"/>
        </w:rPr>
        <w:t>al cui finanziamento</w:t>
      </w:r>
      <w:r w:rsidRPr="007103FC">
        <w:rPr>
          <w:rFonts w:cs="Arial"/>
          <w:spacing w:val="2"/>
          <w:szCs w:val="24"/>
          <w:lang w:val="it-IT" w:eastAsia="it-IT"/>
        </w:rPr>
        <w:t xml:space="preserve"> lo Stato partecipa in ragione di almeno il 50%</w:t>
      </w:r>
      <w:r>
        <w:rPr>
          <w:rFonts w:cs="Arial"/>
          <w:spacing w:val="2"/>
          <w:szCs w:val="24"/>
          <w:lang w:val="it-IT" w:eastAsia="it-IT"/>
        </w:rPr>
        <w:t xml:space="preserve"> dei costi di funzionamento</w:t>
      </w:r>
      <w:r w:rsidRPr="007103FC">
        <w:rPr>
          <w:rFonts w:cs="Arial"/>
          <w:spacing w:val="2"/>
          <w:szCs w:val="24"/>
          <w:lang w:val="it-IT" w:eastAsia="it-IT"/>
        </w:rPr>
        <w:t>, la Commissione</w:t>
      </w:r>
      <w:r>
        <w:rPr>
          <w:rFonts w:cs="Arial"/>
          <w:spacing w:val="2"/>
          <w:szCs w:val="24"/>
          <w:lang w:val="it-IT" w:eastAsia="it-IT"/>
        </w:rPr>
        <w:t xml:space="preserve"> speciale</w:t>
      </w:r>
      <w:r w:rsidRPr="007103FC">
        <w:rPr>
          <w:rFonts w:cs="Arial"/>
          <w:spacing w:val="2"/>
          <w:szCs w:val="24"/>
          <w:lang w:val="it-IT" w:eastAsia="it-IT"/>
        </w:rPr>
        <w:t xml:space="preserve">, dopo </w:t>
      </w:r>
      <w:r>
        <w:rPr>
          <w:rFonts w:cs="Arial"/>
          <w:spacing w:val="2"/>
          <w:szCs w:val="24"/>
          <w:lang w:val="it-IT" w:eastAsia="it-IT"/>
        </w:rPr>
        <w:t xml:space="preserve">ampie riflessioni e sulla scorta dei dovuti approfondimenti, ha deciso di proporre un emendamento che va ad ampliare il campo di applicazione del disegno di nuova </w:t>
      </w:r>
      <w:proofErr w:type="spellStart"/>
      <w:r>
        <w:rPr>
          <w:rFonts w:cs="Arial"/>
          <w:spacing w:val="2"/>
          <w:szCs w:val="24"/>
          <w:lang w:val="it-IT" w:eastAsia="it-IT"/>
        </w:rPr>
        <w:t>LCPubb</w:t>
      </w:r>
      <w:proofErr w:type="spellEnd"/>
      <w:r>
        <w:rPr>
          <w:rFonts w:cs="Arial"/>
          <w:spacing w:val="2"/>
          <w:szCs w:val="24"/>
          <w:lang w:val="it-IT" w:eastAsia="it-IT"/>
        </w:rPr>
        <w:t xml:space="preserve"> sul quale </w:t>
      </w:r>
      <w:r>
        <w:t xml:space="preserve">il Gran Consiglio sarà chiamato a pronunciarsi nella seduta del </w:t>
      </w:r>
      <w:smartTag w:uri="urn:schemas-microsoft-com:office:smarttags" w:element="date">
        <w:smartTagPr>
          <w:attr w:name="Year" w:val="2017"/>
          <w:attr w:name="Day" w:val="10"/>
          <w:attr w:name="Month" w:val="4"/>
          <w:attr w:name="ls" w:val="trans"/>
        </w:smartTagPr>
        <w:r>
          <w:t>10 aprile 2017</w:t>
        </w:r>
      </w:smartTag>
      <w:r>
        <w:t>.</w:t>
      </w:r>
      <w:r w:rsidRPr="007103FC">
        <w:rPr>
          <w:rFonts w:cs="Arial"/>
          <w:spacing w:val="2"/>
          <w:szCs w:val="24"/>
          <w:lang w:val="it-IT" w:eastAsia="it-IT"/>
        </w:rPr>
        <w:t xml:space="preserve"> </w:t>
      </w:r>
    </w:p>
    <w:p w:rsidR="00D51C98" w:rsidRDefault="00D51C98" w:rsidP="00D51C98">
      <w:pPr>
        <w:spacing w:before="120"/>
        <w:rPr>
          <w:rFonts w:cs="Arial"/>
          <w:spacing w:val="2"/>
          <w:szCs w:val="24"/>
          <w:lang w:val="it-IT" w:eastAsia="it-IT"/>
        </w:rPr>
      </w:pPr>
      <w:r>
        <w:rPr>
          <w:rFonts w:cs="Arial"/>
          <w:spacing w:val="2"/>
          <w:szCs w:val="24"/>
          <w:lang w:val="it-IT" w:eastAsia="it-IT"/>
        </w:rPr>
        <w:t>L’emendamento consiste nell’aggiunta di</w:t>
      </w:r>
      <w:r w:rsidRPr="007103FC">
        <w:rPr>
          <w:rFonts w:cs="Arial"/>
          <w:spacing w:val="2"/>
          <w:szCs w:val="24"/>
          <w:lang w:val="it-IT" w:eastAsia="it-IT"/>
        </w:rPr>
        <w:t xml:space="preserve"> un </w:t>
      </w:r>
      <w:r>
        <w:rPr>
          <w:rFonts w:cs="Arial"/>
          <w:spacing w:val="2"/>
          <w:szCs w:val="24"/>
          <w:lang w:val="it-IT" w:eastAsia="it-IT"/>
        </w:rPr>
        <w:t xml:space="preserve">paragrafo all’art. 2 cpv. 1 </w:t>
      </w:r>
      <w:proofErr w:type="spellStart"/>
      <w:r>
        <w:rPr>
          <w:rFonts w:cs="Arial"/>
          <w:spacing w:val="2"/>
          <w:szCs w:val="24"/>
          <w:lang w:val="it-IT" w:eastAsia="it-IT"/>
        </w:rPr>
        <w:t>lett</w:t>
      </w:r>
      <w:proofErr w:type="spellEnd"/>
      <w:r>
        <w:rPr>
          <w:rFonts w:cs="Arial"/>
          <w:spacing w:val="2"/>
          <w:szCs w:val="24"/>
          <w:lang w:val="it-IT" w:eastAsia="it-IT"/>
        </w:rPr>
        <w:t>. b),</w:t>
      </w:r>
      <w:r w:rsidRPr="007103FC">
        <w:rPr>
          <w:rFonts w:cs="Arial"/>
          <w:spacing w:val="2"/>
          <w:szCs w:val="24"/>
          <w:lang w:val="it-IT" w:eastAsia="it-IT"/>
        </w:rPr>
        <w:t xml:space="preserve"> </w:t>
      </w:r>
      <w:r>
        <w:rPr>
          <w:rFonts w:cs="Arial"/>
          <w:spacing w:val="2"/>
          <w:szCs w:val="24"/>
          <w:lang w:val="it-IT" w:eastAsia="it-IT"/>
        </w:rPr>
        <w:t>al fine di</w:t>
      </w:r>
      <w:r w:rsidRPr="007103FC">
        <w:rPr>
          <w:rFonts w:cs="Arial"/>
          <w:spacing w:val="2"/>
          <w:szCs w:val="24"/>
          <w:lang w:val="it-IT" w:eastAsia="it-IT"/>
        </w:rPr>
        <w:t xml:space="preserve"> assoggettare alla </w:t>
      </w:r>
      <w:proofErr w:type="spellStart"/>
      <w:r w:rsidRPr="007103FC">
        <w:rPr>
          <w:rFonts w:cs="Arial"/>
          <w:spacing w:val="2"/>
          <w:szCs w:val="24"/>
          <w:lang w:val="it-IT" w:eastAsia="it-IT"/>
        </w:rPr>
        <w:t>LCPubb</w:t>
      </w:r>
      <w:proofErr w:type="spellEnd"/>
      <w:r w:rsidRPr="007103FC">
        <w:rPr>
          <w:rFonts w:cs="Arial"/>
          <w:spacing w:val="2"/>
          <w:szCs w:val="24"/>
          <w:lang w:val="it-IT" w:eastAsia="it-IT"/>
        </w:rPr>
        <w:t xml:space="preserve"> anche i committenti i cui </w:t>
      </w:r>
      <w:r>
        <w:rPr>
          <w:rFonts w:cs="Arial"/>
          <w:spacing w:val="2"/>
          <w:szCs w:val="24"/>
          <w:lang w:val="it-IT" w:eastAsia="it-IT"/>
        </w:rPr>
        <w:t>costi annui</w:t>
      </w:r>
      <w:r w:rsidRPr="007103FC">
        <w:rPr>
          <w:rFonts w:cs="Arial"/>
          <w:spacing w:val="2"/>
          <w:szCs w:val="24"/>
          <w:lang w:val="it-IT" w:eastAsia="it-IT"/>
        </w:rPr>
        <w:t xml:space="preserve"> </w:t>
      </w:r>
      <w:r>
        <w:rPr>
          <w:rFonts w:cs="Arial"/>
          <w:spacing w:val="2"/>
          <w:szCs w:val="24"/>
          <w:lang w:val="it-IT" w:eastAsia="it-IT"/>
        </w:rPr>
        <w:t>sono</w:t>
      </w:r>
      <w:r w:rsidRPr="007103FC">
        <w:rPr>
          <w:rFonts w:cs="Arial"/>
          <w:spacing w:val="2"/>
          <w:szCs w:val="24"/>
          <w:lang w:val="it-IT" w:eastAsia="it-IT"/>
        </w:rPr>
        <w:t xml:space="preserve"> </w:t>
      </w:r>
      <w:r>
        <w:rPr>
          <w:rFonts w:cs="Arial"/>
          <w:spacing w:val="2"/>
          <w:szCs w:val="24"/>
          <w:lang w:val="it-IT" w:eastAsia="it-IT"/>
        </w:rPr>
        <w:t>finanziati in misura importante dal settore pubblico (Cantone, Comuni e Confederazione).</w:t>
      </w:r>
      <w:r w:rsidRPr="007103FC">
        <w:rPr>
          <w:rFonts w:cs="Arial"/>
          <w:spacing w:val="2"/>
          <w:szCs w:val="24"/>
          <w:lang w:val="it-IT" w:eastAsia="it-IT"/>
        </w:rPr>
        <w:t xml:space="preserve"> </w:t>
      </w:r>
      <w:r>
        <w:rPr>
          <w:rFonts w:cs="Arial"/>
          <w:spacing w:val="2"/>
          <w:szCs w:val="24"/>
          <w:lang w:val="it-IT" w:eastAsia="it-IT"/>
        </w:rPr>
        <w:t>L'ammontare di tali finanziamenti viene precisato attraverso la definizione di due soglie cumulative, in modo da evitare, da un lato, l'assoggettamento di enti che dal settore pubblico ricevono contributi di modesta entità (ovvero finanziamenti inferiori a 150 mila franchi annui, soglia che consentirà di escludere dall’assoggettamento tutti quegli enti, segnatamente attivi nel volontariato, che dispongono di risorse esigue) o comunque limitati se raffrontati ai loro costi annui totali (ossia contributi non superiori a 1/5 di tali costi).</w:t>
      </w:r>
    </w:p>
    <w:p w:rsidR="00D51C98" w:rsidRDefault="00D51C98" w:rsidP="00D51C98">
      <w:pPr>
        <w:spacing w:before="120"/>
        <w:rPr>
          <w:rFonts w:cs="Arial"/>
          <w:spacing w:val="2"/>
          <w:szCs w:val="24"/>
          <w:lang w:val="it-IT" w:eastAsia="it-IT"/>
        </w:rPr>
      </w:pPr>
      <w:r>
        <w:rPr>
          <w:rFonts w:cs="Arial"/>
          <w:spacing w:val="2"/>
          <w:szCs w:val="24"/>
          <w:lang w:val="it-IT" w:eastAsia="it-IT"/>
        </w:rPr>
        <w:t>La</w:t>
      </w:r>
      <w:r w:rsidRPr="007103FC">
        <w:rPr>
          <w:rFonts w:cs="Arial"/>
          <w:spacing w:val="2"/>
          <w:szCs w:val="24"/>
          <w:lang w:val="it-IT" w:eastAsia="it-IT"/>
        </w:rPr>
        <w:t xml:space="preserve"> Commissione</w:t>
      </w:r>
      <w:r>
        <w:rPr>
          <w:rFonts w:cs="Arial"/>
          <w:spacing w:val="2"/>
          <w:szCs w:val="24"/>
          <w:lang w:val="it-IT" w:eastAsia="it-IT"/>
        </w:rPr>
        <w:t xml:space="preserve"> speciale</w:t>
      </w:r>
      <w:r w:rsidRPr="007103FC">
        <w:rPr>
          <w:rFonts w:cs="Arial"/>
          <w:spacing w:val="2"/>
          <w:szCs w:val="24"/>
          <w:lang w:val="it-IT" w:eastAsia="it-IT"/>
        </w:rPr>
        <w:t xml:space="preserve"> </w:t>
      </w:r>
      <w:r>
        <w:rPr>
          <w:rFonts w:cs="Arial"/>
          <w:spacing w:val="2"/>
          <w:szCs w:val="24"/>
          <w:lang w:val="it-IT" w:eastAsia="it-IT"/>
        </w:rPr>
        <w:t>propone inoltre di emendare</w:t>
      </w:r>
      <w:r w:rsidRPr="007103FC">
        <w:rPr>
          <w:rFonts w:cs="Arial"/>
          <w:spacing w:val="2"/>
          <w:szCs w:val="24"/>
          <w:lang w:val="it-IT" w:eastAsia="it-IT"/>
        </w:rPr>
        <w:t xml:space="preserve"> l'art. 32 (Criteri di aggiudicazione) del</w:t>
      </w:r>
      <w:r>
        <w:rPr>
          <w:rFonts w:cs="Arial"/>
          <w:spacing w:val="2"/>
          <w:szCs w:val="24"/>
          <w:lang w:val="it-IT" w:eastAsia="it-IT"/>
        </w:rPr>
        <w:t xml:space="preserve"> disegno di nuova </w:t>
      </w:r>
      <w:proofErr w:type="spellStart"/>
      <w:r w:rsidRPr="007103FC">
        <w:rPr>
          <w:rFonts w:cs="Arial"/>
          <w:spacing w:val="2"/>
          <w:szCs w:val="24"/>
          <w:lang w:val="it-IT" w:eastAsia="it-IT"/>
        </w:rPr>
        <w:t>LCPubb</w:t>
      </w:r>
      <w:proofErr w:type="spellEnd"/>
      <w:r>
        <w:rPr>
          <w:rFonts w:cs="Arial"/>
          <w:spacing w:val="2"/>
          <w:szCs w:val="24"/>
          <w:lang w:val="it-IT" w:eastAsia="it-IT"/>
        </w:rPr>
        <w:t>,</w:t>
      </w:r>
      <w:r w:rsidRPr="007103FC">
        <w:rPr>
          <w:rFonts w:cs="Arial"/>
          <w:spacing w:val="2"/>
          <w:szCs w:val="24"/>
          <w:lang w:val="it-IT" w:eastAsia="it-IT"/>
        </w:rPr>
        <w:t xml:space="preserve"> inserendo tra </w:t>
      </w:r>
      <w:r>
        <w:rPr>
          <w:rFonts w:cs="Arial"/>
          <w:spacing w:val="2"/>
          <w:szCs w:val="24"/>
          <w:lang w:val="it-IT" w:eastAsia="it-IT"/>
        </w:rPr>
        <w:t>i vari</w:t>
      </w:r>
      <w:r w:rsidRPr="007103FC">
        <w:rPr>
          <w:rFonts w:cs="Arial"/>
          <w:spacing w:val="2"/>
          <w:szCs w:val="24"/>
          <w:lang w:val="it-IT" w:eastAsia="it-IT"/>
        </w:rPr>
        <w:t xml:space="preserve"> criteri</w:t>
      </w:r>
      <w:r>
        <w:rPr>
          <w:rFonts w:cs="Arial"/>
          <w:spacing w:val="2"/>
          <w:szCs w:val="24"/>
          <w:lang w:val="it-IT" w:eastAsia="it-IT"/>
        </w:rPr>
        <w:t xml:space="preserve"> di aggiudicazione (che ogni committente rimane peraltro libero di applicare o meno)</w:t>
      </w:r>
      <w:r w:rsidRPr="007103FC">
        <w:rPr>
          <w:rFonts w:cs="Arial"/>
          <w:spacing w:val="2"/>
          <w:szCs w:val="24"/>
          <w:lang w:val="it-IT" w:eastAsia="it-IT"/>
        </w:rPr>
        <w:t xml:space="preserve"> la preferenza accordata all'impiego di manodopera residente</w:t>
      </w:r>
      <w:r>
        <w:rPr>
          <w:rFonts w:cs="Arial"/>
          <w:spacing w:val="2"/>
          <w:szCs w:val="24"/>
          <w:lang w:val="it-IT" w:eastAsia="it-IT"/>
        </w:rPr>
        <w:t xml:space="preserve"> in Svizzera</w:t>
      </w:r>
      <w:r w:rsidRPr="007103FC">
        <w:rPr>
          <w:rFonts w:cs="Arial"/>
          <w:spacing w:val="2"/>
          <w:szCs w:val="24"/>
          <w:lang w:val="it-IT" w:eastAsia="it-IT"/>
        </w:rPr>
        <w:t>.</w:t>
      </w:r>
    </w:p>
    <w:p w:rsidR="00D51C98" w:rsidRDefault="00D51C98" w:rsidP="00CA3EAD">
      <w:pPr>
        <w:rPr>
          <w:lang w:val="it-IT" w:eastAsia="it-IT"/>
        </w:rPr>
      </w:pPr>
    </w:p>
    <w:p w:rsidR="00D51C98" w:rsidRDefault="00D51C98" w:rsidP="00CA3EAD">
      <w:pPr>
        <w:rPr>
          <w:lang w:val="it-IT" w:eastAsia="it-IT"/>
        </w:rPr>
      </w:pPr>
    </w:p>
    <w:p w:rsidR="00D51C98" w:rsidRPr="006946CE" w:rsidRDefault="00D51C98" w:rsidP="00B9242E">
      <w:pPr>
        <w:pStyle w:val="Titolo2"/>
        <w:ind w:left="567" w:hanging="567"/>
      </w:pPr>
      <w:r>
        <w:t>4.</w:t>
      </w:r>
      <w:r w:rsidRPr="006946CE">
        <w:tab/>
        <w:t>Proposta di iniziativa cantonale del 7 novembre 2016 del deputato Matteo Pronzini</w:t>
      </w:r>
      <w:r>
        <w:t xml:space="preserve"> </w:t>
      </w:r>
      <w:r w:rsidRPr="006946CE">
        <w:t>"Lotta al dumping: creare le condizioni per combattere i licenziamenti sostitutivi"</w:t>
      </w:r>
    </w:p>
    <w:p w:rsidR="00D51C98" w:rsidRPr="006946CE" w:rsidRDefault="00D51C98" w:rsidP="00D51C98">
      <w:pPr>
        <w:pStyle w:val="Titolo3"/>
      </w:pPr>
      <w:r>
        <w:t>4.1</w:t>
      </w:r>
      <w:r>
        <w:tab/>
      </w:r>
      <w:r w:rsidRPr="006946CE">
        <w:t>Considerazioni introduttive</w:t>
      </w:r>
    </w:p>
    <w:p w:rsidR="00D51C98" w:rsidRDefault="00D51C98" w:rsidP="00D51C98">
      <w:pPr>
        <w:tabs>
          <w:tab w:val="left" w:pos="284"/>
        </w:tabs>
        <w:spacing w:before="120" w:after="12"/>
        <w:rPr>
          <w:rFonts w:cs="Arial"/>
          <w:spacing w:val="2"/>
          <w:szCs w:val="24"/>
          <w:lang w:val="it-IT" w:eastAsia="it-IT"/>
        </w:rPr>
      </w:pPr>
      <w:r>
        <w:rPr>
          <w:rFonts w:cs="Arial"/>
          <w:spacing w:val="2"/>
          <w:szCs w:val="24"/>
          <w:lang w:val="it-IT" w:eastAsia="it-IT"/>
        </w:rPr>
        <w:t xml:space="preserve">Questa proposta di iniziativa cantonale è l’unico atto parlamentare la cui trattazione è stata </w:t>
      </w:r>
      <w:r w:rsidR="00C9414A">
        <w:rPr>
          <w:rFonts w:cs="Arial"/>
          <w:spacing w:val="2"/>
          <w:szCs w:val="24"/>
          <w:lang w:val="it-IT" w:eastAsia="it-IT"/>
        </w:rPr>
        <w:t>assegnata</w:t>
      </w:r>
      <w:r>
        <w:rPr>
          <w:rFonts w:cs="Arial"/>
          <w:spacing w:val="2"/>
          <w:szCs w:val="24"/>
          <w:lang w:val="it-IT" w:eastAsia="it-IT"/>
        </w:rPr>
        <w:t xml:space="preserve"> alla Commissione speciale. Quest’ultima ha affidato alla deputata Tamara Merlo l’incarico di approfondire l’oggetto. La presente sezione del rapporto, che riproduce il risultato degli approfondimenti svolti dalla collega Merlo e successivamente condivisi con i commissari, vale quale </w:t>
      </w:r>
      <w:r w:rsidRPr="00CA3EAD">
        <w:rPr>
          <w:rFonts w:cs="Arial"/>
          <w:b/>
          <w:i/>
          <w:spacing w:val="2"/>
          <w:sz w:val="23"/>
          <w:szCs w:val="23"/>
          <w:lang w:val="it-IT" w:eastAsia="it-IT"/>
        </w:rPr>
        <w:t>preavviso della scrivente Commissione, all’indirizzo del Gran Consiglio, sull’oggetto</w:t>
      </w:r>
      <w:r>
        <w:rPr>
          <w:rFonts w:cs="Arial"/>
          <w:spacing w:val="2"/>
          <w:szCs w:val="24"/>
          <w:lang w:val="it-IT" w:eastAsia="it-IT"/>
        </w:rPr>
        <w:t>.</w:t>
      </w:r>
    </w:p>
    <w:p w:rsidR="00D51C98" w:rsidRDefault="00D51C98" w:rsidP="00D51C98">
      <w:pPr>
        <w:tabs>
          <w:tab w:val="left" w:pos="284"/>
        </w:tabs>
        <w:spacing w:before="120"/>
      </w:pPr>
      <w:r>
        <w:rPr>
          <w:rFonts w:cs="Arial"/>
          <w:spacing w:val="2"/>
          <w:szCs w:val="24"/>
          <w:lang w:val="it-IT" w:eastAsia="it-IT"/>
        </w:rPr>
        <w:t>Con la sua proposta d’iniziativa cantonale,</w:t>
      </w:r>
      <w:r>
        <w:t xml:space="preserve"> il deputato Pronzini chiede, al punto I, che il Cantone si faccia parte attiva presso le Camere federali affinché introducano negli art. 336 e segg. del Codice delle obbligazioni (CO) delle nuove ipotesi di disdetta abusiva da parte del datore di lavoro, in particolare qualora la disdetta sia data con l'obiettivo di sostituire il dipendente licenziato con un altro lavoratore che, a parità di qualifiche, percepisca un salario inferiore; oppure nel caso </w:t>
      </w:r>
      <w:r w:rsidR="00C9414A">
        <w:t>in cui</w:t>
      </w:r>
      <w:r>
        <w:t xml:space="preserve"> la disdetta colpisca il dipendente che rifiuti sensibili riduzioni di salario a causa del forte afflusso di manodopera sul mercato del lavoro (dumping salariale). In tali ipotesi, inoltre, il punto II dell'iniziativa chiede che la disdetta abusiva sia dichiarata nulla.</w:t>
      </w:r>
    </w:p>
    <w:p w:rsidR="00D51C98" w:rsidRDefault="00D51C98" w:rsidP="00D51C98">
      <w:pPr>
        <w:tabs>
          <w:tab w:val="left" w:pos="284"/>
        </w:tabs>
        <w:spacing w:before="120"/>
        <w:contextualSpacing/>
        <w:jc w:val="left"/>
      </w:pPr>
    </w:p>
    <w:p w:rsidR="00D51C98" w:rsidRDefault="00D51C98" w:rsidP="00D51C98">
      <w:pPr>
        <w:tabs>
          <w:tab w:val="left" w:pos="284"/>
        </w:tabs>
        <w:spacing w:before="120"/>
        <w:contextualSpacing/>
        <w:rPr>
          <w:rFonts w:cs="Arial"/>
          <w:spacing w:val="2"/>
          <w:szCs w:val="24"/>
          <w:lang w:val="it-IT" w:eastAsia="it-IT"/>
        </w:rPr>
      </w:pPr>
      <w:r>
        <w:rPr>
          <w:rFonts w:cs="Arial"/>
          <w:spacing w:val="2"/>
          <w:szCs w:val="24"/>
          <w:lang w:val="it-IT" w:eastAsia="it-IT"/>
        </w:rPr>
        <w:t>In considerazione delle peculiarità del mercato del lavoro ticinese e dei pesanti effetti della libera circolazione delle persone in termini di sostituzione con lavoratori frontalieri e di dumping salariale (manifesto anche nell'elevato numero di contratti normali di lavoro in vigore nel nostro Cantone, attualmente ben 16), ma anche alla luce delle analoghe preoccupazioni emerse in altri Cantoni e di cui testimoniano le iniziative, colà presentate, dai contenuti del tutto simili a “Prima i nostri!”, la Commissione speciale intende farsi interprete del forte disagio che colpisce tanti residenti, sotto forma di disoccupazione, sottoccupazione, difficoltà economiche e necessità di ricorrere alla pubblica assistenza. In particolare, di fronte alle specifiche difficoltà del Ticino, è fondamentale che il Parlamento nazionale senta, una volta di più, l'appello di questo Cantone affinché siano finalmente posti in essere dei correttivi seri ed efficaci agli effetti negativi della libera circolazione.</w:t>
      </w:r>
    </w:p>
    <w:p w:rsidR="00D51C98" w:rsidRDefault="00D51C98" w:rsidP="00D51C98">
      <w:pPr>
        <w:tabs>
          <w:tab w:val="left" w:pos="284"/>
        </w:tabs>
        <w:contextualSpacing/>
        <w:jc w:val="left"/>
        <w:rPr>
          <w:rFonts w:cs="Arial"/>
          <w:spacing w:val="2"/>
          <w:szCs w:val="24"/>
          <w:lang w:val="it-IT" w:eastAsia="it-IT"/>
        </w:rPr>
      </w:pPr>
    </w:p>
    <w:p w:rsidR="00D51C98" w:rsidRPr="006946CE" w:rsidRDefault="00D51C98" w:rsidP="00CA3EAD">
      <w:pPr>
        <w:pStyle w:val="Titolo3"/>
      </w:pPr>
      <w:r w:rsidRPr="006946CE">
        <w:t>4.2</w:t>
      </w:r>
      <w:r w:rsidR="00CA3EAD">
        <w:tab/>
      </w:r>
      <w:r w:rsidRPr="006946CE">
        <w:t>La situazione ticinese</w:t>
      </w:r>
    </w:p>
    <w:p w:rsidR="00D51C98" w:rsidRDefault="00D51C98" w:rsidP="00D51C98">
      <w:pPr>
        <w:rPr>
          <w:rFonts w:eastAsia="MS Mincho" w:cs="Arial"/>
          <w:szCs w:val="24"/>
          <w:lang w:val="it-IT" w:eastAsia="ja-JP"/>
        </w:rPr>
      </w:pPr>
      <w:r w:rsidRPr="001C627C">
        <w:rPr>
          <w:rFonts w:eastAsia="MS Mincho" w:cs="Arial"/>
          <w:szCs w:val="24"/>
          <w:lang w:val="it-IT" w:eastAsia="ja-JP"/>
        </w:rPr>
        <w:t>Dall'entrata in vigore degli accordi bilaterali con l'Unione europea, e in particolare degli accordi sulla libera circolazione delle persone, il numero dei frontalieri in Ticino è raddoppiato, passando da 31'</w:t>
      </w:r>
      <w:r w:rsidR="002C45A0">
        <w:rPr>
          <w:rFonts w:eastAsia="MS Mincho" w:cs="Arial"/>
          <w:szCs w:val="24"/>
          <w:lang w:val="it-IT" w:eastAsia="ja-JP"/>
        </w:rPr>
        <w:t>561</w:t>
      </w:r>
      <w:r w:rsidRPr="001C627C">
        <w:rPr>
          <w:rFonts w:eastAsia="MS Mincho" w:cs="Arial"/>
          <w:szCs w:val="24"/>
          <w:lang w:val="it-IT" w:eastAsia="ja-JP"/>
        </w:rPr>
        <w:t xml:space="preserve"> nel 2002 a 62'</w:t>
      </w:r>
      <w:r w:rsidR="002C45A0">
        <w:rPr>
          <w:rFonts w:eastAsia="MS Mincho" w:cs="Arial"/>
          <w:szCs w:val="24"/>
          <w:lang w:val="it-IT" w:eastAsia="ja-JP"/>
        </w:rPr>
        <w:t>717</w:t>
      </w:r>
      <w:r w:rsidRPr="001C627C">
        <w:rPr>
          <w:rFonts w:eastAsia="MS Mincho" w:cs="Arial"/>
          <w:szCs w:val="24"/>
          <w:lang w:val="it-IT" w:eastAsia="ja-JP"/>
        </w:rPr>
        <w:t xml:space="preserve"> nel 201</w:t>
      </w:r>
      <w:r w:rsidR="002C45A0">
        <w:rPr>
          <w:rFonts w:eastAsia="MS Mincho" w:cs="Arial"/>
          <w:szCs w:val="24"/>
          <w:lang w:val="it-IT" w:eastAsia="ja-JP"/>
        </w:rPr>
        <w:t>5</w:t>
      </w:r>
      <w:r w:rsidRPr="001C627C">
        <w:rPr>
          <w:rFonts w:eastAsia="MS Mincho" w:cs="Arial"/>
          <w:szCs w:val="24"/>
          <w:lang w:val="it-IT" w:eastAsia="ja-JP"/>
        </w:rPr>
        <w:t xml:space="preserve"> (+98</w:t>
      </w:r>
      <w:r w:rsidR="002C45A0">
        <w:rPr>
          <w:rFonts w:eastAsia="MS Mincho" w:cs="Arial"/>
          <w:szCs w:val="24"/>
          <w:lang w:val="it-IT" w:eastAsia="ja-JP"/>
        </w:rPr>
        <w:t>.7</w:t>
      </w:r>
      <w:r w:rsidRPr="001C627C">
        <w:rPr>
          <w:rFonts w:eastAsia="MS Mincho" w:cs="Arial"/>
          <w:szCs w:val="24"/>
          <w:lang w:val="it-IT" w:eastAsia="ja-JP"/>
        </w:rPr>
        <w:t>%).</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Con i suoi 350mila abitanti, la popolazione ticinese rappresenta solo il 4,2% della popolazione svizzera, ma ogni giorno entrano in Ticino per lavorare 62'000 frontalieri, cioè il 20% dei frontalieri attivi in tutta la Svizzera. Ciò naturalmente comporta anche un aggravio per le infrastrutture e per la qualità dell'aria, che è la peggiore della Svizzera.</w:t>
      </w:r>
    </w:p>
    <w:p w:rsidR="00D51C98" w:rsidRPr="00C9414A" w:rsidRDefault="00D51C98" w:rsidP="00D51C98">
      <w:pPr>
        <w:jc w:val="left"/>
        <w:rPr>
          <w:rFonts w:eastAsia="MS Mincho" w:cs="Arial"/>
          <w:sz w:val="32"/>
          <w:szCs w:val="32"/>
          <w:lang w:val="it-IT" w:eastAsia="ja-JP"/>
        </w:rPr>
      </w:pPr>
    </w:p>
    <w:p w:rsidR="00D51C98" w:rsidRPr="001C627C" w:rsidRDefault="00D51C98" w:rsidP="00D51C98">
      <w:pPr>
        <w:jc w:val="left"/>
        <w:rPr>
          <w:rFonts w:eastAsia="MS Mincho" w:cs="Arial"/>
          <w:szCs w:val="24"/>
          <w:lang w:val="it-IT" w:eastAsia="ja-JP"/>
        </w:rPr>
      </w:pPr>
      <w:r w:rsidRPr="001C627C">
        <w:rPr>
          <w:rFonts w:ascii="Times New Roman" w:eastAsia="MS Mincho" w:hAnsi="Times New Roman"/>
          <w:noProof/>
          <w:szCs w:val="24"/>
          <w:lang w:eastAsia="it-CH"/>
        </w:rPr>
        <w:drawing>
          <wp:inline distT="0" distB="0" distL="0" distR="0" wp14:anchorId="1127C655" wp14:editId="3DF0695F">
            <wp:extent cx="5381625" cy="3086100"/>
            <wp:effectExtent l="0" t="0" r="9525" b="0"/>
            <wp:docPr id="9"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3086100"/>
                    </a:xfrm>
                    <a:prstGeom prst="rect">
                      <a:avLst/>
                    </a:prstGeom>
                    <a:noFill/>
                    <a:ln>
                      <a:noFill/>
                    </a:ln>
                  </pic:spPr>
                </pic:pic>
              </a:graphicData>
            </a:graphic>
          </wp:inline>
        </w:drawing>
      </w:r>
    </w:p>
    <w:p w:rsidR="00D51C98" w:rsidRPr="001C627C" w:rsidRDefault="00D51C98" w:rsidP="00D51C98">
      <w:pPr>
        <w:jc w:val="left"/>
        <w:rPr>
          <w:rFonts w:eastAsia="MS Mincho" w:cs="Arial"/>
          <w:szCs w:val="24"/>
          <w:lang w:val="it-IT" w:eastAsia="ja-JP"/>
        </w:rPr>
      </w:pP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Il Ticino prima della libera circolazione non era dunque privo di frontalieri, anzi. Eppure in meno di 15 anni sono raddoppiati. Dobbiamo allora domandarci quali siano gli effetti e quali le cause di questa "corsa al frontaliere".</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 xml:space="preserve">Un indicatore che viene costantemente chiamato in causa, in relazione a questo tema, è il numero di disoccupati. </w:t>
      </w:r>
      <w:r>
        <w:rPr>
          <w:rFonts w:eastAsia="MS Mincho" w:cs="Arial"/>
          <w:szCs w:val="24"/>
          <w:lang w:val="it-IT" w:eastAsia="ja-JP"/>
        </w:rPr>
        <w:t xml:space="preserve">Il tasso di </w:t>
      </w:r>
      <w:r w:rsidRPr="001C627C">
        <w:rPr>
          <w:rFonts w:eastAsia="MS Mincho" w:cs="Arial"/>
          <w:szCs w:val="24"/>
          <w:lang w:val="it-IT" w:eastAsia="ja-JP"/>
        </w:rPr>
        <w:t>disoccupazione SECO situa il Ticino a un apparentemente confortevole 3,6% a fronte di un 3,3% a livello nazionale (novembre 2016).</w:t>
      </w:r>
    </w:p>
    <w:p w:rsidR="00D51C98" w:rsidRPr="00CA3EAD" w:rsidRDefault="00D51C98" w:rsidP="00D51C98">
      <w:pPr>
        <w:spacing w:before="120"/>
        <w:rPr>
          <w:rFonts w:eastAsia="MS Mincho" w:cs="Arial"/>
          <w:b/>
          <w:sz w:val="22"/>
          <w:lang w:val="it-IT" w:eastAsia="ja-JP"/>
        </w:rPr>
      </w:pPr>
      <w:r w:rsidRPr="00CA3EAD">
        <w:rPr>
          <w:rFonts w:eastAsia="MS Mincho" w:cs="Arial"/>
          <w:b/>
          <w:sz w:val="22"/>
          <w:lang w:val="it-IT" w:eastAsia="ja-JP"/>
        </w:rPr>
        <w:t xml:space="preserve">(Allegato 1: Dati disoccupazione SECO - pag. 11 del "Panorama statistico del mercato del lavoro ticinese", </w:t>
      </w:r>
      <w:proofErr w:type="spellStart"/>
      <w:r w:rsidRPr="00CA3EAD">
        <w:rPr>
          <w:rFonts w:eastAsia="MS Mincho" w:cs="Arial"/>
          <w:b/>
          <w:sz w:val="22"/>
          <w:lang w:val="it-IT" w:eastAsia="ja-JP"/>
        </w:rPr>
        <w:t>Ustat</w:t>
      </w:r>
      <w:proofErr w:type="spellEnd"/>
      <w:r w:rsidRPr="00CA3EAD">
        <w:rPr>
          <w:rFonts w:eastAsia="MS Mincho" w:cs="Arial"/>
          <w:b/>
          <w:sz w:val="22"/>
          <w:lang w:val="it-IT" w:eastAsia="ja-JP"/>
        </w:rPr>
        <w:t>, 9 dicembre 2016)</w:t>
      </w:r>
    </w:p>
    <w:p w:rsidR="00BC26F7" w:rsidRPr="00AD11AA" w:rsidRDefault="00BC26F7" w:rsidP="00BC26F7">
      <w:pPr>
        <w:spacing w:before="120"/>
        <w:rPr>
          <w:rFonts w:cs="Arial"/>
          <w:szCs w:val="24"/>
        </w:rPr>
      </w:pPr>
      <w:r w:rsidRPr="00AD11AA">
        <w:rPr>
          <w:rFonts w:cs="Arial"/>
          <w:szCs w:val="24"/>
        </w:rPr>
        <w:t>Tuttavia, occorre tenere presente che questo dato ci indica unicamente quante persone disoccupate sono iscritte agli uffici di collocamento (URC) nel periodo di riferimento. In questa statistica non appaiono invece quelli che, pur disoccupati, non sono (o non sono più) iscritti agli URC, decisione spesso influenzata dal fatto di non aver diritto alle indennità di disoccupazione o dall’esaurimento dello stesso. Parliamo di migliaia di persone</w:t>
      </w:r>
      <w:r>
        <w:rPr>
          <w:rFonts w:cs="Arial"/>
          <w:szCs w:val="24"/>
        </w:rPr>
        <w:t xml:space="preserve"> -</w:t>
      </w:r>
      <w:r w:rsidRPr="00AD11AA">
        <w:rPr>
          <w:rFonts w:cs="Arial"/>
          <w:szCs w:val="24"/>
        </w:rPr>
        <w:t xml:space="preserve"> disoccupati di lungo periodo, giovani che hanno appena terminato gli studi, mamme che vogliono tornare a lavorare</w:t>
      </w:r>
      <w:r>
        <w:rPr>
          <w:rFonts w:cs="Arial"/>
          <w:szCs w:val="24"/>
        </w:rPr>
        <w:t xml:space="preserve"> -</w:t>
      </w:r>
      <w:r w:rsidRPr="00AD11AA">
        <w:rPr>
          <w:rFonts w:cs="Arial"/>
          <w:szCs w:val="24"/>
        </w:rPr>
        <w:t xml:space="preserve"> che trovano difficoltà nell’inserirsi o reinserirsi nel mercato e che in taluni casi sono costrette ad appoggiarsi all’assistenza. E che, loro malgrado, gravano sulle casse pubbliche. Casi che non vengono conteggiati come disoccupati SECO.</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Se si guardano i dati SECO sull'uscita dalla disoccupazione, si nota un cambiamento di tendenza nel 2013. Fino ad allora</w:t>
      </w:r>
      <w:r>
        <w:rPr>
          <w:rFonts w:eastAsia="MS Mincho" w:cs="Arial"/>
          <w:szCs w:val="24"/>
          <w:lang w:val="it-IT" w:eastAsia="ja-JP"/>
        </w:rPr>
        <w:t>,</w:t>
      </w:r>
      <w:r w:rsidRPr="001C627C">
        <w:rPr>
          <w:rFonts w:eastAsia="MS Mincho" w:cs="Arial"/>
          <w:szCs w:val="24"/>
          <w:lang w:val="it-IT" w:eastAsia="ja-JP"/>
        </w:rPr>
        <w:t xml:space="preserve"> Svizzera e Ticino erano grosso modo sulla stessa linea. Dal 2013 l'uscita dall'URC mostra un percorso nuovo in Ticino: le </w:t>
      </w:r>
      <w:proofErr w:type="spellStart"/>
      <w:r w:rsidRPr="001C627C">
        <w:rPr>
          <w:rFonts w:eastAsia="MS Mincho" w:cs="Arial"/>
          <w:szCs w:val="24"/>
          <w:lang w:val="it-IT" w:eastAsia="ja-JP"/>
        </w:rPr>
        <w:t>disiscrizioni</w:t>
      </w:r>
      <w:proofErr w:type="spellEnd"/>
      <w:r w:rsidRPr="001C627C">
        <w:rPr>
          <w:rFonts w:eastAsia="MS Mincho" w:cs="Arial"/>
          <w:szCs w:val="24"/>
          <w:lang w:val="it-IT" w:eastAsia="ja-JP"/>
        </w:rPr>
        <w:t xml:space="preserve"> sono in forte crescita. Normalmente, quando tutto funziona, le persone escono dall'URC perché hanno trovato lavoro. Ma il tasso di disoccupazione in Ticino non è sceso. Sicuramente alcune delle persone che si sono </w:t>
      </w:r>
      <w:proofErr w:type="spellStart"/>
      <w:r w:rsidRPr="001C627C">
        <w:rPr>
          <w:rFonts w:eastAsia="MS Mincho" w:cs="Arial"/>
          <w:szCs w:val="24"/>
          <w:lang w:val="it-IT" w:eastAsia="ja-JP"/>
        </w:rPr>
        <w:t>disiscritte</w:t>
      </w:r>
      <w:proofErr w:type="spellEnd"/>
      <w:r w:rsidRPr="001C627C">
        <w:rPr>
          <w:rFonts w:eastAsia="MS Mincho" w:cs="Arial"/>
          <w:szCs w:val="24"/>
          <w:lang w:val="it-IT" w:eastAsia="ja-JP"/>
        </w:rPr>
        <w:t xml:space="preserve"> dagli URC avranno trovato lavoro, ma non vi è dubbio che la maggior parte è andata in assistenza o </w:t>
      </w:r>
      <w:r w:rsidR="00BC26F7">
        <w:rPr>
          <w:rFonts w:eastAsia="MS Mincho" w:cs="Arial"/>
          <w:szCs w:val="24"/>
          <w:lang w:val="it-IT" w:eastAsia="ja-JP"/>
        </w:rPr>
        <w:t>semplicemente non s'iscrive più.</w:t>
      </w:r>
      <w:r w:rsidRPr="001C627C">
        <w:rPr>
          <w:rFonts w:eastAsia="MS Mincho" w:cs="Arial"/>
          <w:szCs w:val="24"/>
          <w:lang w:val="it-IT" w:eastAsia="ja-JP"/>
        </w:rPr>
        <w:t xml:space="preserve"> </w:t>
      </w:r>
      <w:r w:rsidR="00BC26F7">
        <w:rPr>
          <w:rFonts w:eastAsia="MS Mincho" w:cs="Arial"/>
          <w:szCs w:val="24"/>
          <w:lang w:val="it-IT" w:eastAsia="ja-JP"/>
        </w:rPr>
        <w:t>Nei casi più estremi, diventano</w:t>
      </w:r>
      <w:r w:rsidRPr="001C627C">
        <w:rPr>
          <w:rFonts w:eastAsia="MS Mincho" w:cs="Arial"/>
          <w:szCs w:val="24"/>
          <w:lang w:val="it-IT" w:eastAsia="ja-JP"/>
        </w:rPr>
        <w:t xml:space="preserve"> i cosiddetti "scoraggiati".</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Questi disoccupati, non iscritti agli URC e che perciò sfuggono ai dati SECO, compaiono invece, giustamente, nelle statistiche ILO (Organizzazione internazionale del lavoro), che infatti per il Ticino a dicembre 2016 rileva</w:t>
      </w:r>
      <w:r w:rsidR="00BC26F7">
        <w:rPr>
          <w:rFonts w:eastAsia="MS Mincho" w:cs="Arial"/>
          <w:szCs w:val="24"/>
          <w:lang w:val="it-IT" w:eastAsia="ja-JP"/>
        </w:rPr>
        <w:t>no</w:t>
      </w:r>
      <w:r w:rsidRPr="001C627C">
        <w:rPr>
          <w:rFonts w:eastAsia="MS Mincho" w:cs="Arial"/>
          <w:szCs w:val="24"/>
          <w:lang w:val="it-IT" w:eastAsia="ja-JP"/>
        </w:rPr>
        <w:t xml:space="preserve"> un tasso di disoccupazione al 6.9% (pari a 13'000 disoccupati). Nel medesimo periodo, si noti, la disoccupazione ILO in Lombardia è al 6.7%: il Ticino ha purtroppo "sorpassato" la Lombardia.</w:t>
      </w:r>
    </w:p>
    <w:p w:rsidR="00D51C98" w:rsidRPr="00CA3EAD" w:rsidRDefault="00D51C98" w:rsidP="00D51C98">
      <w:pPr>
        <w:spacing w:before="120"/>
        <w:rPr>
          <w:rFonts w:eastAsia="MS Mincho" w:cs="Arial"/>
          <w:b/>
          <w:sz w:val="22"/>
          <w:lang w:val="it-IT" w:eastAsia="ja-JP"/>
        </w:rPr>
      </w:pPr>
      <w:r w:rsidRPr="00CA3EAD">
        <w:rPr>
          <w:rFonts w:eastAsia="MS Mincho" w:cs="Arial"/>
          <w:b/>
          <w:sz w:val="22"/>
          <w:lang w:val="it-IT" w:eastAsia="ja-JP"/>
        </w:rPr>
        <w:t xml:space="preserve">(Allegato 2: Dati disoccupazione ILO - pag. 14 del "Panorama statistico del mercato del lavoro ticinese", </w:t>
      </w:r>
      <w:proofErr w:type="spellStart"/>
      <w:r w:rsidRPr="00CA3EAD">
        <w:rPr>
          <w:rFonts w:eastAsia="MS Mincho" w:cs="Arial"/>
          <w:b/>
          <w:sz w:val="22"/>
          <w:lang w:val="it-IT" w:eastAsia="ja-JP"/>
        </w:rPr>
        <w:t>Ustat</w:t>
      </w:r>
      <w:proofErr w:type="spellEnd"/>
      <w:r w:rsidRPr="00CA3EAD">
        <w:rPr>
          <w:rFonts w:eastAsia="MS Mincho" w:cs="Arial"/>
          <w:b/>
          <w:sz w:val="22"/>
          <w:lang w:val="it-IT" w:eastAsia="ja-JP"/>
        </w:rPr>
        <w:t>, 9 dicembre 2016).</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I dati SECO consentono paragoni interni alla Svizzera, ma unicamente i dati ILO consentono i paragoni internazionali e possono dare un'idea comparativa con i nostri vicini – un'operazione molto importante trattandosi di relazioni bilaterali e libera circolazione.</w:t>
      </w:r>
    </w:p>
    <w:p w:rsidR="00D51C98" w:rsidRDefault="00D51C98" w:rsidP="00D51C98">
      <w:pPr>
        <w:spacing w:before="120"/>
        <w:rPr>
          <w:rFonts w:eastAsia="MS Mincho" w:cs="Arial"/>
          <w:szCs w:val="24"/>
          <w:lang w:val="it-IT" w:eastAsia="ja-JP"/>
        </w:rPr>
      </w:pPr>
      <w:r w:rsidRPr="001C627C">
        <w:rPr>
          <w:rFonts w:eastAsia="MS Mincho" w:cs="Arial"/>
          <w:szCs w:val="24"/>
          <w:lang w:val="it-IT" w:eastAsia="ja-JP"/>
        </w:rPr>
        <w:t xml:space="preserve">Si consideri che le sole regioni Lombardia e Piemonte hanno un bacino di 550mila disoccupati, a fronte dei 230mila posti di lavoro/addetti in tutto il Ticino. Che una simile situazione generi squilibri è più che prevedibile. </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Infatti</w:t>
      </w:r>
      <w:r>
        <w:rPr>
          <w:rFonts w:eastAsia="MS Mincho" w:cs="Arial"/>
          <w:szCs w:val="24"/>
          <w:lang w:val="it-IT" w:eastAsia="ja-JP"/>
        </w:rPr>
        <w:t>,</w:t>
      </w:r>
      <w:r w:rsidRPr="001C627C">
        <w:rPr>
          <w:rFonts w:eastAsia="MS Mincho" w:cs="Arial"/>
          <w:szCs w:val="24"/>
          <w:lang w:val="it-IT" w:eastAsia="ja-JP"/>
        </w:rPr>
        <w:t xml:space="preserve"> non solo il numero assoluto di frontalieri in Ticino è aumentato dal 2002 a oggi, raddoppiando, ma è anche aumentata la percentuale di frontalieri sull'intera forza lavoro ticinese. Nel 2002 c'era un frontaliere ogni sei lavoratori, oggi è uno ogni 3 e mezzo.</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Nel 2002 i frontalieri occupavano il 16,8% dei posti di lavoro, nel 2015 la percentuale è salita al 27,1%. A livello svizzero il dato (in cui entra a far media anche il Ticino!) è del 6,1%.</w:t>
      </w:r>
    </w:p>
    <w:p w:rsidR="00D51C98" w:rsidRDefault="00D51C98" w:rsidP="00D51C98">
      <w:pPr>
        <w:jc w:val="left"/>
        <w:rPr>
          <w:rFonts w:eastAsia="MS Mincho" w:cs="Arial"/>
          <w:szCs w:val="24"/>
          <w:lang w:val="it-IT" w:eastAsia="ja-JP"/>
        </w:rPr>
      </w:pPr>
    </w:p>
    <w:p w:rsidR="00CA3EAD" w:rsidRPr="001C627C" w:rsidRDefault="00CA3EAD" w:rsidP="00D51C98">
      <w:pPr>
        <w:jc w:val="left"/>
        <w:rPr>
          <w:rFonts w:eastAsia="MS Mincho" w:cs="Arial"/>
          <w:szCs w:val="24"/>
          <w:lang w:val="it-IT" w:eastAsia="ja-JP"/>
        </w:rPr>
      </w:pPr>
    </w:p>
    <w:p w:rsidR="00D51C98" w:rsidRDefault="00D51C98" w:rsidP="00D51C98">
      <w:pPr>
        <w:jc w:val="left"/>
        <w:rPr>
          <w:rFonts w:eastAsia="MS Mincho" w:cs="Arial"/>
          <w:szCs w:val="24"/>
          <w:lang w:val="it-IT" w:eastAsia="ja-JP"/>
        </w:rPr>
      </w:pPr>
      <w:r w:rsidRPr="001C627C">
        <w:rPr>
          <w:rFonts w:ascii="Times New Roman" w:eastAsia="MS Mincho" w:hAnsi="Times New Roman"/>
          <w:noProof/>
          <w:szCs w:val="24"/>
          <w:lang w:eastAsia="it-CH"/>
        </w:rPr>
        <w:drawing>
          <wp:inline distT="0" distB="0" distL="0" distR="0" wp14:anchorId="4B0727B8" wp14:editId="6C8B9F40">
            <wp:extent cx="3019425" cy="1943100"/>
            <wp:effectExtent l="0" t="0" r="0" b="0"/>
            <wp:docPr id="10"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425" cy="1943100"/>
                    </a:xfrm>
                    <a:prstGeom prst="rect">
                      <a:avLst/>
                    </a:prstGeom>
                    <a:noFill/>
                    <a:ln>
                      <a:noFill/>
                    </a:ln>
                  </pic:spPr>
                </pic:pic>
              </a:graphicData>
            </a:graphic>
          </wp:inline>
        </w:drawing>
      </w:r>
      <w:r w:rsidRPr="001C627C">
        <w:rPr>
          <w:rFonts w:ascii="Times New Roman" w:eastAsia="MS Mincho" w:hAnsi="Times New Roman"/>
          <w:noProof/>
          <w:szCs w:val="24"/>
          <w:lang w:eastAsia="it-CH"/>
        </w:rPr>
        <w:drawing>
          <wp:inline distT="0" distB="0" distL="0" distR="0" wp14:anchorId="4369392F" wp14:editId="36C39F4F">
            <wp:extent cx="3019425" cy="1943100"/>
            <wp:effectExtent l="0" t="0" r="0" b="0"/>
            <wp:docPr id="11"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9425" cy="1943100"/>
                    </a:xfrm>
                    <a:prstGeom prst="rect">
                      <a:avLst/>
                    </a:prstGeom>
                    <a:noFill/>
                    <a:ln>
                      <a:noFill/>
                    </a:ln>
                  </pic:spPr>
                </pic:pic>
              </a:graphicData>
            </a:graphic>
          </wp:inline>
        </w:drawing>
      </w:r>
    </w:p>
    <w:p w:rsidR="00CA3EAD" w:rsidRPr="001C627C" w:rsidRDefault="00CA3EAD" w:rsidP="00D51C98">
      <w:pPr>
        <w:jc w:val="left"/>
        <w:rPr>
          <w:rFonts w:eastAsia="MS Mincho" w:cs="Arial"/>
          <w:szCs w:val="24"/>
          <w:lang w:val="it-IT" w:eastAsia="ja-JP"/>
        </w:rPr>
      </w:pPr>
    </w:p>
    <w:p w:rsidR="00D51C98" w:rsidRPr="001C627C" w:rsidRDefault="00D51C98" w:rsidP="00D51C98">
      <w:pPr>
        <w:jc w:val="left"/>
        <w:rPr>
          <w:rFonts w:ascii="Times New Roman" w:eastAsia="MS Mincho" w:hAnsi="Times New Roman"/>
          <w:noProof/>
          <w:szCs w:val="24"/>
          <w:lang w:val="it-IT" w:eastAsia="it-IT"/>
        </w:rPr>
      </w:pPr>
      <w:r w:rsidRPr="001C627C">
        <w:rPr>
          <w:rFonts w:ascii="Times New Roman" w:eastAsia="MS Mincho" w:hAnsi="Times New Roman"/>
          <w:noProof/>
          <w:szCs w:val="24"/>
          <w:lang w:eastAsia="it-CH"/>
        </w:rPr>
        <w:drawing>
          <wp:inline distT="0" distB="0" distL="0" distR="0" wp14:anchorId="09C36E5F" wp14:editId="296DEFBB">
            <wp:extent cx="6019800" cy="3324225"/>
            <wp:effectExtent l="0" t="0" r="0" b="0"/>
            <wp:docPr id="12"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9800" cy="3324225"/>
                    </a:xfrm>
                    <a:prstGeom prst="rect">
                      <a:avLst/>
                    </a:prstGeom>
                    <a:noFill/>
                    <a:ln>
                      <a:noFill/>
                    </a:ln>
                  </pic:spPr>
                </pic:pic>
              </a:graphicData>
            </a:graphic>
          </wp:inline>
        </w:drawing>
      </w:r>
    </w:p>
    <w:p w:rsidR="00D51C98" w:rsidRPr="00B9242E" w:rsidRDefault="00D51C98" w:rsidP="00B9242E">
      <w:pPr>
        <w:spacing w:before="120" w:after="120"/>
        <w:jc w:val="center"/>
        <w:rPr>
          <w:rFonts w:eastAsia="MS Mincho" w:cs="Arial"/>
          <w:sz w:val="16"/>
          <w:szCs w:val="24"/>
          <w:lang w:val="it-IT" w:eastAsia="ja-JP"/>
        </w:rPr>
      </w:pPr>
      <w:r w:rsidRPr="00B9242E">
        <w:rPr>
          <w:rFonts w:eastAsia="MS Mincho" w:cs="Arial"/>
          <w:sz w:val="16"/>
          <w:szCs w:val="24"/>
          <w:lang w:val="it-IT" w:eastAsia="ja-JP"/>
        </w:rPr>
        <w:t>Fonte: STAF e STATENT, UST</w:t>
      </w:r>
      <w:r w:rsidR="002C45A0">
        <w:rPr>
          <w:rFonts w:eastAsia="MS Mincho" w:cs="Arial"/>
          <w:sz w:val="16"/>
          <w:szCs w:val="24"/>
          <w:lang w:val="it-IT" w:eastAsia="ja-JP"/>
        </w:rPr>
        <w:t xml:space="preserve"> (dati: 2016)</w:t>
      </w:r>
    </w:p>
    <w:p w:rsidR="00D51C98" w:rsidRPr="002C45A0" w:rsidRDefault="00D51C98" w:rsidP="00D51C98">
      <w:pPr>
        <w:jc w:val="left"/>
        <w:rPr>
          <w:rFonts w:eastAsia="MS Mincho" w:cs="Arial"/>
          <w:sz w:val="28"/>
          <w:szCs w:val="28"/>
          <w:lang w:val="it-IT" w:eastAsia="ja-JP"/>
        </w:rPr>
      </w:pPr>
    </w:p>
    <w:p w:rsidR="00B9242E" w:rsidRPr="002C45A0" w:rsidRDefault="00B9242E" w:rsidP="00D51C98">
      <w:pPr>
        <w:jc w:val="left"/>
        <w:rPr>
          <w:rFonts w:eastAsia="MS Mincho" w:cs="Arial"/>
          <w:sz w:val="28"/>
          <w:szCs w:val="28"/>
          <w:lang w:val="it-IT" w:eastAsia="ja-JP"/>
        </w:rPr>
      </w:pPr>
    </w:p>
    <w:p w:rsidR="00D51C98" w:rsidRPr="001C627C" w:rsidRDefault="00D51C98" w:rsidP="00D51C98">
      <w:pPr>
        <w:rPr>
          <w:rFonts w:eastAsia="MS Mincho" w:cs="Arial"/>
          <w:szCs w:val="24"/>
          <w:lang w:val="it-IT" w:eastAsia="ja-JP"/>
        </w:rPr>
      </w:pPr>
      <w:r w:rsidRPr="001C627C">
        <w:rPr>
          <w:rFonts w:eastAsia="MS Mincho" w:cs="Arial"/>
          <w:szCs w:val="24"/>
          <w:lang w:val="it-IT" w:eastAsia="ja-JP"/>
        </w:rPr>
        <w:t>Ma non è tutto. Il Ticino, come detto, a fronte del 4,2% della popolazione svizzera, accoglie ben il 20% dei frontalieri attivi in Svizzera.</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 xml:space="preserve">Si potrebbe allora pensare a un'economia ticinese in piena espansione, alla creazione di posti di lavoro e di benessere per la società. Invece </w:t>
      </w:r>
      <w:r w:rsidR="00C9414A">
        <w:rPr>
          <w:rFonts w:eastAsia="MS Mincho" w:cs="Arial"/>
          <w:szCs w:val="24"/>
          <w:lang w:val="it-IT" w:eastAsia="ja-JP"/>
        </w:rPr>
        <w:t>buona parte de</w:t>
      </w:r>
      <w:r w:rsidRPr="001C627C">
        <w:rPr>
          <w:rFonts w:eastAsia="MS Mincho" w:cs="Arial"/>
          <w:szCs w:val="24"/>
          <w:lang w:val="it-IT" w:eastAsia="ja-JP"/>
        </w:rPr>
        <w:t xml:space="preserve">i posti di lavoro creati </w:t>
      </w:r>
      <w:r w:rsidR="00C9414A">
        <w:rPr>
          <w:rFonts w:eastAsia="MS Mincho" w:cs="Arial"/>
          <w:szCs w:val="24"/>
          <w:lang w:val="it-IT" w:eastAsia="ja-JP"/>
        </w:rPr>
        <w:t>sono stati assorbiti</w:t>
      </w:r>
      <w:r w:rsidRPr="001C627C">
        <w:rPr>
          <w:rFonts w:eastAsia="MS Mincho" w:cs="Arial"/>
          <w:szCs w:val="24"/>
          <w:lang w:val="it-IT" w:eastAsia="ja-JP"/>
        </w:rPr>
        <w:t xml:space="preserve"> </w:t>
      </w:r>
      <w:r w:rsidR="00C9414A">
        <w:rPr>
          <w:rFonts w:eastAsia="MS Mincho" w:cs="Arial"/>
          <w:szCs w:val="24"/>
          <w:lang w:val="it-IT" w:eastAsia="ja-JP"/>
        </w:rPr>
        <w:t>d</w:t>
      </w:r>
      <w:r w:rsidRPr="001C627C">
        <w:rPr>
          <w:rFonts w:eastAsia="MS Mincho" w:cs="Arial"/>
          <w:szCs w:val="24"/>
          <w:lang w:val="it-IT" w:eastAsia="ja-JP"/>
        </w:rPr>
        <w:t xml:space="preserve">ai frontalieri, producendo in Ticino nuovi disoccupati, sottoccupati e persone in assistenza. Questo effetto di sostituzione è in massima parte dovuto alla situazione italiana, che mette i frontalieri in condizione di accettare salari inferiori </w:t>
      </w:r>
      <w:r w:rsidR="00C9414A">
        <w:rPr>
          <w:rFonts w:eastAsia="MS Mincho" w:cs="Arial"/>
          <w:szCs w:val="24"/>
          <w:lang w:val="it-IT" w:eastAsia="ja-JP"/>
        </w:rPr>
        <w:t>a</w:t>
      </w:r>
      <w:r w:rsidRPr="001C627C">
        <w:rPr>
          <w:rFonts w:eastAsia="MS Mincho" w:cs="Arial"/>
          <w:szCs w:val="24"/>
          <w:lang w:val="it-IT" w:eastAsia="ja-JP"/>
        </w:rPr>
        <w:t xml:space="preserve"> quelli finora offerti ai residenti, addirittura inferiori a quelli necessari per vivere dignitosamente in Ticino. Non a caso il popolo ha accolto in votazione</w:t>
      </w:r>
      <w:r w:rsidR="00C9414A">
        <w:rPr>
          <w:rFonts w:eastAsia="MS Mincho" w:cs="Arial"/>
          <w:szCs w:val="24"/>
          <w:lang w:val="it-IT" w:eastAsia="ja-JP"/>
        </w:rPr>
        <w:t>,</w:t>
      </w:r>
      <w:r w:rsidRPr="001C627C">
        <w:rPr>
          <w:rFonts w:eastAsia="MS Mincho" w:cs="Arial"/>
          <w:szCs w:val="24"/>
          <w:lang w:val="it-IT" w:eastAsia="ja-JP"/>
        </w:rPr>
        <w:t xml:space="preserve"> nel giugno 2015</w:t>
      </w:r>
      <w:r w:rsidR="00C9414A">
        <w:rPr>
          <w:rFonts w:eastAsia="MS Mincho" w:cs="Arial"/>
          <w:szCs w:val="24"/>
          <w:lang w:val="it-IT" w:eastAsia="ja-JP"/>
        </w:rPr>
        <w:t>,</w:t>
      </w:r>
      <w:r w:rsidRPr="001C627C">
        <w:rPr>
          <w:rFonts w:eastAsia="MS Mincho" w:cs="Arial"/>
          <w:szCs w:val="24"/>
          <w:lang w:val="it-IT" w:eastAsia="ja-JP"/>
        </w:rPr>
        <w:t xml:space="preserve"> l'iniziativa costituzionale "Salviamo il lavoro in Ticino!".</w:t>
      </w:r>
    </w:p>
    <w:p w:rsidR="00D51C98" w:rsidRPr="001C627C" w:rsidRDefault="00D51C98" w:rsidP="00D51C98">
      <w:pPr>
        <w:spacing w:before="120"/>
        <w:jc w:val="left"/>
        <w:rPr>
          <w:rFonts w:eastAsia="MS Mincho" w:cs="Arial"/>
          <w:szCs w:val="24"/>
          <w:lang w:val="it-IT" w:eastAsia="ja-JP"/>
        </w:rPr>
      </w:pPr>
      <w:r w:rsidRPr="001C627C">
        <w:rPr>
          <w:rFonts w:eastAsia="MS Mincho" w:cs="Arial"/>
          <w:szCs w:val="24"/>
          <w:lang w:val="it-IT" w:eastAsia="ja-JP"/>
        </w:rPr>
        <w:t>Anche il trend dei salari, nel confronto con la Svizzera, è a svantaggio del Ticino.</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Il divario tra il salario mediano svizzero e quello ticinese non fa che aumentare (è passato da -14,7% nel 2008, a -16,8% nel 2012, a -17,2% nel 2014: oltre mille franchi in meno al mese nelle buste paga ticinesi, ogni mese), segno che il dumping salariale è qui un'amara realtà.</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Questo dato è evidenziato dal fatto che in Ticino i salari dei frontalieri si situano sul gradino più basso, al di sotto dei salari degli stranieri residenti. Invece a livello svizzero la situazione è l'opposto: i salari dei frontalieri stanno al di sopra di quelli degli stranieri residenti. Nel resto della Svizzera entrano frontalieri per posti qualificati e ben pagati, qui in Ticino</w:t>
      </w:r>
      <w:r w:rsidR="00C9414A">
        <w:rPr>
          <w:rFonts w:eastAsia="MS Mincho" w:cs="Arial"/>
          <w:szCs w:val="24"/>
          <w:lang w:val="it-IT" w:eastAsia="ja-JP"/>
        </w:rPr>
        <w:t>,</w:t>
      </w:r>
      <w:r w:rsidRPr="001C627C">
        <w:rPr>
          <w:rFonts w:eastAsia="MS Mincho" w:cs="Arial"/>
          <w:szCs w:val="24"/>
          <w:lang w:val="it-IT" w:eastAsia="ja-JP"/>
        </w:rPr>
        <w:t xml:space="preserve"> invece</w:t>
      </w:r>
      <w:r w:rsidR="00B9242E">
        <w:rPr>
          <w:rFonts w:eastAsia="MS Mincho" w:cs="Arial"/>
          <w:szCs w:val="24"/>
          <w:lang w:val="it-IT" w:eastAsia="ja-JP"/>
        </w:rPr>
        <w:t>,</w:t>
      </w:r>
      <w:r w:rsidRPr="001C627C">
        <w:rPr>
          <w:rFonts w:eastAsia="MS Mincho" w:cs="Arial"/>
          <w:szCs w:val="24"/>
          <w:lang w:val="it-IT" w:eastAsia="ja-JP"/>
        </w:rPr>
        <w:t xml:space="preserve"> si fa pressione sui salari e i frontalieri entrano "al ribasso" facendo concorrenza in primo luogo agli stranieri residenti. </w:t>
      </w:r>
      <w:r w:rsidR="00C9414A">
        <w:rPr>
          <w:rFonts w:eastAsia="MS Mincho" w:cs="Arial"/>
          <w:szCs w:val="24"/>
          <w:lang w:val="it-IT" w:eastAsia="ja-JP"/>
        </w:rPr>
        <w:t>Risulta infatti dai dati che l</w:t>
      </w:r>
      <w:r w:rsidRPr="001C627C">
        <w:rPr>
          <w:rFonts w:eastAsia="MS Mincho" w:cs="Arial"/>
          <w:szCs w:val="24"/>
          <w:lang w:val="it-IT" w:eastAsia="ja-JP"/>
        </w:rPr>
        <w:t>e prime a perdere il lavoro (e ad essere sostitu</w:t>
      </w:r>
      <w:r w:rsidR="00C9414A">
        <w:rPr>
          <w:rFonts w:eastAsia="MS Mincho" w:cs="Arial"/>
          <w:szCs w:val="24"/>
          <w:lang w:val="it-IT" w:eastAsia="ja-JP"/>
        </w:rPr>
        <w:t>ite da frontalieri) sono state</w:t>
      </w:r>
      <w:r w:rsidRPr="001C627C">
        <w:rPr>
          <w:rFonts w:eastAsia="MS Mincho" w:cs="Arial"/>
          <w:szCs w:val="24"/>
          <w:lang w:val="it-IT" w:eastAsia="ja-JP"/>
        </w:rPr>
        <w:t xml:space="preserve"> le donne straniere residenti.</w:t>
      </w:r>
    </w:p>
    <w:p w:rsidR="00D51C98" w:rsidRDefault="00D51C98" w:rsidP="00D51C98">
      <w:pPr>
        <w:jc w:val="left"/>
        <w:rPr>
          <w:rFonts w:eastAsia="MS Mincho" w:cs="Arial"/>
          <w:szCs w:val="24"/>
          <w:lang w:val="it-IT" w:eastAsia="ja-JP"/>
        </w:rPr>
      </w:pPr>
    </w:p>
    <w:p w:rsidR="00CA3EAD" w:rsidRPr="001C627C" w:rsidRDefault="00CA3EAD" w:rsidP="00D51C98">
      <w:pPr>
        <w:jc w:val="left"/>
        <w:rPr>
          <w:rFonts w:eastAsia="MS Mincho" w:cs="Arial"/>
          <w:szCs w:val="24"/>
          <w:lang w:val="it-IT" w:eastAsia="ja-JP"/>
        </w:rPr>
      </w:pPr>
    </w:p>
    <w:p w:rsidR="00CA3EAD" w:rsidRDefault="00CA3EAD">
      <w:pPr>
        <w:rPr>
          <w:rFonts w:ascii="Times New Roman" w:eastAsia="MS Mincho" w:hAnsi="Times New Roman"/>
          <w:b/>
          <w:szCs w:val="24"/>
          <w:lang w:val="it-IT" w:eastAsia="ja-JP"/>
        </w:rPr>
      </w:pPr>
      <w:r>
        <w:rPr>
          <w:rFonts w:ascii="Times New Roman" w:eastAsia="MS Mincho" w:hAnsi="Times New Roman"/>
          <w:b/>
          <w:szCs w:val="24"/>
          <w:lang w:val="it-IT" w:eastAsia="ja-JP"/>
        </w:rPr>
        <w:br w:type="page"/>
      </w:r>
    </w:p>
    <w:p w:rsidR="00D51C98" w:rsidRPr="00B9242E" w:rsidRDefault="00D51C98" w:rsidP="00B9242E">
      <w:pPr>
        <w:spacing w:after="120"/>
        <w:jc w:val="left"/>
        <w:rPr>
          <w:rFonts w:eastAsia="MS Mincho" w:cs="Arial"/>
          <w:b/>
          <w:sz w:val="23"/>
          <w:szCs w:val="23"/>
          <w:lang w:val="it-IT" w:eastAsia="ja-JP"/>
        </w:rPr>
      </w:pPr>
      <w:r w:rsidRPr="00B9242E">
        <w:rPr>
          <w:rFonts w:eastAsia="MS Mincho" w:cs="Arial"/>
          <w:b/>
          <w:sz w:val="23"/>
          <w:szCs w:val="23"/>
          <w:lang w:val="it-IT" w:eastAsia="ja-JP"/>
        </w:rPr>
        <w:t>Salari mensili lordi standardizzati (settore privato), Ticino e Svizzera, 2014</w:t>
      </w:r>
    </w:p>
    <w:p w:rsidR="00D51C98" w:rsidRPr="001C627C" w:rsidRDefault="00D51C98" w:rsidP="00D51C98">
      <w:pPr>
        <w:jc w:val="left"/>
        <w:rPr>
          <w:rFonts w:ascii="Times New Roman" w:eastAsia="MS Mincho" w:hAnsi="Times New Roman"/>
          <w:noProof/>
          <w:szCs w:val="24"/>
          <w:lang w:val="it-IT" w:eastAsia="it-IT"/>
        </w:rPr>
      </w:pPr>
      <w:r w:rsidRPr="001C627C">
        <w:rPr>
          <w:rFonts w:ascii="Times New Roman" w:eastAsia="MS Mincho" w:hAnsi="Times New Roman"/>
          <w:noProof/>
          <w:szCs w:val="24"/>
          <w:lang w:eastAsia="it-CH"/>
        </w:rPr>
        <w:drawing>
          <wp:inline distT="0" distB="0" distL="0" distR="0" wp14:anchorId="79929BC4" wp14:editId="086EAF4F">
            <wp:extent cx="3819525" cy="4629150"/>
            <wp:effectExtent l="0" t="0" r="9525" b="0"/>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9525" cy="4629150"/>
                    </a:xfrm>
                    <a:prstGeom prst="rect">
                      <a:avLst/>
                    </a:prstGeom>
                    <a:noFill/>
                    <a:ln>
                      <a:noFill/>
                    </a:ln>
                  </pic:spPr>
                </pic:pic>
              </a:graphicData>
            </a:graphic>
          </wp:inline>
        </w:drawing>
      </w:r>
    </w:p>
    <w:p w:rsidR="00D51C98" w:rsidRPr="00B9242E" w:rsidRDefault="00B9242E" w:rsidP="00D51C98">
      <w:pPr>
        <w:jc w:val="center"/>
        <w:rPr>
          <w:rFonts w:eastAsia="MS Mincho" w:cs="Arial"/>
          <w:sz w:val="20"/>
          <w:szCs w:val="20"/>
          <w:lang w:val="it-IT" w:eastAsia="ja-JP"/>
        </w:rPr>
      </w:pPr>
      <w:r>
        <w:rPr>
          <w:rFonts w:eastAsia="MS Mincho" w:cs="Arial"/>
          <w:sz w:val="20"/>
          <w:szCs w:val="20"/>
          <w:lang w:val="it-IT" w:eastAsia="ja-JP"/>
        </w:rPr>
        <w:t xml:space="preserve">            </w:t>
      </w:r>
      <w:r w:rsidR="00D51C98" w:rsidRPr="00B9242E">
        <w:rPr>
          <w:rFonts w:eastAsia="MS Mincho" w:cs="Arial"/>
          <w:sz w:val="20"/>
          <w:szCs w:val="20"/>
          <w:lang w:val="it-IT" w:eastAsia="ja-JP"/>
        </w:rPr>
        <w:t>Fonte: RSS, UST</w:t>
      </w:r>
    </w:p>
    <w:p w:rsidR="00D51C98" w:rsidRPr="001C627C" w:rsidRDefault="00D51C98" w:rsidP="00D51C98">
      <w:pPr>
        <w:jc w:val="left"/>
        <w:rPr>
          <w:rFonts w:eastAsia="MS Mincho" w:cs="Arial"/>
          <w:szCs w:val="24"/>
          <w:lang w:val="it-IT" w:eastAsia="ja-JP"/>
        </w:rPr>
      </w:pP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 xml:space="preserve">Altro segnale molto preoccupante di un dumping salariale estremamente diffuso sono i contratti normali di lavoro (CNL) ex art. 360a e segg. CO, una delle tre misure di accompagnamento alla libera circolazione. I contratti normali di lavoro sono imposti dall'autorità competente (il Consiglio di Stato) qualora "in un ramo o in una professione vengano ripetutamente e abusivamente offerti salari inferiori a quelli usuali" (art. 360a CO) e non vi sia un contratto collettivo. In caso sia accertato un dumping ripetuto nel tempo in un determinato settore, possono dunque essere emanati contratti normali di lavoro che stabiliscono salari minimi vincolanti validi per l’intero ramo e modificabili solamente a vantaggio del lavoratore. Anche qui il Ticino rappresenta un'anomalia rispetto al resto della Svizzera: da noi i CNL in vigore sono ben 16 (e i salari minimi sono inferiori ai 20 franchi l'ora, tanto che si è parlato di "dumping di </w:t>
      </w:r>
      <w:r>
        <w:rPr>
          <w:rFonts w:eastAsia="MS Mincho" w:cs="Arial"/>
          <w:szCs w:val="24"/>
          <w:lang w:val="it-IT" w:eastAsia="ja-JP"/>
        </w:rPr>
        <w:t>S</w:t>
      </w:r>
      <w:r w:rsidRPr="001C627C">
        <w:rPr>
          <w:rFonts w:eastAsia="MS Mincho" w:cs="Arial"/>
          <w:szCs w:val="24"/>
          <w:lang w:val="it-IT" w:eastAsia="ja-JP"/>
        </w:rPr>
        <w:t>tato"). In tutto il resto della Svizzera</w:t>
      </w:r>
      <w:r>
        <w:rPr>
          <w:rFonts w:eastAsia="MS Mincho" w:cs="Arial"/>
          <w:szCs w:val="24"/>
          <w:lang w:val="it-IT" w:eastAsia="ja-JP"/>
        </w:rPr>
        <w:t>,</w:t>
      </w:r>
      <w:r w:rsidRPr="001C627C">
        <w:rPr>
          <w:rFonts w:eastAsia="MS Mincho" w:cs="Arial"/>
          <w:szCs w:val="24"/>
          <w:lang w:val="it-IT" w:eastAsia="ja-JP"/>
        </w:rPr>
        <w:t xml:space="preserve"> in total</w:t>
      </w:r>
      <w:r>
        <w:rPr>
          <w:rFonts w:eastAsia="MS Mincho" w:cs="Arial"/>
          <w:szCs w:val="24"/>
          <w:lang w:val="it-IT" w:eastAsia="ja-JP"/>
        </w:rPr>
        <w:t>e,</w:t>
      </w:r>
      <w:r w:rsidRPr="001C627C">
        <w:rPr>
          <w:rFonts w:eastAsia="MS Mincho" w:cs="Arial"/>
          <w:szCs w:val="24"/>
          <w:lang w:val="it-IT" w:eastAsia="ja-JP"/>
        </w:rPr>
        <w:t xml:space="preserve"> vi sono unicamente 8 CNL. </w:t>
      </w:r>
    </w:p>
    <w:p w:rsidR="00D51C98" w:rsidRPr="00CA3EAD" w:rsidRDefault="00D51C98" w:rsidP="00D51C98">
      <w:pPr>
        <w:spacing w:before="120"/>
        <w:jc w:val="left"/>
        <w:rPr>
          <w:rFonts w:eastAsia="MS Mincho" w:cs="Arial"/>
          <w:b/>
          <w:sz w:val="22"/>
          <w:lang w:val="it-IT" w:eastAsia="ja-JP"/>
        </w:rPr>
      </w:pPr>
      <w:r w:rsidRPr="00CA3EAD">
        <w:rPr>
          <w:rFonts w:eastAsia="MS Mincho" w:cs="Arial"/>
          <w:b/>
          <w:sz w:val="22"/>
          <w:lang w:val="it-IT" w:eastAsia="ja-JP"/>
        </w:rPr>
        <w:t>(Allegato 3: tabella riassuntiva dei CNL in Ticino).</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 xml:space="preserve">È una novità l'evidente crescita della sottoccupazione, da intendere come crescita dei sottoccupati scontenti: persone che lavorano a tempo parziale non per scelta propria, bensì del datore di lavoro (che magari risparmia </w:t>
      </w:r>
      <w:r w:rsidR="00C9414A">
        <w:rPr>
          <w:rFonts w:eastAsia="MS Mincho" w:cs="Arial"/>
          <w:szCs w:val="24"/>
          <w:lang w:val="it-IT" w:eastAsia="ja-JP"/>
        </w:rPr>
        <w:t xml:space="preserve">in tal modo </w:t>
      </w:r>
      <w:r w:rsidRPr="001C627C">
        <w:rPr>
          <w:rFonts w:eastAsia="MS Mincho" w:cs="Arial"/>
          <w:szCs w:val="24"/>
          <w:lang w:val="it-IT" w:eastAsia="ja-JP"/>
        </w:rPr>
        <w:t>sui contributi</w:t>
      </w:r>
      <w:r w:rsidR="00C9414A">
        <w:rPr>
          <w:rFonts w:eastAsia="MS Mincho" w:cs="Arial"/>
          <w:szCs w:val="24"/>
          <w:lang w:val="it-IT" w:eastAsia="ja-JP"/>
        </w:rPr>
        <w:t xml:space="preserve"> previdenziali</w:t>
      </w:r>
      <w:r w:rsidRPr="001C627C">
        <w:rPr>
          <w:rFonts w:eastAsia="MS Mincho" w:cs="Arial"/>
          <w:szCs w:val="24"/>
          <w:lang w:val="it-IT" w:eastAsia="ja-JP"/>
        </w:rPr>
        <w:t>). Un'ulteriore fonte di precariato che indebolisce il tessuto economico e sociale del nostro Cantone.</w:t>
      </w:r>
    </w:p>
    <w:p w:rsidR="00D51C98" w:rsidRPr="00CA3EAD" w:rsidRDefault="00D51C98" w:rsidP="00D51C98">
      <w:pPr>
        <w:spacing w:before="120"/>
        <w:jc w:val="left"/>
        <w:rPr>
          <w:rFonts w:eastAsia="MS Mincho" w:cs="Arial"/>
          <w:b/>
          <w:sz w:val="22"/>
          <w:lang w:val="it-IT" w:eastAsia="ja-JP"/>
        </w:rPr>
      </w:pPr>
      <w:r w:rsidRPr="00CA3EAD">
        <w:rPr>
          <w:rFonts w:eastAsia="MS Mincho" w:cs="Arial"/>
          <w:b/>
          <w:sz w:val="22"/>
          <w:lang w:val="it-IT" w:eastAsia="ja-JP"/>
        </w:rPr>
        <w:t>(Allegato 4: tabella e grafici relativi alla sottoccupazione).</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Ma non basta. A tutto questo scenario andrebbero ancora aggiunti i numerosi e crescenti casi di persone in assistenza. E l'inquietante moltiplicarsi delle agenzie interinali, dove trovano lavoro i "frontalieri dei frontalieri", cioè coloro che vanno a fare concorrenza al ribasso persino ai frontalieri.</w:t>
      </w:r>
    </w:p>
    <w:p w:rsidR="00D51C98" w:rsidRPr="001C627C" w:rsidRDefault="00D51C98" w:rsidP="00D51C98">
      <w:pPr>
        <w:spacing w:before="120"/>
        <w:rPr>
          <w:rFonts w:eastAsia="MS Mincho" w:cs="Arial"/>
          <w:szCs w:val="24"/>
          <w:lang w:val="it-IT" w:eastAsia="ja-JP"/>
        </w:rPr>
      </w:pPr>
      <w:r>
        <w:rPr>
          <w:rFonts w:eastAsia="MS Mincho" w:cs="Arial"/>
          <w:szCs w:val="24"/>
          <w:lang w:val="it-IT" w:eastAsia="ja-JP"/>
        </w:rPr>
        <w:t>O</w:t>
      </w:r>
      <w:r w:rsidRPr="001C627C">
        <w:rPr>
          <w:rFonts w:eastAsia="MS Mincho" w:cs="Arial"/>
          <w:szCs w:val="24"/>
          <w:lang w:val="it-IT" w:eastAsia="ja-JP"/>
        </w:rPr>
        <w:t xml:space="preserve">ltre al raddoppio del numero di frontalieri tra il 2002 e il 2016, più volte ricordato, è importante valutare come si configura la presenza di lavoratori frontalieri nei diversi settori dell'economia ticinese. </w:t>
      </w:r>
    </w:p>
    <w:p w:rsidR="00D51C98" w:rsidRPr="00B9242E" w:rsidRDefault="00D51C98" w:rsidP="00D51C98">
      <w:pPr>
        <w:jc w:val="left"/>
        <w:rPr>
          <w:rFonts w:eastAsia="MS Mincho" w:cs="Arial"/>
          <w:b/>
          <w:sz w:val="28"/>
          <w:szCs w:val="28"/>
          <w:u w:val="single"/>
          <w:lang w:val="it-IT" w:eastAsia="ja-JP"/>
        </w:rPr>
      </w:pPr>
    </w:p>
    <w:p w:rsidR="00D51C98" w:rsidRPr="00B9242E" w:rsidRDefault="00D51C98" w:rsidP="00D51C98">
      <w:pPr>
        <w:jc w:val="left"/>
        <w:rPr>
          <w:rFonts w:eastAsia="MS Mincho" w:cs="Arial"/>
          <w:sz w:val="23"/>
          <w:szCs w:val="23"/>
          <w:lang w:val="it-IT" w:eastAsia="ja-JP"/>
        </w:rPr>
      </w:pPr>
      <w:r w:rsidRPr="00B9242E">
        <w:rPr>
          <w:rFonts w:eastAsia="MS Mincho" w:cs="Arial"/>
          <w:b/>
          <w:sz w:val="23"/>
          <w:szCs w:val="23"/>
          <w:lang w:val="it-IT" w:eastAsia="ja-JP"/>
        </w:rPr>
        <w:t>Frontalieri</w:t>
      </w:r>
    </w:p>
    <w:p w:rsidR="00D51C98" w:rsidRPr="00B9242E" w:rsidRDefault="00D51C98" w:rsidP="00D51C98">
      <w:pPr>
        <w:jc w:val="left"/>
        <w:rPr>
          <w:rFonts w:ascii="Times New Roman" w:eastAsia="MS Mincho" w:hAnsi="Times New Roman"/>
          <w:noProof/>
          <w:sz w:val="16"/>
          <w:szCs w:val="16"/>
          <w:lang w:val="it-IT" w:eastAsia="it-CH"/>
        </w:rPr>
      </w:pPr>
    </w:p>
    <w:p w:rsidR="00D51C98" w:rsidRPr="001C627C" w:rsidRDefault="00D51C98" w:rsidP="00D51C98">
      <w:pPr>
        <w:jc w:val="center"/>
        <w:rPr>
          <w:rFonts w:ascii="Times New Roman" w:eastAsia="MS Mincho" w:hAnsi="Times New Roman"/>
          <w:szCs w:val="24"/>
          <w:lang w:val="it-IT" w:eastAsia="ja-JP"/>
        </w:rPr>
      </w:pPr>
      <w:r w:rsidRPr="001C627C">
        <w:rPr>
          <w:rFonts w:ascii="Times New Roman" w:eastAsia="MS Mincho" w:hAnsi="Times New Roman"/>
          <w:noProof/>
          <w:szCs w:val="24"/>
          <w:lang w:eastAsia="it-CH"/>
        </w:rPr>
        <w:drawing>
          <wp:inline distT="0" distB="0" distL="0" distR="0" wp14:anchorId="19481BFB" wp14:editId="7E661B16">
            <wp:extent cx="4286250" cy="2362200"/>
            <wp:effectExtent l="0" t="0" r="0" b="0"/>
            <wp:docPr id="14"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362200"/>
                    </a:xfrm>
                    <a:prstGeom prst="rect">
                      <a:avLst/>
                    </a:prstGeom>
                    <a:noFill/>
                    <a:ln>
                      <a:noFill/>
                    </a:ln>
                  </pic:spPr>
                </pic:pic>
              </a:graphicData>
            </a:graphic>
          </wp:inline>
        </w:drawing>
      </w:r>
    </w:p>
    <w:p w:rsidR="00D51C98" w:rsidRPr="001C627C" w:rsidRDefault="00D51C98" w:rsidP="00D51C98">
      <w:pPr>
        <w:jc w:val="left"/>
        <w:rPr>
          <w:rFonts w:ascii="Times New Roman" w:eastAsia="MS Mincho" w:hAnsi="Times New Roman"/>
          <w:szCs w:val="24"/>
          <w:lang w:val="it-IT" w:eastAsia="ja-JP"/>
        </w:rPr>
      </w:pPr>
    </w:p>
    <w:p w:rsidR="00D51C98" w:rsidRPr="001C627C" w:rsidRDefault="00D51C98" w:rsidP="00D51C98">
      <w:pPr>
        <w:jc w:val="left"/>
        <w:rPr>
          <w:rFonts w:ascii="Times New Roman" w:eastAsia="MS Mincho" w:hAnsi="Times New Roman"/>
          <w:szCs w:val="24"/>
          <w:lang w:val="it-IT" w:eastAsia="ja-JP"/>
        </w:rPr>
      </w:pPr>
      <w:r w:rsidRPr="001C627C">
        <w:rPr>
          <w:rFonts w:ascii="Times New Roman" w:eastAsia="MS Mincho" w:hAnsi="Times New Roman"/>
          <w:noProof/>
          <w:szCs w:val="24"/>
          <w:lang w:eastAsia="it-CH"/>
        </w:rPr>
        <w:drawing>
          <wp:inline distT="0" distB="0" distL="0" distR="0" wp14:anchorId="2E2A0FF5" wp14:editId="1EB2F250">
            <wp:extent cx="2895600" cy="1924050"/>
            <wp:effectExtent l="0" t="0" r="0" b="0"/>
            <wp:docPr id="15"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0" cy="1924050"/>
                    </a:xfrm>
                    <a:prstGeom prst="rect">
                      <a:avLst/>
                    </a:prstGeom>
                    <a:noFill/>
                    <a:ln>
                      <a:noFill/>
                    </a:ln>
                  </pic:spPr>
                </pic:pic>
              </a:graphicData>
            </a:graphic>
          </wp:inline>
        </w:drawing>
      </w:r>
      <w:r w:rsidRPr="001C627C">
        <w:rPr>
          <w:rFonts w:ascii="Times New Roman" w:eastAsia="MS Mincho" w:hAnsi="Times New Roman"/>
          <w:noProof/>
          <w:szCs w:val="24"/>
          <w:lang w:eastAsia="it-CH"/>
        </w:rPr>
        <w:drawing>
          <wp:inline distT="0" distB="0" distL="0" distR="0" wp14:anchorId="5206A567" wp14:editId="64043F0D">
            <wp:extent cx="2895600" cy="1924050"/>
            <wp:effectExtent l="0" t="0" r="0" b="0"/>
            <wp:docPr id="16"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5600" cy="1924050"/>
                    </a:xfrm>
                    <a:prstGeom prst="rect">
                      <a:avLst/>
                    </a:prstGeom>
                    <a:noFill/>
                    <a:ln>
                      <a:noFill/>
                    </a:ln>
                  </pic:spPr>
                </pic:pic>
              </a:graphicData>
            </a:graphic>
          </wp:inline>
        </w:drawing>
      </w:r>
    </w:p>
    <w:p w:rsidR="00D51C98" w:rsidRPr="001C627C" w:rsidRDefault="00D51C98" w:rsidP="00D51C98">
      <w:pPr>
        <w:jc w:val="left"/>
        <w:rPr>
          <w:rFonts w:eastAsia="MS Mincho" w:cs="Arial"/>
          <w:szCs w:val="24"/>
          <w:lang w:val="it-IT" w:eastAsia="ja-JP"/>
        </w:rPr>
      </w:pPr>
    </w:p>
    <w:p w:rsidR="00D51C98" w:rsidRPr="001C627C" w:rsidRDefault="00D51C98" w:rsidP="00D51C98">
      <w:pPr>
        <w:spacing w:before="120"/>
        <w:jc w:val="left"/>
        <w:rPr>
          <w:rFonts w:eastAsia="MS Mincho" w:cs="Arial"/>
          <w:szCs w:val="24"/>
          <w:lang w:val="it-IT" w:eastAsia="ja-JP"/>
        </w:rPr>
      </w:pPr>
      <w:r w:rsidRPr="001C627C">
        <w:rPr>
          <w:rFonts w:eastAsia="MS Mincho" w:cs="Arial"/>
          <w:szCs w:val="24"/>
          <w:lang w:val="it-IT" w:eastAsia="ja-JP"/>
        </w:rPr>
        <w:t xml:space="preserve">Per il settore primario la situazione è rimasta stabile: si è passati da 0,7% nel 2002 a 0,8% nel 2016, con un aumento di 291 unità. </w:t>
      </w:r>
    </w:p>
    <w:p w:rsidR="00D51C98" w:rsidRPr="001C627C" w:rsidRDefault="00D51C98" w:rsidP="00D51C98">
      <w:pPr>
        <w:spacing w:before="120"/>
        <w:jc w:val="left"/>
        <w:rPr>
          <w:rFonts w:eastAsia="MS Mincho" w:cs="Arial"/>
          <w:szCs w:val="24"/>
          <w:lang w:val="it-IT" w:eastAsia="ja-JP"/>
        </w:rPr>
      </w:pPr>
      <w:r w:rsidRPr="001C627C">
        <w:rPr>
          <w:rFonts w:eastAsia="MS Mincho" w:cs="Arial"/>
          <w:szCs w:val="24"/>
          <w:lang w:val="it-IT" w:eastAsia="ja-JP"/>
        </w:rPr>
        <w:t>Ben diversa l'evoluzione negli altri settori.</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 xml:space="preserve">Mentre nel 2002 la maggior parte dei frontalieri lavorava nel settore secondario (il 56,7%, a fronte di un 42,6% attivo nel terziario), nel 2016 i rapporti sono invertiti: quasi due frontalieri su tre lavorano nel terziario (61,6%), poco più di uno su tre lavora nel secondario (37,6%). </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E in valori assoluti nel terziario si è passati da 13'390 unità nel 2002 a 38'336 nel 2016: i frontalieri nel terziario sono triplicati (+186%); mentre vi è stato "solo" un +31% nel secondario.</w:t>
      </w:r>
    </w:p>
    <w:p w:rsidR="00D51C98" w:rsidRDefault="00D51C98" w:rsidP="00B9242E">
      <w:pPr>
        <w:rPr>
          <w:rFonts w:eastAsia="MS Mincho" w:cs="Arial"/>
          <w:szCs w:val="24"/>
          <w:lang w:val="it-IT" w:eastAsia="ja-JP"/>
        </w:rPr>
      </w:pPr>
      <w:r w:rsidRPr="001C627C">
        <w:rPr>
          <w:rFonts w:eastAsia="MS Mincho" w:cs="Arial"/>
          <w:szCs w:val="24"/>
          <w:lang w:val="it-IT" w:eastAsia="ja-JP"/>
        </w:rPr>
        <w:t>Non è necessario ricordare che quelli nel terziario sono lavori che tradizionalmente i residenti in Ticino non hanno mai disdegnato. Né è possibile invocare una lacuna nella formazione che coinvolga numeri così grandi e tali varietà d'impieghi.</w:t>
      </w:r>
      <w:r w:rsidR="00C9414A">
        <w:rPr>
          <w:rFonts w:eastAsia="MS Mincho" w:cs="Arial"/>
          <w:szCs w:val="24"/>
          <w:lang w:val="it-IT" w:eastAsia="ja-JP"/>
        </w:rPr>
        <w:t xml:space="preserve"> </w:t>
      </w:r>
      <w:r w:rsidRPr="00C74FDD">
        <w:rPr>
          <w:rFonts w:eastAsia="MS Mincho" w:cs="Arial"/>
          <w:szCs w:val="24"/>
          <w:lang w:val="it-IT" w:eastAsia="ja-JP"/>
        </w:rPr>
        <w:t>La spiegazione è una e una sola: la concorrenzialità a</w:t>
      </w:r>
      <w:r w:rsidR="00C9414A">
        <w:rPr>
          <w:rFonts w:eastAsia="MS Mincho" w:cs="Arial"/>
          <w:szCs w:val="24"/>
          <w:lang w:val="it-IT" w:eastAsia="ja-JP"/>
        </w:rPr>
        <w:t>l ribasso sul salario, cioè il ben noto</w:t>
      </w:r>
      <w:r w:rsidRPr="00C74FDD">
        <w:rPr>
          <w:rFonts w:eastAsia="MS Mincho" w:cs="Arial"/>
          <w:szCs w:val="24"/>
          <w:lang w:val="it-IT" w:eastAsia="ja-JP"/>
        </w:rPr>
        <w:t xml:space="preserve"> "effetto sostituzione".</w:t>
      </w:r>
    </w:p>
    <w:p w:rsidR="00B9242E" w:rsidRPr="00B9242E" w:rsidRDefault="00B9242E" w:rsidP="00B9242E">
      <w:pPr>
        <w:rPr>
          <w:rFonts w:cs="Arial"/>
          <w:spacing w:val="2"/>
          <w:szCs w:val="24"/>
          <w:lang w:val="it-IT" w:eastAsia="it-IT"/>
        </w:rPr>
      </w:pPr>
    </w:p>
    <w:p w:rsidR="00D51C98" w:rsidRPr="006946CE" w:rsidRDefault="00D51C98" w:rsidP="00B9242E">
      <w:pPr>
        <w:pStyle w:val="Titolo3"/>
      </w:pPr>
      <w:r w:rsidRPr="006946CE">
        <w:t>4.3</w:t>
      </w:r>
      <w:r w:rsidR="00CA3EAD">
        <w:tab/>
      </w:r>
      <w:r w:rsidRPr="006946CE">
        <w:t>Preavviso della Commissione speciale sulla proposta di iniziativa cantonale</w:t>
      </w:r>
    </w:p>
    <w:p w:rsidR="00D51C98" w:rsidRDefault="00D51C98" w:rsidP="00D51C98">
      <w:pPr>
        <w:tabs>
          <w:tab w:val="left" w:pos="284"/>
        </w:tabs>
        <w:contextualSpacing/>
        <w:rPr>
          <w:rFonts w:cs="Arial"/>
          <w:spacing w:val="2"/>
          <w:szCs w:val="24"/>
          <w:lang w:val="it-IT" w:eastAsia="it-IT"/>
        </w:rPr>
      </w:pPr>
      <w:r>
        <w:rPr>
          <w:rFonts w:cs="Arial"/>
          <w:spacing w:val="2"/>
          <w:szCs w:val="24"/>
          <w:lang w:val="it-IT" w:eastAsia="it-IT"/>
        </w:rPr>
        <w:t>Alla luce delle considerazioni suesposte, l</w:t>
      </w:r>
      <w:r w:rsidRPr="00F947B2">
        <w:rPr>
          <w:rFonts w:cs="Arial"/>
          <w:spacing w:val="2"/>
          <w:szCs w:val="24"/>
          <w:lang w:val="it-IT" w:eastAsia="it-IT"/>
        </w:rPr>
        <w:t>a Commissione speciale aderisce</w:t>
      </w:r>
      <w:r>
        <w:rPr>
          <w:rFonts w:cs="Arial"/>
          <w:spacing w:val="2"/>
          <w:szCs w:val="24"/>
          <w:lang w:val="it-IT" w:eastAsia="it-IT"/>
        </w:rPr>
        <w:t xml:space="preserve"> </w:t>
      </w:r>
      <w:r w:rsidRPr="00F947B2">
        <w:rPr>
          <w:rFonts w:cs="Arial"/>
          <w:spacing w:val="2"/>
          <w:szCs w:val="24"/>
          <w:lang w:val="it-IT" w:eastAsia="it-IT"/>
        </w:rPr>
        <w:t>all</w:t>
      </w:r>
      <w:r>
        <w:rPr>
          <w:rFonts w:cs="Arial"/>
          <w:spacing w:val="2"/>
          <w:szCs w:val="24"/>
          <w:lang w:val="it-IT" w:eastAsia="it-IT"/>
        </w:rPr>
        <w:t>a proposta d</w:t>
      </w:r>
      <w:r w:rsidRPr="00F947B2">
        <w:rPr>
          <w:rFonts w:cs="Arial"/>
          <w:spacing w:val="2"/>
          <w:szCs w:val="24"/>
          <w:lang w:val="it-IT" w:eastAsia="it-IT"/>
        </w:rPr>
        <w:t>'iniziativa cantonale del deputato Matteo Pronzini</w:t>
      </w:r>
      <w:r>
        <w:rPr>
          <w:rFonts w:cs="Arial"/>
          <w:spacing w:val="2"/>
          <w:szCs w:val="24"/>
          <w:lang w:val="it-IT" w:eastAsia="it-IT"/>
        </w:rPr>
        <w:t>, invitando il Gran Consiglio ad accoglierla limitatamente al punto I (disdetta abusiva per sostituzione e dumping salariale), ritenuto come invece il punto II (nullità della disdetta) non sia sorretto da ragioni giuridiche</w:t>
      </w:r>
      <w:r w:rsidRPr="00645DAF">
        <w:rPr>
          <w:rFonts w:cs="Arial"/>
          <w:spacing w:val="2"/>
          <w:szCs w:val="24"/>
          <w:lang w:val="it-IT" w:eastAsia="it-IT"/>
        </w:rPr>
        <w:t xml:space="preserve"> </w:t>
      </w:r>
      <w:r>
        <w:rPr>
          <w:rFonts w:cs="Arial"/>
          <w:spacing w:val="2"/>
          <w:szCs w:val="24"/>
          <w:lang w:val="it-IT" w:eastAsia="it-IT"/>
        </w:rPr>
        <w:t xml:space="preserve">sufficienti a modificare la </w:t>
      </w:r>
      <w:r w:rsidRPr="006946CE">
        <w:rPr>
          <w:rFonts w:cs="Arial"/>
          <w:i/>
          <w:spacing w:val="2"/>
          <w:szCs w:val="24"/>
          <w:lang w:val="it-IT" w:eastAsia="it-IT"/>
        </w:rPr>
        <w:t xml:space="preserve">ratio </w:t>
      </w:r>
      <w:proofErr w:type="spellStart"/>
      <w:r w:rsidRPr="006946CE">
        <w:rPr>
          <w:rFonts w:cs="Arial"/>
          <w:i/>
          <w:spacing w:val="2"/>
          <w:szCs w:val="24"/>
          <w:lang w:val="it-IT" w:eastAsia="it-IT"/>
        </w:rPr>
        <w:t>legis</w:t>
      </w:r>
      <w:proofErr w:type="spellEnd"/>
      <w:r>
        <w:rPr>
          <w:rFonts w:cs="Arial"/>
          <w:spacing w:val="2"/>
          <w:szCs w:val="24"/>
          <w:lang w:val="it-IT" w:eastAsia="it-IT"/>
        </w:rPr>
        <w:t xml:space="preserve"> dell'art. 336c CO.</w:t>
      </w:r>
    </w:p>
    <w:p w:rsidR="00D51C98" w:rsidRDefault="00D51C98" w:rsidP="00D51C98">
      <w:pPr>
        <w:tabs>
          <w:tab w:val="left" w:pos="284"/>
        </w:tabs>
        <w:contextualSpacing/>
        <w:jc w:val="left"/>
        <w:rPr>
          <w:rFonts w:cs="Arial"/>
          <w:spacing w:val="2"/>
          <w:szCs w:val="24"/>
          <w:lang w:val="it-IT" w:eastAsia="it-IT"/>
        </w:rPr>
      </w:pPr>
    </w:p>
    <w:p w:rsidR="00D51C98" w:rsidRDefault="00D51C98" w:rsidP="00D51C98">
      <w:pPr>
        <w:tabs>
          <w:tab w:val="left" w:pos="284"/>
        </w:tabs>
        <w:contextualSpacing/>
        <w:rPr>
          <w:rFonts w:cs="Arial"/>
          <w:spacing w:val="2"/>
          <w:szCs w:val="24"/>
          <w:lang w:eastAsia="it-IT"/>
        </w:rPr>
      </w:pPr>
      <w:r>
        <w:rPr>
          <w:rFonts w:cs="Arial"/>
          <w:spacing w:val="2"/>
          <w:szCs w:val="24"/>
          <w:lang w:val="it-IT" w:eastAsia="it-IT"/>
        </w:rPr>
        <w:t>Infatti, n</w:t>
      </w:r>
      <w:proofErr w:type="spellStart"/>
      <w:r w:rsidRPr="00B952DA">
        <w:rPr>
          <w:rFonts w:cs="Arial"/>
          <w:spacing w:val="2"/>
          <w:szCs w:val="24"/>
          <w:lang w:eastAsia="it-IT"/>
        </w:rPr>
        <w:t>el</w:t>
      </w:r>
      <w:proofErr w:type="spellEnd"/>
      <w:r w:rsidRPr="00B952DA">
        <w:rPr>
          <w:rFonts w:cs="Arial"/>
          <w:spacing w:val="2"/>
          <w:szCs w:val="24"/>
          <w:lang w:eastAsia="it-IT"/>
        </w:rPr>
        <w:t xml:space="preserve"> caso di disdetta abusiva, la legge prevede</w:t>
      </w:r>
      <w:r>
        <w:rPr>
          <w:rFonts w:cs="Arial"/>
          <w:spacing w:val="2"/>
          <w:szCs w:val="24"/>
          <w:lang w:eastAsia="it-IT"/>
        </w:rPr>
        <w:t>,</w:t>
      </w:r>
      <w:r w:rsidRPr="00B952DA">
        <w:rPr>
          <w:rFonts w:cs="Arial"/>
          <w:spacing w:val="2"/>
          <w:szCs w:val="24"/>
          <w:lang w:eastAsia="it-IT"/>
        </w:rPr>
        <w:t xml:space="preserve"> quale sanzione</w:t>
      </w:r>
      <w:r>
        <w:rPr>
          <w:rFonts w:cs="Arial"/>
          <w:spacing w:val="2"/>
          <w:szCs w:val="24"/>
          <w:lang w:eastAsia="it-IT"/>
        </w:rPr>
        <w:t>,</w:t>
      </w:r>
      <w:r w:rsidRPr="00B952DA">
        <w:rPr>
          <w:rFonts w:cs="Arial"/>
          <w:spacing w:val="2"/>
          <w:szCs w:val="24"/>
          <w:lang w:eastAsia="it-IT"/>
        </w:rPr>
        <w:t xml:space="preserve"> che la parte in torto versi all'altra un'indennità (art. 336a CO)</w:t>
      </w:r>
      <w:r>
        <w:rPr>
          <w:rFonts w:cs="Arial"/>
          <w:spacing w:val="2"/>
          <w:szCs w:val="24"/>
          <w:lang w:eastAsia="it-IT"/>
        </w:rPr>
        <w:t xml:space="preserve">. </w:t>
      </w:r>
      <w:r w:rsidRPr="00B952DA">
        <w:rPr>
          <w:rFonts w:cs="Arial"/>
          <w:spacing w:val="2"/>
          <w:szCs w:val="24"/>
          <w:lang w:eastAsia="it-IT"/>
        </w:rPr>
        <w:t xml:space="preserve">La nullità della disdetta è </w:t>
      </w:r>
      <w:r>
        <w:rPr>
          <w:rFonts w:cs="Arial"/>
          <w:spacing w:val="2"/>
          <w:szCs w:val="24"/>
          <w:lang w:eastAsia="it-IT"/>
        </w:rPr>
        <w:t xml:space="preserve">sancita come </w:t>
      </w:r>
      <w:r w:rsidRPr="00B952DA">
        <w:rPr>
          <w:rFonts w:cs="Arial"/>
          <w:spacing w:val="2"/>
          <w:szCs w:val="24"/>
          <w:lang w:eastAsia="it-IT"/>
        </w:rPr>
        <w:t xml:space="preserve">conseguenza unicamente nell'ipotesi di disdetta data in tempo inopportuno (art. 336c CO). Essa riguarda licenziamenti durante un periodo di servizio militare o civile, di malattia o infortunio (entro certi limiti temporali) o durante la gravidanza e nelle 16 settimane dopo il parto. </w:t>
      </w:r>
      <w:r>
        <w:rPr>
          <w:rFonts w:cs="Arial"/>
          <w:spacing w:val="2"/>
          <w:szCs w:val="24"/>
          <w:lang w:eastAsia="it-IT"/>
        </w:rPr>
        <w:t>Questa nullità s</w:t>
      </w:r>
      <w:r w:rsidRPr="00B952DA">
        <w:rPr>
          <w:rFonts w:cs="Arial"/>
          <w:spacing w:val="2"/>
          <w:szCs w:val="24"/>
          <w:lang w:eastAsia="it-IT"/>
        </w:rPr>
        <w:t>ta</w:t>
      </w:r>
      <w:r>
        <w:rPr>
          <w:rFonts w:cs="Arial"/>
          <w:spacing w:val="2"/>
          <w:szCs w:val="24"/>
          <w:lang w:eastAsia="it-IT"/>
        </w:rPr>
        <w:t xml:space="preserve"> invero</w:t>
      </w:r>
      <w:r w:rsidRPr="00B952DA">
        <w:rPr>
          <w:rFonts w:cs="Arial"/>
          <w:spacing w:val="2"/>
          <w:szCs w:val="24"/>
          <w:lang w:eastAsia="it-IT"/>
        </w:rPr>
        <w:t xml:space="preserve"> a significare che, in determinati momenti "critici", il lavoratore e la lavoratrice devono essere p</w:t>
      </w:r>
      <w:r>
        <w:rPr>
          <w:rFonts w:cs="Arial"/>
          <w:spacing w:val="2"/>
          <w:szCs w:val="24"/>
          <w:lang w:eastAsia="it-IT"/>
        </w:rPr>
        <w:t>rotetti da una disdetta, ma la facoltà di licenziare</w:t>
      </w:r>
      <w:r w:rsidRPr="00B952DA">
        <w:rPr>
          <w:rFonts w:cs="Arial"/>
          <w:spacing w:val="2"/>
          <w:szCs w:val="24"/>
          <w:lang w:eastAsia="it-IT"/>
        </w:rPr>
        <w:t xml:space="preserve"> è </w:t>
      </w:r>
      <w:r>
        <w:rPr>
          <w:rFonts w:cs="Arial"/>
          <w:spacing w:val="2"/>
          <w:szCs w:val="24"/>
          <w:lang w:eastAsia="it-IT"/>
        </w:rPr>
        <w:t>soltanto</w:t>
      </w:r>
      <w:r w:rsidRPr="00B952DA">
        <w:rPr>
          <w:rFonts w:cs="Arial"/>
          <w:spacing w:val="2"/>
          <w:szCs w:val="24"/>
          <w:lang w:eastAsia="it-IT"/>
        </w:rPr>
        <w:t xml:space="preserve"> rinviat</w:t>
      </w:r>
      <w:r>
        <w:rPr>
          <w:rFonts w:cs="Arial"/>
          <w:spacing w:val="2"/>
          <w:szCs w:val="24"/>
          <w:lang w:eastAsia="it-IT"/>
        </w:rPr>
        <w:t>a</w:t>
      </w:r>
      <w:r w:rsidRPr="00B952DA">
        <w:rPr>
          <w:rFonts w:cs="Arial"/>
          <w:spacing w:val="2"/>
          <w:szCs w:val="24"/>
          <w:lang w:eastAsia="it-IT"/>
        </w:rPr>
        <w:t xml:space="preserve"> per un</w:t>
      </w:r>
      <w:r>
        <w:rPr>
          <w:rFonts w:cs="Arial"/>
          <w:spacing w:val="2"/>
          <w:szCs w:val="24"/>
          <w:lang w:eastAsia="it-IT"/>
        </w:rPr>
        <w:t xml:space="preserve"> certo periodo di tempo</w:t>
      </w:r>
      <w:r w:rsidRPr="00B952DA">
        <w:rPr>
          <w:rFonts w:cs="Arial"/>
          <w:spacing w:val="2"/>
          <w:szCs w:val="24"/>
          <w:lang w:eastAsia="it-IT"/>
        </w:rPr>
        <w:t>.</w:t>
      </w:r>
      <w:r>
        <w:rPr>
          <w:rFonts w:cs="Arial"/>
          <w:spacing w:val="2"/>
          <w:szCs w:val="24"/>
          <w:lang w:eastAsia="it-IT"/>
        </w:rPr>
        <w:t xml:space="preserve"> </w:t>
      </w:r>
      <w:r w:rsidRPr="00B952DA">
        <w:rPr>
          <w:rFonts w:cs="Arial"/>
          <w:spacing w:val="2"/>
          <w:szCs w:val="24"/>
          <w:lang w:eastAsia="it-IT"/>
        </w:rPr>
        <w:t xml:space="preserve">La Commissione reputa pertanto che la </w:t>
      </w:r>
      <w:r w:rsidRPr="00B952DA">
        <w:rPr>
          <w:rFonts w:cs="Arial"/>
          <w:i/>
          <w:iCs/>
          <w:spacing w:val="2"/>
          <w:szCs w:val="24"/>
          <w:lang w:eastAsia="it-IT"/>
        </w:rPr>
        <w:t xml:space="preserve">ratio </w:t>
      </w:r>
      <w:proofErr w:type="spellStart"/>
      <w:r w:rsidRPr="00B952DA">
        <w:rPr>
          <w:rFonts w:cs="Arial"/>
          <w:i/>
          <w:iCs/>
          <w:spacing w:val="2"/>
          <w:szCs w:val="24"/>
          <w:lang w:eastAsia="it-IT"/>
        </w:rPr>
        <w:t>legis</w:t>
      </w:r>
      <w:proofErr w:type="spellEnd"/>
      <w:r w:rsidRPr="00B952DA">
        <w:rPr>
          <w:rFonts w:cs="Arial"/>
          <w:spacing w:val="2"/>
          <w:szCs w:val="24"/>
          <w:lang w:eastAsia="it-IT"/>
        </w:rPr>
        <w:t xml:space="preserve"> non giustificherebbe una nullità della disdetta in caso di s</w:t>
      </w:r>
      <w:r>
        <w:rPr>
          <w:rFonts w:cs="Arial"/>
          <w:spacing w:val="2"/>
          <w:szCs w:val="24"/>
          <w:lang w:eastAsia="it-IT"/>
        </w:rPr>
        <w:t>ostituzione e dumping salariale, tanto più che non sembrerebbero comunque sussistere valide ragioni per riservare questa specifica conseguenza alla fattispecie in parola e non anche alle altre ipotesi di licenziamento abusivo. La soluzione adottata dal CO riguardo alle conseguenze delle disdette abusive intende stabilire un compromesso tra le esigenze della protezione dei lavoratori e delle lavoratrici, da un lato, e la libertà contrattuale, d’altro lato, che difficilmente giustificherebbe il mantenimento coattivo di un rapporto d’impiego al di là delle ipotesi di “tempo inopportuno” contemplate dall’art. 336 c CO.</w:t>
      </w:r>
    </w:p>
    <w:p w:rsidR="00D51C98" w:rsidRDefault="00D51C98" w:rsidP="00D51C98">
      <w:pPr>
        <w:tabs>
          <w:tab w:val="left" w:pos="284"/>
        </w:tabs>
        <w:contextualSpacing/>
        <w:rPr>
          <w:rFonts w:cs="Arial"/>
          <w:spacing w:val="2"/>
          <w:szCs w:val="24"/>
          <w:lang w:eastAsia="it-IT"/>
        </w:rPr>
      </w:pPr>
    </w:p>
    <w:p w:rsidR="00D51C98" w:rsidRDefault="00D51C98" w:rsidP="00D51C98">
      <w:pPr>
        <w:tabs>
          <w:tab w:val="left" w:pos="284"/>
        </w:tabs>
        <w:contextualSpacing/>
        <w:rPr>
          <w:rFonts w:cs="Arial"/>
          <w:spacing w:val="2"/>
          <w:szCs w:val="24"/>
          <w:lang w:eastAsia="it-IT"/>
        </w:rPr>
      </w:pPr>
      <w:r>
        <w:rPr>
          <w:rFonts w:cs="Arial"/>
          <w:spacing w:val="2"/>
          <w:szCs w:val="24"/>
          <w:lang w:eastAsia="it-IT"/>
        </w:rPr>
        <w:t>In conclusione, per le ragioni indicate, la Commissione speciale raccomanda al Gran Consiglio di approvare parzialmente la proposta d’iniziativa cantonale in esame, riformulandone come segue il dispositivo:</w:t>
      </w:r>
    </w:p>
    <w:p w:rsidR="00D51C98" w:rsidRDefault="00D51C98" w:rsidP="00D51C98">
      <w:pPr>
        <w:tabs>
          <w:tab w:val="left" w:pos="284"/>
        </w:tabs>
        <w:contextualSpacing/>
        <w:jc w:val="left"/>
        <w:rPr>
          <w:rFonts w:cs="Arial"/>
          <w:spacing w:val="2"/>
          <w:szCs w:val="24"/>
          <w:lang w:eastAsia="it-IT"/>
        </w:rPr>
      </w:pPr>
    </w:p>
    <w:p w:rsidR="00D51C98" w:rsidRPr="00CA3EAD" w:rsidRDefault="00D51C98" w:rsidP="00CA3EAD">
      <w:pPr>
        <w:tabs>
          <w:tab w:val="left" w:pos="993"/>
        </w:tabs>
        <w:ind w:left="567" w:right="566"/>
        <w:contextualSpacing/>
        <w:rPr>
          <w:rFonts w:cs="Arial"/>
          <w:i/>
          <w:spacing w:val="2"/>
          <w:sz w:val="22"/>
          <w:lang w:val="it-IT" w:eastAsia="it-IT"/>
        </w:rPr>
      </w:pPr>
      <w:r w:rsidRPr="00CA3EAD">
        <w:rPr>
          <w:rFonts w:cs="Arial"/>
          <w:i/>
          <w:spacing w:val="2"/>
          <w:sz w:val="22"/>
          <w:lang w:eastAsia="it-IT"/>
        </w:rPr>
        <w:t>Il Cantone Ticino chiede all’Assemblea federale di legiferare in materia di licenziamenti abusivi legati al dumping salariale. Nello specifico, chiede di completare l’art. 336 CO, sancendo che la</w:t>
      </w:r>
      <w:r w:rsidRPr="00CA3EAD">
        <w:rPr>
          <w:rFonts w:cs="Arial"/>
          <w:i/>
          <w:spacing w:val="2"/>
          <w:sz w:val="22"/>
          <w:lang w:val="it-IT" w:eastAsia="it-IT"/>
        </w:rPr>
        <w:t xml:space="preserve"> disdetta da parte del datore di lavoro è abusiva se data:</w:t>
      </w:r>
    </w:p>
    <w:p w:rsidR="00D51C98" w:rsidRPr="00CA3EAD" w:rsidRDefault="00D51C98" w:rsidP="00CA3EAD">
      <w:pPr>
        <w:tabs>
          <w:tab w:val="left" w:pos="993"/>
        </w:tabs>
        <w:ind w:left="567" w:right="566"/>
        <w:contextualSpacing/>
        <w:rPr>
          <w:rFonts w:cs="Arial"/>
          <w:i/>
          <w:spacing w:val="2"/>
          <w:sz w:val="12"/>
          <w:szCs w:val="12"/>
          <w:lang w:val="it-IT" w:eastAsia="it-IT"/>
        </w:rPr>
      </w:pPr>
    </w:p>
    <w:p w:rsidR="00D51C98" w:rsidRPr="00CA3EAD" w:rsidRDefault="00D51C98" w:rsidP="00CA3EAD">
      <w:pPr>
        <w:pStyle w:val="Paragrafoelenco"/>
        <w:numPr>
          <w:ilvl w:val="0"/>
          <w:numId w:val="6"/>
        </w:numPr>
        <w:tabs>
          <w:tab w:val="left" w:pos="993"/>
        </w:tabs>
        <w:ind w:left="993" w:right="566" w:hanging="426"/>
        <w:contextualSpacing/>
        <w:rPr>
          <w:rFonts w:cs="Arial"/>
          <w:i/>
          <w:spacing w:val="2"/>
          <w:sz w:val="22"/>
          <w:lang w:val="it-IT" w:eastAsia="it-IT"/>
        </w:rPr>
      </w:pPr>
      <w:r w:rsidRPr="00CA3EAD">
        <w:rPr>
          <w:rFonts w:cs="Arial"/>
          <w:i/>
          <w:spacing w:val="2"/>
          <w:sz w:val="22"/>
          <w:lang w:val="it-IT" w:eastAsia="it-IT"/>
        </w:rPr>
        <w:t>con l’obiettivo di sostituire il dipendente licenziato con un altro lavoratore che, a pari qualifiche, percepisce un salario inferiore; oppure</w:t>
      </w:r>
    </w:p>
    <w:p w:rsidR="00D51C98" w:rsidRPr="00CA3EAD" w:rsidRDefault="00D51C98" w:rsidP="00CA3EAD">
      <w:pPr>
        <w:pStyle w:val="Paragrafoelenco"/>
        <w:tabs>
          <w:tab w:val="left" w:pos="993"/>
        </w:tabs>
        <w:ind w:left="567" w:right="566"/>
        <w:contextualSpacing/>
        <w:rPr>
          <w:rFonts w:cs="Arial"/>
          <w:spacing w:val="2"/>
          <w:sz w:val="12"/>
          <w:szCs w:val="12"/>
          <w:lang w:eastAsia="it-IT"/>
        </w:rPr>
      </w:pPr>
    </w:p>
    <w:p w:rsidR="00D51C98" w:rsidRPr="00CA3EAD" w:rsidRDefault="00D51C98" w:rsidP="00CA3EAD">
      <w:pPr>
        <w:pStyle w:val="Paragrafoelenco"/>
        <w:numPr>
          <w:ilvl w:val="0"/>
          <w:numId w:val="6"/>
        </w:numPr>
        <w:tabs>
          <w:tab w:val="left" w:pos="993"/>
        </w:tabs>
        <w:ind w:left="993" w:right="566" w:hanging="426"/>
        <w:contextualSpacing/>
        <w:rPr>
          <w:rFonts w:cs="Arial"/>
          <w:i/>
          <w:spacing w:val="2"/>
          <w:sz w:val="22"/>
          <w:lang w:val="it-IT" w:eastAsia="it-IT"/>
        </w:rPr>
      </w:pPr>
      <w:r w:rsidRPr="00CA3EAD">
        <w:rPr>
          <w:rFonts w:cs="Arial"/>
          <w:i/>
          <w:spacing w:val="2"/>
          <w:sz w:val="22"/>
          <w:lang w:val="it-IT" w:eastAsia="it-IT"/>
        </w:rPr>
        <w:t>per il rifiuto del dipendente di accettare sensibili riduzioni di salario a causa di un forte afflusso di manodopera sul mercato del lavoro (dumping salariale).</w:t>
      </w:r>
    </w:p>
    <w:p w:rsidR="00D51C98" w:rsidRPr="00CA3EAD" w:rsidRDefault="00D51C98" w:rsidP="00CA3EAD">
      <w:pPr>
        <w:tabs>
          <w:tab w:val="left" w:pos="284"/>
        </w:tabs>
        <w:contextualSpacing/>
        <w:jc w:val="left"/>
        <w:rPr>
          <w:rFonts w:cs="Arial"/>
          <w:spacing w:val="2"/>
          <w:szCs w:val="24"/>
          <w:lang w:eastAsia="it-IT"/>
        </w:rPr>
      </w:pPr>
    </w:p>
    <w:p w:rsidR="00D51C98" w:rsidRDefault="00D51C98" w:rsidP="00CA3EAD">
      <w:pPr>
        <w:tabs>
          <w:tab w:val="left" w:pos="284"/>
        </w:tabs>
        <w:contextualSpacing/>
        <w:jc w:val="left"/>
        <w:rPr>
          <w:rFonts w:cs="Arial"/>
          <w:spacing w:val="2"/>
          <w:szCs w:val="24"/>
          <w:lang w:val="it-IT" w:eastAsia="it-IT"/>
        </w:rPr>
      </w:pPr>
    </w:p>
    <w:p w:rsidR="00CA3EAD" w:rsidRPr="004E2A6D" w:rsidRDefault="00CA3EAD" w:rsidP="00CA3EAD">
      <w:pPr>
        <w:tabs>
          <w:tab w:val="left" w:pos="284"/>
        </w:tabs>
        <w:contextualSpacing/>
        <w:jc w:val="left"/>
        <w:rPr>
          <w:rFonts w:cs="Arial"/>
          <w:spacing w:val="2"/>
          <w:szCs w:val="24"/>
          <w:lang w:val="it-IT" w:eastAsia="it-IT"/>
        </w:rPr>
      </w:pPr>
    </w:p>
    <w:p w:rsidR="00D51C98" w:rsidRPr="009D0963" w:rsidRDefault="00D51C98" w:rsidP="003F058C">
      <w:pPr>
        <w:pStyle w:val="Titolo1"/>
      </w:pPr>
      <w:r>
        <w:t xml:space="preserve">BILANCIO E cONCLUSIONI </w:t>
      </w:r>
    </w:p>
    <w:p w:rsidR="00D51C98" w:rsidRDefault="00D51C98" w:rsidP="00D51C98">
      <w:pPr>
        <w:rPr>
          <w:bCs/>
          <w:lang w:val="it-IT"/>
        </w:rPr>
      </w:pPr>
      <w:r>
        <w:rPr>
          <w:bCs/>
          <w:lang w:val="it-IT"/>
        </w:rPr>
        <w:t xml:space="preserve">La Commissione speciale non può esimersi dall’esprimere la propria delusione riguardo alla scarsa proattività del Consiglio di Stato, malgrado le promesse fatte a suo tempo davanti al plenum del Parlamento. </w:t>
      </w:r>
      <w:r w:rsidRPr="00D3231F">
        <w:rPr>
          <w:bCs/>
          <w:lang w:val="it-IT"/>
        </w:rPr>
        <w:t>Se</w:t>
      </w:r>
      <w:r>
        <w:rPr>
          <w:bCs/>
          <w:lang w:val="it-IT"/>
        </w:rPr>
        <w:t>,</w:t>
      </w:r>
      <w:r w:rsidRPr="00D3231F">
        <w:rPr>
          <w:bCs/>
          <w:lang w:val="it-IT"/>
        </w:rPr>
        <w:t xml:space="preserve"> da un lato</w:t>
      </w:r>
      <w:r>
        <w:rPr>
          <w:bCs/>
          <w:lang w:val="it-IT"/>
        </w:rPr>
        <w:t>,</w:t>
      </w:r>
      <w:r w:rsidRPr="00D3231F">
        <w:rPr>
          <w:bCs/>
          <w:lang w:val="it-IT"/>
        </w:rPr>
        <w:t xml:space="preserve"> la Commissione ha potuto beneficiare </w:t>
      </w:r>
      <w:r>
        <w:rPr>
          <w:bCs/>
          <w:lang w:val="it-IT"/>
        </w:rPr>
        <w:t xml:space="preserve">di informazioni precise e puntuali da parte di diversi servizi dell’Amministrazione cantonale e </w:t>
      </w:r>
      <w:r w:rsidRPr="00D3231F">
        <w:rPr>
          <w:bCs/>
          <w:lang w:val="it-IT"/>
        </w:rPr>
        <w:t>di utili scambi con i Coordinatori dipartimentali</w:t>
      </w:r>
      <w:r>
        <w:rPr>
          <w:bCs/>
          <w:lang w:val="it-IT"/>
        </w:rPr>
        <w:t xml:space="preserve"> su vari aspetti delle attività dei singoli Dipartimenti che riguardano i temi sollevati dall’iniziativa popolare, </w:t>
      </w:r>
      <w:r w:rsidRPr="00D3231F">
        <w:rPr>
          <w:bCs/>
          <w:lang w:val="it-IT"/>
        </w:rPr>
        <w:t>non risulta</w:t>
      </w:r>
      <w:r>
        <w:rPr>
          <w:bCs/>
          <w:lang w:val="it-IT"/>
        </w:rPr>
        <w:t>,</w:t>
      </w:r>
      <w:r w:rsidRPr="00D3231F">
        <w:rPr>
          <w:bCs/>
          <w:lang w:val="it-IT"/>
        </w:rPr>
        <w:t xml:space="preserve"> </w:t>
      </w:r>
      <w:r>
        <w:rPr>
          <w:bCs/>
          <w:lang w:val="it-IT"/>
        </w:rPr>
        <w:t xml:space="preserve">d’altro lato, </w:t>
      </w:r>
      <w:r w:rsidRPr="00D3231F">
        <w:rPr>
          <w:bCs/>
          <w:lang w:val="it-IT"/>
        </w:rPr>
        <w:t>che il Consiglio di Stato</w:t>
      </w:r>
      <w:r>
        <w:rPr>
          <w:bCs/>
          <w:lang w:val="it-IT"/>
        </w:rPr>
        <w:t xml:space="preserve"> quale organo collegiale cui compete il governo di questo Cantone</w:t>
      </w:r>
      <w:r w:rsidRPr="00D3231F">
        <w:rPr>
          <w:bCs/>
          <w:lang w:val="it-IT"/>
        </w:rPr>
        <w:t xml:space="preserve"> abbia intrapreso misure</w:t>
      </w:r>
      <w:r>
        <w:rPr>
          <w:bCs/>
          <w:lang w:val="it-IT"/>
        </w:rPr>
        <w:t xml:space="preserve"> concrete</w:t>
      </w:r>
      <w:r w:rsidRPr="00D3231F">
        <w:rPr>
          <w:bCs/>
          <w:lang w:val="it-IT"/>
        </w:rPr>
        <w:t xml:space="preserve"> o si sia assunto </w:t>
      </w:r>
      <w:r>
        <w:rPr>
          <w:bCs/>
          <w:lang w:val="it-IT"/>
        </w:rPr>
        <w:t xml:space="preserve">specifici compiti o responsabilità ai fini dell’attuazione del volere popolare, </w:t>
      </w:r>
      <w:r w:rsidRPr="00D3231F">
        <w:rPr>
          <w:bCs/>
          <w:lang w:val="it-IT"/>
        </w:rPr>
        <w:t xml:space="preserve">al di là </w:t>
      </w:r>
      <w:r>
        <w:rPr>
          <w:bCs/>
          <w:lang w:val="it-IT"/>
        </w:rPr>
        <w:t xml:space="preserve">del mantenimento di quanto già in essere. Al riguardo, sembra mancare </w:t>
      </w:r>
      <w:r w:rsidRPr="00D3231F">
        <w:rPr>
          <w:bCs/>
          <w:lang w:val="it-IT"/>
        </w:rPr>
        <w:t>una visone prospettica</w:t>
      </w:r>
      <w:r>
        <w:rPr>
          <w:bCs/>
          <w:lang w:val="it-IT"/>
        </w:rPr>
        <w:t xml:space="preserve"> da parte dell’Esecutivo.</w:t>
      </w:r>
    </w:p>
    <w:p w:rsidR="00D51C98" w:rsidRPr="00B9242E" w:rsidRDefault="00D51C98" w:rsidP="00D51C98">
      <w:pPr>
        <w:rPr>
          <w:bCs/>
          <w:sz w:val="12"/>
          <w:szCs w:val="12"/>
          <w:lang w:val="it-IT"/>
        </w:rPr>
      </w:pPr>
    </w:p>
    <w:p w:rsidR="00D51C98" w:rsidRPr="00D3231F" w:rsidRDefault="00D51C98" w:rsidP="00D51C98">
      <w:pPr>
        <w:rPr>
          <w:bCs/>
          <w:lang w:val="it-IT"/>
        </w:rPr>
      </w:pPr>
      <w:r>
        <w:rPr>
          <w:bCs/>
          <w:lang w:val="it-IT"/>
        </w:rPr>
        <w:t>Ciò precisato, la Commissione speciale è convinta dell’utilità delle proposte formulate negli atti parlamentari sopra elencati; proposte che vanno a toccare non soltanto il settore pubblico e para-pubblico, ma anche il settore privato con interventi mirati in ambito fiscale e, attraverso la proposta di legge di applicazione della preferenza indigena, subordinando a determinate condizioni – preferenza indigena e salari dignitosi – il rilascio e il rinnovo di permessi a stranieri che intendono esercitare in Svizzera un’attività professionale.</w:t>
      </w:r>
    </w:p>
    <w:p w:rsidR="00CA3EAD" w:rsidRPr="00B9242E" w:rsidRDefault="00CA3EAD" w:rsidP="00CA3EAD">
      <w:pPr>
        <w:rPr>
          <w:rFonts w:cs="Arial"/>
          <w:szCs w:val="24"/>
        </w:rPr>
      </w:pPr>
    </w:p>
    <w:p w:rsidR="00CA3EAD" w:rsidRPr="00B9242E" w:rsidRDefault="00CA3EAD" w:rsidP="00CA3EAD">
      <w:pPr>
        <w:rPr>
          <w:rFonts w:cs="Arial"/>
          <w:szCs w:val="24"/>
        </w:rPr>
      </w:pPr>
    </w:p>
    <w:p w:rsidR="00CA3EAD" w:rsidRPr="00253264" w:rsidRDefault="00CA3EAD" w:rsidP="00CA3EAD">
      <w:pPr>
        <w:pStyle w:val="Nessunaspaziatura"/>
        <w:jc w:val="center"/>
        <w:rPr>
          <w:rFonts w:ascii="Arial" w:hAnsi="Arial" w:cs="Arial"/>
          <w:sz w:val="28"/>
          <w:szCs w:val="28"/>
        </w:rPr>
      </w:pPr>
      <w:r w:rsidRPr="00253264">
        <w:rPr>
          <w:rFonts w:ascii="Arial" w:hAnsi="Arial" w:cs="Arial"/>
          <w:sz w:val="28"/>
          <w:szCs w:val="28"/>
        </w:rPr>
        <w:sym w:font="Wingdings" w:char="F0AF"/>
      </w:r>
      <w:r w:rsidRPr="00253264">
        <w:rPr>
          <w:rFonts w:ascii="Arial" w:hAnsi="Arial" w:cs="Arial"/>
          <w:sz w:val="28"/>
          <w:szCs w:val="28"/>
        </w:rPr>
        <w:t xml:space="preserve"> </w:t>
      </w:r>
      <w:r w:rsidRPr="00253264">
        <w:rPr>
          <w:rFonts w:ascii="Arial" w:hAnsi="Arial" w:cs="Arial"/>
          <w:sz w:val="28"/>
          <w:szCs w:val="28"/>
        </w:rPr>
        <w:sym w:font="Wingdings" w:char="F0AF"/>
      </w:r>
      <w:r w:rsidRPr="00253264">
        <w:rPr>
          <w:rFonts w:ascii="Arial" w:hAnsi="Arial" w:cs="Arial"/>
          <w:sz w:val="28"/>
          <w:szCs w:val="28"/>
        </w:rPr>
        <w:t xml:space="preserve"> </w:t>
      </w:r>
      <w:r w:rsidRPr="00253264">
        <w:rPr>
          <w:rFonts w:ascii="Arial" w:hAnsi="Arial" w:cs="Arial"/>
          <w:sz w:val="28"/>
          <w:szCs w:val="28"/>
        </w:rPr>
        <w:sym w:font="Wingdings" w:char="F0AF"/>
      </w:r>
      <w:r w:rsidRPr="00253264">
        <w:rPr>
          <w:rFonts w:ascii="Arial" w:hAnsi="Arial" w:cs="Arial"/>
          <w:sz w:val="28"/>
          <w:szCs w:val="28"/>
        </w:rPr>
        <w:t xml:space="preserve"> </w:t>
      </w:r>
      <w:r w:rsidRPr="00253264">
        <w:rPr>
          <w:rFonts w:ascii="Arial" w:hAnsi="Arial" w:cs="Arial"/>
          <w:sz w:val="28"/>
          <w:szCs w:val="28"/>
        </w:rPr>
        <w:sym w:font="Wingdings" w:char="F0AF"/>
      </w:r>
      <w:r w:rsidRPr="00253264">
        <w:rPr>
          <w:rFonts w:ascii="Arial" w:hAnsi="Arial" w:cs="Arial"/>
          <w:sz w:val="28"/>
          <w:szCs w:val="28"/>
        </w:rPr>
        <w:t xml:space="preserve"> </w:t>
      </w:r>
      <w:r w:rsidRPr="00253264">
        <w:rPr>
          <w:rFonts w:ascii="Arial" w:hAnsi="Arial" w:cs="Arial"/>
          <w:sz w:val="28"/>
          <w:szCs w:val="28"/>
        </w:rPr>
        <w:sym w:font="Wingdings" w:char="F0AF"/>
      </w:r>
    </w:p>
    <w:p w:rsidR="00CA3EAD" w:rsidRDefault="00CA3EAD" w:rsidP="00CA3EAD">
      <w:pPr>
        <w:rPr>
          <w:rFonts w:cs="Arial"/>
          <w:szCs w:val="24"/>
        </w:rPr>
      </w:pPr>
    </w:p>
    <w:p w:rsidR="00D51C98" w:rsidRDefault="00D51C98" w:rsidP="00D51C98">
      <w:pPr>
        <w:rPr>
          <w:bCs/>
          <w:lang w:val="it-IT"/>
        </w:rPr>
      </w:pPr>
    </w:p>
    <w:p w:rsidR="00D51C98" w:rsidRPr="004D5F5C" w:rsidRDefault="00D51C98" w:rsidP="00D51C98">
      <w:pPr>
        <w:rPr>
          <w:bCs/>
          <w:lang w:val="it-IT"/>
        </w:rPr>
      </w:pPr>
      <w:r>
        <w:rPr>
          <w:bCs/>
          <w:lang w:val="it-IT"/>
        </w:rPr>
        <w:t xml:space="preserve">Con </w:t>
      </w:r>
      <w:r w:rsidRPr="00055AD5">
        <w:rPr>
          <w:bCs/>
          <w:lang w:val="it-IT"/>
        </w:rPr>
        <w:t>queste premesse</w:t>
      </w:r>
      <w:r>
        <w:rPr>
          <w:bCs/>
          <w:lang w:val="it-IT"/>
        </w:rPr>
        <w:t>,</w:t>
      </w:r>
      <w:r w:rsidRPr="00055AD5">
        <w:rPr>
          <w:bCs/>
          <w:lang w:val="it-IT"/>
        </w:rPr>
        <w:t xml:space="preserve"> e</w:t>
      </w:r>
      <w:r>
        <w:rPr>
          <w:bCs/>
          <w:lang w:val="it-IT"/>
        </w:rPr>
        <w:t xml:space="preserve"> considerata</w:t>
      </w:r>
      <w:r w:rsidRPr="00055AD5">
        <w:rPr>
          <w:bCs/>
          <w:lang w:val="it-IT"/>
        </w:rPr>
        <w:t xml:space="preserve"> la</w:t>
      </w:r>
      <w:r>
        <w:rPr>
          <w:bCs/>
          <w:lang w:val="it-IT"/>
        </w:rPr>
        <w:t xml:space="preserve"> </w:t>
      </w:r>
      <w:r w:rsidRPr="00055AD5">
        <w:rPr>
          <w:bCs/>
          <w:lang w:val="it-IT"/>
        </w:rPr>
        <w:t>decisione</w:t>
      </w:r>
      <w:r>
        <w:rPr>
          <w:bCs/>
          <w:lang w:val="it-IT"/>
        </w:rPr>
        <w:t xml:space="preserve"> </w:t>
      </w:r>
      <w:r w:rsidRPr="00055AD5">
        <w:rPr>
          <w:bCs/>
          <w:lang w:val="it-IT"/>
        </w:rPr>
        <w:t xml:space="preserve">del Gran Consiglio di </w:t>
      </w:r>
      <w:r>
        <w:rPr>
          <w:bCs/>
          <w:lang w:val="it-IT"/>
        </w:rPr>
        <w:t xml:space="preserve">non attribuirle l’esame di nessun atto parlamentare da lei elaborato, né di conseguenza l’allestimento dei relativi rapporti </w:t>
      </w:r>
      <w:r w:rsidRPr="0058437F">
        <w:rPr>
          <w:bCs/>
          <w:lang w:val="it-IT"/>
        </w:rPr>
        <w:t xml:space="preserve">– </w:t>
      </w:r>
      <w:r>
        <w:rPr>
          <w:bCs/>
          <w:lang w:val="it-IT"/>
        </w:rPr>
        <w:t xml:space="preserve">decisione </w:t>
      </w:r>
      <w:r w:rsidRPr="0058437F">
        <w:rPr>
          <w:bCs/>
          <w:lang w:val="it-IT"/>
        </w:rPr>
        <w:t>più che discutibile e</w:t>
      </w:r>
      <w:r>
        <w:rPr>
          <w:bCs/>
          <w:lang w:val="it-IT"/>
        </w:rPr>
        <w:t>, come già sottolineato nel rapporto intermedio,</w:t>
      </w:r>
      <w:r w:rsidRPr="0058437F">
        <w:rPr>
          <w:bCs/>
          <w:lang w:val="it-IT"/>
        </w:rPr>
        <w:t xml:space="preserve"> </w:t>
      </w:r>
      <w:r>
        <w:rPr>
          <w:bCs/>
          <w:lang w:val="it-IT"/>
        </w:rPr>
        <w:t xml:space="preserve">chiaramente </w:t>
      </w:r>
      <w:r w:rsidRPr="0058437F">
        <w:rPr>
          <w:bCs/>
          <w:lang w:val="it-IT"/>
        </w:rPr>
        <w:t>contraria agli intendimenti iniziali –</w:t>
      </w:r>
      <w:r>
        <w:rPr>
          <w:bCs/>
          <w:lang w:val="it-IT"/>
        </w:rPr>
        <w:t xml:space="preserve"> , </w:t>
      </w:r>
      <w:r w:rsidRPr="00055AD5">
        <w:rPr>
          <w:bCs/>
          <w:lang w:val="it-IT"/>
        </w:rPr>
        <w:t xml:space="preserve">la </w:t>
      </w:r>
      <w:r>
        <w:rPr>
          <w:rFonts w:cs="Arial"/>
          <w:color w:val="000000"/>
          <w:szCs w:val="24"/>
          <w:shd w:val="clear" w:color="auto" w:fill="FFFFFF"/>
        </w:rPr>
        <w:t xml:space="preserve">scrivente Commissione speciale ritiene di aver adempiuto, al meglio delle sue possibilità, il proprio mandato così come ridefinito dal Parlamento; essa si considera pertanto “automaticamente sciolta” </w:t>
      </w:r>
      <w:r w:rsidRPr="00DF2620">
        <w:rPr>
          <w:bCs/>
          <w:lang w:val="it-IT"/>
        </w:rPr>
        <w:t xml:space="preserve">in </w:t>
      </w:r>
      <w:r>
        <w:rPr>
          <w:bCs/>
          <w:lang w:val="it-IT"/>
        </w:rPr>
        <w:t>virtù</w:t>
      </w:r>
      <w:r w:rsidRPr="00DF2620">
        <w:rPr>
          <w:bCs/>
          <w:lang w:val="it-IT"/>
        </w:rPr>
        <w:t xml:space="preserve"> all'art. 25 cpv. 3 della </w:t>
      </w:r>
      <w:r>
        <w:rPr>
          <w:bCs/>
          <w:lang w:val="it-IT"/>
        </w:rPr>
        <w:t>l</w:t>
      </w:r>
      <w:r w:rsidRPr="00DF2620">
        <w:rPr>
          <w:bCs/>
          <w:lang w:val="it-IT"/>
        </w:rPr>
        <w:t>egge sul Gran Consiglio</w:t>
      </w:r>
      <w:r>
        <w:rPr>
          <w:bCs/>
          <w:lang w:val="it-IT"/>
        </w:rPr>
        <w:t xml:space="preserve"> e sui rapporti con il Consiglio di Stato del 24 febbraio 2015</w:t>
      </w:r>
      <w:r>
        <w:rPr>
          <w:rStyle w:val="Rimandonotaapidipagina"/>
          <w:bCs/>
          <w:lang w:val="it-IT"/>
        </w:rPr>
        <w:footnoteReference w:id="2"/>
      </w:r>
      <w:r>
        <w:rPr>
          <w:bCs/>
          <w:lang w:val="it-IT"/>
        </w:rPr>
        <w:t>.</w:t>
      </w:r>
      <w:r w:rsidRPr="00DF2620">
        <w:rPr>
          <w:bCs/>
          <w:lang w:val="it-IT"/>
        </w:rPr>
        <w:t xml:space="preserve"> </w:t>
      </w:r>
    </w:p>
    <w:p w:rsidR="00D51C98" w:rsidRDefault="00D51C98" w:rsidP="00D51C98">
      <w:pPr>
        <w:rPr>
          <w:sz w:val="22"/>
        </w:rPr>
      </w:pPr>
    </w:p>
    <w:p w:rsidR="00CA3EAD" w:rsidRPr="00055AD5" w:rsidRDefault="00CA3EAD" w:rsidP="00D51C98">
      <w:pPr>
        <w:rPr>
          <w:sz w:val="22"/>
        </w:rPr>
      </w:pPr>
    </w:p>
    <w:p w:rsidR="00D51C98" w:rsidRPr="00076E70" w:rsidRDefault="00D51C98" w:rsidP="00D51C98">
      <w:pPr>
        <w:rPr>
          <w:rFonts w:cs="Arial"/>
          <w:szCs w:val="24"/>
        </w:rPr>
      </w:pPr>
    </w:p>
    <w:p w:rsidR="00D51C98" w:rsidRPr="00076E70" w:rsidRDefault="00D51C98" w:rsidP="00D51C98">
      <w:pPr>
        <w:spacing w:after="120"/>
        <w:rPr>
          <w:rFonts w:cs="Arial"/>
          <w:szCs w:val="24"/>
        </w:rPr>
      </w:pPr>
      <w:r w:rsidRPr="00076E70">
        <w:rPr>
          <w:rFonts w:cs="Arial"/>
          <w:szCs w:val="24"/>
        </w:rPr>
        <w:t xml:space="preserve">Per la Commissione </w:t>
      </w:r>
      <w:r>
        <w:rPr>
          <w:rFonts w:cs="Arial"/>
          <w:szCs w:val="24"/>
        </w:rPr>
        <w:t xml:space="preserve">speciale per l'attuazione dell'IP "Prima i nostri!" </w:t>
      </w:r>
    </w:p>
    <w:p w:rsidR="00D51C98" w:rsidRPr="00076E70" w:rsidRDefault="00D51C98" w:rsidP="00D51C98">
      <w:pPr>
        <w:rPr>
          <w:rFonts w:cs="Arial"/>
          <w:szCs w:val="24"/>
        </w:rPr>
      </w:pPr>
      <w:r>
        <w:rPr>
          <w:rFonts w:cs="Arial"/>
          <w:szCs w:val="24"/>
        </w:rPr>
        <w:t>Gabriele Pinoja</w:t>
      </w:r>
      <w:r w:rsidRPr="00076E70">
        <w:rPr>
          <w:rFonts w:cs="Arial"/>
          <w:szCs w:val="24"/>
        </w:rPr>
        <w:t>, relatore</w:t>
      </w:r>
    </w:p>
    <w:p w:rsidR="00D51C98" w:rsidRDefault="00D51C98" w:rsidP="00D51C98">
      <w:pPr>
        <w:rPr>
          <w:rFonts w:cs="Arial"/>
        </w:rPr>
      </w:pPr>
      <w:r>
        <w:rPr>
          <w:rFonts w:cs="Arial"/>
        </w:rPr>
        <w:t>Bang - Ghisla - Giudici - Merlo - Minotti</w:t>
      </w:r>
    </w:p>
    <w:p w:rsidR="00D51C98" w:rsidRDefault="00D51C98" w:rsidP="00D51C98">
      <w:pPr>
        <w:rPr>
          <w:rFonts w:cs="Arial"/>
        </w:rPr>
      </w:pPr>
    </w:p>
    <w:p w:rsidR="00D51C98" w:rsidRDefault="00D51C98" w:rsidP="00D51C98">
      <w:pPr>
        <w:rPr>
          <w:rFonts w:cs="Arial"/>
        </w:rPr>
      </w:pPr>
    </w:p>
    <w:p w:rsidR="00D51C98" w:rsidRDefault="00D51C98" w:rsidP="00D51C98">
      <w:pPr>
        <w:rPr>
          <w:rFonts w:cs="Arial"/>
        </w:rPr>
      </w:pPr>
    </w:p>
    <w:p w:rsidR="00A60753" w:rsidRDefault="00A60753" w:rsidP="00D51C98">
      <w:pPr>
        <w:rPr>
          <w:rFonts w:cs="Arial"/>
        </w:rPr>
      </w:pPr>
    </w:p>
    <w:p w:rsidR="00B9242E" w:rsidRDefault="00B9242E" w:rsidP="00D51C98">
      <w:pPr>
        <w:rPr>
          <w:rFonts w:cs="Arial"/>
        </w:rPr>
      </w:pPr>
    </w:p>
    <w:p w:rsidR="00B9242E" w:rsidRDefault="00B9242E" w:rsidP="00D51C98">
      <w:pPr>
        <w:rPr>
          <w:rFonts w:cs="Arial"/>
        </w:rPr>
      </w:pPr>
    </w:p>
    <w:p w:rsidR="00A60753" w:rsidRDefault="00A60753" w:rsidP="00D51C98">
      <w:pPr>
        <w:rPr>
          <w:rFonts w:cs="Arial"/>
        </w:rPr>
      </w:pPr>
    </w:p>
    <w:p w:rsidR="00A60753" w:rsidRDefault="00A60753" w:rsidP="00D51C98">
      <w:pPr>
        <w:rPr>
          <w:rFonts w:cs="Arial"/>
        </w:rPr>
      </w:pPr>
    </w:p>
    <w:p w:rsidR="00A60753" w:rsidRDefault="00A60753" w:rsidP="00D51C98">
      <w:pPr>
        <w:rPr>
          <w:rFonts w:cs="Arial"/>
        </w:rPr>
      </w:pPr>
    </w:p>
    <w:p w:rsidR="00D51C98" w:rsidRDefault="00D51C98" w:rsidP="00D51C98">
      <w:pPr>
        <w:rPr>
          <w:rFonts w:cs="Arial"/>
        </w:rPr>
      </w:pPr>
    </w:p>
    <w:p w:rsidR="00CA3EAD" w:rsidRDefault="00CA3EAD" w:rsidP="00D51C98">
      <w:pPr>
        <w:rPr>
          <w:rFonts w:cs="Arial"/>
        </w:rPr>
      </w:pPr>
    </w:p>
    <w:p w:rsidR="00CA3EAD" w:rsidRDefault="00CA3EAD" w:rsidP="00D51C98">
      <w:pPr>
        <w:rPr>
          <w:rFonts w:cs="Arial"/>
        </w:rPr>
      </w:pPr>
    </w:p>
    <w:p w:rsidR="00D51C98" w:rsidRDefault="00D51C98" w:rsidP="00D51C98">
      <w:pPr>
        <w:rPr>
          <w:rFonts w:cs="Arial"/>
        </w:rPr>
      </w:pPr>
    </w:p>
    <w:p w:rsidR="00A60753" w:rsidRPr="00A60753" w:rsidRDefault="00A60753" w:rsidP="00A60753">
      <w:pPr>
        <w:rPr>
          <w:rFonts w:cs="Arial"/>
          <w:sz w:val="23"/>
          <w:szCs w:val="23"/>
        </w:rPr>
      </w:pPr>
      <w:r w:rsidRPr="00A60753">
        <w:rPr>
          <w:rFonts w:cs="Arial"/>
          <w:b/>
          <w:sz w:val="23"/>
          <w:szCs w:val="23"/>
        </w:rPr>
        <w:t xml:space="preserve">ALLEGATI </w:t>
      </w:r>
      <w:r w:rsidRPr="00A60753">
        <w:rPr>
          <w:rFonts w:cs="Arial"/>
          <w:sz w:val="23"/>
          <w:szCs w:val="23"/>
        </w:rPr>
        <w:t>(citati nella sezione I.4.2 del rapporto)</w:t>
      </w:r>
    </w:p>
    <w:p w:rsidR="00A60753" w:rsidRPr="00CA3EAD" w:rsidRDefault="00A60753" w:rsidP="00A60753">
      <w:pPr>
        <w:rPr>
          <w:rFonts w:cs="Arial"/>
          <w:sz w:val="12"/>
          <w:szCs w:val="12"/>
          <w:lang w:val="it-IT"/>
        </w:rPr>
      </w:pPr>
    </w:p>
    <w:p w:rsidR="00A60753" w:rsidRPr="00CA3EAD" w:rsidRDefault="00A60753" w:rsidP="00A60753">
      <w:pPr>
        <w:pStyle w:val="Paragrafoelenco"/>
        <w:numPr>
          <w:ilvl w:val="0"/>
          <w:numId w:val="7"/>
        </w:numPr>
        <w:ind w:left="426" w:hanging="426"/>
        <w:rPr>
          <w:rFonts w:cs="Arial"/>
          <w:sz w:val="22"/>
          <w:lang w:val="it-IT"/>
        </w:rPr>
      </w:pPr>
      <w:r w:rsidRPr="00CA3EAD">
        <w:rPr>
          <w:rFonts w:cs="Arial"/>
          <w:sz w:val="22"/>
          <w:lang w:val="it-IT"/>
        </w:rPr>
        <w:t xml:space="preserve">Dati disoccupazione SECO (pag. 11 del "Panorama statistico del mercato del lavoro ticinese", </w:t>
      </w:r>
      <w:proofErr w:type="spellStart"/>
      <w:r w:rsidRPr="00CA3EAD">
        <w:rPr>
          <w:rFonts w:cs="Arial"/>
          <w:sz w:val="22"/>
          <w:lang w:val="it-IT"/>
        </w:rPr>
        <w:t>Ustat</w:t>
      </w:r>
      <w:proofErr w:type="spellEnd"/>
      <w:r w:rsidRPr="00CA3EAD">
        <w:rPr>
          <w:rFonts w:cs="Arial"/>
          <w:sz w:val="22"/>
          <w:lang w:val="it-IT"/>
        </w:rPr>
        <w:t xml:space="preserve">, 9 </w:t>
      </w:r>
      <w:proofErr w:type="spellStart"/>
      <w:r w:rsidRPr="00CA3EAD">
        <w:rPr>
          <w:rFonts w:cs="Arial"/>
          <w:sz w:val="22"/>
          <w:lang w:val="it-IT"/>
        </w:rPr>
        <w:t>dic</w:t>
      </w:r>
      <w:proofErr w:type="spellEnd"/>
      <w:r w:rsidRPr="00CA3EAD">
        <w:rPr>
          <w:rFonts w:cs="Arial"/>
          <w:sz w:val="22"/>
          <w:lang w:val="it-IT"/>
        </w:rPr>
        <w:t>. 2016)</w:t>
      </w:r>
    </w:p>
    <w:p w:rsidR="00A60753" w:rsidRPr="00CA3EAD" w:rsidRDefault="00A60753" w:rsidP="00A60753">
      <w:pPr>
        <w:pStyle w:val="Paragrafoelenco"/>
        <w:numPr>
          <w:ilvl w:val="0"/>
          <w:numId w:val="7"/>
        </w:numPr>
        <w:spacing w:before="60"/>
        <w:ind w:left="426" w:hanging="426"/>
        <w:rPr>
          <w:rFonts w:cs="Arial"/>
          <w:sz w:val="22"/>
          <w:lang w:val="it-IT"/>
        </w:rPr>
      </w:pPr>
      <w:r w:rsidRPr="00CA3EAD">
        <w:rPr>
          <w:rFonts w:cs="Arial"/>
          <w:sz w:val="22"/>
          <w:lang w:val="it-IT"/>
        </w:rPr>
        <w:t xml:space="preserve">Dati disoccupazione ILO (pag. 14 del "Panorama statistico del mercato del lavoro ticinese", </w:t>
      </w:r>
      <w:proofErr w:type="spellStart"/>
      <w:r w:rsidRPr="00CA3EAD">
        <w:rPr>
          <w:rFonts w:cs="Arial"/>
          <w:sz w:val="22"/>
          <w:lang w:val="it-IT"/>
        </w:rPr>
        <w:t>Ustat</w:t>
      </w:r>
      <w:proofErr w:type="spellEnd"/>
      <w:r w:rsidRPr="00CA3EAD">
        <w:rPr>
          <w:rFonts w:cs="Arial"/>
          <w:sz w:val="22"/>
          <w:lang w:val="it-IT"/>
        </w:rPr>
        <w:t xml:space="preserve">, 9 </w:t>
      </w:r>
      <w:proofErr w:type="spellStart"/>
      <w:r w:rsidRPr="00CA3EAD">
        <w:rPr>
          <w:rFonts w:cs="Arial"/>
          <w:sz w:val="22"/>
          <w:lang w:val="it-IT"/>
        </w:rPr>
        <w:t>dic</w:t>
      </w:r>
      <w:proofErr w:type="spellEnd"/>
      <w:r w:rsidRPr="00CA3EAD">
        <w:rPr>
          <w:rFonts w:cs="Arial"/>
          <w:sz w:val="22"/>
          <w:lang w:val="it-IT"/>
        </w:rPr>
        <w:t>. 2016)</w:t>
      </w:r>
    </w:p>
    <w:p w:rsidR="00A60753" w:rsidRPr="00CA3EAD" w:rsidRDefault="00A60753" w:rsidP="00A60753">
      <w:pPr>
        <w:pStyle w:val="Paragrafoelenco"/>
        <w:numPr>
          <w:ilvl w:val="0"/>
          <w:numId w:val="7"/>
        </w:numPr>
        <w:spacing w:before="60"/>
        <w:ind w:left="426" w:hanging="426"/>
        <w:rPr>
          <w:rFonts w:cs="Arial"/>
          <w:sz w:val="22"/>
          <w:lang w:val="it-IT"/>
        </w:rPr>
      </w:pPr>
      <w:r w:rsidRPr="00CA3EAD">
        <w:rPr>
          <w:rFonts w:cs="Arial"/>
          <w:sz w:val="22"/>
          <w:lang w:val="it-IT"/>
        </w:rPr>
        <w:t>Tabella riassuntiva dei contratti normali di lavoro (CNL) in Ticino</w:t>
      </w:r>
    </w:p>
    <w:p w:rsidR="00A60753" w:rsidRPr="00CA3EAD" w:rsidRDefault="00A60753" w:rsidP="00A60753">
      <w:pPr>
        <w:pStyle w:val="Paragrafoelenco"/>
        <w:numPr>
          <w:ilvl w:val="0"/>
          <w:numId w:val="7"/>
        </w:numPr>
        <w:spacing w:before="60"/>
        <w:ind w:left="426" w:hanging="426"/>
        <w:rPr>
          <w:rFonts w:cs="Arial"/>
          <w:sz w:val="22"/>
          <w:lang w:val="it-IT"/>
        </w:rPr>
      </w:pPr>
      <w:r w:rsidRPr="00CA3EAD">
        <w:rPr>
          <w:rFonts w:cs="Arial"/>
          <w:sz w:val="22"/>
          <w:lang w:val="it-IT"/>
        </w:rPr>
        <w:t>Tabella e grafici relativi alla sottoccupazione</w:t>
      </w:r>
    </w:p>
    <w:p w:rsidR="00A60753" w:rsidRPr="00CA3EAD" w:rsidRDefault="00A60753" w:rsidP="00A60753">
      <w:pPr>
        <w:pStyle w:val="Paragrafoelenco"/>
        <w:numPr>
          <w:ilvl w:val="0"/>
          <w:numId w:val="7"/>
        </w:numPr>
        <w:spacing w:before="60"/>
        <w:ind w:left="426" w:hanging="426"/>
        <w:rPr>
          <w:rFonts w:cs="Arial"/>
          <w:sz w:val="22"/>
          <w:lang w:val="it-IT"/>
        </w:rPr>
      </w:pPr>
      <w:r w:rsidRPr="00CA3EAD">
        <w:rPr>
          <w:rFonts w:cs="Arial"/>
          <w:sz w:val="22"/>
          <w:lang w:val="it-IT"/>
        </w:rPr>
        <w:t>Glossario</w:t>
      </w:r>
    </w:p>
    <w:p w:rsidR="00D51C98" w:rsidRDefault="00D51C98" w:rsidP="00D51C98">
      <w:pPr>
        <w:ind w:hanging="11"/>
        <w:jc w:val="left"/>
        <w:rPr>
          <w:rFonts w:cs="Arial"/>
          <w:szCs w:val="24"/>
          <w:lang w:val="it-IT"/>
        </w:rPr>
      </w:pPr>
    </w:p>
    <w:sectPr w:rsidR="00D51C98" w:rsidSect="00F242E5">
      <w:footerReference w:type="default" r:id="rId17"/>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478" w:rsidRDefault="00C14478" w:rsidP="008E77C6">
      <w:r>
        <w:separator/>
      </w:r>
    </w:p>
  </w:endnote>
  <w:endnote w:type="continuationSeparator" w:id="0">
    <w:p w:rsidR="00C14478" w:rsidRDefault="00C1447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7253C" w:rsidRPr="0097253C">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478" w:rsidRDefault="00C14478" w:rsidP="008E77C6">
      <w:r>
        <w:separator/>
      </w:r>
    </w:p>
  </w:footnote>
  <w:footnote w:type="continuationSeparator" w:id="0">
    <w:p w:rsidR="00C14478" w:rsidRDefault="00C14478" w:rsidP="008E77C6">
      <w:r>
        <w:continuationSeparator/>
      </w:r>
    </w:p>
  </w:footnote>
  <w:footnote w:id="1">
    <w:p w:rsidR="00C9414A" w:rsidRPr="00CA3EAD" w:rsidRDefault="00C9414A" w:rsidP="00C9414A">
      <w:pPr>
        <w:pStyle w:val="Testonotaapidipagina"/>
        <w:rPr>
          <w:sz w:val="18"/>
          <w:szCs w:val="18"/>
        </w:rPr>
      </w:pPr>
      <w:r w:rsidRPr="00CA3EAD">
        <w:rPr>
          <w:rStyle w:val="Rimandonotaapidipagina"/>
          <w:sz w:val="18"/>
          <w:szCs w:val="18"/>
        </w:rPr>
        <w:t>*</w:t>
      </w:r>
      <w:r w:rsidRPr="00CA3EAD">
        <w:rPr>
          <w:sz w:val="18"/>
          <w:szCs w:val="18"/>
        </w:rPr>
        <w:t xml:space="preserve"> Atto parlamentare non sottoscritto dal deputato Henrik Bang.</w:t>
      </w:r>
    </w:p>
  </w:footnote>
  <w:footnote w:id="2">
    <w:p w:rsidR="00D51C98" w:rsidRDefault="00D51C98" w:rsidP="00D51C98">
      <w:r w:rsidRPr="00CA3EAD">
        <w:rPr>
          <w:rStyle w:val="Rimandonotaapidipagina"/>
          <w:sz w:val="18"/>
          <w:szCs w:val="18"/>
        </w:rPr>
        <w:footnoteRef/>
      </w:r>
      <w:r w:rsidRPr="00CA3EAD">
        <w:rPr>
          <w:bCs/>
          <w:sz w:val="18"/>
          <w:szCs w:val="18"/>
          <w:lang w:val="it-IT"/>
        </w:rPr>
        <w:t>«</w:t>
      </w:r>
      <w:r w:rsidRPr="00CA3EAD">
        <w:rPr>
          <w:bCs/>
          <w:i/>
          <w:sz w:val="18"/>
          <w:szCs w:val="18"/>
        </w:rPr>
        <w:t>Evaso l'oggetto per l'esame del quale la Commissione speciale è stata costituita, la stessa è automaticamente sciolta</w:t>
      </w:r>
      <w:r w:rsidRPr="00CA3EAD">
        <w:rPr>
          <w:b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3D3040C"/>
    <w:multiLevelType w:val="hybridMultilevel"/>
    <w:tmpl w:val="3B06D850"/>
    <w:lvl w:ilvl="0" w:tplc="10B2C718">
      <w:start w:val="1"/>
      <w:numFmt w:val="upperRoman"/>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273266BE"/>
    <w:multiLevelType w:val="hybridMultilevel"/>
    <w:tmpl w:val="9CEA3646"/>
    <w:lvl w:ilvl="0" w:tplc="0810000F">
      <w:start w:val="1"/>
      <w:numFmt w:val="decimal"/>
      <w:lvlText w:val="%1."/>
      <w:lvlJc w:val="left"/>
      <w:pPr>
        <w:ind w:left="742" w:hanging="360"/>
      </w:pPr>
      <w:rPr>
        <w:rFonts w:hint="default"/>
      </w:rPr>
    </w:lvl>
    <w:lvl w:ilvl="1" w:tplc="08100019" w:tentative="1">
      <w:start w:val="1"/>
      <w:numFmt w:val="lowerLetter"/>
      <w:lvlText w:val="%2."/>
      <w:lvlJc w:val="left"/>
      <w:pPr>
        <w:ind w:left="1462" w:hanging="360"/>
      </w:pPr>
    </w:lvl>
    <w:lvl w:ilvl="2" w:tplc="0810001B" w:tentative="1">
      <w:start w:val="1"/>
      <w:numFmt w:val="lowerRoman"/>
      <w:lvlText w:val="%3."/>
      <w:lvlJc w:val="right"/>
      <w:pPr>
        <w:ind w:left="2182" w:hanging="180"/>
      </w:pPr>
    </w:lvl>
    <w:lvl w:ilvl="3" w:tplc="0810000F" w:tentative="1">
      <w:start w:val="1"/>
      <w:numFmt w:val="decimal"/>
      <w:lvlText w:val="%4."/>
      <w:lvlJc w:val="left"/>
      <w:pPr>
        <w:ind w:left="2902" w:hanging="360"/>
      </w:pPr>
    </w:lvl>
    <w:lvl w:ilvl="4" w:tplc="08100019" w:tentative="1">
      <w:start w:val="1"/>
      <w:numFmt w:val="lowerLetter"/>
      <w:lvlText w:val="%5."/>
      <w:lvlJc w:val="left"/>
      <w:pPr>
        <w:ind w:left="3622" w:hanging="360"/>
      </w:pPr>
    </w:lvl>
    <w:lvl w:ilvl="5" w:tplc="0810001B" w:tentative="1">
      <w:start w:val="1"/>
      <w:numFmt w:val="lowerRoman"/>
      <w:lvlText w:val="%6."/>
      <w:lvlJc w:val="right"/>
      <w:pPr>
        <w:ind w:left="4342" w:hanging="180"/>
      </w:pPr>
    </w:lvl>
    <w:lvl w:ilvl="6" w:tplc="0810000F" w:tentative="1">
      <w:start w:val="1"/>
      <w:numFmt w:val="decimal"/>
      <w:lvlText w:val="%7."/>
      <w:lvlJc w:val="left"/>
      <w:pPr>
        <w:ind w:left="5062" w:hanging="360"/>
      </w:pPr>
    </w:lvl>
    <w:lvl w:ilvl="7" w:tplc="08100019" w:tentative="1">
      <w:start w:val="1"/>
      <w:numFmt w:val="lowerLetter"/>
      <w:lvlText w:val="%8."/>
      <w:lvlJc w:val="left"/>
      <w:pPr>
        <w:ind w:left="5782" w:hanging="360"/>
      </w:pPr>
    </w:lvl>
    <w:lvl w:ilvl="8" w:tplc="0810001B" w:tentative="1">
      <w:start w:val="1"/>
      <w:numFmt w:val="lowerRoman"/>
      <w:lvlText w:val="%9."/>
      <w:lvlJc w:val="right"/>
      <w:pPr>
        <w:ind w:left="6502" w:hanging="180"/>
      </w:pPr>
    </w:lvl>
  </w:abstractNum>
  <w:abstractNum w:abstractNumId="3">
    <w:nsid w:val="3A8700EA"/>
    <w:multiLevelType w:val="hybridMultilevel"/>
    <w:tmpl w:val="FA0890D0"/>
    <w:lvl w:ilvl="0" w:tplc="23224EA4">
      <w:start w:val="1"/>
      <w:numFmt w:val="upperRoman"/>
      <w:pStyle w:val="Titolo1"/>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1593553"/>
    <w:multiLevelType w:val="hybridMultilevel"/>
    <w:tmpl w:val="19FACFC6"/>
    <w:lvl w:ilvl="0" w:tplc="40800188">
      <w:start w:val="1"/>
      <w:numFmt w:val="lowerLetter"/>
      <w:lvlText w:val="%1)"/>
      <w:lvlJc w:val="left"/>
      <w:pPr>
        <w:ind w:left="1211" w:hanging="360"/>
      </w:pPr>
      <w:rPr>
        <w:rFonts w:hint="default"/>
      </w:rPr>
    </w:lvl>
    <w:lvl w:ilvl="1" w:tplc="08100019" w:tentative="1">
      <w:start w:val="1"/>
      <w:numFmt w:val="lowerLetter"/>
      <w:lvlText w:val="%2."/>
      <w:lvlJc w:val="left"/>
      <w:pPr>
        <w:ind w:left="1931" w:hanging="360"/>
      </w:pPr>
    </w:lvl>
    <w:lvl w:ilvl="2" w:tplc="0810001B" w:tentative="1">
      <w:start w:val="1"/>
      <w:numFmt w:val="lowerRoman"/>
      <w:lvlText w:val="%3."/>
      <w:lvlJc w:val="right"/>
      <w:pPr>
        <w:ind w:left="2651" w:hanging="180"/>
      </w:pPr>
    </w:lvl>
    <w:lvl w:ilvl="3" w:tplc="0810000F" w:tentative="1">
      <w:start w:val="1"/>
      <w:numFmt w:val="decimal"/>
      <w:lvlText w:val="%4."/>
      <w:lvlJc w:val="left"/>
      <w:pPr>
        <w:ind w:left="3371" w:hanging="360"/>
      </w:pPr>
    </w:lvl>
    <w:lvl w:ilvl="4" w:tplc="08100019" w:tentative="1">
      <w:start w:val="1"/>
      <w:numFmt w:val="lowerLetter"/>
      <w:lvlText w:val="%5."/>
      <w:lvlJc w:val="left"/>
      <w:pPr>
        <w:ind w:left="4091" w:hanging="360"/>
      </w:pPr>
    </w:lvl>
    <w:lvl w:ilvl="5" w:tplc="0810001B" w:tentative="1">
      <w:start w:val="1"/>
      <w:numFmt w:val="lowerRoman"/>
      <w:lvlText w:val="%6."/>
      <w:lvlJc w:val="right"/>
      <w:pPr>
        <w:ind w:left="4811" w:hanging="180"/>
      </w:pPr>
    </w:lvl>
    <w:lvl w:ilvl="6" w:tplc="0810000F" w:tentative="1">
      <w:start w:val="1"/>
      <w:numFmt w:val="decimal"/>
      <w:lvlText w:val="%7."/>
      <w:lvlJc w:val="left"/>
      <w:pPr>
        <w:ind w:left="5531" w:hanging="360"/>
      </w:pPr>
    </w:lvl>
    <w:lvl w:ilvl="7" w:tplc="08100019" w:tentative="1">
      <w:start w:val="1"/>
      <w:numFmt w:val="lowerLetter"/>
      <w:lvlText w:val="%8."/>
      <w:lvlJc w:val="left"/>
      <w:pPr>
        <w:ind w:left="6251" w:hanging="360"/>
      </w:pPr>
    </w:lvl>
    <w:lvl w:ilvl="8" w:tplc="0810001B" w:tentative="1">
      <w:start w:val="1"/>
      <w:numFmt w:val="lowerRoman"/>
      <w:lvlText w:val="%9."/>
      <w:lvlJc w:val="right"/>
      <w:pPr>
        <w:ind w:left="6971" w:hanging="180"/>
      </w:pPr>
    </w:lvl>
  </w:abstractNum>
  <w:abstractNum w:abstractNumId="6">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6"/>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47850"/>
    <w:rsid w:val="00076E70"/>
    <w:rsid w:val="00120B0A"/>
    <w:rsid w:val="001967E3"/>
    <w:rsid w:val="002C45A0"/>
    <w:rsid w:val="002E5E40"/>
    <w:rsid w:val="003D7D91"/>
    <w:rsid w:val="003F058C"/>
    <w:rsid w:val="0052425A"/>
    <w:rsid w:val="0057746A"/>
    <w:rsid w:val="00586A8D"/>
    <w:rsid w:val="00587A29"/>
    <w:rsid w:val="006D7A3B"/>
    <w:rsid w:val="007246E8"/>
    <w:rsid w:val="007B5462"/>
    <w:rsid w:val="0080193A"/>
    <w:rsid w:val="008034BD"/>
    <w:rsid w:val="00847A41"/>
    <w:rsid w:val="00876352"/>
    <w:rsid w:val="008B4137"/>
    <w:rsid w:val="008C767A"/>
    <w:rsid w:val="008E77C6"/>
    <w:rsid w:val="00951F6D"/>
    <w:rsid w:val="0097253C"/>
    <w:rsid w:val="009770BB"/>
    <w:rsid w:val="009B6FC4"/>
    <w:rsid w:val="009E008D"/>
    <w:rsid w:val="00A5465F"/>
    <w:rsid w:val="00A60753"/>
    <w:rsid w:val="00A77678"/>
    <w:rsid w:val="00B9242E"/>
    <w:rsid w:val="00BC26F7"/>
    <w:rsid w:val="00BC4C95"/>
    <w:rsid w:val="00BD5944"/>
    <w:rsid w:val="00C14478"/>
    <w:rsid w:val="00C9414A"/>
    <w:rsid w:val="00CA3EAD"/>
    <w:rsid w:val="00CF3380"/>
    <w:rsid w:val="00CF6858"/>
    <w:rsid w:val="00D377B5"/>
    <w:rsid w:val="00D51C98"/>
    <w:rsid w:val="00D93B31"/>
    <w:rsid w:val="00D97825"/>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3F058C"/>
    <w:pPr>
      <w:keepNext/>
      <w:numPr>
        <w:numId w:val="8"/>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B9242E"/>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D51C98"/>
    <w:pPr>
      <w:keepNext/>
      <w:tabs>
        <w:tab w:val="left" w:pos="567"/>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3F058C"/>
    <w:rPr>
      <w:rFonts w:ascii="Arial" w:hAnsi="Arial"/>
      <w:b/>
      <w:caps/>
      <w:sz w:val="24"/>
      <w:szCs w:val="24"/>
      <w:lang w:val="it-IT" w:eastAsia="it-IT"/>
    </w:rPr>
  </w:style>
  <w:style w:type="character" w:customStyle="1" w:styleId="Titolo2Carattere">
    <w:name w:val="Titolo 2 Carattere"/>
    <w:basedOn w:val="Carpredefinitoparagrafo"/>
    <w:link w:val="Titolo2"/>
    <w:rsid w:val="00B9242E"/>
    <w:rPr>
      <w:rFonts w:ascii="Arial" w:hAnsi="Arial"/>
      <w:b/>
      <w:sz w:val="24"/>
      <w:lang w:val="it-IT" w:eastAsia="it-IT"/>
    </w:rPr>
  </w:style>
  <w:style w:type="character" w:customStyle="1" w:styleId="Titolo3Carattere">
    <w:name w:val="Titolo 3 Carattere"/>
    <w:basedOn w:val="Carpredefinitoparagrafo"/>
    <w:link w:val="Titolo3"/>
    <w:rsid w:val="00D51C98"/>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99"/>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notaapidipagina">
    <w:name w:val="footnote text"/>
    <w:basedOn w:val="Normale"/>
    <w:link w:val="TestonotaapidipaginaCarattere"/>
    <w:uiPriority w:val="99"/>
    <w:semiHidden/>
    <w:unhideWhenUsed/>
    <w:rsid w:val="00951F6D"/>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951F6D"/>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951F6D"/>
    <w:rPr>
      <w:vertAlign w:val="superscript"/>
    </w:rPr>
  </w:style>
  <w:style w:type="paragraph" w:styleId="Testofumetto">
    <w:name w:val="Balloon Text"/>
    <w:basedOn w:val="Normale"/>
    <w:link w:val="TestofumettoCarattere"/>
    <w:uiPriority w:val="99"/>
    <w:semiHidden/>
    <w:unhideWhenUsed/>
    <w:rsid w:val="001967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6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3F058C"/>
    <w:pPr>
      <w:keepNext/>
      <w:numPr>
        <w:numId w:val="8"/>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B9242E"/>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D51C98"/>
    <w:pPr>
      <w:keepNext/>
      <w:tabs>
        <w:tab w:val="left" w:pos="567"/>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3F058C"/>
    <w:rPr>
      <w:rFonts w:ascii="Arial" w:hAnsi="Arial"/>
      <w:b/>
      <w:caps/>
      <w:sz w:val="24"/>
      <w:szCs w:val="24"/>
      <w:lang w:val="it-IT" w:eastAsia="it-IT"/>
    </w:rPr>
  </w:style>
  <w:style w:type="character" w:customStyle="1" w:styleId="Titolo2Carattere">
    <w:name w:val="Titolo 2 Carattere"/>
    <w:basedOn w:val="Carpredefinitoparagrafo"/>
    <w:link w:val="Titolo2"/>
    <w:rsid w:val="00B9242E"/>
    <w:rPr>
      <w:rFonts w:ascii="Arial" w:hAnsi="Arial"/>
      <w:b/>
      <w:sz w:val="24"/>
      <w:lang w:val="it-IT" w:eastAsia="it-IT"/>
    </w:rPr>
  </w:style>
  <w:style w:type="character" w:customStyle="1" w:styleId="Titolo3Carattere">
    <w:name w:val="Titolo 3 Carattere"/>
    <w:basedOn w:val="Carpredefinitoparagrafo"/>
    <w:link w:val="Titolo3"/>
    <w:rsid w:val="00D51C98"/>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99"/>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notaapidipagina">
    <w:name w:val="footnote text"/>
    <w:basedOn w:val="Normale"/>
    <w:link w:val="TestonotaapidipaginaCarattere"/>
    <w:uiPriority w:val="99"/>
    <w:semiHidden/>
    <w:unhideWhenUsed/>
    <w:rsid w:val="00951F6D"/>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951F6D"/>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951F6D"/>
    <w:rPr>
      <w:vertAlign w:val="superscript"/>
    </w:rPr>
  </w:style>
  <w:style w:type="paragraph" w:styleId="Testofumetto">
    <w:name w:val="Balloon Text"/>
    <w:basedOn w:val="Normale"/>
    <w:link w:val="TestofumettoCarattere"/>
    <w:uiPriority w:val="99"/>
    <w:semiHidden/>
    <w:unhideWhenUsed/>
    <w:rsid w:val="001967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6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AC51-7661-4C46-B55E-5311C322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3625</Words>
  <Characters>20668</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2017-04-06T13:01:00Z</cp:lastPrinted>
  <dcterms:created xsi:type="dcterms:W3CDTF">2018-01-15T11:19:00Z</dcterms:created>
  <dcterms:modified xsi:type="dcterms:W3CDTF">2018-01-15T11:19:00Z</dcterms:modified>
</cp:coreProperties>
</file>