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B067C6" w:rsidP="00076E70">
      <w:r w:rsidRPr="00C15374">
        <w:rPr>
          <w:rFonts w:ascii="Gill Sans MT" w:hAnsi="Gill Sans MT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  <w:bookmarkStart w:id="0" w:name="_GoBack"/>
      <w:bookmarkEnd w:id="0"/>
    </w:p>
    <w:p w:rsidR="008B4137" w:rsidRDefault="00A72195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7463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27 febbraio 2018</w:t>
      </w:r>
      <w:r w:rsidR="008B4137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CONSIGLIO DI STATO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 della gestione e delle finanze</w:t>
      </w:r>
    </w:p>
    <w:p w:rsidR="00A72195" w:rsidRDefault="00A72195">
      <w:pPr>
        <w:rPr>
          <w:rFonts w:cs="Arial"/>
          <w:b/>
          <w:sz w:val="28"/>
          <w:szCs w:val="28"/>
        </w:rPr>
      </w:pPr>
      <w:r w:rsidRPr="00842176">
        <w:rPr>
          <w:rFonts w:cs="Arial"/>
          <w:b/>
          <w:sz w:val="28"/>
          <w:szCs w:val="28"/>
        </w:rPr>
        <w:t>sulla mozione 10 marzo 2014 presentata da Sergio Morisoli «Partecipazione alle negoziazioni fra Svizzera e Europa»</w:t>
      </w:r>
    </w:p>
    <w:p w:rsidR="008B4137" w:rsidRPr="00A72195" w:rsidRDefault="00A72195" w:rsidP="00A72195">
      <w:pPr>
        <w:spacing w:before="100"/>
        <w:rPr>
          <w:rFonts w:cs="Arial"/>
          <w:b/>
          <w:sz w:val="26"/>
          <w:szCs w:val="26"/>
        </w:rPr>
      </w:pPr>
      <w:r w:rsidRPr="00A72195">
        <w:rPr>
          <w:rFonts w:cs="Arial"/>
          <w:b/>
          <w:sz w:val="26"/>
          <w:szCs w:val="26"/>
        </w:rPr>
        <w:t>(v.</w:t>
      </w:r>
      <w:r w:rsidR="008B4137" w:rsidRPr="00A72195">
        <w:rPr>
          <w:rFonts w:cs="Arial"/>
          <w:b/>
          <w:sz w:val="26"/>
          <w:szCs w:val="26"/>
        </w:rPr>
        <w:t xml:space="preserve"> messaggio</w:t>
      </w:r>
      <w:r w:rsidRPr="00A72195">
        <w:rPr>
          <w:rFonts w:cs="Arial"/>
          <w:b/>
          <w:sz w:val="26"/>
          <w:szCs w:val="26"/>
        </w:rPr>
        <w:t xml:space="preserve"> 6 dicembre 201</w:t>
      </w:r>
      <w:r>
        <w:rPr>
          <w:rFonts w:cs="Arial"/>
          <w:b/>
          <w:sz w:val="26"/>
          <w:szCs w:val="26"/>
        </w:rPr>
        <w:t>7</w:t>
      </w:r>
      <w:r w:rsidRPr="00A72195">
        <w:rPr>
          <w:rFonts w:cs="Arial"/>
          <w:b/>
          <w:sz w:val="26"/>
          <w:szCs w:val="26"/>
        </w:rPr>
        <w:t xml:space="preserve"> n. 7463)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1065C2" w:rsidRPr="00787F19" w:rsidRDefault="001065C2" w:rsidP="00A72195">
      <w:pPr>
        <w:pStyle w:val="Titolo1"/>
        <w:numPr>
          <w:ilvl w:val="0"/>
          <w:numId w:val="0"/>
        </w:numPr>
        <w:ind w:left="567" w:hanging="567"/>
      </w:pPr>
      <w:r w:rsidRPr="00787F19">
        <w:t>I</w:t>
      </w:r>
      <w:r w:rsidR="00A72195">
        <w:t>.</w:t>
      </w:r>
      <w:r w:rsidRPr="00787F19">
        <w:tab/>
        <w:t>La mozione</w:t>
      </w:r>
    </w:p>
    <w:p w:rsidR="001065C2" w:rsidRPr="00842176" w:rsidRDefault="001065C2" w:rsidP="001065C2">
      <w:pPr>
        <w:tabs>
          <w:tab w:val="left" w:pos="284"/>
          <w:tab w:val="left" w:pos="426"/>
          <w:tab w:val="left" w:pos="4962"/>
        </w:tabs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842176">
        <w:rPr>
          <w:rFonts w:cs="Arial"/>
          <w:szCs w:val="24"/>
        </w:rPr>
        <w:t xml:space="preserve">a mozione </w:t>
      </w:r>
      <w:r>
        <w:rPr>
          <w:rFonts w:cs="Arial"/>
          <w:szCs w:val="24"/>
        </w:rPr>
        <w:t>in oggetto - presentata dal deputato Sergio Morisoli –</w:t>
      </w:r>
      <w:r w:rsidRPr="00842176">
        <w:rPr>
          <w:rFonts w:cs="Arial"/>
          <w:szCs w:val="24"/>
        </w:rPr>
        <w:t xml:space="preserve"> chiede</w:t>
      </w:r>
      <w:r>
        <w:rPr>
          <w:rFonts w:cs="Arial"/>
          <w:szCs w:val="24"/>
        </w:rPr>
        <w:t>va 3 anni orsono</w:t>
      </w:r>
      <w:r w:rsidRPr="00842176">
        <w:rPr>
          <w:rFonts w:cs="Arial"/>
          <w:szCs w:val="24"/>
        </w:rPr>
        <w:t>, sulla scorta del voto del 9 febbraio 2014, che il Consiglio di Stato si attiv</w:t>
      </w:r>
      <w:r>
        <w:rPr>
          <w:rFonts w:cs="Arial"/>
          <w:szCs w:val="24"/>
        </w:rPr>
        <w:t>asse</w:t>
      </w:r>
      <w:r w:rsidRPr="00842176">
        <w:rPr>
          <w:rFonts w:cs="Arial"/>
          <w:szCs w:val="24"/>
        </w:rPr>
        <w:t xml:space="preserve"> subito per formare un Comitato dei Cantoni di frontiera come partner e interlocutore de</w:t>
      </w:r>
      <w:r>
        <w:rPr>
          <w:rFonts w:cs="Arial"/>
          <w:szCs w:val="24"/>
        </w:rPr>
        <w:t>gli allora</w:t>
      </w:r>
      <w:r w:rsidRPr="00842176">
        <w:rPr>
          <w:rFonts w:cs="Arial"/>
          <w:szCs w:val="24"/>
        </w:rPr>
        <w:t xml:space="preserve"> prossimi negoziatori e per ottenere un posto fisso nella delegazione dei negoziatori dalla Confederazione</w:t>
      </w:r>
      <w:r>
        <w:rPr>
          <w:rFonts w:cs="Arial"/>
          <w:szCs w:val="24"/>
        </w:rPr>
        <w:t xml:space="preserve">. Ciò anche facendo leva sull’esperienza maturata sul campo negli anni di applicazione dei bilaterali in una zona di frontiera come la nostra. Il </w:t>
      </w:r>
      <w:proofErr w:type="spellStart"/>
      <w:r>
        <w:rPr>
          <w:rFonts w:cs="Arial"/>
          <w:szCs w:val="24"/>
        </w:rPr>
        <w:t>mozionante</w:t>
      </w:r>
      <w:proofErr w:type="spellEnd"/>
      <w:r>
        <w:rPr>
          <w:rFonts w:cs="Arial"/>
          <w:szCs w:val="24"/>
        </w:rPr>
        <w:t xml:space="preserve"> avvalorava il suo dire come segue:</w:t>
      </w:r>
    </w:p>
    <w:p w:rsidR="001065C2" w:rsidRPr="00A72195" w:rsidRDefault="001065C2" w:rsidP="00A72195">
      <w:pPr>
        <w:pStyle w:val="Default"/>
        <w:spacing w:before="60"/>
        <w:jc w:val="both"/>
        <w:rPr>
          <w:i/>
          <w:sz w:val="23"/>
          <w:szCs w:val="23"/>
        </w:rPr>
      </w:pPr>
      <w:r w:rsidRPr="00A72195">
        <w:rPr>
          <w:i/>
          <w:sz w:val="23"/>
          <w:szCs w:val="23"/>
        </w:rPr>
        <w:t>“La lunga tradizione svizzera nel campo della negoziazione tra Stati ci permette di deplorare i metodi ricattatori e minacciosi che in queste settimane, in modo confuso, aleggiano in Europa. Fermi nella certezza e nella sovranità del nostro diritto e rispettosi della democrazia diretta, la Svizzera non deve reagire e comportarsi parimenti e abbassarsi a livelli di spicciole rivendicazioni, vendette e ritorsioni cantonali o regionali.”</w:t>
      </w:r>
    </w:p>
    <w:p w:rsidR="001065C2" w:rsidRPr="001803CC" w:rsidRDefault="001065C2" w:rsidP="001065C2">
      <w:pPr>
        <w:pStyle w:val="Default"/>
        <w:rPr>
          <w:i/>
        </w:rPr>
      </w:pPr>
    </w:p>
    <w:p w:rsidR="001065C2" w:rsidRDefault="001065C2" w:rsidP="001065C2">
      <w:pPr>
        <w:pStyle w:val="Default"/>
        <w:jc w:val="both"/>
      </w:pPr>
    </w:p>
    <w:p w:rsidR="001065C2" w:rsidRPr="00F25BC2" w:rsidRDefault="001065C2" w:rsidP="00A72195">
      <w:pPr>
        <w:pStyle w:val="Titolo1"/>
        <w:numPr>
          <w:ilvl w:val="0"/>
          <w:numId w:val="0"/>
        </w:numPr>
        <w:ind w:left="567" w:hanging="567"/>
      </w:pPr>
      <w:r w:rsidRPr="00F25BC2">
        <w:t>II</w:t>
      </w:r>
      <w:r w:rsidR="00A72195">
        <w:t>.</w:t>
      </w:r>
      <w:r w:rsidRPr="00F25BC2">
        <w:tab/>
        <w:t>Il parere del Governo</w:t>
      </w:r>
    </w:p>
    <w:p w:rsidR="001065C2" w:rsidRDefault="001065C2" w:rsidP="001065C2">
      <w:pPr>
        <w:pStyle w:val="Default"/>
        <w:jc w:val="both"/>
      </w:pPr>
      <w:r>
        <w:t>In prima linea il Consiglio di Stato evidenzia, ovviamente,</w:t>
      </w:r>
      <w:r w:rsidRPr="00842176">
        <w:t xml:space="preserve"> che gli ambiti decisionali riportati dal </w:t>
      </w:r>
      <w:proofErr w:type="spellStart"/>
      <w:r w:rsidRPr="00842176">
        <w:t>mozionante</w:t>
      </w:r>
      <w:proofErr w:type="spellEnd"/>
      <w:r w:rsidRPr="00842176">
        <w:t xml:space="preserve"> sono di competenza prettamente nazionale (art. 54 </w:t>
      </w:r>
      <w:proofErr w:type="spellStart"/>
      <w:r w:rsidRPr="00842176">
        <w:t>Cost</w:t>
      </w:r>
      <w:proofErr w:type="spellEnd"/>
      <w:r w:rsidRPr="00842176">
        <w:t>.</w:t>
      </w:r>
      <w:r w:rsidRPr="00842176">
        <w:rPr>
          <w:rStyle w:val="Rimandonotaapidipagina"/>
        </w:rPr>
        <w:footnoteReference w:id="1"/>
      </w:r>
      <w:r w:rsidRPr="00842176">
        <w:t>), per i quali i Cantoni non esercitano un’influenza diretta.</w:t>
      </w:r>
      <w:r>
        <w:t xml:space="preserve"> Detto questo, dopo il voto del 9 febbraio 2014, l’esecutivo cantonale sottolinea come esso si sia</w:t>
      </w:r>
      <w:r w:rsidRPr="00842176">
        <w:t xml:space="preserve"> comunque attivato sin dalle primissime fasi decisionali per presentare - e difendere - gli interessi e le peculiarità ticinesi. </w:t>
      </w:r>
    </w:p>
    <w:p w:rsidR="001065C2" w:rsidRPr="00842176" w:rsidRDefault="001065C2" w:rsidP="001065C2">
      <w:pPr>
        <w:pStyle w:val="Default"/>
        <w:jc w:val="both"/>
      </w:pPr>
    </w:p>
    <w:p w:rsidR="001065C2" w:rsidRDefault="001065C2" w:rsidP="001065C2">
      <w:pPr>
        <w:pStyle w:val="Default"/>
        <w:jc w:val="both"/>
      </w:pPr>
      <w:r w:rsidRPr="00842176">
        <w:t xml:space="preserve">In </w:t>
      </w:r>
      <w:r>
        <w:t>particolare, il Governo mette in risalto che -</w:t>
      </w:r>
      <w:r w:rsidRPr="00F25BC2">
        <w:t xml:space="preserve"> dopo aver preso posizione sulla proposta di attuazione dell’iniziativa contro l’immigrazione del Consiglio federale</w:t>
      </w:r>
      <w:r>
        <w:t xml:space="preserve"> - su impulso in particolare del Direttore del DFE, On. Christian Vitta</w:t>
      </w:r>
      <w:r w:rsidRPr="00842176">
        <w:t xml:space="preserve">, </w:t>
      </w:r>
      <w:r>
        <w:t xml:space="preserve">esso </w:t>
      </w:r>
      <w:r w:rsidRPr="00842176">
        <w:t xml:space="preserve">ha affidato al Prof. Michael </w:t>
      </w:r>
      <w:proofErr w:type="spellStart"/>
      <w:r w:rsidRPr="00842176">
        <w:t>Ambühl</w:t>
      </w:r>
      <w:proofErr w:type="spellEnd"/>
      <w:r w:rsidRPr="00842176">
        <w:t xml:space="preserve"> del Politecnico federale di Zurigo, il mandato di elaborare una proposta di una clausola di salvaguardia specificamente dedicata al mercato del lavoro ticinese e alla protezione della manodopera indigena. Il Governo ticinese ha infatti ritenuto che, nell’attuazione delle nuove disposizioni costituzionali volute da Popolo e Cantoni, non ci si potesse limitare alla questione dell’immigrazione, ma fosse essenziale considerare anche l'impatto della libera circolazione delle persone sul mercato del lavoro, in un’ottica attenta alle diverse realtà e alle</w:t>
      </w:r>
      <w:r>
        <w:t xml:space="preserve"> specifiche esigenze regionali.</w:t>
      </w:r>
    </w:p>
    <w:p w:rsidR="001065C2" w:rsidRPr="00842176" w:rsidRDefault="001065C2" w:rsidP="001065C2">
      <w:pPr>
        <w:pStyle w:val="Default"/>
        <w:jc w:val="both"/>
      </w:pPr>
    </w:p>
    <w:p w:rsidR="001065C2" w:rsidRPr="00842176" w:rsidRDefault="001065C2" w:rsidP="001065C2">
      <w:pPr>
        <w:pStyle w:val="Default"/>
        <w:jc w:val="both"/>
      </w:pPr>
      <w:r>
        <w:lastRenderedPageBreak/>
        <w:t>Il messaggio ripercorre l’evoluzione del</w:t>
      </w:r>
      <w:r w:rsidRPr="00842176">
        <w:t xml:space="preserve"> modello</w:t>
      </w:r>
      <w:r>
        <w:t xml:space="preserve"> elaborato il quale</w:t>
      </w:r>
      <w:r w:rsidRPr="00842176">
        <w:t xml:space="preserve"> è stato oggetto di una discussione a livello federale: la Conferenza dei Governi cantonali (CGC) nel marzo 2016 </w:t>
      </w:r>
      <w:r>
        <w:t>aveva</w:t>
      </w:r>
      <w:r w:rsidRPr="00842176">
        <w:t xml:space="preserve"> incaricato lo stesso Prof. </w:t>
      </w:r>
      <w:proofErr w:type="spellStart"/>
      <w:r w:rsidRPr="00842176">
        <w:t>Ambühl</w:t>
      </w:r>
      <w:proofErr w:type="spellEnd"/>
      <w:r w:rsidRPr="00842176">
        <w:t xml:space="preserve"> di sviluppare una clausola di salvaguardia applicabile all’intero territorio nazionale, su ispirazione del modello regionale sviluppato per il Canton Ticino. Il dialogo e il lavoro di sensibilizzazione alle problematiche della nostra regione è </w:t>
      </w:r>
      <w:r>
        <w:t xml:space="preserve">pertanto </w:t>
      </w:r>
      <w:r w:rsidRPr="00842176">
        <w:t xml:space="preserve">proseguito </w:t>
      </w:r>
      <w:r>
        <w:t xml:space="preserve">in questi anni </w:t>
      </w:r>
      <w:r w:rsidRPr="00842176">
        <w:t xml:space="preserve">anche nelle fasi successive di questo importante dossier, anche in collaborazione con la Deputazione ticinese alle Camere federali. </w:t>
      </w:r>
    </w:p>
    <w:p w:rsidR="001065C2" w:rsidRPr="00A72195" w:rsidRDefault="001065C2" w:rsidP="001065C2">
      <w:pPr>
        <w:pStyle w:val="Default"/>
        <w:jc w:val="both"/>
        <w:rPr>
          <w:sz w:val="18"/>
          <w:szCs w:val="18"/>
        </w:rPr>
      </w:pPr>
    </w:p>
    <w:p w:rsidR="001065C2" w:rsidRPr="006B3A0E" w:rsidRDefault="001065C2" w:rsidP="001065C2">
      <w:pPr>
        <w:pStyle w:val="Default"/>
        <w:jc w:val="both"/>
      </w:pPr>
      <w:r>
        <w:t>Il Consiglio di Stato rileva che - n</w:t>
      </w:r>
      <w:r w:rsidRPr="00842176">
        <w:t>onostante il fatto che le deliberazioni che hanno poi condotto alla stesura del testo finale della «</w:t>
      </w:r>
      <w:r w:rsidRPr="00842176">
        <w:rPr>
          <w:color w:val="262626"/>
        </w:rPr>
        <w:t>Legge federale sugli stranieri “Regolazione dell‘immigrazione e miglioramenti nell‘esecuzione degli accordi sulla libera circolazione»</w:t>
      </w:r>
      <w:r w:rsidRPr="00842176">
        <w:rPr>
          <w:color w:val="262626"/>
          <w:lang w:val="it-IT"/>
        </w:rPr>
        <w:t>, nonché le relative ordinanze, non siano andate nella direzione auspicata dal Governo</w:t>
      </w:r>
      <w:r>
        <w:rPr>
          <w:color w:val="262626"/>
          <w:lang w:val="it-IT"/>
        </w:rPr>
        <w:t xml:space="preserve"> -</w:t>
      </w:r>
      <w:r w:rsidRPr="00842176">
        <w:rPr>
          <w:color w:val="262626"/>
          <w:lang w:val="it-IT"/>
        </w:rPr>
        <w:t xml:space="preserve"> alcune misure previste tengano comunque conto delle difficoltà e delle peculiarità del nostro Cantone. Si pensi ad esempio all’aggiunta del criterio regionale alla misura che prevede che, in caso di disoccupazione superiore alla media, </w:t>
      </w:r>
      <w:r w:rsidRPr="00842176">
        <w:rPr>
          <w:rFonts w:cs="Segoe UI"/>
        </w:rPr>
        <w:t xml:space="preserve">i datori di lavoro siano obbligati ad annunciare i posti vacanti agli Uffici regionali di collocamento (art. 21a cpv. 2 del testo votato dalle Camere). Anche nel caso di gravi difficoltà economiche causate in particolare da frontalieri, i Cantoni potranno proporre misure ulteriori al Consiglio federale in aggiunta a quelle previste dal testo di legge (art. 21a cpv. 8). </w:t>
      </w:r>
    </w:p>
    <w:p w:rsidR="001065C2" w:rsidRPr="00A72195" w:rsidRDefault="001065C2" w:rsidP="001065C2">
      <w:pPr>
        <w:pStyle w:val="Default"/>
        <w:jc w:val="both"/>
        <w:rPr>
          <w:rFonts w:cs="Segoe UI"/>
          <w:sz w:val="18"/>
          <w:szCs w:val="18"/>
        </w:rPr>
      </w:pPr>
    </w:p>
    <w:p w:rsidR="001065C2" w:rsidRPr="00842176" w:rsidRDefault="001065C2" w:rsidP="001065C2">
      <w:pPr>
        <w:pStyle w:val="Default"/>
        <w:jc w:val="both"/>
      </w:pPr>
      <w:r>
        <w:t>I</w:t>
      </w:r>
      <w:r w:rsidRPr="00842176">
        <w:t>l Governo</w:t>
      </w:r>
      <w:r>
        <w:t xml:space="preserve"> -</w:t>
      </w:r>
      <w:r w:rsidRPr="00842176">
        <w:t xml:space="preserve"> </w:t>
      </w:r>
      <w:r>
        <w:t>nei limiti delle proprie competenze costituzionali -</w:t>
      </w:r>
      <w:r w:rsidRPr="00842176">
        <w:t xml:space="preserve"> ha portato avanti la questione anche nell’ambito della Conferenza dei Governi cantonali (CGC). </w:t>
      </w:r>
    </w:p>
    <w:p w:rsidR="001065C2" w:rsidRPr="00842176" w:rsidRDefault="001065C2" w:rsidP="001065C2">
      <w:pPr>
        <w:pStyle w:val="Default"/>
        <w:jc w:val="both"/>
      </w:pPr>
      <w:r>
        <w:t>I</w:t>
      </w:r>
      <w:r w:rsidRPr="00842176">
        <w:t xml:space="preserve">n ambito di relazioni con l’Unione europea, il Cantone Ticino si è più volte attivato per presentare alla Confederazione e all’Unione europea le sue peculiarità regionali e le sue rivendicazioni, come ad esempio le questioni inerenti </w:t>
      </w:r>
      <w:r>
        <w:t>a</w:t>
      </w:r>
      <w:r w:rsidRPr="00842176">
        <w:t xml:space="preserve">l mercato del lavoro o l’impatto che l’Accordo di libera circolazione ha sul nostro territorio. In questo ambito è utile ricordare che negli ultimi anni diversi membri del Consiglio di Stato hanno avuto colloqui di lavoro sia a Bruxelles </w:t>
      </w:r>
      <w:r>
        <w:t>sia a</w:t>
      </w:r>
      <w:r w:rsidRPr="00842176">
        <w:t xml:space="preserve"> Roma con controparti ministeriali che non sono partner istituzionali del Cantone bensì della Confederazione, contatti che hanno costituito un’occasione preziosa per far conoscere la realtà socioeconomica ticinese e rafforzare i legami con le istanze superiori.</w:t>
      </w:r>
    </w:p>
    <w:p w:rsidR="001065C2" w:rsidRDefault="001065C2" w:rsidP="001065C2">
      <w:pPr>
        <w:pStyle w:val="Default"/>
        <w:jc w:val="both"/>
        <w:rPr>
          <w:rFonts w:cs="Segoe UI"/>
        </w:rPr>
      </w:pPr>
    </w:p>
    <w:p w:rsidR="00A72195" w:rsidRPr="00842176" w:rsidRDefault="00A72195" w:rsidP="001065C2">
      <w:pPr>
        <w:pStyle w:val="Default"/>
        <w:jc w:val="both"/>
        <w:rPr>
          <w:rFonts w:cs="Segoe UI"/>
        </w:rPr>
      </w:pPr>
    </w:p>
    <w:p w:rsidR="001065C2" w:rsidRPr="007E422C" w:rsidRDefault="001065C2" w:rsidP="00A72195">
      <w:pPr>
        <w:pStyle w:val="Titolo1"/>
        <w:numPr>
          <w:ilvl w:val="0"/>
          <w:numId w:val="0"/>
        </w:numPr>
        <w:ind w:left="567" w:hanging="567"/>
      </w:pPr>
      <w:r w:rsidRPr="007E422C">
        <w:t>III</w:t>
      </w:r>
      <w:r w:rsidR="00A72195">
        <w:t>.</w:t>
      </w:r>
      <w:r w:rsidRPr="007E422C">
        <w:tab/>
        <w:t>Discussione commissionale e conclusioni</w:t>
      </w:r>
    </w:p>
    <w:p w:rsidR="001065C2" w:rsidRPr="000B4C13" w:rsidRDefault="001065C2" w:rsidP="001065C2">
      <w:pPr>
        <w:tabs>
          <w:tab w:val="left" w:pos="284"/>
          <w:tab w:val="left" w:pos="426"/>
          <w:tab w:val="left" w:pos="4962"/>
        </w:tabs>
        <w:rPr>
          <w:rFonts w:cs="Arial"/>
          <w:szCs w:val="24"/>
        </w:rPr>
      </w:pPr>
      <w:r w:rsidRPr="000B4C13">
        <w:rPr>
          <w:rFonts w:cs="Arial"/>
          <w:szCs w:val="24"/>
        </w:rPr>
        <w:t xml:space="preserve">Considerato quanto sopra esposto, tenendo conto delle competenze specifiche di ogni istanza; ritenuto che il Governo riconosce l’importanza e la necessità di proseguire con il lavoro svolto sinora affinché problematiche e particolarità proprie al nostro Cantone siano considerate nei processi decisionali a livello federale e internazionale; rilevato che nel frattempo i negoziati tra Svizzera e UE sono avviati e che quale nuovo Consigliere federale responsabile degli affari esteri vi è un Ticinese sicuramente cognito delle peculiarità e delle preoccupazioni del Ticino e dei ticinesi, la Commissione della gestione e delle finanze si allinea alle conclusioni dell’Esecutivo nel senso di considerare evasa la mozione non potendo dare maggiormente seguito alle richieste del </w:t>
      </w:r>
      <w:proofErr w:type="spellStart"/>
      <w:r w:rsidRPr="000B4C13">
        <w:rPr>
          <w:rFonts w:cs="Arial"/>
          <w:szCs w:val="24"/>
        </w:rPr>
        <w:t>mozionante</w:t>
      </w:r>
      <w:proofErr w:type="spellEnd"/>
      <w:r w:rsidRPr="000B4C13">
        <w:rPr>
          <w:rFonts w:cs="Arial"/>
          <w:szCs w:val="24"/>
        </w:rPr>
        <w:t xml:space="preserve">. 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A72195" w:rsidP="00076E70">
      <w:pPr>
        <w:rPr>
          <w:rFonts w:cs="Arial"/>
          <w:szCs w:val="24"/>
        </w:rPr>
      </w:pPr>
      <w:r>
        <w:rPr>
          <w:rFonts w:cs="Arial"/>
          <w:szCs w:val="24"/>
        </w:rPr>
        <w:t>Matteo Quadranti</w:t>
      </w:r>
      <w:r w:rsidR="00076E70" w:rsidRPr="00076E70">
        <w:rPr>
          <w:rFonts w:cs="Arial"/>
          <w:szCs w:val="24"/>
        </w:rPr>
        <w:t>, relatore</w:t>
      </w:r>
    </w:p>
    <w:p w:rsidR="001065C2" w:rsidRDefault="001065C2" w:rsidP="001065C2">
      <w:pPr>
        <w:rPr>
          <w:rFonts w:cs="Arial"/>
        </w:rPr>
      </w:pPr>
      <w:bookmarkStart w:id="1" w:name="OLE_LINK1"/>
      <w:bookmarkStart w:id="2" w:name="OLE_LINK2"/>
      <w:proofErr w:type="spellStart"/>
      <w:r w:rsidRPr="005E5056">
        <w:rPr>
          <w:rFonts w:cs="Arial"/>
        </w:rPr>
        <w:t>Bacchetta-Cattori</w:t>
      </w:r>
      <w:proofErr w:type="spellEnd"/>
      <w:r w:rsidRPr="005E5056">
        <w:rPr>
          <w:rFonts w:cs="Arial"/>
        </w:rPr>
        <w:t xml:space="preserve"> </w:t>
      </w:r>
      <w:r w:rsidR="00A72195">
        <w:rPr>
          <w:rFonts w:cs="Arial"/>
        </w:rPr>
        <w:t xml:space="preserve">(con riserva) </w:t>
      </w:r>
      <w:r w:rsidRPr="005E5056">
        <w:rPr>
          <w:rFonts w:cs="Arial"/>
        </w:rPr>
        <w:t xml:space="preserve">- </w:t>
      </w:r>
      <w:r>
        <w:rPr>
          <w:rFonts w:cs="Arial"/>
        </w:rPr>
        <w:t xml:space="preserve">Caprara - </w:t>
      </w:r>
    </w:p>
    <w:p w:rsidR="00A72195" w:rsidRDefault="001065C2" w:rsidP="001065C2">
      <w:pPr>
        <w:rPr>
          <w:rFonts w:cs="Arial"/>
        </w:rPr>
      </w:pPr>
      <w:r>
        <w:rPr>
          <w:rFonts w:cs="Arial"/>
        </w:rPr>
        <w:t xml:space="preserve">Dadò </w:t>
      </w:r>
      <w:r w:rsidR="00A72195">
        <w:rPr>
          <w:rFonts w:cs="Arial"/>
        </w:rPr>
        <w:t xml:space="preserve">(con riserva) </w:t>
      </w:r>
      <w:r>
        <w:rPr>
          <w:rFonts w:cs="Arial"/>
        </w:rPr>
        <w:t xml:space="preserve">- De Rosa </w:t>
      </w:r>
      <w:r w:rsidR="00A72195">
        <w:rPr>
          <w:rFonts w:cs="Arial"/>
        </w:rPr>
        <w:t xml:space="preserve">(con riserva) </w:t>
      </w:r>
      <w:r>
        <w:rPr>
          <w:rFonts w:cs="Arial"/>
        </w:rPr>
        <w:t xml:space="preserve">- </w:t>
      </w:r>
    </w:p>
    <w:p w:rsidR="00A72195" w:rsidRDefault="001065C2" w:rsidP="001065C2">
      <w:pPr>
        <w:rPr>
          <w:rFonts w:cs="Arial"/>
        </w:rPr>
      </w:pPr>
      <w:r>
        <w:rPr>
          <w:rFonts w:cs="Arial"/>
        </w:rPr>
        <w:t xml:space="preserve">Denti - Durisch - Farinelli - Garobbio - Garzoli - </w:t>
      </w:r>
    </w:p>
    <w:p w:rsidR="00076E70" w:rsidRPr="00076E70" w:rsidRDefault="001065C2">
      <w:pPr>
        <w:rPr>
          <w:rFonts w:cs="Arial"/>
          <w:szCs w:val="24"/>
        </w:rPr>
      </w:pPr>
      <w:r>
        <w:rPr>
          <w:rFonts w:cs="Arial"/>
        </w:rPr>
        <w:t xml:space="preserve">Kandemir Bordoli - </w:t>
      </w:r>
      <w:r w:rsidR="00A72195">
        <w:rPr>
          <w:rFonts w:cs="Arial"/>
        </w:rPr>
        <w:t>Pini</w:t>
      </w:r>
      <w:bookmarkEnd w:id="1"/>
      <w:bookmarkEnd w:id="2"/>
    </w:p>
    <w:sectPr w:rsidR="00076E70" w:rsidRPr="00076E70" w:rsidSect="00A72195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C0" w:rsidRDefault="009713C0" w:rsidP="008E77C6">
      <w:r>
        <w:separator/>
      </w:r>
    </w:p>
  </w:endnote>
  <w:endnote w:type="continuationSeparator" w:id="0">
    <w:p w:rsidR="009713C0" w:rsidRDefault="009713C0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B067C6" w:rsidRPr="00B067C6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C0" w:rsidRDefault="009713C0" w:rsidP="008E77C6">
      <w:r>
        <w:separator/>
      </w:r>
    </w:p>
  </w:footnote>
  <w:footnote w:type="continuationSeparator" w:id="0">
    <w:p w:rsidR="009713C0" w:rsidRDefault="009713C0" w:rsidP="008E77C6">
      <w:r>
        <w:continuationSeparator/>
      </w:r>
    </w:p>
  </w:footnote>
  <w:footnote w:id="1">
    <w:p w:rsidR="001065C2" w:rsidRPr="0019229E" w:rsidRDefault="001065C2" w:rsidP="001065C2">
      <w:pPr>
        <w:pStyle w:val="Testonotaapidipagina"/>
        <w:rPr>
          <w:sz w:val="18"/>
          <w:szCs w:val="18"/>
          <w:lang w:val="it-CH"/>
        </w:rPr>
      </w:pPr>
      <w:r w:rsidRPr="0019229E">
        <w:rPr>
          <w:rStyle w:val="Rimandonotaapidipagina"/>
          <w:sz w:val="18"/>
          <w:szCs w:val="18"/>
        </w:rPr>
        <w:footnoteRef/>
      </w:r>
      <w:r w:rsidRPr="0019229E">
        <w:rPr>
          <w:sz w:val="18"/>
          <w:szCs w:val="18"/>
        </w:rPr>
        <w:t xml:space="preserve"> </w:t>
      </w:r>
      <w:hyperlink r:id="rId1" w:history="1">
        <w:r w:rsidRPr="0019229E">
          <w:rPr>
            <w:rStyle w:val="Collegamentoipertestuale"/>
            <w:sz w:val="18"/>
            <w:szCs w:val="18"/>
          </w:rPr>
          <w:t>RS 101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065C2"/>
    <w:rsid w:val="002E5E40"/>
    <w:rsid w:val="0052425A"/>
    <w:rsid w:val="00586A8D"/>
    <w:rsid w:val="006D7A3B"/>
    <w:rsid w:val="007B5462"/>
    <w:rsid w:val="008034BD"/>
    <w:rsid w:val="00876352"/>
    <w:rsid w:val="008B4137"/>
    <w:rsid w:val="008C767A"/>
    <w:rsid w:val="008E77C6"/>
    <w:rsid w:val="009713C0"/>
    <w:rsid w:val="009770BB"/>
    <w:rsid w:val="009E008D"/>
    <w:rsid w:val="00A5465F"/>
    <w:rsid w:val="00A72195"/>
    <w:rsid w:val="00A77678"/>
    <w:rsid w:val="00B067C6"/>
    <w:rsid w:val="00BC4C95"/>
    <w:rsid w:val="00BD5944"/>
    <w:rsid w:val="00CF6858"/>
    <w:rsid w:val="00D377B5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1065C2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65C2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1065C2"/>
    <w:rPr>
      <w:vertAlign w:val="superscript"/>
    </w:rPr>
  </w:style>
  <w:style w:type="character" w:styleId="Collegamentoipertestuale">
    <w:name w:val="Hyperlink"/>
    <w:unhideWhenUsed/>
    <w:rsid w:val="001065C2"/>
    <w:rPr>
      <w:color w:val="0000FF"/>
      <w:u w:val="single"/>
    </w:rPr>
  </w:style>
  <w:style w:type="paragraph" w:customStyle="1" w:styleId="Default">
    <w:name w:val="Default"/>
    <w:rsid w:val="001065C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1065C2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65C2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1065C2"/>
    <w:rPr>
      <w:vertAlign w:val="superscript"/>
    </w:rPr>
  </w:style>
  <w:style w:type="character" w:styleId="Collegamentoipertestuale">
    <w:name w:val="Hyperlink"/>
    <w:unhideWhenUsed/>
    <w:rsid w:val="001065C2"/>
    <w:rPr>
      <w:color w:val="0000FF"/>
      <w:u w:val="single"/>
    </w:rPr>
  </w:style>
  <w:style w:type="paragraph" w:customStyle="1" w:styleId="Default">
    <w:name w:val="Default"/>
    <w:rsid w:val="001065C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1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ch/opc/it/classified-compilation/19995395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0497-47B8-423D-A9CF-4487448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2018-02-27T15:12:00Z</cp:lastPrinted>
  <dcterms:created xsi:type="dcterms:W3CDTF">2018-02-27T15:06:00Z</dcterms:created>
  <dcterms:modified xsi:type="dcterms:W3CDTF">2018-02-28T10:58:00Z</dcterms:modified>
</cp:coreProperties>
</file>