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E67D7A" w:rsidRDefault="00E67D7A">
      <w:pPr>
        <w:rPr>
          <w:rFonts w:ascii="Gill Sans MT" w:hAnsi="Gill Sans MT" w:cs="Arial"/>
          <w:b/>
          <w:sz w:val="52"/>
          <w:szCs w:val="52"/>
        </w:rPr>
      </w:pPr>
      <w:r w:rsidRPr="00E67D7A">
        <w:rPr>
          <w:rFonts w:ascii="Gill Sans MT" w:hAnsi="Gill Sans MT" w:cs="Arial"/>
          <w:b/>
          <w:sz w:val="52"/>
          <w:szCs w:val="52"/>
        </w:rPr>
        <w:t>Rapporto</w:t>
      </w:r>
    </w:p>
    <w:p w:rsidR="008B4137" w:rsidRDefault="008B4137" w:rsidP="00076E70"/>
    <w:p w:rsidR="008B4137" w:rsidRDefault="008B4137">
      <w:pPr>
        <w:rPr>
          <w:rFonts w:cs="Arial"/>
          <w:szCs w:val="24"/>
        </w:rPr>
      </w:pPr>
    </w:p>
    <w:p w:rsidR="00076E70" w:rsidRDefault="00076E70">
      <w:pPr>
        <w:rPr>
          <w:rFonts w:cs="Arial"/>
          <w:szCs w:val="24"/>
        </w:rPr>
      </w:pPr>
    </w:p>
    <w:p w:rsidR="008B4137" w:rsidRDefault="00640D64" w:rsidP="006D7A3B">
      <w:pPr>
        <w:tabs>
          <w:tab w:val="left" w:pos="2098"/>
          <w:tab w:val="left" w:pos="4933"/>
        </w:tabs>
        <w:rPr>
          <w:rFonts w:cs="Arial"/>
          <w:szCs w:val="24"/>
        </w:rPr>
      </w:pPr>
      <w:r>
        <w:rPr>
          <w:rFonts w:cs="Arial"/>
          <w:b/>
          <w:sz w:val="32"/>
          <w:szCs w:val="32"/>
        </w:rPr>
        <w:t>7475</w:t>
      </w:r>
      <w:r w:rsidR="008B4137" w:rsidRPr="008B4137">
        <w:rPr>
          <w:rFonts w:cs="Arial"/>
          <w:b/>
          <w:sz w:val="32"/>
          <w:szCs w:val="32"/>
        </w:rPr>
        <w:t xml:space="preserve"> R</w:t>
      </w:r>
      <w:r w:rsidR="008B4137" w:rsidRPr="008B4137">
        <w:rPr>
          <w:rFonts w:cs="Arial"/>
          <w:sz w:val="28"/>
          <w:szCs w:val="28"/>
        </w:rPr>
        <w:tab/>
      </w:r>
      <w:r>
        <w:rPr>
          <w:rFonts w:cs="Arial"/>
          <w:sz w:val="28"/>
          <w:szCs w:val="28"/>
        </w:rPr>
        <w:t>27 febbraio 2018</w:t>
      </w:r>
      <w:r w:rsidR="008B4137" w:rsidRPr="008B4137">
        <w:rPr>
          <w:rFonts w:cs="Arial"/>
          <w:sz w:val="28"/>
          <w:szCs w:val="28"/>
        </w:rPr>
        <w:tab/>
        <w:t>D</w:t>
      </w:r>
      <w:r>
        <w:rPr>
          <w:rFonts w:cs="Arial"/>
          <w:sz w:val="28"/>
          <w:szCs w:val="28"/>
        </w:rPr>
        <w:t>FE / DECS</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bookmarkStart w:id="0" w:name="_GoBack"/>
      <w:bookmarkEnd w:id="0"/>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640D64">
        <w:rPr>
          <w:rFonts w:cs="Arial"/>
          <w:b/>
          <w:sz w:val="28"/>
          <w:szCs w:val="28"/>
        </w:rPr>
        <w:t xml:space="preserve"> 20 dicembre 201</w:t>
      </w:r>
      <w:r w:rsidR="00765AD5">
        <w:rPr>
          <w:rFonts w:cs="Arial"/>
          <w:b/>
          <w:sz w:val="28"/>
          <w:szCs w:val="28"/>
        </w:rPr>
        <w:t>7</w:t>
      </w:r>
      <w:r w:rsidR="00640D64">
        <w:rPr>
          <w:rFonts w:cs="Arial"/>
          <w:b/>
          <w:sz w:val="28"/>
          <w:szCs w:val="28"/>
        </w:rPr>
        <w:t xml:space="preserve"> concernente la </w:t>
      </w:r>
      <w:r w:rsidR="00640D64">
        <w:rPr>
          <w:b/>
          <w:sz w:val="28"/>
          <w:szCs w:val="28"/>
        </w:rPr>
        <w:t>richiesta di un credito di</w:t>
      </w:r>
      <w:r w:rsidR="00640D64" w:rsidRPr="00EA7145">
        <w:rPr>
          <w:b/>
          <w:sz w:val="28"/>
          <w:szCs w:val="28"/>
        </w:rPr>
        <w:t xml:space="preserve"> costruzione </w:t>
      </w:r>
      <w:r w:rsidR="00640D64">
        <w:rPr>
          <w:b/>
          <w:sz w:val="28"/>
          <w:szCs w:val="28"/>
        </w:rPr>
        <w:t xml:space="preserve">di </w:t>
      </w:r>
      <w:proofErr w:type="spellStart"/>
      <w:r w:rsidR="00640D64">
        <w:rPr>
          <w:b/>
          <w:sz w:val="28"/>
          <w:szCs w:val="28"/>
        </w:rPr>
        <w:t>fr</w:t>
      </w:r>
      <w:proofErr w:type="spellEnd"/>
      <w:r w:rsidR="00640D64">
        <w:rPr>
          <w:b/>
          <w:sz w:val="28"/>
          <w:szCs w:val="28"/>
        </w:rPr>
        <w:t xml:space="preserve">. </w:t>
      </w:r>
      <w:r w:rsidR="00640D64">
        <w:rPr>
          <w:rFonts w:cs="Arial"/>
          <w:b/>
          <w:sz w:val="28"/>
          <w:szCs w:val="28"/>
        </w:rPr>
        <w:t>2'582'400</w:t>
      </w:r>
      <w:r w:rsidR="00640D64">
        <w:rPr>
          <w:b/>
          <w:sz w:val="28"/>
          <w:szCs w:val="28"/>
        </w:rPr>
        <w:t xml:space="preserve"> per la ristrutturazione di Palazzo Reali, sede storica del Museo </w:t>
      </w:r>
      <w:r w:rsidR="00640D64" w:rsidRPr="005C387B">
        <w:rPr>
          <w:b/>
          <w:sz w:val="28"/>
          <w:szCs w:val="28"/>
        </w:rPr>
        <w:t>C</w:t>
      </w:r>
      <w:r w:rsidR="00640D64">
        <w:rPr>
          <w:b/>
          <w:sz w:val="28"/>
          <w:szCs w:val="28"/>
        </w:rPr>
        <w:t>antonale d’</w:t>
      </w:r>
      <w:r w:rsidR="00640D64" w:rsidRPr="005C387B">
        <w:rPr>
          <w:b/>
          <w:sz w:val="28"/>
          <w:szCs w:val="28"/>
        </w:rPr>
        <w:t>A</w:t>
      </w:r>
      <w:r w:rsidR="00640D64">
        <w:rPr>
          <w:b/>
          <w:sz w:val="28"/>
          <w:szCs w:val="28"/>
        </w:rPr>
        <w:t>rte a Lugano (ora una delle due sedi del Museo d’arte della Svizzera italiana, Lugano)</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640D64" w:rsidRDefault="00640D64" w:rsidP="00640D64">
      <w:pPr>
        <w:rPr>
          <w:color w:val="000000"/>
        </w:rPr>
      </w:pPr>
      <w:r w:rsidRPr="00A868B9">
        <w:rPr>
          <w:color w:val="000000"/>
        </w:rPr>
        <w:t xml:space="preserve">Con il Messaggio in esame, il Consiglio di Stato </w:t>
      </w:r>
      <w:r>
        <w:rPr>
          <w:color w:val="000000"/>
        </w:rPr>
        <w:t xml:space="preserve">chiede di approvare un credito di </w:t>
      </w:r>
      <w:r>
        <w:rPr>
          <w:color w:val="000000"/>
        </w:rPr>
        <w:br/>
      </w:r>
      <w:proofErr w:type="spellStart"/>
      <w:r>
        <w:rPr>
          <w:color w:val="000000"/>
        </w:rPr>
        <w:t>fr</w:t>
      </w:r>
      <w:proofErr w:type="spellEnd"/>
      <w:r>
        <w:rPr>
          <w:color w:val="000000"/>
        </w:rPr>
        <w:t xml:space="preserve">. 2'582'400 per la ristrutturazione e la riqualifica di Palazzo Reali a Lugano, sede storica del Museo </w:t>
      </w:r>
      <w:r w:rsidRPr="005C387B">
        <w:rPr>
          <w:color w:val="000000"/>
        </w:rPr>
        <w:t>C</w:t>
      </w:r>
      <w:r>
        <w:rPr>
          <w:color w:val="000000"/>
        </w:rPr>
        <w:t>antonale d’</w:t>
      </w:r>
      <w:r w:rsidRPr="005C387B">
        <w:rPr>
          <w:color w:val="000000"/>
        </w:rPr>
        <w:t>A</w:t>
      </w:r>
      <w:r>
        <w:rPr>
          <w:color w:val="000000"/>
        </w:rPr>
        <w:t>rte (di seguito Museo), divenuto nel</w:t>
      </w:r>
      <w:r w:rsidRPr="00677C1B">
        <w:rPr>
          <w:color w:val="000000"/>
        </w:rPr>
        <w:t xml:space="preserve"> 2015</w:t>
      </w:r>
      <w:r>
        <w:rPr>
          <w:color w:val="000000"/>
        </w:rPr>
        <w:t>, insieme ad un’ala del LAC, con l’approvazione parlamentare del Messaggio 7045, una delle due sedi del Museo d’arte della Svizzera italiana (</w:t>
      </w:r>
      <w:proofErr w:type="spellStart"/>
      <w:r>
        <w:rPr>
          <w:color w:val="000000"/>
        </w:rPr>
        <w:t>MASILugano</w:t>
      </w:r>
      <w:proofErr w:type="spellEnd"/>
      <w:r>
        <w:rPr>
          <w:color w:val="000000"/>
        </w:rPr>
        <w:t>).</w:t>
      </w:r>
    </w:p>
    <w:p w:rsidR="00640D64" w:rsidRDefault="00640D64" w:rsidP="00640D64">
      <w:pPr>
        <w:rPr>
          <w:color w:val="000000"/>
        </w:rPr>
      </w:pPr>
    </w:p>
    <w:p w:rsidR="00640D64" w:rsidRDefault="00640D64" w:rsidP="00640D64">
      <w:pPr>
        <w:rPr>
          <w:color w:val="000000"/>
        </w:rPr>
      </w:pPr>
      <w:r>
        <w:rPr>
          <w:color w:val="000000"/>
        </w:rPr>
        <w:t xml:space="preserve">Gli interventi previsti sono da ritenere </w:t>
      </w:r>
      <w:r w:rsidRPr="00C315B5">
        <w:rPr>
          <w:color w:val="000000"/>
        </w:rPr>
        <w:t xml:space="preserve">indispensabili per il miglioramento e la valorizzazione dell’attività </w:t>
      </w:r>
      <w:r>
        <w:rPr>
          <w:color w:val="000000"/>
        </w:rPr>
        <w:t xml:space="preserve">espositiva. Questa riqualifica permetterà al Museo di continuare a garantire la sua missione istituzionale di conservazione e valorizzazione del patrimonio artistico del Cantone e di proseguire con l’ottimo livello dell’attività espositiva che il </w:t>
      </w:r>
      <w:r w:rsidRPr="00391B1A">
        <w:rPr>
          <w:color w:val="000000"/>
        </w:rPr>
        <w:t>Museo</w:t>
      </w:r>
      <w:r>
        <w:rPr>
          <w:color w:val="000000"/>
        </w:rPr>
        <w:t xml:space="preserve"> ha saputo costruire </w:t>
      </w:r>
      <w:r w:rsidRPr="00161DA4">
        <w:rPr>
          <w:color w:val="000000"/>
        </w:rPr>
        <w:t xml:space="preserve">nella sua </w:t>
      </w:r>
      <w:r w:rsidRPr="000C2A4C">
        <w:t xml:space="preserve">trentennale </w:t>
      </w:r>
      <w:r w:rsidRPr="00161DA4">
        <w:rPr>
          <w:color w:val="000000"/>
        </w:rPr>
        <w:t xml:space="preserve">attività. </w:t>
      </w:r>
    </w:p>
    <w:p w:rsidR="00640D64" w:rsidRDefault="00640D64" w:rsidP="00640D64">
      <w:pPr>
        <w:rPr>
          <w:color w:val="000000"/>
        </w:rPr>
      </w:pPr>
    </w:p>
    <w:p w:rsidR="00640D64" w:rsidRDefault="00640D64" w:rsidP="00640D64">
      <w:pPr>
        <w:rPr>
          <w:rFonts w:cs="Arial"/>
        </w:rPr>
      </w:pPr>
      <w:r w:rsidRPr="00C64168">
        <w:rPr>
          <w:rFonts w:cs="Arial"/>
        </w:rPr>
        <w:t xml:space="preserve">L’area espositiva si </w:t>
      </w:r>
      <w:r>
        <w:rPr>
          <w:rFonts w:cs="Arial"/>
        </w:rPr>
        <w:t xml:space="preserve">è </w:t>
      </w:r>
      <w:r w:rsidRPr="00C64168">
        <w:rPr>
          <w:rFonts w:cs="Arial"/>
        </w:rPr>
        <w:t xml:space="preserve">ridotta dagli iniziali 1'400 mq a 900 mq per far spazio, oltre ai depositi, anche alle attività didattiche e all’accresciuto settore amministrativo. </w:t>
      </w:r>
    </w:p>
    <w:p w:rsidR="00640D64" w:rsidRPr="00C64168" w:rsidRDefault="00640D64" w:rsidP="00640D64">
      <w:pPr>
        <w:rPr>
          <w:rFonts w:cs="Arial"/>
        </w:rPr>
      </w:pPr>
      <w:r>
        <w:rPr>
          <w:rFonts w:cs="Arial"/>
        </w:rPr>
        <w:t>Una conseguenza è che</w:t>
      </w:r>
      <w:r w:rsidRPr="00C64168">
        <w:rPr>
          <w:rFonts w:cs="Arial"/>
        </w:rPr>
        <w:t xml:space="preserve"> </w:t>
      </w:r>
      <w:r>
        <w:rPr>
          <w:rFonts w:cs="Arial"/>
        </w:rPr>
        <w:t xml:space="preserve">la </w:t>
      </w:r>
      <w:r w:rsidRPr="00C64168">
        <w:rPr>
          <w:rFonts w:cs="Arial"/>
        </w:rPr>
        <w:t>collezione</w:t>
      </w:r>
      <w:r>
        <w:rPr>
          <w:rFonts w:cs="Arial"/>
        </w:rPr>
        <w:t>,</w:t>
      </w:r>
      <w:r w:rsidRPr="00C64168">
        <w:rPr>
          <w:rFonts w:cs="Arial"/>
        </w:rPr>
        <w:t xml:space="preserve"> di grande valore sia artistico sia in relazione alla storia dell’arte del nostro territorio, viene </w:t>
      </w:r>
      <w:r>
        <w:rPr>
          <w:rFonts w:cs="Arial"/>
        </w:rPr>
        <w:t xml:space="preserve">attualmente </w:t>
      </w:r>
      <w:r w:rsidRPr="00C64168">
        <w:rPr>
          <w:rFonts w:cs="Arial"/>
        </w:rPr>
        <w:t>esposta</w:t>
      </w:r>
      <w:r>
        <w:rPr>
          <w:rFonts w:cs="Arial"/>
        </w:rPr>
        <w:t xml:space="preserve"> </w:t>
      </w:r>
      <w:r w:rsidRPr="00C64168">
        <w:rPr>
          <w:rFonts w:cs="Arial"/>
        </w:rPr>
        <w:t xml:space="preserve">soltanto </w:t>
      </w:r>
      <w:r>
        <w:rPr>
          <w:rFonts w:cs="Arial"/>
        </w:rPr>
        <w:t>in</w:t>
      </w:r>
      <w:r w:rsidRPr="00C64168">
        <w:rPr>
          <w:rFonts w:cs="Arial"/>
        </w:rPr>
        <w:t xml:space="preserve"> minima parte.</w:t>
      </w:r>
      <w:r>
        <w:rPr>
          <w:rFonts w:cs="Arial"/>
        </w:rPr>
        <w:t xml:space="preserve"> Molte opere </w:t>
      </w:r>
      <w:r w:rsidRPr="00C64168">
        <w:rPr>
          <w:rFonts w:cs="Arial"/>
        </w:rPr>
        <w:t>si trova</w:t>
      </w:r>
      <w:r>
        <w:rPr>
          <w:rFonts w:cs="Arial"/>
        </w:rPr>
        <w:t>no</w:t>
      </w:r>
      <w:r w:rsidRPr="00C64168">
        <w:rPr>
          <w:rFonts w:cs="Arial"/>
        </w:rPr>
        <w:t xml:space="preserve"> </w:t>
      </w:r>
      <w:r>
        <w:rPr>
          <w:rFonts w:cs="Arial"/>
        </w:rPr>
        <w:t xml:space="preserve">nei depositi </w:t>
      </w:r>
      <w:r w:rsidRPr="00C64168">
        <w:rPr>
          <w:rFonts w:cs="Arial"/>
        </w:rPr>
        <w:t xml:space="preserve">ricavati in parte nella sede di Palazzo Reali. </w:t>
      </w:r>
    </w:p>
    <w:p w:rsidR="00640D64" w:rsidRPr="002E1C9A" w:rsidRDefault="00640D64" w:rsidP="00640D64">
      <w:pPr>
        <w:rPr>
          <w:rFonts w:cs="Arial"/>
          <w:color w:val="000000"/>
        </w:rPr>
      </w:pPr>
      <w:r w:rsidRPr="002E1C9A">
        <w:rPr>
          <w:rFonts w:cs="Arial"/>
          <w:color w:val="000000"/>
        </w:rPr>
        <w:t xml:space="preserve">A questa diminuzione di spazio espositivo, si aggiungono problemi legati all’invecchiamento dell’impiantistica a servizio delle sale (impianto elettrico e di climatizzazione) che non risponde più ai moderni canoni dell’allestimento museale e a volte addirittura ai requisiti per la conservazione e la sicurezza delle opere, ciò che rende difficoltoso l’ottenimento di opere in prestito da altri musei con il rischio di generare costi assicurativi più elevati in compensazione. </w:t>
      </w:r>
    </w:p>
    <w:p w:rsidR="00640D64" w:rsidRPr="007773AF" w:rsidRDefault="00640D64" w:rsidP="00640D64">
      <w:pPr>
        <w:rPr>
          <w:rFonts w:cs="Arial"/>
          <w:color w:val="000000"/>
        </w:rPr>
      </w:pPr>
    </w:p>
    <w:p w:rsidR="00640D64" w:rsidRDefault="00640D64" w:rsidP="00640D64">
      <w:pPr>
        <w:rPr>
          <w:rFonts w:cs="Arial"/>
          <w:color w:val="000000"/>
        </w:rPr>
      </w:pPr>
      <w:r w:rsidRPr="007773AF">
        <w:rPr>
          <w:rFonts w:cs="Arial"/>
          <w:color w:val="000000"/>
        </w:rPr>
        <w:t xml:space="preserve">I locali dedicati </w:t>
      </w:r>
      <w:r>
        <w:rPr>
          <w:rFonts w:cs="Arial"/>
          <w:color w:val="000000"/>
        </w:rPr>
        <w:t>al settore</w:t>
      </w:r>
      <w:r w:rsidRPr="007773AF">
        <w:rPr>
          <w:rFonts w:cs="Arial"/>
          <w:color w:val="000000"/>
        </w:rPr>
        <w:t xml:space="preserve"> amministrativ</w:t>
      </w:r>
      <w:r>
        <w:rPr>
          <w:rFonts w:cs="Arial"/>
          <w:color w:val="000000"/>
        </w:rPr>
        <w:t>o</w:t>
      </w:r>
      <w:r w:rsidRPr="007773AF">
        <w:rPr>
          <w:rFonts w:cs="Arial"/>
          <w:color w:val="000000"/>
        </w:rPr>
        <w:t xml:space="preserve"> (uffici, archivi</w:t>
      </w:r>
      <w:r>
        <w:rPr>
          <w:rFonts w:cs="Arial"/>
          <w:color w:val="000000"/>
        </w:rPr>
        <w:t>, depositi</w:t>
      </w:r>
      <w:r w:rsidRPr="007773AF">
        <w:rPr>
          <w:rFonts w:cs="Arial"/>
          <w:color w:val="000000"/>
        </w:rPr>
        <w:t>) e ad alcuni servizi al pubblico, necessitano una riorganizzazione a seguito della creazione del MASI</w:t>
      </w:r>
      <w:r>
        <w:rPr>
          <w:rFonts w:cs="Arial"/>
          <w:color w:val="000000"/>
        </w:rPr>
        <w:t>. È</w:t>
      </w:r>
      <w:r w:rsidRPr="007773AF">
        <w:rPr>
          <w:rFonts w:cs="Arial"/>
          <w:color w:val="000000"/>
        </w:rPr>
        <w:t xml:space="preserve"> </w:t>
      </w:r>
      <w:r>
        <w:rPr>
          <w:rFonts w:cs="Arial"/>
          <w:color w:val="000000"/>
        </w:rPr>
        <w:t xml:space="preserve">quindi stato indispensabile ridefinire l’organizzazione logistica che ha portato al trasferimento </w:t>
      </w:r>
      <w:r w:rsidRPr="007773AF">
        <w:rPr>
          <w:rFonts w:cs="Arial"/>
          <w:color w:val="000000"/>
        </w:rPr>
        <w:t xml:space="preserve">di tutto il personale del nuovo Museo </w:t>
      </w:r>
      <w:r>
        <w:rPr>
          <w:rFonts w:cs="Arial"/>
          <w:color w:val="000000"/>
        </w:rPr>
        <w:t xml:space="preserve">in una sede unica </w:t>
      </w:r>
      <w:r w:rsidRPr="007773AF">
        <w:rPr>
          <w:rFonts w:cs="Arial"/>
          <w:color w:val="000000"/>
        </w:rPr>
        <w:t>a Palazzo Reali</w:t>
      </w:r>
      <w:r>
        <w:rPr>
          <w:rFonts w:cs="Arial"/>
          <w:color w:val="000000"/>
        </w:rPr>
        <w:t>. Per permettere questo trasloco, è stato previsto il trasferimento d</w:t>
      </w:r>
      <w:r w:rsidRPr="007773AF">
        <w:rPr>
          <w:rFonts w:cs="Arial"/>
          <w:color w:val="000000"/>
        </w:rPr>
        <w:t xml:space="preserve">ella Biblioteca del Museo </w:t>
      </w:r>
      <w:r>
        <w:rPr>
          <w:rFonts w:cs="Arial"/>
          <w:color w:val="000000"/>
        </w:rPr>
        <w:t>(attualmente nell’ammezzato del palazzo), in superfici più spaziose ricavate nel piano superiore dell’Ala Est. Questa soluzione agevolerà</w:t>
      </w:r>
      <w:r w:rsidRPr="007773AF">
        <w:rPr>
          <w:rFonts w:cs="Arial"/>
          <w:color w:val="000000"/>
        </w:rPr>
        <w:t xml:space="preserve"> la consultazione pubblic</w:t>
      </w:r>
      <w:r>
        <w:rPr>
          <w:rFonts w:cs="Arial"/>
          <w:color w:val="000000"/>
        </w:rPr>
        <w:t>a da un lato e permetterà di aumentare le acquisizioni librarie.</w:t>
      </w:r>
    </w:p>
    <w:p w:rsidR="00640D64" w:rsidRPr="007773AF" w:rsidRDefault="00640D64" w:rsidP="00640D64">
      <w:pPr>
        <w:rPr>
          <w:rFonts w:cs="Arial"/>
          <w:color w:val="000000"/>
        </w:rPr>
      </w:pPr>
    </w:p>
    <w:p w:rsidR="00640D64" w:rsidRPr="000C2A4C" w:rsidRDefault="00640D64" w:rsidP="00640D64">
      <w:pPr>
        <w:rPr>
          <w:rFonts w:cs="Arial"/>
          <w:color w:val="000000"/>
        </w:rPr>
      </w:pPr>
      <w:r w:rsidRPr="000C2A4C">
        <w:rPr>
          <w:rFonts w:cs="Arial"/>
          <w:color w:val="000000"/>
        </w:rPr>
        <w:lastRenderedPageBreak/>
        <w:t>La ristrutturazione di Palazzo Reali va letta quale tassello fondamentale per la programmazione delle attività del MASI, essendo le sue sale, secondo il nuovo concetto di suddivisione tematica delle due sedi espositive</w:t>
      </w:r>
      <w:r>
        <w:rPr>
          <w:rFonts w:cs="Arial"/>
          <w:color w:val="000000"/>
        </w:rPr>
        <w:t>,</w:t>
      </w:r>
      <w:r w:rsidRPr="000C2A4C">
        <w:rPr>
          <w:rFonts w:cs="Arial"/>
          <w:color w:val="000000"/>
        </w:rPr>
        <w:t xml:space="preserve"> destinate ad ospitare mostre legate al territorio, </w:t>
      </w:r>
      <w:r>
        <w:rPr>
          <w:rFonts w:cs="Arial"/>
          <w:color w:val="000000"/>
        </w:rPr>
        <w:t>ponendo</w:t>
      </w:r>
      <w:r w:rsidRPr="000C2A4C">
        <w:rPr>
          <w:rFonts w:cs="Arial"/>
          <w:color w:val="000000"/>
        </w:rPr>
        <w:t xml:space="preserve"> l’attenzione sulla produzione artistica del Cantone e sull’emigrazione artistica ticinese, dalle radici molto antiche, </w:t>
      </w:r>
      <w:r>
        <w:rPr>
          <w:rFonts w:cs="Arial"/>
          <w:color w:val="000000"/>
        </w:rPr>
        <w:t>rispettando</w:t>
      </w:r>
      <w:r w:rsidRPr="000C2A4C">
        <w:rPr>
          <w:rFonts w:cs="Arial"/>
          <w:color w:val="000000"/>
        </w:rPr>
        <w:t xml:space="preserve"> quindi la missione del museo e la difesa</w:t>
      </w:r>
      <w:r>
        <w:rPr>
          <w:rFonts w:cs="Arial"/>
          <w:color w:val="000000"/>
        </w:rPr>
        <w:t xml:space="preserve"> d</w:t>
      </w:r>
      <w:r w:rsidRPr="000C2A4C">
        <w:rPr>
          <w:rFonts w:cs="Arial"/>
          <w:color w:val="000000"/>
        </w:rPr>
        <w:t>ell’“italianità” e dell’identità del nostro Cantone.</w:t>
      </w:r>
    </w:p>
    <w:p w:rsidR="00640D64" w:rsidRPr="00E118BA" w:rsidRDefault="00640D64" w:rsidP="00640D64">
      <w:pPr>
        <w:rPr>
          <w:color w:val="000000"/>
          <w:sz w:val="20"/>
          <w:szCs w:val="20"/>
        </w:rPr>
      </w:pPr>
    </w:p>
    <w:p w:rsidR="00640D64" w:rsidRPr="00E118BA" w:rsidRDefault="00640D64" w:rsidP="00640D64">
      <w:pPr>
        <w:rPr>
          <w:color w:val="000000"/>
          <w:sz w:val="20"/>
          <w:szCs w:val="20"/>
        </w:rPr>
      </w:pPr>
    </w:p>
    <w:p w:rsidR="00640D64" w:rsidRPr="00E118BA" w:rsidRDefault="00640D64" w:rsidP="00640D64">
      <w:pPr>
        <w:rPr>
          <w:color w:val="000000"/>
          <w:sz w:val="20"/>
          <w:szCs w:val="20"/>
        </w:rPr>
      </w:pPr>
    </w:p>
    <w:p w:rsidR="00640D64" w:rsidRPr="00662677" w:rsidRDefault="00640D64" w:rsidP="00640D64">
      <w:pPr>
        <w:pStyle w:val="Titolo1"/>
      </w:pPr>
      <w:r w:rsidRPr="00662677">
        <w:t>Il progetto di ristrutturazione e riqualifica</w:t>
      </w:r>
    </w:p>
    <w:p w:rsidR="00640D64" w:rsidRPr="0062098A" w:rsidRDefault="00640D64" w:rsidP="00640D64">
      <w:pPr>
        <w:rPr>
          <w:rFonts w:cs="Arial"/>
          <w:szCs w:val="24"/>
        </w:rPr>
      </w:pPr>
      <w:r w:rsidRPr="0062098A">
        <w:rPr>
          <w:rFonts w:cs="Arial"/>
          <w:szCs w:val="24"/>
        </w:rPr>
        <w:t>Dalla sua apertura nel 1987 e sino al 2015 prima della nascita del MASI, il Museo ha promosso quasi 120 mostre, ha accolto circa 600'000 visitatori, ha organizzato oltre 200 conferenze e convegni, ha pubblicato 67 cataloghi (alcuni dei quali sono stati selezionati tra i 50 migliori al mondo) e ha svolto regolarmente più di cento visite guidate all'anno per promuovere le esposizioni e la collezione permanente, riscuotendo consensi a livello nazionale e internazionale. Notevole anche l’attività di mediazione culturale condotta per le scuole del Cantone per avvicinare i giovani all’arte.</w:t>
      </w:r>
    </w:p>
    <w:p w:rsidR="00640D64" w:rsidRPr="0062098A" w:rsidRDefault="00640D64" w:rsidP="00640D64">
      <w:pPr>
        <w:rPr>
          <w:rFonts w:cs="Arial"/>
          <w:szCs w:val="24"/>
        </w:rPr>
      </w:pPr>
    </w:p>
    <w:p w:rsidR="00640D64" w:rsidRPr="0062098A" w:rsidRDefault="00640D64" w:rsidP="00640D64">
      <w:pPr>
        <w:rPr>
          <w:rFonts w:cs="Arial"/>
          <w:color w:val="000000"/>
        </w:rPr>
      </w:pPr>
      <w:r w:rsidRPr="0062098A">
        <w:rPr>
          <w:rFonts w:cs="Arial"/>
          <w:color w:val="000000"/>
        </w:rPr>
        <w:t xml:space="preserve">Il Museo gestisce su mandato istituzionale, la </w:t>
      </w:r>
      <w:r w:rsidRPr="0062098A">
        <w:rPr>
          <w:rFonts w:cs="Arial"/>
          <w:color w:val="000000"/>
          <w:u w:val="single"/>
        </w:rPr>
        <w:t>collezione cantonale di opere d’arte</w:t>
      </w:r>
      <w:r w:rsidRPr="0062098A">
        <w:rPr>
          <w:rFonts w:cs="Arial"/>
          <w:color w:val="000000"/>
        </w:rPr>
        <w:t>, di cui una parte, quasi 3'000 opere, di pertinenza diretta del Museo e una seconda, quasi 2’000 opere, distribuita in varie sedi dell'Amministrazione cantonale. Oltre al fondo iniziale di opere di proprietà cantonale, la collezione ha potuto beneficiare di oltre 500 acquisizioni per un valore stimato di circa 6.2 milioni di franchi, di 690 donazioni per un valore superiore a 12 milioni e di opere in deposito per un valore superiore a 8 milioni. Cifre che con il MASI sono destinate a crescere ulteriormente.</w:t>
      </w:r>
    </w:p>
    <w:p w:rsidR="00640D64" w:rsidRPr="0062098A" w:rsidRDefault="00640D64" w:rsidP="00640D64">
      <w:pPr>
        <w:rPr>
          <w:rFonts w:cs="Arial"/>
          <w:color w:val="000000"/>
        </w:rPr>
      </w:pPr>
    </w:p>
    <w:p w:rsidR="00640D64" w:rsidRPr="0062098A" w:rsidRDefault="00640D64" w:rsidP="00640D64">
      <w:pPr>
        <w:rPr>
          <w:rFonts w:cs="Arial"/>
          <w:color w:val="000000"/>
        </w:rPr>
      </w:pPr>
      <w:r w:rsidRPr="0062098A">
        <w:rPr>
          <w:rFonts w:cs="Arial"/>
          <w:color w:val="000000"/>
        </w:rPr>
        <w:t>L’infrastruttura museografica a Palazzo Reali necessita di essere all’altezza della nuova sfida che ha già elevato il MASI tra i grandi musei della Svizzera, come testimonia il recente riconoscimento dell'Ufficio federale della cultura al MASI.</w:t>
      </w:r>
    </w:p>
    <w:p w:rsidR="00640D64" w:rsidRPr="0062098A" w:rsidRDefault="00640D64" w:rsidP="00640D64">
      <w:pPr>
        <w:rPr>
          <w:rFonts w:ascii="Century Gothic" w:hAnsi="Century Gothic"/>
          <w:color w:val="000000"/>
        </w:rPr>
      </w:pPr>
    </w:p>
    <w:p w:rsidR="00640D64" w:rsidRPr="0062098A" w:rsidRDefault="00640D64" w:rsidP="00640D64">
      <w:pPr>
        <w:rPr>
          <w:rFonts w:cs="Arial"/>
          <w:szCs w:val="24"/>
        </w:rPr>
      </w:pPr>
      <w:r w:rsidRPr="0062098A">
        <w:rPr>
          <w:rFonts w:cs="Arial"/>
          <w:szCs w:val="24"/>
        </w:rPr>
        <w:t xml:space="preserve">La proposta iniziale di riqualifica, allestita nel 2015, è stata ulteriormente elaborata e semplificata, tenendo conto delle esigenze del Museo. Sono stati ridotti al minimo i cambiamenti per la parte amministrativa, si è rinunciato a realizzare una passerella di collegamento tra i due corpi edilizi, e si è posto rimedio a tutte le carenze impiantistiche emerse, migliorandone </w:t>
      </w:r>
      <w:r>
        <w:rPr>
          <w:rFonts w:cs="Arial"/>
          <w:szCs w:val="24"/>
        </w:rPr>
        <w:t>allo stesso tempo</w:t>
      </w:r>
      <w:r w:rsidRPr="0062098A">
        <w:rPr>
          <w:rFonts w:cs="Arial"/>
          <w:szCs w:val="24"/>
        </w:rPr>
        <w:t xml:space="preserve"> gli standard qualitativi.</w:t>
      </w:r>
    </w:p>
    <w:p w:rsidR="00640D64" w:rsidRPr="0062098A" w:rsidRDefault="00640D64" w:rsidP="00640D64">
      <w:pPr>
        <w:rPr>
          <w:rFonts w:cs="Arial"/>
          <w:szCs w:val="24"/>
        </w:rPr>
      </w:pPr>
    </w:p>
    <w:p w:rsidR="00640D64" w:rsidRPr="00662677" w:rsidRDefault="00640D64" w:rsidP="00640D64">
      <w:pPr>
        <w:rPr>
          <w:rFonts w:cs="Arial"/>
          <w:szCs w:val="24"/>
        </w:rPr>
      </w:pPr>
      <w:r w:rsidRPr="0062098A">
        <w:rPr>
          <w:rFonts w:cs="Arial"/>
          <w:szCs w:val="24"/>
        </w:rPr>
        <w:t>Questa proposta raccoglie la piena soddisfazione della direzione del Museo e l’avallo della Sezione della logistica, alla quale competerà anche in futuro la manutenzione di Palazzo Reali (di proprietà del Cantone).</w:t>
      </w:r>
    </w:p>
    <w:p w:rsidR="00640D64" w:rsidRPr="00640D64" w:rsidRDefault="00640D64" w:rsidP="00640D64">
      <w:pPr>
        <w:rPr>
          <w:szCs w:val="24"/>
        </w:rPr>
      </w:pPr>
    </w:p>
    <w:p w:rsidR="00640D64" w:rsidRPr="00E118BA" w:rsidRDefault="00640D64" w:rsidP="00E118BA">
      <w:pPr>
        <w:pStyle w:val="Titolo2"/>
      </w:pPr>
      <w:r w:rsidRPr="00E118BA">
        <w:t xml:space="preserve">Adeguamento degli spazi espositivi </w:t>
      </w:r>
    </w:p>
    <w:p w:rsidR="00640D64" w:rsidRPr="00D967B5" w:rsidRDefault="00640D64" w:rsidP="00640D64">
      <w:pPr>
        <w:tabs>
          <w:tab w:val="left" w:pos="284"/>
        </w:tabs>
        <w:spacing w:after="60"/>
        <w:rPr>
          <w:color w:val="000000"/>
          <w:sz w:val="22"/>
          <w:u w:val="single"/>
        </w:rPr>
      </w:pPr>
      <w:r w:rsidRPr="00D967B5">
        <w:rPr>
          <w:color w:val="000000"/>
          <w:sz w:val="22"/>
          <w:u w:val="single"/>
        </w:rPr>
        <w:t>Illuminazione degli spazi museali</w:t>
      </w:r>
    </w:p>
    <w:p w:rsidR="00640D64" w:rsidRDefault="00640D64" w:rsidP="00640D64">
      <w:pPr>
        <w:rPr>
          <w:color w:val="000000"/>
        </w:rPr>
      </w:pPr>
      <w:r w:rsidRPr="00E41E7A">
        <w:rPr>
          <w:color w:val="000000"/>
        </w:rPr>
        <w:t xml:space="preserve">Gli impianti attuali sono obsoleti e non più conformi al raggiungimento di uno standard illuminotecnico sufficiente per gli spazi espositivi. </w:t>
      </w:r>
      <w:r>
        <w:rPr>
          <w:color w:val="000000"/>
        </w:rPr>
        <w:t xml:space="preserve">La </w:t>
      </w:r>
      <w:r w:rsidRPr="00E41E7A">
        <w:rPr>
          <w:color w:val="000000"/>
        </w:rPr>
        <w:t>soluzione</w:t>
      </w:r>
      <w:r>
        <w:rPr>
          <w:color w:val="000000"/>
        </w:rPr>
        <w:t xml:space="preserve"> individuata è stata scelta</w:t>
      </w:r>
      <w:r w:rsidRPr="00E41E7A">
        <w:rPr>
          <w:color w:val="000000"/>
        </w:rPr>
        <w:t xml:space="preserve"> sia per gli aspetti economici, </w:t>
      </w:r>
      <w:r>
        <w:rPr>
          <w:color w:val="000000"/>
        </w:rPr>
        <w:t>sia</w:t>
      </w:r>
      <w:r w:rsidRPr="00E41E7A">
        <w:rPr>
          <w:color w:val="000000"/>
        </w:rPr>
        <w:t xml:space="preserve"> per quelli funzionali, tecnici, estetici e gestionali</w:t>
      </w:r>
      <w:r>
        <w:rPr>
          <w:color w:val="000000"/>
        </w:rPr>
        <w:t>.</w:t>
      </w:r>
    </w:p>
    <w:p w:rsidR="00640D64" w:rsidRPr="00A61859" w:rsidRDefault="00640D64" w:rsidP="00640D64">
      <w:pPr>
        <w:rPr>
          <w:color w:val="000000"/>
        </w:rPr>
      </w:pPr>
      <w:r w:rsidRPr="00E41E7A">
        <w:rPr>
          <w:color w:val="000000"/>
        </w:rPr>
        <w:t>Si tratta di un impianto che permetterà di soddisfare le richieste tecniche-qualitative necessarie per un’adeguata illuminazione degli spazi museal</w:t>
      </w:r>
      <w:r>
        <w:rPr>
          <w:color w:val="000000"/>
        </w:rPr>
        <w:t>i e che limiterà</w:t>
      </w:r>
      <w:r w:rsidRPr="00E41E7A">
        <w:rPr>
          <w:color w:val="000000"/>
        </w:rPr>
        <w:t xml:space="preserve"> al massimo gli interventi sulle parti strutturali e di non intaccare gli elementi di decoro storici esistenti (soffitti lignei e stucchi). </w:t>
      </w:r>
    </w:p>
    <w:p w:rsidR="00640D64" w:rsidRDefault="00640D64" w:rsidP="00640D64">
      <w:pPr>
        <w:rPr>
          <w:i/>
          <w:color w:val="000000"/>
        </w:rPr>
      </w:pPr>
    </w:p>
    <w:p w:rsidR="00640D64" w:rsidRPr="00D967B5" w:rsidRDefault="00640D64" w:rsidP="00640D64">
      <w:pPr>
        <w:tabs>
          <w:tab w:val="left" w:pos="284"/>
        </w:tabs>
        <w:spacing w:after="60"/>
        <w:rPr>
          <w:color w:val="000000"/>
          <w:sz w:val="22"/>
          <w:u w:val="single"/>
        </w:rPr>
      </w:pPr>
      <w:r w:rsidRPr="00D967B5">
        <w:rPr>
          <w:color w:val="000000"/>
          <w:sz w:val="22"/>
          <w:u w:val="single"/>
        </w:rPr>
        <w:lastRenderedPageBreak/>
        <w:t>Sostituzione dei serramenti</w:t>
      </w:r>
    </w:p>
    <w:p w:rsidR="00640D64" w:rsidRDefault="00640D64" w:rsidP="00640D64">
      <w:pPr>
        <w:rPr>
          <w:color w:val="000000"/>
        </w:rPr>
      </w:pPr>
      <w:r>
        <w:rPr>
          <w:color w:val="000000"/>
        </w:rPr>
        <w:t>Q</w:t>
      </w:r>
      <w:r w:rsidRPr="00A61859">
        <w:rPr>
          <w:color w:val="000000"/>
        </w:rPr>
        <w:t>uelli di legno che attualmente chiudono le aperture tradizionali in facciata</w:t>
      </w:r>
      <w:r>
        <w:rPr>
          <w:color w:val="000000"/>
        </w:rPr>
        <w:t xml:space="preserve"> verranno sostituiti (con il medesimo materiale), </w:t>
      </w:r>
      <w:r w:rsidRPr="00A61859">
        <w:rPr>
          <w:color w:val="000000"/>
        </w:rPr>
        <w:t>in quanto quelli attuali non garantiscono più un’adeguata tenuta all’aria e all’acqua</w:t>
      </w:r>
      <w:r>
        <w:rPr>
          <w:color w:val="000000"/>
        </w:rPr>
        <w:t>. Q</w:t>
      </w:r>
      <w:r w:rsidRPr="00A61859">
        <w:rPr>
          <w:color w:val="000000"/>
        </w:rPr>
        <w:t>uelli di metallo</w:t>
      </w:r>
      <w:r>
        <w:rPr>
          <w:color w:val="000000"/>
        </w:rPr>
        <w:t>, dei</w:t>
      </w:r>
      <w:r w:rsidRPr="00A61859">
        <w:rPr>
          <w:color w:val="000000"/>
        </w:rPr>
        <w:t xml:space="preserve"> grandi portoni al piano terreno del Museo e</w:t>
      </w:r>
      <w:r>
        <w:rPr>
          <w:color w:val="000000"/>
        </w:rPr>
        <w:t xml:space="preserve"> che chiudono le logge interne di</w:t>
      </w:r>
      <w:r w:rsidRPr="00A61859">
        <w:rPr>
          <w:color w:val="000000"/>
        </w:rPr>
        <w:t xml:space="preserve"> Palazzo Reali</w:t>
      </w:r>
      <w:r>
        <w:rPr>
          <w:color w:val="000000"/>
        </w:rPr>
        <w:t xml:space="preserve">, </w:t>
      </w:r>
      <w:r w:rsidRPr="00A61859">
        <w:rPr>
          <w:color w:val="000000"/>
        </w:rPr>
        <w:t>verranno mantenuti</w:t>
      </w:r>
      <w:r>
        <w:rPr>
          <w:color w:val="000000"/>
        </w:rPr>
        <w:t xml:space="preserve"> e sarà applicato </w:t>
      </w:r>
      <w:r w:rsidRPr="00A61859">
        <w:rPr>
          <w:color w:val="000000"/>
        </w:rPr>
        <w:t xml:space="preserve">un rivestimento interno adeguato per schermare la luce. </w:t>
      </w:r>
    </w:p>
    <w:p w:rsidR="00640D64" w:rsidRDefault="00640D64" w:rsidP="00640D64">
      <w:pPr>
        <w:rPr>
          <w:color w:val="000000"/>
        </w:rPr>
      </w:pPr>
    </w:p>
    <w:p w:rsidR="00640D64" w:rsidRPr="00D967B5" w:rsidRDefault="00640D64" w:rsidP="00640D64">
      <w:pPr>
        <w:tabs>
          <w:tab w:val="left" w:pos="284"/>
        </w:tabs>
        <w:spacing w:after="60"/>
        <w:rPr>
          <w:color w:val="000000"/>
          <w:sz w:val="22"/>
          <w:u w:val="single"/>
        </w:rPr>
      </w:pPr>
      <w:r w:rsidRPr="00D967B5">
        <w:rPr>
          <w:color w:val="000000"/>
          <w:sz w:val="22"/>
          <w:u w:val="single"/>
        </w:rPr>
        <w:t>Ventilazione</w:t>
      </w:r>
    </w:p>
    <w:p w:rsidR="00640D64" w:rsidRDefault="00640D64" w:rsidP="00640D64">
      <w:pPr>
        <w:rPr>
          <w:color w:val="000000"/>
        </w:rPr>
      </w:pPr>
      <w:r>
        <w:rPr>
          <w:color w:val="000000"/>
        </w:rPr>
        <w:t>G</w:t>
      </w:r>
      <w:r w:rsidRPr="00A61859">
        <w:rPr>
          <w:color w:val="000000"/>
        </w:rPr>
        <w:t>li impianti esistenti non s</w:t>
      </w:r>
      <w:r>
        <w:rPr>
          <w:color w:val="000000"/>
        </w:rPr>
        <w:t>o</w:t>
      </w:r>
      <w:r w:rsidRPr="00A61859">
        <w:rPr>
          <w:color w:val="000000"/>
        </w:rPr>
        <w:t>no più adeguati alle norme attuali e</w:t>
      </w:r>
      <w:r>
        <w:rPr>
          <w:color w:val="000000"/>
        </w:rPr>
        <w:t xml:space="preserve"> non sono più riparabili in caso di guasto. Verranno </w:t>
      </w:r>
      <w:r w:rsidRPr="00A61859">
        <w:rPr>
          <w:color w:val="000000"/>
        </w:rPr>
        <w:t>sostitui</w:t>
      </w:r>
      <w:r>
        <w:rPr>
          <w:color w:val="000000"/>
        </w:rPr>
        <w:t>te</w:t>
      </w:r>
      <w:r w:rsidRPr="00A61859">
        <w:rPr>
          <w:color w:val="000000"/>
        </w:rPr>
        <w:t xml:space="preserve"> le </w:t>
      </w:r>
      <w:r>
        <w:rPr>
          <w:color w:val="000000"/>
        </w:rPr>
        <w:t>unità</w:t>
      </w:r>
      <w:r w:rsidRPr="00A61859">
        <w:rPr>
          <w:color w:val="000000"/>
        </w:rPr>
        <w:t xml:space="preserve"> </w:t>
      </w:r>
      <w:r>
        <w:rPr>
          <w:color w:val="000000"/>
        </w:rPr>
        <w:t xml:space="preserve">esterne </w:t>
      </w:r>
      <w:r w:rsidRPr="00A61859">
        <w:rPr>
          <w:color w:val="000000"/>
        </w:rPr>
        <w:t>esistenti</w:t>
      </w:r>
      <w:r>
        <w:rPr>
          <w:color w:val="000000"/>
        </w:rPr>
        <w:t>,</w:t>
      </w:r>
      <w:r w:rsidRPr="00A61859">
        <w:rPr>
          <w:color w:val="000000"/>
        </w:rPr>
        <w:t xml:space="preserve"> </w:t>
      </w:r>
      <w:r>
        <w:rPr>
          <w:color w:val="000000"/>
        </w:rPr>
        <w:t>ottimizzando consumi e</w:t>
      </w:r>
      <w:r w:rsidRPr="00A61859">
        <w:rPr>
          <w:color w:val="000000"/>
        </w:rPr>
        <w:t xml:space="preserve"> costi di gesti</w:t>
      </w:r>
      <w:r>
        <w:rPr>
          <w:color w:val="000000"/>
        </w:rPr>
        <w:t>one, rispetto delle nuove norme. I</w:t>
      </w:r>
      <w:r w:rsidRPr="00A61859">
        <w:rPr>
          <w:color w:val="000000"/>
        </w:rPr>
        <w:t xml:space="preserve">l concetto </w:t>
      </w:r>
      <w:r>
        <w:rPr>
          <w:color w:val="000000"/>
        </w:rPr>
        <w:t xml:space="preserve">distributivo </w:t>
      </w:r>
      <w:r w:rsidRPr="00A61859">
        <w:rPr>
          <w:color w:val="000000"/>
        </w:rPr>
        <w:t>dell’impianto interno</w:t>
      </w:r>
      <w:r>
        <w:rPr>
          <w:color w:val="000000"/>
        </w:rPr>
        <w:t xml:space="preserve"> non verrà modificato,</w:t>
      </w:r>
      <w:r w:rsidRPr="00A61859">
        <w:rPr>
          <w:color w:val="000000"/>
        </w:rPr>
        <w:t xml:space="preserve"> al momento soddisfa le esigenze</w:t>
      </w:r>
      <w:r>
        <w:rPr>
          <w:color w:val="000000"/>
        </w:rPr>
        <w:t>.</w:t>
      </w:r>
    </w:p>
    <w:p w:rsidR="00640D64" w:rsidRDefault="00640D64" w:rsidP="00640D64">
      <w:pPr>
        <w:rPr>
          <w:color w:val="000000"/>
        </w:rPr>
      </w:pPr>
    </w:p>
    <w:p w:rsidR="00640D64" w:rsidRPr="00D967B5" w:rsidRDefault="00640D64" w:rsidP="00640D64">
      <w:pPr>
        <w:tabs>
          <w:tab w:val="left" w:pos="284"/>
        </w:tabs>
        <w:spacing w:after="60"/>
        <w:rPr>
          <w:color w:val="000000"/>
          <w:sz w:val="22"/>
          <w:u w:val="single"/>
        </w:rPr>
      </w:pPr>
      <w:r w:rsidRPr="00D967B5">
        <w:rPr>
          <w:color w:val="000000"/>
          <w:sz w:val="22"/>
          <w:u w:val="single"/>
        </w:rPr>
        <w:t>Sistema d’allarme e antincendio</w:t>
      </w:r>
    </w:p>
    <w:p w:rsidR="00640D64" w:rsidRDefault="00640D64" w:rsidP="00640D64">
      <w:pPr>
        <w:rPr>
          <w:color w:val="000000"/>
        </w:rPr>
      </w:pPr>
      <w:r>
        <w:rPr>
          <w:color w:val="000000"/>
        </w:rPr>
        <w:t>N</w:t>
      </w:r>
      <w:r w:rsidRPr="00A61859">
        <w:rPr>
          <w:color w:val="000000"/>
        </w:rPr>
        <w:t xml:space="preserve">on </w:t>
      </w:r>
      <w:r>
        <w:rPr>
          <w:color w:val="000000"/>
        </w:rPr>
        <w:t>sono</w:t>
      </w:r>
      <w:r w:rsidRPr="00A61859">
        <w:rPr>
          <w:color w:val="000000"/>
        </w:rPr>
        <w:t xml:space="preserve"> necessari</w:t>
      </w:r>
      <w:r>
        <w:rPr>
          <w:color w:val="000000"/>
        </w:rPr>
        <w:t>e</w:t>
      </w:r>
      <w:r w:rsidRPr="00A61859">
        <w:rPr>
          <w:color w:val="000000"/>
        </w:rPr>
        <w:t xml:space="preserve"> </w:t>
      </w:r>
      <w:r>
        <w:rPr>
          <w:color w:val="000000"/>
        </w:rPr>
        <w:t>sostanziali modifiche</w:t>
      </w:r>
      <w:r w:rsidRPr="00A61859">
        <w:rPr>
          <w:color w:val="000000"/>
        </w:rPr>
        <w:t xml:space="preserve"> all’impianto di allarme </w:t>
      </w:r>
      <w:r>
        <w:rPr>
          <w:color w:val="000000"/>
        </w:rPr>
        <w:t xml:space="preserve">anti </w:t>
      </w:r>
      <w:r w:rsidRPr="00A61859">
        <w:rPr>
          <w:color w:val="000000"/>
        </w:rPr>
        <w:t>intrusione.</w:t>
      </w:r>
      <w:r>
        <w:rPr>
          <w:color w:val="000000"/>
        </w:rPr>
        <w:t xml:space="preserve"> </w:t>
      </w:r>
      <w:r w:rsidRPr="00A61859">
        <w:rPr>
          <w:color w:val="000000"/>
        </w:rPr>
        <w:t xml:space="preserve">La verifica dell’impianto </w:t>
      </w:r>
      <w:r>
        <w:rPr>
          <w:color w:val="000000"/>
        </w:rPr>
        <w:t>antincendio</w:t>
      </w:r>
      <w:r w:rsidRPr="00A61859">
        <w:rPr>
          <w:color w:val="000000"/>
        </w:rPr>
        <w:t xml:space="preserve"> ha permesso di accertare come l’impianto attuale sia globalmente a norma</w:t>
      </w:r>
      <w:r>
        <w:rPr>
          <w:color w:val="000000"/>
        </w:rPr>
        <w:t>.</w:t>
      </w:r>
    </w:p>
    <w:p w:rsidR="00640D64" w:rsidRDefault="00640D64" w:rsidP="00640D64">
      <w:pPr>
        <w:rPr>
          <w:color w:val="000000"/>
        </w:rPr>
      </w:pPr>
    </w:p>
    <w:p w:rsidR="00640D64" w:rsidRDefault="00640D64" w:rsidP="00640D64">
      <w:pPr>
        <w:pStyle w:val="Titolo3"/>
      </w:pPr>
      <w:r>
        <w:t>Riorganizzazione logistica</w:t>
      </w:r>
    </w:p>
    <w:p w:rsidR="00640D64" w:rsidRDefault="00640D64" w:rsidP="00640D64">
      <w:pPr>
        <w:rPr>
          <w:color w:val="000000"/>
        </w:rPr>
      </w:pPr>
      <w:r>
        <w:rPr>
          <w:color w:val="000000"/>
        </w:rPr>
        <w:t>I</w:t>
      </w:r>
      <w:r w:rsidRPr="00A61859">
        <w:rPr>
          <w:color w:val="000000"/>
        </w:rPr>
        <w:t>l progetto prevede lo spostamento di alcune porte interne per migliorare l’organiz</w:t>
      </w:r>
      <w:r>
        <w:rPr>
          <w:color w:val="000000"/>
        </w:rPr>
        <w:t xml:space="preserve">zazione degli </w:t>
      </w:r>
      <w:r w:rsidRPr="005D49A3">
        <w:rPr>
          <w:color w:val="000000"/>
          <w:u w:val="single"/>
        </w:rPr>
        <w:t>spazi lavorativi,</w:t>
      </w:r>
      <w:r>
        <w:rPr>
          <w:color w:val="000000"/>
        </w:rPr>
        <w:t xml:space="preserve"> con conseguenti lavori di ripristino pavimenti, rappezzi,</w:t>
      </w:r>
      <w:r w:rsidRPr="00A61859">
        <w:rPr>
          <w:color w:val="000000"/>
        </w:rPr>
        <w:t xml:space="preserve"> adat</w:t>
      </w:r>
      <w:r>
        <w:rPr>
          <w:color w:val="000000"/>
        </w:rPr>
        <w:t>tamento dell’impianto elettrico</w:t>
      </w:r>
      <w:r w:rsidRPr="00A61859">
        <w:rPr>
          <w:color w:val="000000"/>
        </w:rPr>
        <w:t>.</w:t>
      </w:r>
      <w:r>
        <w:rPr>
          <w:color w:val="000000"/>
        </w:rPr>
        <w:t xml:space="preserve"> </w:t>
      </w:r>
    </w:p>
    <w:p w:rsidR="00640D64" w:rsidRDefault="00640D64" w:rsidP="00640D64">
      <w:pPr>
        <w:rPr>
          <w:color w:val="000000"/>
        </w:rPr>
      </w:pPr>
      <w:r w:rsidRPr="00A61859">
        <w:rPr>
          <w:color w:val="000000"/>
        </w:rPr>
        <w:t xml:space="preserve">Oltre alla </w:t>
      </w:r>
      <w:r>
        <w:rPr>
          <w:color w:val="000000"/>
        </w:rPr>
        <w:t>sistemazione</w:t>
      </w:r>
      <w:r w:rsidRPr="00A61859">
        <w:rPr>
          <w:color w:val="000000"/>
        </w:rPr>
        <w:t xml:space="preserve"> dei serramenti</w:t>
      </w:r>
      <w:r>
        <w:rPr>
          <w:color w:val="000000"/>
        </w:rPr>
        <w:t xml:space="preserve"> </w:t>
      </w:r>
      <w:r w:rsidRPr="00A61859">
        <w:rPr>
          <w:color w:val="000000"/>
        </w:rPr>
        <w:t xml:space="preserve">e al rifacimento dell’impianto illuminotecnico, il progetto prevede il rifacimento dei due servizi </w:t>
      </w:r>
      <w:r>
        <w:rPr>
          <w:color w:val="000000"/>
        </w:rPr>
        <w:t xml:space="preserve">igienici </w:t>
      </w:r>
      <w:r w:rsidRPr="00A61859">
        <w:rPr>
          <w:color w:val="000000"/>
        </w:rPr>
        <w:t>situati a</w:t>
      </w:r>
      <w:r>
        <w:rPr>
          <w:color w:val="000000"/>
        </w:rPr>
        <w:t xml:space="preserve">l primo e al secondo piano del </w:t>
      </w:r>
      <w:r w:rsidRPr="005D49A3">
        <w:rPr>
          <w:color w:val="000000"/>
          <w:u w:val="single"/>
        </w:rPr>
        <w:t>Museo</w:t>
      </w:r>
      <w:r>
        <w:rPr>
          <w:color w:val="000000"/>
        </w:rPr>
        <w:t xml:space="preserve"> e una miglioria degli spazi della didattica nel sottotetto. </w:t>
      </w:r>
    </w:p>
    <w:p w:rsidR="00640D64" w:rsidRDefault="00640D64" w:rsidP="00640D64">
      <w:pPr>
        <w:rPr>
          <w:color w:val="000000"/>
        </w:rPr>
      </w:pPr>
      <w:r w:rsidRPr="005D49A3">
        <w:rPr>
          <w:color w:val="000000"/>
          <w:sz w:val="22"/>
        </w:rPr>
        <w:t>L</w:t>
      </w:r>
      <w:r w:rsidRPr="00A61859">
        <w:rPr>
          <w:color w:val="000000"/>
        </w:rPr>
        <w:t>’Ala Est</w:t>
      </w:r>
      <w:r>
        <w:rPr>
          <w:color w:val="000000"/>
        </w:rPr>
        <w:t>,</w:t>
      </w:r>
      <w:r w:rsidRPr="00A61859">
        <w:rPr>
          <w:color w:val="000000"/>
        </w:rPr>
        <w:t xml:space="preserve"> destinata ad accogliere la grande </w:t>
      </w:r>
      <w:r w:rsidRPr="005D49A3">
        <w:rPr>
          <w:color w:val="000000"/>
          <w:u w:val="single"/>
        </w:rPr>
        <w:t>biblioteca</w:t>
      </w:r>
      <w:r>
        <w:rPr>
          <w:color w:val="000000"/>
        </w:rPr>
        <w:t xml:space="preserve"> e</w:t>
      </w:r>
      <w:r w:rsidRPr="00A61859">
        <w:rPr>
          <w:color w:val="000000"/>
        </w:rPr>
        <w:t xml:space="preserve"> gli spazi di consultazione,</w:t>
      </w:r>
      <w:r>
        <w:rPr>
          <w:color w:val="000000"/>
        </w:rPr>
        <w:t xml:space="preserve"> sarà dotata di una</w:t>
      </w:r>
      <w:r w:rsidRPr="00A61859">
        <w:rPr>
          <w:color w:val="000000"/>
        </w:rPr>
        <w:t xml:space="preserve"> sala riu</w:t>
      </w:r>
      <w:r>
        <w:rPr>
          <w:color w:val="000000"/>
        </w:rPr>
        <w:t>nioni e di alcuni spazi di riserva. V</w:t>
      </w:r>
      <w:r w:rsidRPr="00A61859">
        <w:rPr>
          <w:color w:val="000000"/>
        </w:rPr>
        <w:t>erranno sostituiti i serramenti, ripristinati i pavimenti, adattato l’impianto elettrico e posata una nuova illuminazione.</w:t>
      </w:r>
    </w:p>
    <w:p w:rsidR="00640D64" w:rsidRDefault="00640D64" w:rsidP="00640D64">
      <w:pPr>
        <w:rPr>
          <w:color w:val="000000"/>
        </w:rPr>
      </w:pPr>
      <w:r>
        <w:rPr>
          <w:color w:val="000000"/>
        </w:rPr>
        <w:t xml:space="preserve">Contrariamente a quanto ipotizzato in un primo momento la passerella di </w:t>
      </w:r>
      <w:r w:rsidRPr="00A61859">
        <w:rPr>
          <w:color w:val="000000"/>
        </w:rPr>
        <w:t>collegamento tra gli spazi amministrativi e l’Ala Est</w:t>
      </w:r>
      <w:r>
        <w:rPr>
          <w:color w:val="000000"/>
        </w:rPr>
        <w:t xml:space="preserve"> non verrà realizzata.</w:t>
      </w:r>
    </w:p>
    <w:p w:rsidR="00640D64" w:rsidRDefault="00640D64" w:rsidP="00640D64">
      <w:pPr>
        <w:pStyle w:val="Paragrafoelenco"/>
      </w:pPr>
    </w:p>
    <w:p w:rsidR="00640D64" w:rsidRDefault="00640D64" w:rsidP="00640D64">
      <w:pPr>
        <w:pStyle w:val="Titolo3"/>
      </w:pPr>
      <w:r>
        <w:t>T</w:t>
      </w:r>
      <w:r w:rsidRPr="00723130">
        <w:t>appe d’intervento</w:t>
      </w:r>
      <w:r>
        <w:t xml:space="preserve"> e tempistica</w:t>
      </w:r>
    </w:p>
    <w:p w:rsidR="00640D64" w:rsidRDefault="00640D64" w:rsidP="00640D64">
      <w:pPr>
        <w:pStyle w:val="Paragrafoelenco"/>
      </w:pPr>
      <w:r>
        <w:t>La ristrutturazione dello stabile è prevista in due fasi. La prima tappa prevede il trasferimento completo del settore amministrativo nell’Ala Est, mediante la creazione di uffici provvisori e lo sgombero completo della zona espositiva per permetterne la ristrutturazione. La seconda tappa prevede l’inserimento del settore amministrativo negli spazi ristrutturati e l’adattamento degli spazi dell’ala est che verranno adibiti a biblioteca e spazi di consultazione.</w:t>
      </w:r>
    </w:p>
    <w:p w:rsidR="00640D64" w:rsidRDefault="00640D64" w:rsidP="00640D64">
      <w:pPr>
        <w:pStyle w:val="Paragrafoelenco"/>
        <w:rPr>
          <w:rFonts w:cs="Arial"/>
          <w:sz w:val="23"/>
          <w:szCs w:val="23"/>
        </w:rPr>
      </w:pPr>
      <w:r>
        <w:t xml:space="preserve">La tempistica dei lavori è la seguente: marzo 2018 approvazione del </w:t>
      </w:r>
      <w:r w:rsidRPr="00812566">
        <w:rPr>
          <w:rFonts w:cs="Arial"/>
          <w:sz w:val="23"/>
          <w:szCs w:val="23"/>
        </w:rPr>
        <w:t xml:space="preserve">Decreto legge </w:t>
      </w:r>
      <w:r>
        <w:rPr>
          <w:rFonts w:cs="Arial"/>
          <w:sz w:val="23"/>
          <w:szCs w:val="23"/>
        </w:rPr>
        <w:t>allegato, maggio 2018 inizio del cantiere. La consegna degli spazi è prevista per maggio 2019.</w:t>
      </w:r>
    </w:p>
    <w:p w:rsidR="00640D64" w:rsidRDefault="00640D64" w:rsidP="00640D64">
      <w:pPr>
        <w:pStyle w:val="Paragrafoelenco"/>
      </w:pPr>
    </w:p>
    <w:p w:rsidR="00640D64" w:rsidRDefault="00640D64" w:rsidP="00640D64">
      <w:pPr>
        <w:pStyle w:val="Paragrafoelenco"/>
      </w:pPr>
    </w:p>
    <w:p w:rsidR="00640D64" w:rsidRDefault="00640D64">
      <w:r>
        <w:rPr>
          <w:b/>
          <w:caps/>
        </w:rPr>
        <w:br w:type="page"/>
      </w:r>
    </w:p>
    <w:p w:rsidR="00640D64" w:rsidRPr="00662677" w:rsidRDefault="00640D64" w:rsidP="00640D64">
      <w:pPr>
        <w:pStyle w:val="Titolo1"/>
      </w:pPr>
      <w:r w:rsidRPr="00662677">
        <w:lastRenderedPageBreak/>
        <w:t xml:space="preserve">Costi di progettazione </w:t>
      </w:r>
      <w:r>
        <w:t xml:space="preserve">e di </w:t>
      </w:r>
      <w:r w:rsidRPr="00662677">
        <w:t>costruzione</w:t>
      </w:r>
    </w:p>
    <w:p w:rsidR="00640D64" w:rsidRPr="002A5381" w:rsidRDefault="00640D64" w:rsidP="00640D64">
      <w:pPr>
        <w:autoSpaceDE w:val="0"/>
        <w:autoSpaceDN w:val="0"/>
        <w:adjustRightInd w:val="0"/>
        <w:rPr>
          <w:rFonts w:cs="Arial"/>
          <w:szCs w:val="24"/>
        </w:rPr>
      </w:pPr>
      <w:r w:rsidRPr="002A5381">
        <w:rPr>
          <w:rFonts w:cs="Arial"/>
          <w:szCs w:val="24"/>
        </w:rPr>
        <w:t>Dopo aver pubblicato i concorsi d’opera per l’80% delle spese preventivate, i costi di realizzazione si presentano come segue:</w:t>
      </w:r>
    </w:p>
    <w:p w:rsidR="00640D64" w:rsidRPr="008D5311" w:rsidRDefault="00640D64" w:rsidP="00640D64">
      <w:pPr>
        <w:autoSpaceDE w:val="0"/>
        <w:autoSpaceDN w:val="0"/>
        <w:adjustRightInd w:val="0"/>
        <w:rPr>
          <w:rFonts w:cs="Arial"/>
          <w:sz w:val="10"/>
          <w:szCs w:val="1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5243"/>
        <w:gridCol w:w="1653"/>
        <w:gridCol w:w="1598"/>
      </w:tblGrid>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p>
        </w:tc>
        <w:tc>
          <w:tcPr>
            <w:tcW w:w="2690" w:type="pct"/>
            <w:shd w:val="clear" w:color="auto" w:fill="auto"/>
          </w:tcPr>
          <w:p w:rsidR="00640D64" w:rsidRPr="00D967B5" w:rsidRDefault="00640D64" w:rsidP="00A27A16">
            <w:pPr>
              <w:autoSpaceDE w:val="0"/>
              <w:autoSpaceDN w:val="0"/>
              <w:adjustRightInd w:val="0"/>
              <w:rPr>
                <w:rFonts w:cs="Arial"/>
                <w:sz w:val="22"/>
              </w:rPr>
            </w:pPr>
          </w:p>
        </w:tc>
        <w:tc>
          <w:tcPr>
            <w:tcW w:w="848" w:type="pct"/>
            <w:shd w:val="clear" w:color="auto" w:fill="auto"/>
          </w:tcPr>
          <w:p w:rsidR="00640D64" w:rsidRPr="00D967B5" w:rsidRDefault="00640D64" w:rsidP="00A27A16">
            <w:pPr>
              <w:autoSpaceDE w:val="0"/>
              <w:autoSpaceDN w:val="0"/>
              <w:adjustRightInd w:val="0"/>
              <w:ind w:left="-82" w:right="-41"/>
              <w:rPr>
                <w:rFonts w:cs="Arial"/>
                <w:sz w:val="22"/>
              </w:rPr>
            </w:pPr>
            <w:r w:rsidRPr="00D967B5">
              <w:rPr>
                <w:rFonts w:cs="Arial"/>
                <w:sz w:val="22"/>
              </w:rPr>
              <w:t>importi parziali</w:t>
            </w:r>
          </w:p>
        </w:tc>
        <w:tc>
          <w:tcPr>
            <w:tcW w:w="82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importi totali</w:t>
            </w:r>
          </w:p>
        </w:tc>
      </w:tr>
      <w:tr w:rsidR="00640D64" w:rsidRPr="00D967B5" w:rsidTr="00A27A16">
        <w:tc>
          <w:tcPr>
            <w:tcW w:w="642" w:type="pct"/>
            <w:shd w:val="clear" w:color="auto" w:fill="auto"/>
          </w:tcPr>
          <w:p w:rsidR="00640D64" w:rsidRPr="00D967B5" w:rsidRDefault="00640D64" w:rsidP="00A27A16">
            <w:pPr>
              <w:tabs>
                <w:tab w:val="left" w:pos="567"/>
              </w:tabs>
              <w:autoSpaceDE w:val="0"/>
              <w:autoSpaceDN w:val="0"/>
              <w:adjustRightInd w:val="0"/>
              <w:rPr>
                <w:rFonts w:cs="Arial"/>
                <w:sz w:val="22"/>
              </w:rPr>
            </w:pPr>
            <w:r w:rsidRPr="00D967B5">
              <w:rPr>
                <w:rFonts w:cs="Arial"/>
                <w:sz w:val="22"/>
              </w:rPr>
              <w:t xml:space="preserve">B      </w:t>
            </w:r>
          </w:p>
        </w:tc>
        <w:tc>
          <w:tcPr>
            <w:tcW w:w="2690" w:type="pct"/>
            <w:shd w:val="clear" w:color="auto" w:fill="auto"/>
          </w:tcPr>
          <w:p w:rsidR="00640D64" w:rsidRPr="00D967B5" w:rsidRDefault="00640D64" w:rsidP="00A27A16">
            <w:pPr>
              <w:tabs>
                <w:tab w:val="left" w:pos="567"/>
              </w:tabs>
              <w:autoSpaceDE w:val="0"/>
              <w:autoSpaceDN w:val="0"/>
              <w:adjustRightInd w:val="0"/>
              <w:rPr>
                <w:rFonts w:cs="Arial"/>
                <w:sz w:val="22"/>
              </w:rPr>
            </w:pPr>
            <w:r w:rsidRPr="00D967B5">
              <w:rPr>
                <w:rFonts w:cs="Arial"/>
                <w:sz w:val="22"/>
              </w:rPr>
              <w:t>Preparazione</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fldChar w:fldCharType="begin"/>
            </w:r>
            <w:r w:rsidRPr="00D967B5">
              <w:rPr>
                <w:rFonts w:cs="Arial"/>
                <w:sz w:val="22"/>
              </w:rPr>
              <w:instrText xml:space="preserve"> + </w:instrText>
            </w:r>
            <w:r w:rsidRPr="00D967B5">
              <w:rPr>
                <w:rFonts w:cs="Arial"/>
                <w:sz w:val="22"/>
              </w:rPr>
              <w:fldChar w:fldCharType="end"/>
            </w:r>
            <w:r w:rsidRPr="00D967B5">
              <w:rPr>
                <w:rFonts w:cs="Arial"/>
                <w:sz w:val="22"/>
              </w:rPr>
              <w:t>81'239.00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C</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Costruzione grezza edificio</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105'000.00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D</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Impianti tecnici edificio</w:t>
            </w:r>
          </w:p>
        </w:tc>
        <w:tc>
          <w:tcPr>
            <w:tcW w:w="848" w:type="pct"/>
            <w:shd w:val="clear" w:color="auto" w:fill="auto"/>
          </w:tcPr>
          <w:p w:rsidR="00640D64" w:rsidRPr="00D967B5" w:rsidRDefault="00640D64" w:rsidP="00A27A16">
            <w:pPr>
              <w:autoSpaceDE w:val="0"/>
              <w:autoSpaceDN w:val="0"/>
              <w:adjustRightInd w:val="0"/>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601'405.00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E</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Facciata edificio</w:t>
            </w:r>
            <w:r>
              <w:rPr>
                <w:rFonts w:cs="Arial"/>
                <w:sz w:val="22"/>
              </w:rPr>
              <w:t xml:space="preserve"> (finestre, porta, portone)</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426’525.00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G</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Finiture interne edificio</w:t>
            </w:r>
          </w:p>
        </w:tc>
        <w:tc>
          <w:tcPr>
            <w:tcW w:w="848" w:type="pct"/>
            <w:shd w:val="clear" w:color="auto" w:fill="auto"/>
          </w:tcPr>
          <w:p w:rsidR="00640D64" w:rsidRPr="00D967B5" w:rsidRDefault="00640D64" w:rsidP="00A27A16">
            <w:pPr>
              <w:autoSpaceDE w:val="0"/>
              <w:autoSpaceDN w:val="0"/>
              <w:adjustRightInd w:val="0"/>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213'849.00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H</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Impianti ad uso specifico edificio (CSI)</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97'025.00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I</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Esterno edificio</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24'780.00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J</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Arredo edificio</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306'062.00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V</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Costi di progettazione</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415’225.00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W</w:t>
            </w:r>
          </w:p>
        </w:tc>
        <w:tc>
          <w:tcPr>
            <w:tcW w:w="2690" w:type="pct"/>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Costi secondari</w:t>
            </w:r>
            <w:r>
              <w:rPr>
                <w:rFonts w:cs="Arial"/>
                <w:sz w:val="22"/>
              </w:rPr>
              <w:t xml:space="preserve"> (traslochi)</w:t>
            </w:r>
          </w:p>
        </w:tc>
        <w:tc>
          <w:tcPr>
            <w:tcW w:w="848" w:type="pct"/>
            <w:shd w:val="clear" w:color="auto" w:fill="auto"/>
          </w:tcPr>
          <w:p w:rsidR="00640D64" w:rsidRPr="00D967B5" w:rsidRDefault="00640D64" w:rsidP="00A27A16">
            <w:pPr>
              <w:autoSpaceDE w:val="0"/>
              <w:autoSpaceDN w:val="0"/>
              <w:adjustRightInd w:val="0"/>
              <w:jc w:val="right"/>
              <w:rPr>
                <w:rFonts w:cs="Arial"/>
                <w:sz w:val="22"/>
              </w:rPr>
            </w:pPr>
          </w:p>
        </w:tc>
        <w:tc>
          <w:tcPr>
            <w:tcW w:w="820" w:type="pct"/>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60'000.00</w:t>
            </w:r>
          </w:p>
        </w:tc>
      </w:tr>
      <w:tr w:rsidR="00640D64" w:rsidRPr="00D967B5" w:rsidTr="00A27A16">
        <w:tc>
          <w:tcPr>
            <w:tcW w:w="642" w:type="pct"/>
            <w:tcBorders>
              <w:bottom w:val="single" w:sz="4" w:space="0" w:color="auto"/>
            </w:tcBorders>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Y</w:t>
            </w:r>
          </w:p>
        </w:tc>
        <w:tc>
          <w:tcPr>
            <w:tcW w:w="2690" w:type="pct"/>
            <w:tcBorders>
              <w:bottom w:val="single" w:sz="4" w:space="0" w:color="auto"/>
            </w:tcBorders>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 xml:space="preserve">Riserva, rincaro </w:t>
            </w:r>
          </w:p>
        </w:tc>
        <w:tc>
          <w:tcPr>
            <w:tcW w:w="848" w:type="pct"/>
            <w:tcBorders>
              <w:bottom w:val="single" w:sz="4" w:space="0" w:color="auto"/>
            </w:tcBorders>
            <w:shd w:val="clear" w:color="auto" w:fill="auto"/>
          </w:tcPr>
          <w:p w:rsidR="00640D64" w:rsidRPr="00D967B5" w:rsidRDefault="00640D64" w:rsidP="00A27A16">
            <w:pPr>
              <w:autoSpaceDE w:val="0"/>
              <w:autoSpaceDN w:val="0"/>
              <w:adjustRightInd w:val="0"/>
              <w:jc w:val="right"/>
              <w:rPr>
                <w:rFonts w:cs="Arial"/>
                <w:sz w:val="22"/>
              </w:rPr>
            </w:pPr>
          </w:p>
        </w:tc>
        <w:tc>
          <w:tcPr>
            <w:tcW w:w="820" w:type="pct"/>
            <w:tcBorders>
              <w:bottom w:val="single" w:sz="4" w:space="0" w:color="auto"/>
            </w:tcBorders>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60'000.00</w:t>
            </w:r>
          </w:p>
        </w:tc>
      </w:tr>
      <w:tr w:rsidR="00640D64" w:rsidRPr="00D967B5" w:rsidTr="00A27A16">
        <w:tc>
          <w:tcPr>
            <w:tcW w:w="642" w:type="pct"/>
            <w:tcBorders>
              <w:bottom w:val="single" w:sz="4" w:space="0" w:color="auto"/>
            </w:tcBorders>
            <w:shd w:val="clear" w:color="auto" w:fill="auto"/>
          </w:tcPr>
          <w:p w:rsidR="00640D64" w:rsidRPr="00D967B5" w:rsidRDefault="00640D64" w:rsidP="00A27A16">
            <w:pPr>
              <w:autoSpaceDE w:val="0"/>
              <w:autoSpaceDN w:val="0"/>
              <w:adjustRightInd w:val="0"/>
              <w:rPr>
                <w:rFonts w:cs="Arial"/>
                <w:sz w:val="22"/>
                <w:u w:val="single"/>
              </w:rPr>
            </w:pPr>
          </w:p>
        </w:tc>
        <w:tc>
          <w:tcPr>
            <w:tcW w:w="2690" w:type="pct"/>
            <w:tcBorders>
              <w:bottom w:val="single" w:sz="4" w:space="0" w:color="auto"/>
            </w:tcBorders>
            <w:shd w:val="clear" w:color="auto" w:fill="auto"/>
          </w:tcPr>
          <w:p w:rsidR="00640D64" w:rsidRPr="00D967B5" w:rsidRDefault="00640D64" w:rsidP="00A27A16">
            <w:pPr>
              <w:autoSpaceDE w:val="0"/>
              <w:autoSpaceDN w:val="0"/>
              <w:adjustRightInd w:val="0"/>
              <w:rPr>
                <w:rFonts w:cs="Arial"/>
                <w:sz w:val="22"/>
                <w:u w:val="single"/>
              </w:rPr>
            </w:pPr>
            <w:r w:rsidRPr="00D967B5">
              <w:rPr>
                <w:rFonts w:cs="Arial"/>
                <w:sz w:val="22"/>
                <w:u w:val="single"/>
              </w:rPr>
              <w:t>Totale parziale</w:t>
            </w:r>
          </w:p>
        </w:tc>
        <w:tc>
          <w:tcPr>
            <w:tcW w:w="848" w:type="pct"/>
            <w:tcBorders>
              <w:bottom w:val="single" w:sz="4" w:space="0" w:color="auto"/>
            </w:tcBorders>
            <w:shd w:val="clear" w:color="auto" w:fill="auto"/>
          </w:tcPr>
          <w:p w:rsidR="00640D64" w:rsidRPr="00D967B5" w:rsidRDefault="00640D64" w:rsidP="00A27A16">
            <w:pPr>
              <w:autoSpaceDE w:val="0"/>
              <w:autoSpaceDN w:val="0"/>
              <w:adjustRightInd w:val="0"/>
              <w:jc w:val="right"/>
              <w:rPr>
                <w:rFonts w:cs="Arial"/>
                <w:sz w:val="22"/>
                <w:u w:val="single"/>
              </w:rPr>
            </w:pPr>
          </w:p>
        </w:tc>
        <w:tc>
          <w:tcPr>
            <w:tcW w:w="820" w:type="pct"/>
            <w:tcBorders>
              <w:bottom w:val="single" w:sz="4" w:space="0" w:color="auto"/>
            </w:tcBorders>
            <w:shd w:val="clear" w:color="auto" w:fill="auto"/>
          </w:tcPr>
          <w:p w:rsidR="00640D64" w:rsidRPr="00D967B5" w:rsidRDefault="00640D64" w:rsidP="00A27A16">
            <w:pPr>
              <w:autoSpaceDE w:val="0"/>
              <w:autoSpaceDN w:val="0"/>
              <w:adjustRightInd w:val="0"/>
              <w:jc w:val="right"/>
              <w:rPr>
                <w:rFonts w:cs="Arial"/>
                <w:sz w:val="22"/>
                <w:u w:val="single"/>
              </w:rPr>
            </w:pPr>
            <w:r w:rsidRPr="00D967B5">
              <w:rPr>
                <w:rFonts w:cs="Arial"/>
                <w:sz w:val="22"/>
                <w:u w:val="single"/>
              </w:rPr>
              <w:t>2'391'110.00</w:t>
            </w:r>
          </w:p>
        </w:tc>
      </w:tr>
      <w:tr w:rsidR="00640D64" w:rsidRPr="00D967B5" w:rsidTr="00A27A16">
        <w:tc>
          <w:tcPr>
            <w:tcW w:w="642" w:type="pct"/>
            <w:tcBorders>
              <w:top w:val="single" w:sz="4" w:space="0" w:color="auto"/>
            </w:tcBorders>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Z</w:t>
            </w:r>
          </w:p>
        </w:tc>
        <w:tc>
          <w:tcPr>
            <w:tcW w:w="2690" w:type="pct"/>
            <w:tcBorders>
              <w:top w:val="single" w:sz="4" w:space="0" w:color="auto"/>
            </w:tcBorders>
            <w:shd w:val="clear" w:color="auto" w:fill="auto"/>
          </w:tcPr>
          <w:p w:rsidR="00640D64" w:rsidRPr="00D967B5" w:rsidRDefault="00640D64" w:rsidP="00A27A16">
            <w:pPr>
              <w:autoSpaceDE w:val="0"/>
              <w:autoSpaceDN w:val="0"/>
              <w:adjustRightInd w:val="0"/>
              <w:rPr>
                <w:rFonts w:cs="Arial"/>
                <w:sz w:val="22"/>
              </w:rPr>
            </w:pPr>
            <w:r w:rsidRPr="00D967B5">
              <w:rPr>
                <w:rFonts w:cs="Arial"/>
                <w:sz w:val="22"/>
              </w:rPr>
              <w:t>Imposta sul valore aggiunto</w:t>
            </w:r>
          </w:p>
        </w:tc>
        <w:tc>
          <w:tcPr>
            <w:tcW w:w="848" w:type="pct"/>
            <w:tcBorders>
              <w:top w:val="single" w:sz="4" w:space="0" w:color="auto"/>
            </w:tcBorders>
            <w:shd w:val="clear" w:color="auto" w:fill="auto"/>
          </w:tcPr>
          <w:p w:rsidR="00640D64" w:rsidRPr="00D967B5" w:rsidRDefault="00640D64" w:rsidP="00A27A16">
            <w:pPr>
              <w:autoSpaceDE w:val="0"/>
              <w:autoSpaceDN w:val="0"/>
              <w:adjustRightInd w:val="0"/>
              <w:jc w:val="right"/>
              <w:rPr>
                <w:rFonts w:cs="Arial"/>
                <w:sz w:val="22"/>
              </w:rPr>
            </w:pPr>
          </w:p>
        </w:tc>
        <w:tc>
          <w:tcPr>
            <w:tcW w:w="820" w:type="pct"/>
            <w:tcBorders>
              <w:top w:val="single" w:sz="4" w:space="0" w:color="auto"/>
            </w:tcBorders>
            <w:shd w:val="clear" w:color="auto" w:fill="auto"/>
          </w:tcPr>
          <w:p w:rsidR="00640D64" w:rsidRPr="00D967B5" w:rsidRDefault="00640D64" w:rsidP="00A27A16">
            <w:pPr>
              <w:autoSpaceDE w:val="0"/>
              <w:autoSpaceDN w:val="0"/>
              <w:adjustRightInd w:val="0"/>
              <w:jc w:val="right"/>
              <w:rPr>
                <w:rFonts w:cs="Arial"/>
                <w:sz w:val="22"/>
              </w:rPr>
            </w:pPr>
            <w:r w:rsidRPr="00D967B5">
              <w:rPr>
                <w:rFonts w:cs="Arial"/>
                <w:sz w:val="22"/>
              </w:rPr>
              <w:t>191’290.00</w:t>
            </w:r>
          </w:p>
        </w:tc>
      </w:tr>
      <w:tr w:rsidR="00640D64" w:rsidRPr="00D967B5" w:rsidTr="00A27A16">
        <w:tc>
          <w:tcPr>
            <w:tcW w:w="642" w:type="pct"/>
            <w:shd w:val="clear" w:color="auto" w:fill="auto"/>
          </w:tcPr>
          <w:p w:rsidR="00640D64" w:rsidRPr="00D967B5" w:rsidRDefault="00640D64" w:rsidP="00A27A16">
            <w:pPr>
              <w:autoSpaceDE w:val="0"/>
              <w:autoSpaceDN w:val="0"/>
              <w:adjustRightInd w:val="0"/>
              <w:spacing w:before="120"/>
              <w:rPr>
                <w:rFonts w:cs="Arial"/>
                <w:sz w:val="22"/>
                <w:u w:val="single"/>
              </w:rPr>
            </w:pPr>
          </w:p>
        </w:tc>
        <w:tc>
          <w:tcPr>
            <w:tcW w:w="2690" w:type="pct"/>
            <w:shd w:val="clear" w:color="auto" w:fill="auto"/>
          </w:tcPr>
          <w:p w:rsidR="00640D64" w:rsidRPr="00D967B5" w:rsidRDefault="00640D64" w:rsidP="00A27A16">
            <w:pPr>
              <w:autoSpaceDE w:val="0"/>
              <w:autoSpaceDN w:val="0"/>
              <w:adjustRightInd w:val="0"/>
              <w:spacing w:before="120"/>
              <w:rPr>
                <w:rFonts w:cs="Arial"/>
                <w:b/>
                <w:sz w:val="22"/>
                <w:u w:val="single"/>
              </w:rPr>
            </w:pPr>
            <w:r w:rsidRPr="00D967B5">
              <w:rPr>
                <w:rFonts w:cs="Arial"/>
                <w:b/>
                <w:sz w:val="22"/>
                <w:u w:val="single"/>
              </w:rPr>
              <w:t>TOTALE COMPLESSIVO</w:t>
            </w:r>
          </w:p>
        </w:tc>
        <w:tc>
          <w:tcPr>
            <w:tcW w:w="848" w:type="pct"/>
            <w:shd w:val="clear" w:color="auto" w:fill="auto"/>
          </w:tcPr>
          <w:p w:rsidR="00640D64" w:rsidRPr="00D967B5" w:rsidRDefault="00640D64" w:rsidP="00A27A16">
            <w:pPr>
              <w:autoSpaceDE w:val="0"/>
              <w:autoSpaceDN w:val="0"/>
              <w:adjustRightInd w:val="0"/>
              <w:spacing w:before="120"/>
              <w:jc w:val="right"/>
              <w:rPr>
                <w:rFonts w:cs="Arial"/>
                <w:sz w:val="22"/>
                <w:u w:val="single"/>
              </w:rPr>
            </w:pPr>
          </w:p>
        </w:tc>
        <w:tc>
          <w:tcPr>
            <w:tcW w:w="820" w:type="pct"/>
            <w:shd w:val="clear" w:color="auto" w:fill="auto"/>
          </w:tcPr>
          <w:p w:rsidR="00640D64" w:rsidRPr="00D967B5" w:rsidRDefault="00640D64" w:rsidP="00A27A16">
            <w:pPr>
              <w:autoSpaceDE w:val="0"/>
              <w:autoSpaceDN w:val="0"/>
              <w:adjustRightInd w:val="0"/>
              <w:spacing w:before="120"/>
              <w:jc w:val="right"/>
              <w:rPr>
                <w:rFonts w:cs="Arial"/>
                <w:b/>
                <w:sz w:val="22"/>
                <w:u w:val="single"/>
              </w:rPr>
            </w:pPr>
            <w:r w:rsidRPr="00D967B5">
              <w:rPr>
                <w:rFonts w:cs="Arial"/>
                <w:b/>
                <w:sz w:val="22"/>
                <w:u w:val="single"/>
              </w:rPr>
              <w:t>2'582'400.00</w:t>
            </w:r>
          </w:p>
        </w:tc>
      </w:tr>
    </w:tbl>
    <w:p w:rsidR="00640D64" w:rsidRDefault="00640D64" w:rsidP="00640D64">
      <w:pPr>
        <w:autoSpaceDE w:val="0"/>
        <w:autoSpaceDN w:val="0"/>
        <w:adjustRightInd w:val="0"/>
        <w:rPr>
          <w:rFonts w:cs="Arial"/>
        </w:rPr>
      </w:pPr>
    </w:p>
    <w:p w:rsidR="00640D64" w:rsidRDefault="00640D64" w:rsidP="00640D64">
      <w:pPr>
        <w:autoSpaceDE w:val="0"/>
        <w:autoSpaceDN w:val="0"/>
        <w:adjustRightInd w:val="0"/>
        <w:rPr>
          <w:rFonts w:cs="Arial"/>
        </w:rPr>
      </w:pPr>
      <w:r w:rsidRPr="00BF4AC7">
        <w:rPr>
          <w:rFonts w:cs="Arial"/>
        </w:rPr>
        <w:t>Con</w:t>
      </w:r>
      <w:r>
        <w:rPr>
          <w:rFonts w:cs="Arial"/>
        </w:rPr>
        <w:t xml:space="preserve"> le Risoluzioni governative n. 979 dell’11 maggio 2015 e n. 1513 dell’11 aprile 2016 il Consiglio di Stato, in base all’art. 13 del Regolamento sulla gestione finanziaria dello Stato, ha concesso complessivamente </w:t>
      </w:r>
      <w:proofErr w:type="spellStart"/>
      <w:r w:rsidR="00E118BA">
        <w:rPr>
          <w:rFonts w:cs="Arial"/>
        </w:rPr>
        <w:t>fr</w:t>
      </w:r>
      <w:proofErr w:type="spellEnd"/>
      <w:r w:rsidR="00E118BA">
        <w:rPr>
          <w:rFonts w:cs="Arial"/>
        </w:rPr>
        <w:t>.</w:t>
      </w:r>
      <w:r>
        <w:rPr>
          <w:rFonts w:cs="Arial"/>
        </w:rPr>
        <w:t xml:space="preserve"> 200'000 per conferire i mandati ai progettisti per l’elaborazione dello studio di fattibilità, della gestione del progetto fino alla fase degli appalti, allo scopo di preparare il presente messaggio governativo. La tabella contiene i costi sostenuti con tale credito.  Con il messaggio in oggetto si chiede formale ratifica.</w:t>
      </w:r>
    </w:p>
    <w:p w:rsidR="00640D64" w:rsidRPr="00640D64" w:rsidRDefault="00640D64" w:rsidP="00640D64">
      <w:pPr>
        <w:autoSpaceDE w:val="0"/>
        <w:autoSpaceDN w:val="0"/>
        <w:adjustRightInd w:val="0"/>
        <w:rPr>
          <w:rFonts w:cs="Arial"/>
          <w:sz w:val="20"/>
          <w:szCs w:val="20"/>
        </w:rPr>
      </w:pPr>
    </w:p>
    <w:p w:rsidR="00640D64" w:rsidRPr="00640D64" w:rsidRDefault="00640D64" w:rsidP="00640D64">
      <w:pPr>
        <w:autoSpaceDE w:val="0"/>
        <w:autoSpaceDN w:val="0"/>
        <w:adjustRightInd w:val="0"/>
        <w:rPr>
          <w:rFonts w:cs="Arial"/>
          <w:sz w:val="20"/>
          <w:szCs w:val="20"/>
        </w:rPr>
      </w:pPr>
    </w:p>
    <w:p w:rsidR="00640D64" w:rsidRPr="00640D64" w:rsidRDefault="00640D64" w:rsidP="00640D64">
      <w:pPr>
        <w:autoSpaceDE w:val="0"/>
        <w:autoSpaceDN w:val="0"/>
        <w:adjustRightInd w:val="0"/>
        <w:rPr>
          <w:rFonts w:cs="Arial"/>
          <w:sz w:val="20"/>
          <w:szCs w:val="20"/>
        </w:rPr>
      </w:pPr>
    </w:p>
    <w:p w:rsidR="00640D64" w:rsidRPr="00662677" w:rsidRDefault="00640D64" w:rsidP="00640D64">
      <w:pPr>
        <w:pStyle w:val="Titolo1"/>
      </w:pPr>
      <w:r>
        <w:t>C</w:t>
      </w:r>
      <w:r w:rsidRPr="00662677">
        <w:t>osti di esercizio</w:t>
      </w:r>
    </w:p>
    <w:p w:rsidR="00640D64" w:rsidRPr="007D6CC5" w:rsidRDefault="00640D64" w:rsidP="00640D64">
      <w:pPr>
        <w:rPr>
          <w:rFonts w:cs="Arial"/>
        </w:rPr>
      </w:pPr>
      <w:r w:rsidRPr="00662677">
        <w:rPr>
          <w:rFonts w:cs="Arial"/>
          <w:szCs w:val="24"/>
        </w:rPr>
        <w:t xml:space="preserve">La ristrutturazione e la riorganizzazione amministrativa non implicano l'assunzione di nuovo personale. Per le spese di manutenzione e di pulizia non si prevedono impegni maggiori rispetto a quanto già assunto in gestione corrente per le strutture esistenti. Per il 2016 i costi di elettricità sono ammontati a </w:t>
      </w:r>
      <w:proofErr w:type="spellStart"/>
      <w:r w:rsidR="00E118BA">
        <w:rPr>
          <w:rFonts w:cs="Arial"/>
          <w:szCs w:val="24"/>
        </w:rPr>
        <w:t>fr</w:t>
      </w:r>
      <w:proofErr w:type="spellEnd"/>
      <w:r w:rsidR="00E118BA">
        <w:rPr>
          <w:rFonts w:cs="Arial"/>
          <w:szCs w:val="24"/>
        </w:rPr>
        <w:t>.</w:t>
      </w:r>
      <w:r w:rsidRPr="00662677">
        <w:rPr>
          <w:rFonts w:cs="Arial"/>
          <w:szCs w:val="24"/>
        </w:rPr>
        <w:t xml:space="preserve"> 10'815,45</w:t>
      </w:r>
      <w:r>
        <w:rPr>
          <w:rFonts w:cs="Arial"/>
          <w:szCs w:val="24"/>
        </w:rPr>
        <w:t xml:space="preserve"> e</w:t>
      </w:r>
      <w:r w:rsidRPr="00662677">
        <w:rPr>
          <w:rFonts w:cs="Arial"/>
          <w:szCs w:val="24"/>
        </w:rPr>
        <w:t xml:space="preserve"> il consumo di gas a </w:t>
      </w:r>
      <w:r w:rsidR="00E118BA">
        <w:rPr>
          <w:rFonts w:cs="Arial"/>
          <w:szCs w:val="24"/>
        </w:rPr>
        <w:br/>
      </w:r>
      <w:proofErr w:type="spellStart"/>
      <w:r w:rsidR="00E118BA">
        <w:rPr>
          <w:rFonts w:cs="Arial"/>
          <w:szCs w:val="24"/>
        </w:rPr>
        <w:t>fr</w:t>
      </w:r>
      <w:proofErr w:type="spellEnd"/>
      <w:r w:rsidR="00E118BA">
        <w:rPr>
          <w:rFonts w:cs="Arial"/>
          <w:szCs w:val="24"/>
        </w:rPr>
        <w:t>.</w:t>
      </w:r>
      <w:r w:rsidRPr="00662677">
        <w:rPr>
          <w:rFonts w:cs="Arial"/>
          <w:szCs w:val="24"/>
        </w:rPr>
        <w:t xml:space="preserve"> </w:t>
      </w:r>
      <w:r>
        <w:rPr>
          <w:rFonts w:cs="Arial"/>
          <w:szCs w:val="24"/>
        </w:rPr>
        <w:t xml:space="preserve">22'629,35. </w:t>
      </w:r>
      <w:r w:rsidRPr="007D6CC5">
        <w:rPr>
          <w:rFonts w:cs="Arial"/>
        </w:rPr>
        <w:t xml:space="preserve">I costi di pulizia annui, ammontano a </w:t>
      </w:r>
      <w:proofErr w:type="spellStart"/>
      <w:r w:rsidR="00E118BA">
        <w:rPr>
          <w:rFonts w:cs="Arial"/>
        </w:rPr>
        <w:t>fr</w:t>
      </w:r>
      <w:proofErr w:type="spellEnd"/>
      <w:r w:rsidR="00E118BA">
        <w:rPr>
          <w:rFonts w:cs="Arial"/>
        </w:rPr>
        <w:t>.</w:t>
      </w:r>
      <w:r w:rsidRPr="007D6CC5">
        <w:rPr>
          <w:rFonts w:cs="Arial"/>
        </w:rPr>
        <w:t xml:space="preserve"> 56’365.</w:t>
      </w:r>
    </w:p>
    <w:p w:rsidR="00640D64" w:rsidRDefault="00640D64" w:rsidP="00640D64">
      <w:pPr>
        <w:rPr>
          <w:rFonts w:cs="Arial"/>
        </w:rPr>
      </w:pPr>
      <w:r w:rsidRPr="007D6CC5">
        <w:rPr>
          <w:rFonts w:cs="Arial"/>
        </w:rPr>
        <w:t>Dal 1</w:t>
      </w:r>
      <w:r w:rsidR="00E118BA">
        <w:rPr>
          <w:rFonts w:cs="Arial"/>
        </w:rPr>
        <w:t>°</w:t>
      </w:r>
      <w:r w:rsidRPr="007D6CC5">
        <w:rPr>
          <w:rFonts w:cs="Arial"/>
        </w:rPr>
        <w:t xml:space="preserve"> gennaio 2018 questi costi sono gestiti in base alla Convenzione fra il Cantone Ticino e la Fondazione Museo d’Arte della Svizzera italiana del 27 ottobre 2016.</w:t>
      </w:r>
    </w:p>
    <w:p w:rsidR="00640D64" w:rsidRDefault="00640D64" w:rsidP="00640D64">
      <w:pPr>
        <w:rPr>
          <w:rFonts w:cs="Arial"/>
          <w:sz w:val="20"/>
          <w:szCs w:val="20"/>
        </w:rPr>
      </w:pPr>
    </w:p>
    <w:p w:rsidR="00640D64" w:rsidRPr="00640D64" w:rsidRDefault="00640D64" w:rsidP="00640D64">
      <w:pPr>
        <w:rPr>
          <w:rFonts w:cs="Arial"/>
          <w:sz w:val="20"/>
          <w:szCs w:val="20"/>
        </w:rPr>
      </w:pPr>
    </w:p>
    <w:p w:rsidR="00640D64" w:rsidRPr="00640D64" w:rsidRDefault="00640D64" w:rsidP="00640D64">
      <w:pPr>
        <w:rPr>
          <w:rFonts w:cs="Arial"/>
          <w:sz w:val="20"/>
          <w:szCs w:val="20"/>
        </w:rPr>
      </w:pPr>
    </w:p>
    <w:p w:rsidR="00640D64" w:rsidRPr="001A6853" w:rsidRDefault="00640D64" w:rsidP="00640D64">
      <w:pPr>
        <w:pStyle w:val="Titolo1"/>
      </w:pPr>
      <w:r w:rsidRPr="001A6853">
        <w:t>Congruenza con linee direttive e piano finanziario</w:t>
      </w:r>
    </w:p>
    <w:p w:rsidR="00640D64" w:rsidRPr="001A6853" w:rsidRDefault="00640D64" w:rsidP="00640D64">
      <w:pPr>
        <w:rPr>
          <w:rFonts w:cs="Arial"/>
          <w:szCs w:val="24"/>
        </w:rPr>
      </w:pPr>
      <w:r w:rsidRPr="001A6853">
        <w:rPr>
          <w:rFonts w:cs="Arial"/>
          <w:szCs w:val="24"/>
        </w:rPr>
        <w:t>L’intervento proposto corrisponde a quanto contemplato nel Rapporto al Gran Consiglio sulle linee direttive e sul piano finanziario 2012-2015 (scheda programmatica n</w:t>
      </w:r>
      <w:r>
        <w:rPr>
          <w:rFonts w:cs="Arial"/>
          <w:szCs w:val="24"/>
        </w:rPr>
        <w:t>.</w:t>
      </w:r>
      <w:r w:rsidRPr="001A6853">
        <w:rPr>
          <w:rFonts w:cs="Arial"/>
          <w:szCs w:val="24"/>
        </w:rPr>
        <w:t xml:space="preserve"> 14) e 2016-2019.</w:t>
      </w:r>
    </w:p>
    <w:p w:rsidR="00640D64" w:rsidRPr="001A6853" w:rsidRDefault="00640D64" w:rsidP="00640D64">
      <w:pPr>
        <w:rPr>
          <w:rFonts w:cs="Arial"/>
          <w:szCs w:val="24"/>
        </w:rPr>
      </w:pPr>
      <w:r w:rsidRPr="001A6853">
        <w:rPr>
          <w:rFonts w:cs="Arial"/>
          <w:szCs w:val="24"/>
        </w:rPr>
        <w:t xml:space="preserve">Nel Piano finanziario, gli importi in uscita di </w:t>
      </w:r>
      <w:proofErr w:type="spellStart"/>
      <w:r w:rsidR="00E118BA">
        <w:rPr>
          <w:rFonts w:cs="Arial"/>
          <w:szCs w:val="24"/>
        </w:rPr>
        <w:t>fr</w:t>
      </w:r>
      <w:proofErr w:type="spellEnd"/>
      <w:r w:rsidR="00E118BA">
        <w:rPr>
          <w:rFonts w:cs="Arial"/>
          <w:szCs w:val="24"/>
        </w:rPr>
        <w:t>.</w:t>
      </w:r>
      <w:r w:rsidRPr="001A6853">
        <w:rPr>
          <w:rFonts w:cs="Arial"/>
          <w:szCs w:val="24"/>
        </w:rPr>
        <w:t xml:space="preserve"> 2'582</w:t>
      </w:r>
      <w:r>
        <w:rPr>
          <w:rFonts w:cs="Arial"/>
          <w:szCs w:val="24"/>
        </w:rPr>
        <w:t>'</w:t>
      </w:r>
      <w:r w:rsidRPr="001A6853">
        <w:rPr>
          <w:rFonts w:cs="Arial"/>
          <w:szCs w:val="24"/>
        </w:rPr>
        <w:t>400</w:t>
      </w:r>
      <w:r>
        <w:rPr>
          <w:rFonts w:cs="Arial"/>
          <w:szCs w:val="24"/>
        </w:rPr>
        <w:t xml:space="preserve"> </w:t>
      </w:r>
      <w:r w:rsidRPr="001A6853">
        <w:rPr>
          <w:rFonts w:cs="Arial"/>
          <w:szCs w:val="24"/>
        </w:rPr>
        <w:t xml:space="preserve">sono contemplati nel settore 44 del DECS, </w:t>
      </w:r>
      <w:r w:rsidRPr="001A6853">
        <w:rPr>
          <w:rFonts w:cs="Arial"/>
          <w:i/>
          <w:szCs w:val="24"/>
        </w:rPr>
        <w:t xml:space="preserve">Cultura e tempo libero </w:t>
      </w:r>
      <w:r w:rsidRPr="001A6853">
        <w:rPr>
          <w:rFonts w:cs="Arial"/>
          <w:szCs w:val="24"/>
        </w:rPr>
        <w:t>alla posizione 442 411 1</w:t>
      </w:r>
    </w:p>
    <w:p w:rsidR="00640D64" w:rsidRPr="001A6853" w:rsidRDefault="00E118BA" w:rsidP="00640D64">
      <w:pPr>
        <w:numPr>
          <w:ilvl w:val="0"/>
          <w:numId w:val="5"/>
        </w:numPr>
        <w:spacing w:before="60"/>
        <w:ind w:left="284" w:hanging="284"/>
        <w:rPr>
          <w:rFonts w:cs="Arial"/>
          <w:szCs w:val="24"/>
        </w:rPr>
      </w:pPr>
      <w:proofErr w:type="spellStart"/>
      <w:r>
        <w:rPr>
          <w:rFonts w:cs="Arial"/>
          <w:szCs w:val="24"/>
        </w:rPr>
        <w:t>fr</w:t>
      </w:r>
      <w:proofErr w:type="spellEnd"/>
      <w:r>
        <w:rPr>
          <w:rFonts w:cs="Arial"/>
          <w:szCs w:val="24"/>
        </w:rPr>
        <w:t>.</w:t>
      </w:r>
      <w:r w:rsidR="00640D64" w:rsidRPr="001A6853">
        <w:rPr>
          <w:rFonts w:cs="Arial"/>
          <w:szCs w:val="24"/>
        </w:rPr>
        <w:t xml:space="preserve"> 2'478'213 a carico della Sezione della logistica, CRB 941 WBS 941.59 6015</w:t>
      </w:r>
    </w:p>
    <w:p w:rsidR="00640D64" w:rsidRPr="001A6853" w:rsidRDefault="00E118BA" w:rsidP="00640D64">
      <w:pPr>
        <w:numPr>
          <w:ilvl w:val="0"/>
          <w:numId w:val="5"/>
        </w:numPr>
        <w:spacing w:before="60"/>
        <w:ind w:left="284" w:hanging="284"/>
        <w:rPr>
          <w:rFonts w:cs="Arial"/>
          <w:szCs w:val="24"/>
        </w:rPr>
      </w:pPr>
      <w:proofErr w:type="spellStart"/>
      <w:r>
        <w:rPr>
          <w:rFonts w:cs="Arial"/>
          <w:szCs w:val="24"/>
        </w:rPr>
        <w:t>fr</w:t>
      </w:r>
      <w:proofErr w:type="spellEnd"/>
      <w:r>
        <w:rPr>
          <w:rFonts w:cs="Arial"/>
          <w:szCs w:val="24"/>
        </w:rPr>
        <w:t>.</w:t>
      </w:r>
      <w:r w:rsidR="00640D64" w:rsidRPr="001A6853">
        <w:rPr>
          <w:rFonts w:cs="Arial"/>
          <w:szCs w:val="24"/>
        </w:rPr>
        <w:t xml:space="preserve"> 104'787 a carico del Centro sistemi informativi, CRB 951 WBS 951.50 1564</w:t>
      </w:r>
    </w:p>
    <w:p w:rsidR="00640D64" w:rsidRPr="001A6853" w:rsidRDefault="00640D64" w:rsidP="00640D64">
      <w:pPr>
        <w:rPr>
          <w:rFonts w:cs="Arial"/>
          <w:szCs w:val="24"/>
          <w:highlight w:val="green"/>
        </w:rPr>
      </w:pPr>
    </w:p>
    <w:p w:rsidR="00640D64" w:rsidRPr="001A6853" w:rsidRDefault="00640D64" w:rsidP="00640D64">
      <w:pPr>
        <w:rPr>
          <w:rFonts w:cs="Arial"/>
          <w:szCs w:val="24"/>
          <w:highlight w:val="green"/>
        </w:rPr>
      </w:pPr>
      <w:r w:rsidRPr="001A6853">
        <w:rPr>
          <w:rFonts w:cs="Arial"/>
          <w:szCs w:val="24"/>
        </w:rPr>
        <w:lastRenderedPageBreak/>
        <w:t xml:space="preserve">Lo stanziamento del credito proposto </w:t>
      </w:r>
      <w:r>
        <w:rPr>
          <w:rFonts w:cs="Arial"/>
          <w:szCs w:val="24"/>
        </w:rPr>
        <w:t>nel</w:t>
      </w:r>
      <w:r w:rsidRPr="001A6853">
        <w:rPr>
          <w:rFonts w:cs="Arial"/>
          <w:szCs w:val="24"/>
        </w:rPr>
        <w:t>l’allegato decreto legislativo richiede l’approvazione da parte della maggioranza assoluta dei membri del Gran Consiglio (cfr. art. 5 cpv. 3 LGF).</w:t>
      </w:r>
    </w:p>
    <w:p w:rsidR="00640D64" w:rsidRPr="00640D64" w:rsidRDefault="00640D64" w:rsidP="00640D64">
      <w:pPr>
        <w:rPr>
          <w:rFonts w:cs="Arial"/>
          <w:sz w:val="20"/>
          <w:highlight w:val="green"/>
        </w:rPr>
      </w:pPr>
    </w:p>
    <w:p w:rsidR="00640D64" w:rsidRPr="00640D64" w:rsidRDefault="00640D64" w:rsidP="00640D64">
      <w:pPr>
        <w:rPr>
          <w:rFonts w:cs="Arial"/>
          <w:sz w:val="20"/>
          <w:highlight w:val="green"/>
        </w:rPr>
      </w:pPr>
    </w:p>
    <w:p w:rsidR="00640D64" w:rsidRPr="00640D64" w:rsidRDefault="00640D64" w:rsidP="00640D64">
      <w:pPr>
        <w:rPr>
          <w:rFonts w:cs="Arial"/>
          <w:sz w:val="20"/>
          <w:highlight w:val="green"/>
        </w:rPr>
      </w:pPr>
    </w:p>
    <w:p w:rsidR="00640D64" w:rsidRDefault="00640D64" w:rsidP="00640D64">
      <w:pPr>
        <w:pStyle w:val="Titolo1"/>
      </w:pPr>
      <w:r w:rsidRPr="00D91947">
        <w:t>Conclusioni</w:t>
      </w:r>
    </w:p>
    <w:p w:rsidR="00640D64" w:rsidRDefault="00640D64" w:rsidP="00640D64">
      <w:pPr>
        <w:rPr>
          <w:szCs w:val="24"/>
        </w:rPr>
      </w:pPr>
      <w:r>
        <w:t xml:space="preserve">La Commissione della gestione e delle finanze propone al Gran consiglio di approvare il Messaggio in oggetto e il relativo decreto legislativo che chiede di concedere il credito di </w:t>
      </w:r>
      <w:proofErr w:type="spellStart"/>
      <w:r w:rsidR="00E118BA">
        <w:t>fr</w:t>
      </w:r>
      <w:proofErr w:type="spellEnd"/>
      <w:r w:rsidR="00E118BA">
        <w:t>.</w:t>
      </w:r>
      <w:r>
        <w:t xml:space="preserve"> </w:t>
      </w:r>
      <w:r>
        <w:rPr>
          <w:szCs w:val="24"/>
        </w:rPr>
        <w:t>2'582'400 per la ristrutturazione di Palazzo Reali.</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640D64" w:rsidP="00076E70">
      <w:pPr>
        <w:rPr>
          <w:rFonts w:cs="Arial"/>
          <w:szCs w:val="24"/>
        </w:rPr>
      </w:pPr>
      <w:r>
        <w:rPr>
          <w:rFonts w:cs="Arial"/>
          <w:szCs w:val="24"/>
        </w:rPr>
        <w:t>Milena Garobbio</w:t>
      </w:r>
      <w:r w:rsidR="00076E70" w:rsidRPr="00076E70">
        <w:rPr>
          <w:rFonts w:cs="Arial"/>
          <w:szCs w:val="24"/>
        </w:rPr>
        <w:t>, relatr</w:t>
      </w:r>
      <w:r>
        <w:rPr>
          <w:rFonts w:cs="Arial"/>
          <w:szCs w:val="24"/>
        </w:rPr>
        <w:t>ic</w:t>
      </w:r>
      <w:r w:rsidR="00076E70" w:rsidRPr="00076E70">
        <w:rPr>
          <w:rFonts w:cs="Arial"/>
          <w:szCs w:val="24"/>
        </w:rPr>
        <w:t>e</w:t>
      </w:r>
    </w:p>
    <w:p w:rsidR="00817FAD" w:rsidRDefault="00E118BA" w:rsidP="00E118BA">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Caprara - Dadò - </w:t>
      </w:r>
    </w:p>
    <w:p w:rsidR="00E118BA" w:rsidRDefault="00E118BA" w:rsidP="00E118BA">
      <w:pPr>
        <w:rPr>
          <w:rFonts w:cs="Arial"/>
        </w:rPr>
      </w:pPr>
      <w:r>
        <w:rPr>
          <w:rFonts w:cs="Arial"/>
        </w:rPr>
        <w:t xml:space="preserve">De Rosa - Denti - Durisch - Farinelli - </w:t>
      </w:r>
    </w:p>
    <w:p w:rsidR="00817FAD" w:rsidRDefault="00E118BA" w:rsidP="00E118BA">
      <w:pPr>
        <w:rPr>
          <w:rFonts w:cs="Arial"/>
        </w:rPr>
      </w:pPr>
      <w:r>
        <w:rPr>
          <w:rFonts w:cs="Arial"/>
        </w:rPr>
        <w:t xml:space="preserve">Garzoli - Kandemir Bordoli - Pini - </w:t>
      </w:r>
    </w:p>
    <w:p w:rsidR="00E118BA" w:rsidRDefault="00E118BA" w:rsidP="00E118BA">
      <w:pPr>
        <w:rPr>
          <w:rFonts w:cs="Arial"/>
        </w:rPr>
      </w:pPr>
      <w:r>
        <w:rPr>
          <w:rFonts w:cs="Arial"/>
        </w:rPr>
        <w:t>Pinoja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AF" w:rsidRDefault="00284AAF" w:rsidP="008E77C6">
      <w:r>
        <w:separator/>
      </w:r>
    </w:p>
  </w:endnote>
  <w:endnote w:type="continuationSeparator" w:id="0">
    <w:p w:rsidR="00284AAF" w:rsidRDefault="00284AA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67D7A" w:rsidRPr="00E67D7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AF" w:rsidRDefault="00284AAF" w:rsidP="008E77C6">
      <w:r>
        <w:separator/>
      </w:r>
    </w:p>
  </w:footnote>
  <w:footnote w:type="continuationSeparator" w:id="0">
    <w:p w:rsidR="00284AAF" w:rsidRDefault="00284AA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0D260DB"/>
    <w:multiLevelType w:val="hybridMultilevel"/>
    <w:tmpl w:val="301AC384"/>
    <w:lvl w:ilvl="0" w:tplc="4E9C4ADC">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84AAF"/>
    <w:rsid w:val="002E5E40"/>
    <w:rsid w:val="0052425A"/>
    <w:rsid w:val="00586A8D"/>
    <w:rsid w:val="00640D64"/>
    <w:rsid w:val="006D7A3B"/>
    <w:rsid w:val="00765AD5"/>
    <w:rsid w:val="007B5462"/>
    <w:rsid w:val="008034BD"/>
    <w:rsid w:val="00817FAD"/>
    <w:rsid w:val="00876352"/>
    <w:rsid w:val="008B4137"/>
    <w:rsid w:val="008C767A"/>
    <w:rsid w:val="008E77C6"/>
    <w:rsid w:val="009770BB"/>
    <w:rsid w:val="009E008D"/>
    <w:rsid w:val="00A5465F"/>
    <w:rsid w:val="00A77678"/>
    <w:rsid w:val="00BC4C95"/>
    <w:rsid w:val="00BD5944"/>
    <w:rsid w:val="00CF6858"/>
    <w:rsid w:val="00D377B5"/>
    <w:rsid w:val="00D93B31"/>
    <w:rsid w:val="00E118BA"/>
    <w:rsid w:val="00E67D7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118BA"/>
    <w:pPr>
      <w:keepNext/>
      <w:tabs>
        <w:tab w:val="left" w:pos="567"/>
      </w:tabs>
      <w:spacing w:before="120" w:after="120"/>
      <w:outlineLvl w:val="1"/>
    </w:pPr>
    <w:rPr>
      <w:b/>
      <w:i/>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118BA"/>
    <w:rPr>
      <w:rFonts w:ascii="Arial" w:hAnsi="Arial"/>
      <w:b/>
      <w:i/>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640D6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640D64"/>
    <w:rPr>
      <w:rFonts w:ascii="Arial" w:eastAsia="Times New Roman" w:hAnsi="Arial" w:cs="Times New Roman"/>
      <w:sz w:val="24"/>
      <w:szCs w:val="20"/>
      <w:lang w:val="it-IT" w:eastAsia="it-IT"/>
    </w:rPr>
  </w:style>
  <w:style w:type="paragraph" w:styleId="NormaleWeb">
    <w:name w:val="Normal (Web)"/>
    <w:basedOn w:val="Normale"/>
    <w:rsid w:val="00640D64"/>
    <w:pPr>
      <w:spacing w:before="100" w:beforeAutospacing="1" w:after="100" w:afterAutospacing="1"/>
      <w:jc w:val="left"/>
    </w:pPr>
    <w:rPr>
      <w:rFonts w:eastAsia="Times New Roman" w:cs="Times New Roman"/>
      <w:szCs w:val="24"/>
      <w:lang w:val="it-IT" w:eastAsia="it-IT"/>
    </w:rPr>
  </w:style>
  <w:style w:type="paragraph" w:styleId="Testofumetto">
    <w:name w:val="Balloon Text"/>
    <w:basedOn w:val="Normale"/>
    <w:link w:val="TestofumettoCarattere"/>
    <w:uiPriority w:val="99"/>
    <w:semiHidden/>
    <w:unhideWhenUsed/>
    <w:rsid w:val="00817F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7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118BA"/>
    <w:pPr>
      <w:keepNext/>
      <w:tabs>
        <w:tab w:val="left" w:pos="567"/>
      </w:tabs>
      <w:spacing w:before="120" w:after="120"/>
      <w:outlineLvl w:val="1"/>
    </w:pPr>
    <w:rPr>
      <w:b/>
      <w:i/>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118BA"/>
    <w:rPr>
      <w:rFonts w:ascii="Arial" w:hAnsi="Arial"/>
      <w:b/>
      <w:i/>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640D6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640D64"/>
    <w:rPr>
      <w:rFonts w:ascii="Arial" w:eastAsia="Times New Roman" w:hAnsi="Arial" w:cs="Times New Roman"/>
      <w:sz w:val="24"/>
      <w:szCs w:val="20"/>
      <w:lang w:val="it-IT" w:eastAsia="it-IT"/>
    </w:rPr>
  </w:style>
  <w:style w:type="paragraph" w:styleId="NormaleWeb">
    <w:name w:val="Normal (Web)"/>
    <w:basedOn w:val="Normale"/>
    <w:rsid w:val="00640D64"/>
    <w:pPr>
      <w:spacing w:before="100" w:beforeAutospacing="1" w:after="100" w:afterAutospacing="1"/>
      <w:jc w:val="left"/>
    </w:pPr>
    <w:rPr>
      <w:rFonts w:eastAsia="Times New Roman" w:cs="Times New Roman"/>
      <w:szCs w:val="24"/>
      <w:lang w:val="it-IT" w:eastAsia="it-IT"/>
    </w:rPr>
  </w:style>
  <w:style w:type="paragraph" w:styleId="Testofumetto">
    <w:name w:val="Balloon Text"/>
    <w:basedOn w:val="Normale"/>
    <w:link w:val="TestofumettoCarattere"/>
    <w:uiPriority w:val="99"/>
    <w:semiHidden/>
    <w:unhideWhenUsed/>
    <w:rsid w:val="00817F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0487-8736-43C7-B6DC-2126DC40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1756</Words>
  <Characters>10012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2018-02-27T15:05:00Z</cp:lastPrinted>
  <dcterms:created xsi:type="dcterms:W3CDTF">2018-02-27T14:59:00Z</dcterms:created>
  <dcterms:modified xsi:type="dcterms:W3CDTF">2018-03-09T10:49:00Z</dcterms:modified>
</cp:coreProperties>
</file>