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5" w:rsidRPr="005C669B" w:rsidRDefault="001A1952" w:rsidP="00F242E5">
      <w:pPr>
        <w:tabs>
          <w:tab w:val="left" w:pos="2495"/>
        </w:tabs>
        <w:spacing w:before="80" w:after="40"/>
        <w:rPr>
          <w:rFonts w:ascii="Gill Sans MT" w:hAnsi="Gill Sans MT"/>
          <w:b/>
          <w:sz w:val="56"/>
          <w:szCs w:val="56"/>
        </w:rPr>
      </w:pPr>
      <w:r>
        <w:rPr>
          <w:rFonts w:ascii="Gill Sans MT" w:hAnsi="Gill Sans MT"/>
          <w:b/>
          <w:sz w:val="56"/>
          <w:szCs w:val="56"/>
        </w:rPr>
        <w:t>Rapporto</w:t>
      </w:r>
      <w:r w:rsidRPr="005C669B">
        <w:rPr>
          <w:rFonts w:ascii="Gill Sans MT" w:hAnsi="Gill Sans MT"/>
          <w:b/>
          <w:sz w:val="56"/>
          <w:szCs w:val="56"/>
        </w:rPr>
        <w:t xml:space="preserve"> </w:t>
      </w:r>
      <w:bookmarkStart w:id="0" w:name="_GoBack"/>
      <w:bookmarkEnd w:id="0"/>
      <w:r w:rsidR="00F242E5" w:rsidRPr="005C669B">
        <w:rPr>
          <w:rFonts w:ascii="Gill Sans MT" w:hAnsi="Gill Sans MT"/>
          <w:b/>
          <w:sz w:val="56"/>
          <w:szCs w:val="56"/>
        </w:rPr>
        <w:t>di mi</w:t>
      </w:r>
      <w:r w:rsidR="00686762">
        <w:rPr>
          <w:rFonts w:ascii="Gill Sans MT" w:hAnsi="Gill Sans MT"/>
          <w:b/>
          <w:sz w:val="56"/>
          <w:szCs w:val="56"/>
        </w:rPr>
        <w:t>n</w:t>
      </w:r>
      <w:r w:rsidR="00F242E5" w:rsidRPr="005C669B">
        <w:rPr>
          <w:rFonts w:ascii="Gill Sans MT" w:hAnsi="Gill Sans MT"/>
          <w:b/>
          <w:sz w:val="56"/>
          <w:szCs w:val="56"/>
        </w:rPr>
        <w:t>oranza</w:t>
      </w:r>
    </w:p>
    <w:p w:rsidR="00F242E5" w:rsidRDefault="00F242E5" w:rsidP="00F242E5">
      <w:pPr>
        <w:pStyle w:val="Intestazione"/>
        <w:tabs>
          <w:tab w:val="clear" w:pos="4819"/>
          <w:tab w:val="clear" w:pos="9638"/>
        </w:tabs>
      </w:pPr>
    </w:p>
    <w:p w:rsidR="00F242E5" w:rsidRDefault="00F242E5" w:rsidP="00F242E5">
      <w:pPr>
        <w:pStyle w:val="Intestazione"/>
        <w:tabs>
          <w:tab w:val="clear" w:pos="4819"/>
          <w:tab w:val="clear" w:pos="9638"/>
        </w:tabs>
      </w:pPr>
    </w:p>
    <w:p w:rsidR="00A11803" w:rsidRPr="006A4EDA" w:rsidRDefault="00A11803" w:rsidP="00A11803">
      <w:pPr>
        <w:tabs>
          <w:tab w:val="left" w:pos="1985"/>
          <w:tab w:val="left" w:pos="4678"/>
        </w:tabs>
        <w:rPr>
          <w:rFonts w:cs="Arial"/>
          <w:b/>
          <w:sz w:val="32"/>
          <w:szCs w:val="32"/>
        </w:rPr>
      </w:pPr>
      <w:r w:rsidRPr="006A4EDA">
        <w:rPr>
          <w:rFonts w:cs="Arial"/>
          <w:b/>
          <w:sz w:val="32"/>
          <w:szCs w:val="32"/>
        </w:rPr>
        <w:t>7212 R</w:t>
      </w:r>
      <w:r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ab/>
      </w:r>
      <w:r w:rsidRPr="006A4EDA">
        <w:rPr>
          <w:rFonts w:cs="Arial"/>
          <w:sz w:val="28"/>
          <w:szCs w:val="28"/>
        </w:rPr>
        <w:t xml:space="preserve">28 </w:t>
      </w:r>
      <w:r>
        <w:rPr>
          <w:rFonts w:cs="Arial"/>
          <w:sz w:val="28"/>
          <w:szCs w:val="28"/>
        </w:rPr>
        <w:t>marzo</w:t>
      </w:r>
      <w:r w:rsidRPr="006A4EDA">
        <w:rPr>
          <w:rFonts w:cs="Arial"/>
          <w:sz w:val="28"/>
          <w:szCs w:val="28"/>
        </w:rPr>
        <w:t xml:space="preserve"> 201</w:t>
      </w:r>
      <w:r>
        <w:rPr>
          <w:rFonts w:cs="Arial"/>
          <w:sz w:val="28"/>
          <w:szCs w:val="28"/>
        </w:rPr>
        <w:t>8</w:t>
      </w:r>
      <w:r>
        <w:rPr>
          <w:rFonts w:cs="Arial"/>
          <w:b/>
          <w:sz w:val="32"/>
          <w:szCs w:val="32"/>
        </w:rPr>
        <w:tab/>
      </w:r>
      <w:r w:rsidR="00686762">
        <w:rPr>
          <w:rFonts w:cs="Arial"/>
          <w:b/>
          <w:sz w:val="32"/>
          <w:szCs w:val="32"/>
        </w:rPr>
        <w:t xml:space="preserve">   </w:t>
      </w:r>
      <w:r w:rsidRPr="00686762">
        <w:rPr>
          <w:rFonts w:cs="Arial"/>
          <w:sz w:val="26"/>
          <w:szCs w:val="26"/>
        </w:rPr>
        <w:t>FINANZE E ECONOMIA</w:t>
      </w:r>
      <w:r w:rsidR="00686762">
        <w:rPr>
          <w:rFonts w:cs="Arial"/>
          <w:sz w:val="26"/>
          <w:szCs w:val="26"/>
        </w:rPr>
        <w:t xml:space="preserve"> </w:t>
      </w:r>
      <w:r w:rsidRPr="00686762">
        <w:rPr>
          <w:rFonts w:cs="Arial"/>
          <w:sz w:val="26"/>
          <w:szCs w:val="26"/>
        </w:rPr>
        <w:t>/</w:t>
      </w:r>
      <w:r w:rsidR="00686762">
        <w:rPr>
          <w:rFonts w:cs="Arial"/>
          <w:sz w:val="26"/>
          <w:szCs w:val="26"/>
        </w:rPr>
        <w:t xml:space="preserve"> </w:t>
      </w:r>
      <w:r w:rsidRPr="00686762">
        <w:rPr>
          <w:rFonts w:cs="Arial"/>
          <w:sz w:val="26"/>
          <w:szCs w:val="26"/>
        </w:rPr>
        <w:t>TERRITORIO</w:t>
      </w:r>
    </w:p>
    <w:p w:rsidR="00A11803" w:rsidRPr="00686762" w:rsidRDefault="00A11803" w:rsidP="00A11803">
      <w:pPr>
        <w:rPr>
          <w:rFonts w:cs="Arial"/>
          <w:sz w:val="20"/>
          <w:szCs w:val="20"/>
        </w:rPr>
      </w:pPr>
    </w:p>
    <w:p w:rsidR="00A11803" w:rsidRPr="00686762" w:rsidRDefault="00A11803" w:rsidP="00A11803">
      <w:pPr>
        <w:rPr>
          <w:rFonts w:cs="Arial"/>
          <w:sz w:val="20"/>
          <w:szCs w:val="20"/>
        </w:rPr>
      </w:pPr>
    </w:p>
    <w:p w:rsidR="00A11803" w:rsidRPr="00686762" w:rsidRDefault="00A11803" w:rsidP="00A11803">
      <w:pPr>
        <w:rPr>
          <w:rFonts w:cs="Arial"/>
          <w:sz w:val="20"/>
          <w:szCs w:val="20"/>
        </w:rPr>
      </w:pPr>
    </w:p>
    <w:p w:rsidR="00A11803" w:rsidRPr="006A4EDA" w:rsidRDefault="00686762" w:rsidP="00A1180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A11803" w:rsidRPr="006A4EDA">
        <w:rPr>
          <w:rFonts w:cs="Arial"/>
          <w:b/>
          <w:sz w:val="28"/>
          <w:szCs w:val="28"/>
        </w:rPr>
        <w:t>ella Commissione speciale energia</w:t>
      </w:r>
    </w:p>
    <w:p w:rsidR="00A11803" w:rsidRPr="006A4EDA" w:rsidRDefault="00A11803" w:rsidP="00A1180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Pr="006A4EDA">
        <w:rPr>
          <w:rFonts w:cs="Arial"/>
          <w:b/>
          <w:sz w:val="28"/>
          <w:szCs w:val="28"/>
        </w:rPr>
        <w:t>ulle mozioni</w:t>
      </w:r>
    </w:p>
    <w:p w:rsidR="00A11803" w:rsidRPr="006A4EDA" w:rsidRDefault="00A11803" w:rsidP="00A11803">
      <w:pPr>
        <w:numPr>
          <w:ilvl w:val="0"/>
          <w:numId w:val="23"/>
        </w:numPr>
        <w:ind w:left="426" w:hanging="426"/>
        <w:rPr>
          <w:rFonts w:cs="Arial"/>
          <w:b/>
          <w:sz w:val="28"/>
          <w:szCs w:val="28"/>
        </w:rPr>
      </w:pPr>
      <w:r w:rsidRPr="006A4EDA">
        <w:rPr>
          <w:rFonts w:cs="Arial"/>
          <w:b/>
          <w:sz w:val="28"/>
          <w:szCs w:val="28"/>
        </w:rPr>
        <w:t>25 novembre 2013 di Paolo Peduzzi per il Gruppo PPD+GG “Permettere al privato di investire nel solare su luoghi di proprietà comune (cantonale)”;</w:t>
      </w:r>
    </w:p>
    <w:p w:rsidR="00A11803" w:rsidRPr="006A4EDA" w:rsidRDefault="00A11803" w:rsidP="00A11803">
      <w:pPr>
        <w:numPr>
          <w:ilvl w:val="0"/>
          <w:numId w:val="23"/>
        </w:numPr>
        <w:ind w:left="426" w:hanging="426"/>
        <w:rPr>
          <w:rFonts w:cs="Arial"/>
          <w:b/>
          <w:sz w:val="28"/>
          <w:szCs w:val="28"/>
        </w:rPr>
      </w:pPr>
      <w:r w:rsidRPr="006A4EDA">
        <w:rPr>
          <w:rFonts w:cs="Arial"/>
          <w:b/>
          <w:sz w:val="28"/>
          <w:szCs w:val="28"/>
        </w:rPr>
        <w:t>26 gennaio 2016 di Francesco Maggi per il Gruppo dei Verdi “Sole del Ticino 5: impianti fotovoltaici su tetti cantonali”</w:t>
      </w:r>
    </w:p>
    <w:p w:rsidR="00A11803" w:rsidRPr="00686762" w:rsidRDefault="00A11803" w:rsidP="00A11803">
      <w:pPr>
        <w:spacing w:before="120"/>
        <w:rPr>
          <w:rFonts w:cs="Arial"/>
          <w:b/>
          <w:sz w:val="26"/>
          <w:szCs w:val="26"/>
        </w:rPr>
      </w:pPr>
      <w:r w:rsidRPr="00686762">
        <w:rPr>
          <w:rFonts w:cs="Arial"/>
          <w:b/>
          <w:sz w:val="26"/>
          <w:szCs w:val="26"/>
        </w:rPr>
        <w:t>(v. messaggio 23 agosto 2016 n.7212)</w:t>
      </w:r>
    </w:p>
    <w:p w:rsidR="00A11803" w:rsidRPr="00686762" w:rsidRDefault="00A11803" w:rsidP="00A11803">
      <w:pPr>
        <w:rPr>
          <w:rFonts w:cs="Arial"/>
          <w:sz w:val="20"/>
          <w:szCs w:val="20"/>
        </w:rPr>
      </w:pPr>
    </w:p>
    <w:p w:rsidR="00A11803" w:rsidRPr="00686762" w:rsidRDefault="00A11803" w:rsidP="00A11803">
      <w:pPr>
        <w:rPr>
          <w:rFonts w:cs="Arial"/>
          <w:sz w:val="20"/>
          <w:szCs w:val="20"/>
        </w:rPr>
      </w:pPr>
    </w:p>
    <w:p w:rsidR="00A11803" w:rsidRPr="00686762" w:rsidRDefault="00A11803" w:rsidP="00A11803">
      <w:pPr>
        <w:rPr>
          <w:rFonts w:cs="Arial"/>
          <w:sz w:val="20"/>
          <w:szCs w:val="20"/>
        </w:rPr>
      </w:pPr>
    </w:p>
    <w:p w:rsidR="00A11803" w:rsidRPr="006A4EDA" w:rsidRDefault="00A11803" w:rsidP="00686762">
      <w:pPr>
        <w:pStyle w:val="Titolo1"/>
      </w:pPr>
      <w:r w:rsidRPr="006A4EDA">
        <w:t>Introduzione</w:t>
      </w:r>
    </w:p>
    <w:p w:rsidR="00A11803" w:rsidRPr="006A4EDA" w:rsidRDefault="00A11803" w:rsidP="00A11803">
      <w:pPr>
        <w:rPr>
          <w:rFonts w:cs="Arial"/>
        </w:rPr>
      </w:pPr>
      <w:r w:rsidRPr="006A4EDA">
        <w:rPr>
          <w:rFonts w:cs="Arial"/>
        </w:rPr>
        <w:t>Con il presente rapporto la CSE ha esaminato il messaggio 7212 e le mozioni</w:t>
      </w:r>
      <w:r>
        <w:rPr>
          <w:rFonts w:cs="Arial"/>
        </w:rPr>
        <w:t xml:space="preserve"> </w:t>
      </w:r>
      <w:r w:rsidRPr="006A4EDA">
        <w:rPr>
          <w:rFonts w:cs="Arial"/>
        </w:rPr>
        <w:t>25 novembre 2013 di Paolo Peduzzi per il Gruppo PPD+GG “Permettere al privato di investire nel solare su luoghi d</w:t>
      </w:r>
      <w:r>
        <w:rPr>
          <w:rFonts w:cs="Arial"/>
        </w:rPr>
        <w:t>i proprietà comune (cantonale)” e 2</w:t>
      </w:r>
      <w:r w:rsidRPr="006A4EDA">
        <w:rPr>
          <w:rFonts w:cs="Arial"/>
        </w:rPr>
        <w:t>6 gennaio 2016 di Francesco Maggi per il Gruppo dei Verdi “Sole del Ticino 5: impianti fotovoltaici su tetti cantonali”</w:t>
      </w:r>
      <w:r>
        <w:rPr>
          <w:rFonts w:cs="Arial"/>
        </w:rPr>
        <w:t>.</w:t>
      </w:r>
    </w:p>
    <w:p w:rsidR="00A11803" w:rsidRDefault="00A11803" w:rsidP="00A11803">
      <w:pPr>
        <w:rPr>
          <w:rFonts w:cs="Arial"/>
        </w:rPr>
      </w:pP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686762">
      <w:pPr>
        <w:pStyle w:val="Titolo1"/>
      </w:pPr>
      <w:r w:rsidRPr="006A4EDA">
        <w:t>Mozione Peduzzi</w:t>
      </w:r>
      <w:r>
        <w:t xml:space="preserve"> e co</w:t>
      </w:r>
      <w:r w:rsidRPr="006A4EDA">
        <w:t>firmatari</w:t>
      </w:r>
    </w:p>
    <w:p w:rsidR="00A11803" w:rsidRPr="006A4EDA" w:rsidRDefault="00A11803" w:rsidP="00A11803">
      <w:pPr>
        <w:rPr>
          <w:rFonts w:cs="Arial"/>
        </w:rPr>
      </w:pPr>
      <w:r>
        <w:rPr>
          <w:rFonts w:cs="Arial"/>
        </w:rPr>
        <w:t xml:space="preserve">La mozione chiede di </w:t>
      </w:r>
      <w:r w:rsidRPr="006A4EDA">
        <w:rPr>
          <w:rFonts w:cs="Arial"/>
        </w:rPr>
        <w:t>attivarsi affinché gli spazi di proprietà comune, sui quali non vi è un progetto di sviluppo, di cambiamento di qualsiasi tipo e/o di copertura con fotovoltaico, vengano messi a disposizione di enti privati che vogliano investire con la posa di pannelli per la produzione di energia fotovoltaica. Questo gratuitamente e per il periodo di 20 anni, dopo di che la struttura istallata diverrà di proprietà dello stato.</w:t>
      </w:r>
    </w:p>
    <w:p w:rsidR="00A11803" w:rsidRDefault="00A11803" w:rsidP="00A11803">
      <w:pPr>
        <w:rPr>
          <w:rFonts w:cs="Arial"/>
        </w:rPr>
      </w:pP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686762">
      <w:pPr>
        <w:pStyle w:val="Titolo1"/>
      </w:pPr>
      <w:r w:rsidRPr="006A4EDA">
        <w:t>Mozione Maggi</w:t>
      </w:r>
      <w:r>
        <w:t xml:space="preserve"> e co</w:t>
      </w:r>
      <w:r w:rsidRPr="006A4EDA">
        <w:t>firmatari</w:t>
      </w:r>
    </w:p>
    <w:p w:rsidR="00A11803" w:rsidRPr="006A4EDA" w:rsidRDefault="00A11803" w:rsidP="00A11803">
      <w:pPr>
        <w:rPr>
          <w:rFonts w:cs="Arial"/>
        </w:rPr>
      </w:pPr>
      <w:r>
        <w:rPr>
          <w:rFonts w:cs="Arial"/>
        </w:rPr>
        <w:t>La mozione domanda di s</w:t>
      </w:r>
      <w:r w:rsidRPr="006A4EDA">
        <w:rPr>
          <w:rFonts w:cs="Arial"/>
        </w:rPr>
        <w:t xml:space="preserve">tilare un piano di realizzazione di impianti fotovoltaici su tutti gli edifici di proprietà del Cantone. Gli impianti che risultano fattibili e redditizi sono da concretizzare subito. Sugli edifici nuovi e in caso di ristrutturazione del tetto, l’installazione di un impianto fotovoltaico è sempre da prevedere, fatto salvo per gli edifici protetti e dove l’irraggiamento non garantirebbe la redditività dell’impianto. </w:t>
      </w: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A11803">
      <w:pPr>
        <w:rPr>
          <w:rFonts w:cs="Arial"/>
          <w:iCs/>
        </w:rPr>
      </w:pPr>
      <w:r w:rsidRPr="006A4EDA">
        <w:rPr>
          <w:rFonts w:cs="Arial"/>
          <w:iCs/>
        </w:rPr>
        <w:t>Quanto proposto dalle mozioni è già adottato dalla Città di Neuchâtel</w:t>
      </w:r>
      <w:r>
        <w:rPr>
          <w:rFonts w:cs="Arial"/>
          <w:iCs/>
        </w:rPr>
        <w:t>,</w:t>
      </w:r>
      <w:r w:rsidRPr="006A4EDA">
        <w:rPr>
          <w:rFonts w:cs="Arial"/>
          <w:iCs/>
        </w:rPr>
        <w:t xml:space="preserve"> che ha ceduto a titolo gratuito un tetto a una cooperativa per costruirci un impianto fotovoltaico</w:t>
      </w:r>
      <w:r>
        <w:rPr>
          <w:rFonts w:cs="Arial"/>
          <w:iCs/>
        </w:rPr>
        <w:t>.</w:t>
      </w:r>
      <w:r w:rsidRPr="006A4EDA">
        <w:rPr>
          <w:rFonts w:cs="Arial"/>
          <w:iCs/>
          <w:vertAlign w:val="superscript"/>
        </w:rPr>
        <w:footnoteReference w:id="1"/>
      </w:r>
    </w:p>
    <w:p w:rsidR="00A11803" w:rsidRPr="006A4EDA" w:rsidRDefault="00A11803" w:rsidP="00A11803">
      <w:pPr>
        <w:rPr>
          <w:rFonts w:cs="Arial"/>
        </w:rPr>
      </w:pPr>
      <w:r w:rsidRPr="006A4EDA">
        <w:rPr>
          <w:rFonts w:cs="Arial"/>
        </w:rPr>
        <w:t xml:space="preserve">Non si tratterebbe quindi di una novità, con </w:t>
      </w:r>
      <w:r>
        <w:rPr>
          <w:rFonts w:cs="Arial"/>
        </w:rPr>
        <w:t>la</w:t>
      </w:r>
      <w:r w:rsidRPr="006A4EDA">
        <w:rPr>
          <w:rFonts w:cs="Arial"/>
        </w:rPr>
        <w:t xml:space="preserve"> sola differenza che le proposte delle mozioni mirano a tetti ed edifici del Cantone.</w:t>
      </w: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686762">
      <w:pPr>
        <w:pStyle w:val="Titolo1"/>
      </w:pPr>
      <w:r w:rsidRPr="006A4EDA">
        <w:lastRenderedPageBreak/>
        <w:t>Situazione</w:t>
      </w:r>
    </w:p>
    <w:p w:rsidR="00A11803" w:rsidRPr="006A4EDA" w:rsidRDefault="00A11803" w:rsidP="00A11803">
      <w:pPr>
        <w:rPr>
          <w:rFonts w:cs="Arial"/>
          <w:iCs/>
        </w:rPr>
      </w:pPr>
      <w:r w:rsidRPr="006A4EDA">
        <w:rPr>
          <w:rFonts w:cs="Arial"/>
        </w:rPr>
        <w:t xml:space="preserve">Per approfondire la richiesta della mozione la CSE ha incontrato </w:t>
      </w:r>
      <w:r w:rsidRPr="006A4EDA">
        <w:rPr>
          <w:rFonts w:cs="Arial"/>
          <w:iCs/>
        </w:rPr>
        <w:t xml:space="preserve">il Direttore del DFE Christian Vitta, il Capo della Sezione della logistica Walter Bizzozero, il condirettore di AET Claudio </w:t>
      </w:r>
      <w:proofErr w:type="spellStart"/>
      <w:r w:rsidRPr="006A4EDA">
        <w:rPr>
          <w:rFonts w:cs="Arial"/>
          <w:iCs/>
        </w:rPr>
        <w:t>Nauer</w:t>
      </w:r>
      <w:proofErr w:type="spellEnd"/>
      <w:r w:rsidRPr="006A4EDA">
        <w:rPr>
          <w:rFonts w:cs="Arial"/>
          <w:iCs/>
        </w:rPr>
        <w:t xml:space="preserve"> e il vicedirettore di AET </w:t>
      </w:r>
      <w:proofErr w:type="spellStart"/>
      <w:r w:rsidRPr="006A4EDA">
        <w:rPr>
          <w:rFonts w:cs="Arial"/>
          <w:iCs/>
        </w:rPr>
        <w:t>Edy</w:t>
      </w:r>
      <w:proofErr w:type="spellEnd"/>
      <w:r w:rsidRPr="006A4EDA">
        <w:rPr>
          <w:rFonts w:cs="Arial"/>
          <w:iCs/>
        </w:rPr>
        <w:t xml:space="preserve"> Losa.</w:t>
      </w: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A11803">
      <w:pPr>
        <w:rPr>
          <w:rFonts w:cs="Arial"/>
        </w:rPr>
      </w:pPr>
      <w:r w:rsidRPr="006A4EDA">
        <w:rPr>
          <w:rFonts w:cs="Arial"/>
        </w:rPr>
        <w:t>Attualmente è in vigore un contratto quadro sottoscritto con AET</w:t>
      </w:r>
      <w:r>
        <w:rPr>
          <w:rFonts w:cs="Arial"/>
        </w:rPr>
        <w:t>, il quale</w:t>
      </w:r>
      <w:r w:rsidRPr="006A4EDA">
        <w:rPr>
          <w:rFonts w:cs="Arial"/>
        </w:rPr>
        <w:t xml:space="preserve"> prevede </w:t>
      </w:r>
      <w:r>
        <w:rPr>
          <w:rFonts w:cs="Arial"/>
        </w:rPr>
        <w:t>che, s</w:t>
      </w:r>
      <w:r w:rsidRPr="006A4EDA">
        <w:rPr>
          <w:rFonts w:cs="Arial"/>
        </w:rPr>
        <w:t xml:space="preserve">e l’Azienda cantonale non </w:t>
      </w:r>
      <w:r>
        <w:rPr>
          <w:rFonts w:cs="Arial"/>
        </w:rPr>
        <w:t>ha</w:t>
      </w:r>
      <w:r w:rsidRPr="006A4EDA">
        <w:rPr>
          <w:rFonts w:cs="Arial"/>
        </w:rPr>
        <w:t xml:space="preserve"> interesse a realizzare impianti su determinati stabili, il Cantone può valutare la possibilità di collaborare con altre aziende attive nel campo dell’energia o con terzi.</w:t>
      </w: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A11803">
      <w:pPr>
        <w:rPr>
          <w:rFonts w:cs="Arial"/>
        </w:rPr>
      </w:pPr>
      <w:r w:rsidRPr="006A4EDA">
        <w:rPr>
          <w:rFonts w:cs="Arial"/>
        </w:rPr>
        <w:t xml:space="preserve">Il Consiglio di Stato, sulla base di quanto precede, ritiene che la politica promossa in questi anni dal Cantone a favore del solare e gli accordi sottoscritti con AET per l’utilizzo delle proprietà cantonali per l’installazione di impianti fotovoltaici rispondano adeguatamente agli obiettivi delle mozioni, che </w:t>
      </w:r>
      <w:r>
        <w:rPr>
          <w:rFonts w:cs="Arial"/>
        </w:rPr>
        <w:t>si possono</w:t>
      </w:r>
      <w:r w:rsidRPr="006A4EDA">
        <w:rPr>
          <w:rFonts w:cs="Arial"/>
        </w:rPr>
        <w:t xml:space="preserve"> pertanto ritenere evase attraverso quanto già realizzato e la strategia in corso di realizzazione.</w:t>
      </w:r>
    </w:p>
    <w:p w:rsidR="00A11803" w:rsidRDefault="00A11803" w:rsidP="00A11803">
      <w:pPr>
        <w:rPr>
          <w:rFonts w:cs="Arial"/>
        </w:rPr>
      </w:pPr>
    </w:p>
    <w:p w:rsidR="00A11803" w:rsidRPr="006A4EDA" w:rsidRDefault="00A11803" w:rsidP="00A11803">
      <w:pPr>
        <w:rPr>
          <w:rFonts w:cs="Arial"/>
        </w:rPr>
      </w:pPr>
    </w:p>
    <w:p w:rsidR="00A11803" w:rsidRPr="006A4EDA" w:rsidRDefault="00A11803" w:rsidP="00686762">
      <w:pPr>
        <w:pStyle w:val="Titolo1"/>
      </w:pPr>
      <w:r w:rsidRPr="006A4EDA">
        <w:t>Contratto Quadro AET Logistica</w:t>
      </w:r>
    </w:p>
    <w:p w:rsidR="00A11803" w:rsidRPr="006A4EDA" w:rsidRDefault="00A11803" w:rsidP="00A11803">
      <w:pPr>
        <w:rPr>
          <w:rFonts w:cs="Arial"/>
          <w:iCs/>
        </w:rPr>
      </w:pPr>
      <w:r w:rsidRPr="006A4EDA">
        <w:rPr>
          <w:rFonts w:cs="Arial"/>
          <w:iCs/>
        </w:rPr>
        <w:t>Dal contratto stipulato fra lo Stato e AET si può leggere che l’apertura, almeno sulla carta, c’è già: AET ha la priorità</w:t>
      </w:r>
      <w:r>
        <w:rPr>
          <w:rFonts w:cs="Arial"/>
          <w:iCs/>
        </w:rPr>
        <w:t>,</w:t>
      </w:r>
      <w:r w:rsidRPr="006A4EDA">
        <w:rPr>
          <w:rFonts w:cs="Arial"/>
          <w:iCs/>
        </w:rPr>
        <w:t xml:space="preserve"> ma</w:t>
      </w:r>
      <w:r>
        <w:rPr>
          <w:rFonts w:cs="Arial"/>
          <w:iCs/>
        </w:rPr>
        <w:t>,</w:t>
      </w:r>
      <w:r w:rsidRPr="006A4EDA">
        <w:rPr>
          <w:rFonts w:cs="Arial"/>
          <w:iCs/>
        </w:rPr>
        <w:t xml:space="preserve"> se AET non è interessata, lo Stato è libero di utilizzare altrimenti i tetti (capitolo 3.2 punto </w:t>
      </w:r>
      <w:r>
        <w:rPr>
          <w:rFonts w:cs="Arial"/>
          <w:iCs/>
        </w:rPr>
        <w:t>5</w:t>
      </w:r>
      <w:r w:rsidRPr="006A4EDA">
        <w:rPr>
          <w:rFonts w:cs="Arial"/>
          <w:iCs/>
        </w:rPr>
        <w:t xml:space="preserve"> del contratto). Ad esempio</w:t>
      </w:r>
      <w:r>
        <w:rPr>
          <w:rFonts w:cs="Arial"/>
          <w:iCs/>
        </w:rPr>
        <w:t>,</w:t>
      </w:r>
      <w:r w:rsidRPr="006A4EDA">
        <w:rPr>
          <w:rFonts w:cs="Arial"/>
          <w:iCs/>
        </w:rPr>
        <w:t xml:space="preserve"> AET non ha interessi per tetti inferiori a una determinata superficie.</w:t>
      </w:r>
    </w:p>
    <w:p w:rsidR="00A11803" w:rsidRPr="006A4EDA" w:rsidRDefault="00A11803" w:rsidP="00A11803">
      <w:pPr>
        <w:rPr>
          <w:rFonts w:cs="Arial"/>
          <w:iCs/>
        </w:rPr>
      </w:pPr>
    </w:p>
    <w:p w:rsidR="00A11803" w:rsidRPr="006A4EDA" w:rsidRDefault="00A11803" w:rsidP="00A11803">
      <w:pPr>
        <w:rPr>
          <w:rFonts w:cs="Arial"/>
          <w:iCs/>
        </w:rPr>
      </w:pPr>
      <w:r w:rsidRPr="006A4EDA">
        <w:rPr>
          <w:rFonts w:cs="Arial"/>
          <w:iCs/>
        </w:rPr>
        <w:t>Quindi formalmente nulla vieta al Cantone di mettere a disposizione di privati tetti non ritenuti interessanti da AET.</w:t>
      </w:r>
    </w:p>
    <w:p w:rsidR="00A11803" w:rsidRPr="006A4EDA" w:rsidRDefault="00A11803" w:rsidP="00A11803">
      <w:pPr>
        <w:rPr>
          <w:rFonts w:cs="Arial"/>
          <w:iCs/>
        </w:rPr>
      </w:pPr>
    </w:p>
    <w:p w:rsidR="00A11803" w:rsidRPr="006A4EDA" w:rsidRDefault="00A11803" w:rsidP="00A11803">
      <w:pPr>
        <w:rPr>
          <w:rFonts w:cs="Arial"/>
          <w:iCs/>
        </w:rPr>
      </w:pPr>
      <w:r w:rsidRPr="006A4EDA">
        <w:rPr>
          <w:rFonts w:cs="Arial"/>
          <w:iCs/>
        </w:rPr>
        <w:t>La CSE ritiene però che occorrerà chiarire e definire quanto segue:</w:t>
      </w:r>
    </w:p>
    <w:p w:rsidR="00A11803" w:rsidRPr="006A4EDA" w:rsidRDefault="00686762" w:rsidP="00686762">
      <w:pPr>
        <w:pStyle w:val="Paragrafoelenco"/>
        <w:numPr>
          <w:ilvl w:val="0"/>
          <w:numId w:val="20"/>
        </w:numPr>
        <w:spacing w:before="80"/>
        <w:ind w:left="425" w:hanging="425"/>
        <w:rPr>
          <w:rFonts w:cs="Arial"/>
          <w:iCs/>
        </w:rPr>
      </w:pPr>
      <w:r>
        <w:rPr>
          <w:rFonts w:cs="Arial"/>
          <w:iCs/>
        </w:rPr>
        <w:t>e</w:t>
      </w:r>
      <w:r w:rsidR="00A11803" w:rsidRPr="006A4EDA">
        <w:rPr>
          <w:rFonts w:cs="Arial"/>
          <w:iCs/>
        </w:rPr>
        <w:t>lenco tetti disponibili (non richiesti da AET) e utilizzabili per impianti FV</w:t>
      </w:r>
      <w:r>
        <w:rPr>
          <w:rFonts w:cs="Arial"/>
          <w:iCs/>
        </w:rPr>
        <w:t>;</w:t>
      </w:r>
    </w:p>
    <w:p w:rsidR="00A11803" w:rsidRPr="006A4EDA" w:rsidRDefault="00686762" w:rsidP="00686762">
      <w:pPr>
        <w:pStyle w:val="Paragrafoelenco"/>
        <w:numPr>
          <w:ilvl w:val="0"/>
          <w:numId w:val="20"/>
        </w:numPr>
        <w:spacing w:before="80"/>
        <w:ind w:left="425" w:hanging="425"/>
        <w:rPr>
          <w:rFonts w:cs="Arial"/>
          <w:iCs/>
        </w:rPr>
      </w:pPr>
      <w:r>
        <w:rPr>
          <w:rFonts w:cs="Arial"/>
          <w:iCs/>
        </w:rPr>
        <w:t>e</w:t>
      </w:r>
      <w:r w:rsidR="00A11803" w:rsidRPr="006A4EDA">
        <w:rPr>
          <w:rFonts w:cs="Arial"/>
          <w:iCs/>
        </w:rPr>
        <w:t>ventuali costi per affitto e compenso</w:t>
      </w:r>
      <w:r>
        <w:rPr>
          <w:rFonts w:cs="Arial"/>
          <w:iCs/>
        </w:rPr>
        <w:t>;</w:t>
      </w:r>
    </w:p>
    <w:p w:rsidR="00A11803" w:rsidRPr="009835F6" w:rsidRDefault="00686762" w:rsidP="00686762">
      <w:pPr>
        <w:pStyle w:val="Paragrafoelenco"/>
        <w:numPr>
          <w:ilvl w:val="0"/>
          <w:numId w:val="20"/>
        </w:numPr>
        <w:spacing w:before="80"/>
        <w:ind w:left="425" w:hanging="425"/>
        <w:rPr>
          <w:rFonts w:cs="Arial"/>
          <w:iCs/>
        </w:rPr>
      </w:pPr>
      <w:r>
        <w:rPr>
          <w:rFonts w:cs="Arial"/>
          <w:iCs/>
        </w:rPr>
        <w:t>e</w:t>
      </w:r>
      <w:r w:rsidR="00A11803" w:rsidRPr="009835F6">
        <w:rPr>
          <w:rFonts w:cs="Arial"/>
          <w:iCs/>
        </w:rPr>
        <w:t>ventuali costi per rendere idoneo il tetto</w:t>
      </w:r>
      <w:r>
        <w:rPr>
          <w:rFonts w:cs="Arial"/>
          <w:iCs/>
        </w:rPr>
        <w:t>;</w:t>
      </w:r>
    </w:p>
    <w:p w:rsidR="00A11803" w:rsidRPr="009835F6" w:rsidRDefault="00686762" w:rsidP="00686762">
      <w:pPr>
        <w:pStyle w:val="Paragrafoelenco"/>
        <w:numPr>
          <w:ilvl w:val="0"/>
          <w:numId w:val="20"/>
        </w:numPr>
        <w:spacing w:before="80"/>
        <w:ind w:left="425" w:hanging="425"/>
        <w:rPr>
          <w:rFonts w:cs="Arial"/>
          <w:iCs/>
        </w:rPr>
      </w:pPr>
      <w:r>
        <w:rPr>
          <w:rFonts w:cs="Arial"/>
          <w:iCs/>
        </w:rPr>
        <w:t>elaborare un contratto tipo;</w:t>
      </w:r>
    </w:p>
    <w:p w:rsidR="00A11803" w:rsidRPr="009835F6" w:rsidRDefault="00686762" w:rsidP="00686762">
      <w:pPr>
        <w:pStyle w:val="Paragrafoelenco"/>
        <w:numPr>
          <w:ilvl w:val="0"/>
          <w:numId w:val="20"/>
        </w:numPr>
        <w:spacing w:before="80"/>
        <w:ind w:left="425" w:hanging="425"/>
        <w:rPr>
          <w:rFonts w:cs="Arial"/>
          <w:iCs/>
        </w:rPr>
      </w:pPr>
      <w:r>
        <w:rPr>
          <w:rFonts w:cs="Arial"/>
          <w:iCs/>
        </w:rPr>
        <w:t>c</w:t>
      </w:r>
      <w:r w:rsidR="00A11803" w:rsidRPr="009835F6">
        <w:rPr>
          <w:rFonts w:cs="Arial"/>
          <w:iCs/>
        </w:rPr>
        <w:t>he non ci siano costi per Cantone</w:t>
      </w:r>
      <w:r>
        <w:rPr>
          <w:rFonts w:cs="Arial"/>
          <w:iCs/>
        </w:rPr>
        <w:t>;</w:t>
      </w:r>
    </w:p>
    <w:p w:rsidR="00A11803" w:rsidRPr="009835F6" w:rsidRDefault="00686762" w:rsidP="00686762">
      <w:pPr>
        <w:pStyle w:val="Paragrafoelenco"/>
        <w:numPr>
          <w:ilvl w:val="0"/>
          <w:numId w:val="20"/>
        </w:numPr>
        <w:spacing w:before="80"/>
        <w:ind w:left="425" w:hanging="425"/>
        <w:rPr>
          <w:rFonts w:cs="Arial"/>
          <w:iCs/>
        </w:rPr>
      </w:pPr>
      <w:r>
        <w:rPr>
          <w:rFonts w:cs="Arial"/>
          <w:iCs/>
        </w:rPr>
        <w:t>c</w:t>
      </w:r>
      <w:r w:rsidR="00A11803" w:rsidRPr="009835F6">
        <w:rPr>
          <w:rFonts w:cs="Arial"/>
          <w:iCs/>
        </w:rPr>
        <w:t>ondizioni al termine</w:t>
      </w:r>
      <w:r>
        <w:rPr>
          <w:rFonts w:cs="Arial"/>
          <w:iCs/>
        </w:rPr>
        <w:t>.</w:t>
      </w:r>
    </w:p>
    <w:p w:rsidR="00A11803" w:rsidRPr="009835F6" w:rsidRDefault="00A11803" w:rsidP="00A11803">
      <w:pPr>
        <w:rPr>
          <w:rFonts w:cs="Arial"/>
          <w:iCs/>
        </w:rPr>
      </w:pPr>
    </w:p>
    <w:p w:rsidR="00A11803" w:rsidRPr="009835F6" w:rsidRDefault="00A11803" w:rsidP="00A11803">
      <w:pPr>
        <w:rPr>
          <w:rFonts w:cs="Arial"/>
          <w:iCs/>
        </w:rPr>
      </w:pPr>
    </w:p>
    <w:p w:rsidR="00A11803" w:rsidRPr="009835F6" w:rsidRDefault="00A11803" w:rsidP="00A11803">
      <w:pPr>
        <w:rPr>
          <w:rFonts w:cs="Arial"/>
          <w:iCs/>
        </w:rPr>
      </w:pPr>
      <w:r w:rsidRPr="009835F6">
        <w:rPr>
          <w:rFonts w:cs="Arial"/>
          <w:iCs/>
        </w:rPr>
        <w:t>Quanto alla mozione Maggi, che chiede:</w:t>
      </w:r>
    </w:p>
    <w:p w:rsidR="00A11803" w:rsidRPr="009835F6" w:rsidRDefault="00A11803" w:rsidP="00686762">
      <w:pPr>
        <w:pStyle w:val="Paragrafoelenco"/>
        <w:numPr>
          <w:ilvl w:val="0"/>
          <w:numId w:val="22"/>
        </w:numPr>
        <w:spacing w:before="100"/>
        <w:ind w:left="425" w:hanging="425"/>
        <w:rPr>
          <w:rFonts w:cs="Arial"/>
        </w:rPr>
      </w:pPr>
      <w:r w:rsidRPr="009835F6">
        <w:rPr>
          <w:rFonts w:cs="Arial"/>
        </w:rPr>
        <w:t>gli impianti che risultano fattibili e redditizi, sono da concretizzare subito;</w:t>
      </w:r>
    </w:p>
    <w:p w:rsidR="00A11803" w:rsidRPr="009835F6" w:rsidRDefault="00A11803" w:rsidP="00686762">
      <w:pPr>
        <w:pStyle w:val="Paragrafoelenco"/>
        <w:numPr>
          <w:ilvl w:val="0"/>
          <w:numId w:val="22"/>
        </w:numPr>
        <w:spacing w:before="100"/>
        <w:ind w:left="425" w:hanging="425"/>
        <w:rPr>
          <w:rFonts w:cs="Arial"/>
        </w:rPr>
      </w:pPr>
      <w:r w:rsidRPr="009835F6">
        <w:rPr>
          <w:rFonts w:cs="Arial"/>
        </w:rPr>
        <w:t>sugli edifici nuovi e in caso di ristrutturazione del tetto, l’installazione di un impianto fotovoltaico è sempre da prevedere, fatto salvo per gli edifici protetti e dove l’irraggiamento non garantirebbe la redditività dell’impianto.</w:t>
      </w:r>
    </w:p>
    <w:p w:rsidR="00A11803" w:rsidRPr="009835F6" w:rsidRDefault="00A11803" w:rsidP="00A11803">
      <w:pPr>
        <w:rPr>
          <w:rFonts w:cs="Arial"/>
          <w:iCs/>
        </w:rPr>
      </w:pPr>
    </w:p>
    <w:p w:rsidR="00A11803" w:rsidRPr="006A4EDA" w:rsidRDefault="00A11803" w:rsidP="00A11803">
      <w:pPr>
        <w:rPr>
          <w:rFonts w:cs="Arial"/>
          <w:iCs/>
        </w:rPr>
      </w:pPr>
      <w:r w:rsidRPr="009835F6">
        <w:rPr>
          <w:rFonts w:cs="Arial"/>
          <w:iCs/>
        </w:rPr>
        <w:t>La CSE ritiene che questi postulati, come espresso dal CdS, siano da ritenere evasi, essendo in linea con il PEC e con i</w:t>
      </w:r>
      <w:r w:rsidRPr="009835F6">
        <w:rPr>
          <w:rFonts w:cs="Arial"/>
          <w:shd w:val="clear" w:color="auto" w:fill="FFFFFF"/>
        </w:rPr>
        <w:t xml:space="preserve">l nuovo </w:t>
      </w:r>
      <w:r w:rsidRPr="009835F6">
        <w:rPr>
          <w:rStyle w:val="Enfasicorsivo"/>
          <w:rFonts w:cs="Arial"/>
          <w:bCs/>
          <w:shd w:val="clear" w:color="auto" w:fill="FFFFFF"/>
        </w:rPr>
        <w:t>Modello di prescrizioni</w:t>
      </w:r>
      <w:r w:rsidRPr="009835F6">
        <w:rPr>
          <w:rFonts w:cs="Arial"/>
          <w:shd w:val="clear" w:color="auto" w:fill="FFFFFF"/>
        </w:rPr>
        <w:t xml:space="preserve"> energetiche dei Cantoni</w:t>
      </w:r>
      <w:r w:rsidRPr="006A4EDA">
        <w:rPr>
          <w:rFonts w:cs="Arial"/>
          <w:shd w:val="clear" w:color="auto" w:fill="FFFFFF"/>
        </w:rPr>
        <w:t xml:space="preserve"> (</w:t>
      </w:r>
      <w:proofErr w:type="spellStart"/>
      <w:r w:rsidRPr="006A4EDA">
        <w:rPr>
          <w:rFonts w:cs="Arial"/>
          <w:shd w:val="clear" w:color="auto" w:fill="FFFFFF"/>
        </w:rPr>
        <w:t>MoPEC</w:t>
      </w:r>
      <w:proofErr w:type="spellEnd"/>
      <w:r w:rsidRPr="006A4EDA">
        <w:rPr>
          <w:rFonts w:cs="Arial"/>
          <w:shd w:val="clear" w:color="auto" w:fill="FFFFFF"/>
        </w:rPr>
        <w:t>), l’insieme di</w:t>
      </w:r>
      <w:r w:rsidRPr="006A4EDA">
        <w:rPr>
          <w:rStyle w:val="Enfasicorsivo"/>
          <w:rFonts w:cs="Arial"/>
          <w:bCs/>
          <w:shd w:val="clear" w:color="auto" w:fill="FFFFFF"/>
        </w:rPr>
        <w:t xml:space="preserve"> prescrizioni</w:t>
      </w:r>
      <w:r>
        <w:rPr>
          <w:rFonts w:cs="Arial"/>
          <w:shd w:val="clear" w:color="auto" w:fill="FFFFFF"/>
        </w:rPr>
        <w:t xml:space="preserve"> </w:t>
      </w:r>
      <w:r w:rsidRPr="006A4EDA">
        <w:rPr>
          <w:rFonts w:cs="Arial"/>
          <w:shd w:val="clear" w:color="auto" w:fill="FFFFFF"/>
        </w:rPr>
        <w:t>energetiche per gli edifici elaborate congiuntamente dai Cantoni, approvat</w:t>
      </w:r>
      <w:r>
        <w:rPr>
          <w:rFonts w:cs="Arial"/>
          <w:shd w:val="clear" w:color="auto" w:fill="FFFFFF"/>
        </w:rPr>
        <w:t xml:space="preserve">o dall'assemblea generale della </w:t>
      </w:r>
      <w:r w:rsidRPr="006A4EDA">
        <w:rPr>
          <w:rStyle w:val="Enfasicorsivo"/>
          <w:rFonts w:cs="Arial"/>
          <w:bCs/>
          <w:shd w:val="clear" w:color="auto" w:fill="FFFFFF"/>
        </w:rPr>
        <w:t>Conferenza</w:t>
      </w:r>
      <w:r>
        <w:rPr>
          <w:rFonts w:cs="Arial"/>
          <w:shd w:val="clear" w:color="auto" w:fill="FFFFFF"/>
        </w:rPr>
        <w:t xml:space="preserve"> dei </w:t>
      </w:r>
      <w:r w:rsidRPr="006A4EDA">
        <w:rPr>
          <w:rStyle w:val="Enfasicorsivo"/>
          <w:rFonts w:cs="Arial"/>
          <w:bCs/>
          <w:shd w:val="clear" w:color="auto" w:fill="FFFFFF"/>
        </w:rPr>
        <w:t>direttori</w:t>
      </w:r>
      <w:r>
        <w:rPr>
          <w:rFonts w:cs="Arial"/>
          <w:shd w:val="clear" w:color="auto" w:fill="FFFFFF"/>
        </w:rPr>
        <w:t xml:space="preserve"> </w:t>
      </w:r>
      <w:r w:rsidRPr="006A4EDA">
        <w:rPr>
          <w:rFonts w:cs="Arial"/>
          <w:shd w:val="clear" w:color="auto" w:fill="FFFFFF"/>
        </w:rPr>
        <w:t>cantonali dell'</w:t>
      </w:r>
      <w:r w:rsidRPr="006A4EDA">
        <w:rPr>
          <w:rStyle w:val="Enfasicorsivo"/>
          <w:rFonts w:cs="Arial"/>
          <w:bCs/>
          <w:shd w:val="clear" w:color="auto" w:fill="FFFFFF"/>
        </w:rPr>
        <w:t>energia</w:t>
      </w:r>
      <w:r>
        <w:rPr>
          <w:rStyle w:val="Enfasicorsivo"/>
          <w:rFonts w:cs="Arial"/>
          <w:bCs/>
          <w:shd w:val="clear" w:color="auto" w:fill="FFFFFF"/>
        </w:rPr>
        <w:t xml:space="preserve"> </w:t>
      </w:r>
      <w:r w:rsidRPr="006A4EDA">
        <w:rPr>
          <w:rFonts w:cs="Arial"/>
          <w:shd w:val="clear" w:color="auto" w:fill="FFFFFF"/>
        </w:rPr>
        <w:t>il 9 gennaio 2015.</w:t>
      </w:r>
    </w:p>
    <w:p w:rsidR="00A11803" w:rsidRDefault="00A11803" w:rsidP="00A11803">
      <w:pPr>
        <w:rPr>
          <w:rFonts w:cs="Arial"/>
          <w:iCs/>
        </w:rPr>
      </w:pPr>
    </w:p>
    <w:p w:rsidR="00A11803" w:rsidRPr="006A4EDA" w:rsidRDefault="00A11803" w:rsidP="00A11803">
      <w:pPr>
        <w:rPr>
          <w:rFonts w:cs="Arial"/>
          <w:iCs/>
        </w:rPr>
      </w:pPr>
    </w:p>
    <w:p w:rsidR="00A11803" w:rsidRPr="006A4EDA" w:rsidRDefault="00A11803" w:rsidP="00686762">
      <w:pPr>
        <w:pStyle w:val="Titolo1"/>
      </w:pPr>
      <w:r w:rsidRPr="006A4EDA">
        <w:lastRenderedPageBreak/>
        <w:t>Conclusioni</w:t>
      </w:r>
    </w:p>
    <w:p w:rsidR="00A11803" w:rsidRPr="006A4EDA" w:rsidRDefault="00A11803" w:rsidP="00A11803">
      <w:pPr>
        <w:rPr>
          <w:rFonts w:cs="Arial"/>
          <w:iCs/>
        </w:rPr>
      </w:pPr>
      <w:r w:rsidRPr="009835F6">
        <w:rPr>
          <w:rFonts w:cs="Arial"/>
          <w:iCs/>
        </w:rPr>
        <w:t xml:space="preserve">Fatte queste premesse, la </w:t>
      </w:r>
      <w:r>
        <w:rPr>
          <w:rFonts w:cs="Arial"/>
          <w:iCs/>
        </w:rPr>
        <w:t xml:space="preserve">minoranza della </w:t>
      </w:r>
      <w:r w:rsidRPr="009835F6">
        <w:rPr>
          <w:rFonts w:cs="Arial"/>
          <w:iCs/>
        </w:rPr>
        <w:t>CSE aderisce alle mozioni che contribuiscono allo sviluppo di nuove fonti di energia rinnovabile e alla svolta energetica. In particolare la CSE rit</w:t>
      </w:r>
      <w:r>
        <w:rPr>
          <w:rFonts w:cs="Arial"/>
          <w:iCs/>
        </w:rPr>
        <w:t>i</w:t>
      </w:r>
      <w:r w:rsidRPr="009835F6">
        <w:rPr>
          <w:rFonts w:cs="Arial"/>
          <w:iCs/>
        </w:rPr>
        <w:t>ene evasa la Mozione Maggi e mentre propone di dar seguito alla Mozione Peduzzi e invitando il CdS ad approfondire quanto esposto nell’ottica di facilitare la cessione dello sfruttamento fotovoltaico a terzi di tetti di stabili del Cantone non interessanti per AET. Le condizioni di sfruttamento non dovranno generare oneri finanziari, dovranno prevedere la cessione o lo smantellamento al termine del contratto e dovrà essere computato un affitto.</w:t>
      </w:r>
    </w:p>
    <w:p w:rsidR="00A11803" w:rsidRDefault="00A11803" w:rsidP="00A11803">
      <w:pPr>
        <w:rPr>
          <w:rFonts w:cs="Arial"/>
          <w:iCs/>
        </w:rPr>
      </w:pPr>
    </w:p>
    <w:p w:rsidR="00686762" w:rsidRDefault="00686762" w:rsidP="00A11803">
      <w:pPr>
        <w:rPr>
          <w:rFonts w:cs="Arial"/>
          <w:iCs/>
        </w:rPr>
      </w:pPr>
    </w:p>
    <w:p w:rsidR="00A11803" w:rsidRPr="006A4EDA" w:rsidRDefault="00A11803" w:rsidP="00A11803">
      <w:pPr>
        <w:rPr>
          <w:rFonts w:cs="Arial"/>
          <w:iCs/>
        </w:rPr>
      </w:pPr>
    </w:p>
    <w:p w:rsidR="00A11803" w:rsidRPr="006A4EDA" w:rsidRDefault="00A11803" w:rsidP="00A11803">
      <w:pPr>
        <w:spacing w:after="120"/>
        <w:ind w:right="-1"/>
        <w:rPr>
          <w:rFonts w:cs="Arial"/>
        </w:rPr>
      </w:pPr>
      <w:r w:rsidRPr="006A4EDA">
        <w:rPr>
          <w:rFonts w:cs="Arial"/>
        </w:rPr>
        <w:t xml:space="preserve">Per la </w:t>
      </w:r>
      <w:r>
        <w:rPr>
          <w:rFonts w:cs="Arial"/>
        </w:rPr>
        <w:t xml:space="preserve">minoranza della </w:t>
      </w:r>
      <w:r w:rsidRPr="006A4EDA">
        <w:rPr>
          <w:rFonts w:cs="Arial"/>
        </w:rPr>
        <w:t xml:space="preserve">Commissione </w:t>
      </w:r>
      <w:r>
        <w:rPr>
          <w:rFonts w:cs="Arial"/>
        </w:rPr>
        <w:t>speciale energia</w:t>
      </w:r>
      <w:r w:rsidRPr="006A4EDA">
        <w:rPr>
          <w:rFonts w:cs="Arial"/>
        </w:rPr>
        <w:t>:</w:t>
      </w:r>
    </w:p>
    <w:p w:rsidR="00A11803" w:rsidRPr="006A4EDA" w:rsidRDefault="00A11803" w:rsidP="00A11803">
      <w:pPr>
        <w:rPr>
          <w:rFonts w:eastAsia="Calibri" w:cs="Arial"/>
        </w:rPr>
      </w:pPr>
      <w:r w:rsidRPr="006A4EDA">
        <w:rPr>
          <w:rFonts w:cs="Arial"/>
          <w:iCs/>
        </w:rPr>
        <w:t>Bruno Storni</w:t>
      </w:r>
      <w:r w:rsidRPr="006A4EDA">
        <w:rPr>
          <w:rFonts w:eastAsia="Calibri" w:cs="Arial"/>
        </w:rPr>
        <w:t>, relatore</w:t>
      </w:r>
    </w:p>
    <w:p w:rsidR="00CB127C" w:rsidRDefault="00686762" w:rsidP="00CB127C">
      <w:r>
        <w:t>Jelmini - Maggi - Peduzzi</w:t>
      </w:r>
    </w:p>
    <w:p w:rsidR="00CB127C" w:rsidRDefault="00CB127C" w:rsidP="00CB127C">
      <w:pPr>
        <w:rPr>
          <w:rFonts w:cs="Arial"/>
        </w:rPr>
      </w:pPr>
    </w:p>
    <w:sectPr w:rsidR="00CB127C" w:rsidSect="00F242E5">
      <w:footerReference w:type="default" r:id="rId9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8B" w:rsidRDefault="00D83A8B" w:rsidP="008E77C6">
      <w:r>
        <w:separator/>
      </w:r>
    </w:p>
  </w:endnote>
  <w:endnote w:type="continuationSeparator" w:id="0">
    <w:p w:rsidR="00D83A8B" w:rsidRDefault="00D83A8B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1A1952" w:rsidRPr="001A1952">
          <w:rPr>
            <w:noProof/>
            <w:sz w:val="20"/>
            <w:szCs w:val="20"/>
            <w:lang w:val="it-IT"/>
          </w:rPr>
          <w:t>3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8B" w:rsidRDefault="00D83A8B" w:rsidP="008E77C6">
      <w:r>
        <w:separator/>
      </w:r>
    </w:p>
  </w:footnote>
  <w:footnote w:type="continuationSeparator" w:id="0">
    <w:p w:rsidR="00D83A8B" w:rsidRDefault="00D83A8B" w:rsidP="008E77C6">
      <w:r>
        <w:continuationSeparator/>
      </w:r>
    </w:p>
  </w:footnote>
  <w:footnote w:id="1">
    <w:p w:rsidR="00A11803" w:rsidRPr="00686762" w:rsidRDefault="00A11803" w:rsidP="00A11803">
      <w:pPr>
        <w:pStyle w:val="Testonotaapidipagina"/>
        <w:rPr>
          <w:sz w:val="18"/>
          <w:szCs w:val="18"/>
          <w:lang w:val="fr-FR"/>
        </w:rPr>
      </w:pPr>
      <w:r w:rsidRPr="00686762">
        <w:rPr>
          <w:rStyle w:val="Rimandonotaapidipagina"/>
          <w:sz w:val="18"/>
          <w:szCs w:val="18"/>
        </w:rPr>
        <w:footnoteRef/>
      </w:r>
      <w:r w:rsidRPr="00686762">
        <w:rPr>
          <w:sz w:val="18"/>
          <w:szCs w:val="18"/>
          <w:lang w:val="fr-FR"/>
        </w:rPr>
        <w:t xml:space="preserve"> V. anche </w:t>
      </w:r>
      <w:proofErr w:type="spellStart"/>
      <w:r w:rsidRPr="00686762">
        <w:rPr>
          <w:sz w:val="18"/>
          <w:szCs w:val="18"/>
          <w:lang w:val="fr-FR"/>
        </w:rPr>
        <w:t>comunicati</w:t>
      </w:r>
      <w:proofErr w:type="spellEnd"/>
      <w:r w:rsidRPr="00686762">
        <w:rPr>
          <w:sz w:val="18"/>
          <w:szCs w:val="18"/>
          <w:lang w:val="fr-FR"/>
        </w:rPr>
        <w:t xml:space="preserve"> </w:t>
      </w:r>
      <w:proofErr w:type="spellStart"/>
      <w:r w:rsidRPr="00686762">
        <w:rPr>
          <w:sz w:val="18"/>
          <w:szCs w:val="18"/>
          <w:lang w:val="fr-FR"/>
        </w:rPr>
        <w:t>stampa</w:t>
      </w:r>
      <w:proofErr w:type="spellEnd"/>
      <w:r w:rsidRPr="00686762">
        <w:rPr>
          <w:sz w:val="18"/>
          <w:szCs w:val="18"/>
          <w:lang w:val="fr-FR"/>
        </w:rPr>
        <w:t xml:space="preserve"> </w:t>
      </w:r>
      <w:hyperlink r:id="rId1" w:history="1">
        <w:r w:rsidRPr="00686762">
          <w:rPr>
            <w:rStyle w:val="Collegamentoipertestuale"/>
            <w:sz w:val="18"/>
            <w:szCs w:val="18"/>
            <w:lang w:val="fr-FR"/>
          </w:rPr>
          <w:t>A Neuchâtel, tout le monde peut devenir producteur local d’énergie solaire!</w:t>
        </w:r>
      </w:hyperlink>
      <w:r w:rsidRPr="00686762">
        <w:rPr>
          <w:sz w:val="18"/>
          <w:szCs w:val="18"/>
          <w:lang w:val="fr-FR"/>
        </w:rPr>
        <w:t xml:space="preserve"> (21.06.2016) e </w:t>
      </w:r>
      <w:hyperlink r:id="rId2" w:history="1">
        <w:r w:rsidRPr="00686762">
          <w:rPr>
            <w:rStyle w:val="Collegamentoipertestuale"/>
            <w:sz w:val="18"/>
            <w:szCs w:val="18"/>
            <w:lang w:val="fr-FR"/>
          </w:rPr>
          <w:t>Inauguration de la première centrale solaire participative du canton</w:t>
        </w:r>
      </w:hyperlink>
      <w:r w:rsidRPr="00686762">
        <w:rPr>
          <w:sz w:val="18"/>
          <w:szCs w:val="18"/>
          <w:lang w:val="fr-FR"/>
        </w:rPr>
        <w:t xml:space="preserve"> (09.05.2017).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9AE"/>
    <w:multiLevelType w:val="hybridMultilevel"/>
    <w:tmpl w:val="F9888982"/>
    <w:lvl w:ilvl="0" w:tplc="3A32EC0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71514E"/>
    <w:multiLevelType w:val="hybridMultilevel"/>
    <w:tmpl w:val="53F69038"/>
    <w:lvl w:ilvl="0" w:tplc="EA2C3A1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65C65"/>
    <w:multiLevelType w:val="hybridMultilevel"/>
    <w:tmpl w:val="DE3431A4"/>
    <w:lvl w:ilvl="0" w:tplc="8E409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5D3C"/>
    <w:multiLevelType w:val="hybridMultilevel"/>
    <w:tmpl w:val="2496F944"/>
    <w:lvl w:ilvl="0" w:tplc="09A2E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24418B"/>
    <w:multiLevelType w:val="hybridMultilevel"/>
    <w:tmpl w:val="4220162A"/>
    <w:lvl w:ilvl="0" w:tplc="1B4A4F6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1620F0"/>
    <w:multiLevelType w:val="hybridMultilevel"/>
    <w:tmpl w:val="57107804"/>
    <w:lvl w:ilvl="0" w:tplc="97063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2F91"/>
    <w:multiLevelType w:val="hybridMultilevel"/>
    <w:tmpl w:val="F4D8C652"/>
    <w:lvl w:ilvl="0" w:tplc="B2945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E0DA9"/>
    <w:multiLevelType w:val="hybridMultilevel"/>
    <w:tmpl w:val="612C4C9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B7043"/>
    <w:multiLevelType w:val="hybridMultilevel"/>
    <w:tmpl w:val="1D56D6A4"/>
    <w:lvl w:ilvl="0" w:tplc="8A5684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C64E9E"/>
    <w:multiLevelType w:val="hybridMultilevel"/>
    <w:tmpl w:val="37EA8088"/>
    <w:lvl w:ilvl="0" w:tplc="30A69B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4A068F"/>
    <w:multiLevelType w:val="hybridMultilevel"/>
    <w:tmpl w:val="2B86088E"/>
    <w:lvl w:ilvl="0" w:tplc="ED0A27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E4171E"/>
    <w:multiLevelType w:val="hybridMultilevel"/>
    <w:tmpl w:val="86088168"/>
    <w:lvl w:ilvl="0" w:tplc="EA9E3FF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2148" w:hanging="360"/>
      </w:pPr>
    </w:lvl>
    <w:lvl w:ilvl="2" w:tplc="0810001B" w:tentative="1">
      <w:start w:val="1"/>
      <w:numFmt w:val="lowerRoman"/>
      <w:lvlText w:val="%3."/>
      <w:lvlJc w:val="right"/>
      <w:pPr>
        <w:ind w:left="2868" w:hanging="180"/>
      </w:pPr>
    </w:lvl>
    <w:lvl w:ilvl="3" w:tplc="0810000F" w:tentative="1">
      <w:start w:val="1"/>
      <w:numFmt w:val="decimal"/>
      <w:lvlText w:val="%4."/>
      <w:lvlJc w:val="left"/>
      <w:pPr>
        <w:ind w:left="3588" w:hanging="360"/>
      </w:pPr>
    </w:lvl>
    <w:lvl w:ilvl="4" w:tplc="08100019" w:tentative="1">
      <w:start w:val="1"/>
      <w:numFmt w:val="lowerLetter"/>
      <w:lvlText w:val="%5."/>
      <w:lvlJc w:val="left"/>
      <w:pPr>
        <w:ind w:left="4308" w:hanging="360"/>
      </w:pPr>
    </w:lvl>
    <w:lvl w:ilvl="5" w:tplc="0810001B" w:tentative="1">
      <w:start w:val="1"/>
      <w:numFmt w:val="lowerRoman"/>
      <w:lvlText w:val="%6."/>
      <w:lvlJc w:val="right"/>
      <w:pPr>
        <w:ind w:left="5028" w:hanging="180"/>
      </w:pPr>
    </w:lvl>
    <w:lvl w:ilvl="6" w:tplc="0810000F" w:tentative="1">
      <w:start w:val="1"/>
      <w:numFmt w:val="decimal"/>
      <w:lvlText w:val="%7."/>
      <w:lvlJc w:val="left"/>
      <w:pPr>
        <w:ind w:left="5748" w:hanging="360"/>
      </w:pPr>
    </w:lvl>
    <w:lvl w:ilvl="7" w:tplc="08100019" w:tentative="1">
      <w:start w:val="1"/>
      <w:numFmt w:val="lowerLetter"/>
      <w:lvlText w:val="%8."/>
      <w:lvlJc w:val="left"/>
      <w:pPr>
        <w:ind w:left="6468" w:hanging="360"/>
      </w:pPr>
    </w:lvl>
    <w:lvl w:ilvl="8" w:tplc="08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7D86569"/>
    <w:multiLevelType w:val="hybridMultilevel"/>
    <w:tmpl w:val="8E06016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87670"/>
    <w:multiLevelType w:val="hybridMultilevel"/>
    <w:tmpl w:val="5C2457A6"/>
    <w:lvl w:ilvl="0" w:tplc="4AB6A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15CB3"/>
    <w:multiLevelType w:val="hybridMultilevel"/>
    <w:tmpl w:val="AABEAD84"/>
    <w:lvl w:ilvl="0" w:tplc="9856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4E4B7B"/>
    <w:multiLevelType w:val="hybridMultilevel"/>
    <w:tmpl w:val="158CF016"/>
    <w:lvl w:ilvl="0" w:tplc="A440938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CBC74B3"/>
    <w:multiLevelType w:val="hybridMultilevel"/>
    <w:tmpl w:val="BB8EA900"/>
    <w:lvl w:ilvl="0" w:tplc="0D7E058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4DA1F11"/>
    <w:multiLevelType w:val="hybridMultilevel"/>
    <w:tmpl w:val="F224F5EE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36B21"/>
    <w:multiLevelType w:val="hybridMultilevel"/>
    <w:tmpl w:val="8B8C026E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2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4"/>
  </w:num>
  <w:num w:numId="14">
    <w:abstractNumId w:val="12"/>
  </w:num>
  <w:num w:numId="15">
    <w:abstractNumId w:val="17"/>
  </w:num>
  <w:num w:numId="16">
    <w:abstractNumId w:val="0"/>
  </w:num>
  <w:num w:numId="17">
    <w:abstractNumId w:val="16"/>
  </w:num>
  <w:num w:numId="18">
    <w:abstractNumId w:val="1"/>
  </w:num>
  <w:num w:numId="19">
    <w:abstractNumId w:val="9"/>
  </w:num>
  <w:num w:numId="20">
    <w:abstractNumId w:val="19"/>
  </w:num>
  <w:num w:numId="21">
    <w:abstractNumId w:val="8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0B2940"/>
    <w:rsid w:val="001A1952"/>
    <w:rsid w:val="002E5E40"/>
    <w:rsid w:val="003B7935"/>
    <w:rsid w:val="0052425A"/>
    <w:rsid w:val="0057039F"/>
    <w:rsid w:val="00586A8D"/>
    <w:rsid w:val="005F4380"/>
    <w:rsid w:val="00686762"/>
    <w:rsid w:val="006D7A3B"/>
    <w:rsid w:val="007B5462"/>
    <w:rsid w:val="008034BD"/>
    <w:rsid w:val="00876352"/>
    <w:rsid w:val="008B4137"/>
    <w:rsid w:val="008C767A"/>
    <w:rsid w:val="008E77C6"/>
    <w:rsid w:val="009770BB"/>
    <w:rsid w:val="009E008D"/>
    <w:rsid w:val="00A11803"/>
    <w:rsid w:val="00A5465F"/>
    <w:rsid w:val="00A77678"/>
    <w:rsid w:val="00BC4C95"/>
    <w:rsid w:val="00BD5944"/>
    <w:rsid w:val="00CB127C"/>
    <w:rsid w:val="00CF6858"/>
    <w:rsid w:val="00D377B5"/>
    <w:rsid w:val="00D83A8B"/>
    <w:rsid w:val="00D93B31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CB127C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B127C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127C"/>
    <w:rPr>
      <w:rFonts w:eastAsia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127C"/>
    <w:rPr>
      <w:rFonts w:ascii="Arial" w:eastAsia="Times New Roman" w:hAnsi="Arial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127C"/>
    <w:rPr>
      <w:vertAlign w:val="superscript"/>
    </w:rPr>
  </w:style>
  <w:style w:type="paragraph" w:customStyle="1" w:styleId="Default">
    <w:name w:val="Default"/>
    <w:rsid w:val="00CB12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127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1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1180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CB127C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B127C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127C"/>
    <w:rPr>
      <w:rFonts w:eastAsia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127C"/>
    <w:rPr>
      <w:rFonts w:ascii="Arial" w:eastAsia="Times New Roman" w:hAnsi="Arial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127C"/>
    <w:rPr>
      <w:vertAlign w:val="superscript"/>
    </w:rPr>
  </w:style>
  <w:style w:type="paragraph" w:customStyle="1" w:styleId="Default">
    <w:name w:val="Default"/>
    <w:rsid w:val="00CB12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127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1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1180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teos.ch/Ressources/Pdf/Presse-et-medias/CP-170509-Inauguration-Cooperative-solaire.pdf" TargetMode="External"/><Relationship Id="rId1" Type="http://schemas.openxmlformats.org/officeDocument/2006/relationships/hyperlink" Target="https://www.viteos.ch/Ressources/Pdf/Actualites/CP_20160621_Cooperative-Solaire-Neuchate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964E-8055-4935-92D2-5024EA68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4</cp:revision>
  <cp:lastPrinted>2018-03-28T08:07:00Z</cp:lastPrinted>
  <dcterms:created xsi:type="dcterms:W3CDTF">2018-03-28T08:03:00Z</dcterms:created>
  <dcterms:modified xsi:type="dcterms:W3CDTF">2018-03-28T08:21:00Z</dcterms:modified>
</cp:coreProperties>
</file>