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08230E" w:rsidP="00076E70">
      <w:r>
        <w:rPr>
          <w:rFonts w:ascii="Gill Sans MT" w:hAnsi="Gill Sans MT"/>
          <w:b/>
          <w:sz w:val="56"/>
          <w:szCs w:val="56"/>
        </w:rPr>
        <w:t>Rapporto</w:t>
      </w:r>
    </w:p>
    <w:p w:rsidR="008B4137" w:rsidRDefault="008B4137">
      <w:pPr>
        <w:rPr>
          <w:rFonts w:cs="Arial"/>
          <w:szCs w:val="24"/>
        </w:rPr>
      </w:pPr>
    </w:p>
    <w:p w:rsidR="00076E70" w:rsidRDefault="00076E70">
      <w:pPr>
        <w:rPr>
          <w:rFonts w:cs="Arial"/>
          <w:szCs w:val="24"/>
        </w:rPr>
      </w:pPr>
      <w:bookmarkStart w:id="0" w:name="_GoBack"/>
      <w:bookmarkEnd w:id="0"/>
    </w:p>
    <w:p w:rsidR="00892373" w:rsidRDefault="00892373" w:rsidP="00892373">
      <w:pPr>
        <w:tabs>
          <w:tab w:val="left" w:pos="2098"/>
          <w:tab w:val="left" w:pos="4933"/>
        </w:tabs>
      </w:pPr>
      <w:r>
        <w:rPr>
          <w:b/>
          <w:sz w:val="32"/>
        </w:rPr>
        <w:t>7470 R</w:t>
      </w:r>
      <w:r>
        <w:rPr>
          <w:sz w:val="28"/>
        </w:rPr>
        <w:tab/>
        <w:t>23 aprile 2018</w:t>
      </w:r>
      <w:r>
        <w:rPr>
          <w:sz w:val="28"/>
        </w:rPr>
        <w:tab/>
        <w:t>TERRITORIO</w:t>
      </w:r>
    </w:p>
    <w:p w:rsidR="00892373" w:rsidRDefault="00892373" w:rsidP="00892373"/>
    <w:p w:rsidR="00892373" w:rsidRDefault="00892373" w:rsidP="00892373"/>
    <w:p w:rsidR="00892373" w:rsidRDefault="00892373" w:rsidP="00892373"/>
    <w:p w:rsidR="00892373" w:rsidRDefault="00892373" w:rsidP="00892373">
      <w:pPr>
        <w:rPr>
          <w:rFonts w:cs="Arial"/>
          <w:b/>
          <w:sz w:val="28"/>
          <w:szCs w:val="28"/>
        </w:rPr>
      </w:pPr>
      <w:r>
        <w:rPr>
          <w:rFonts w:cs="Arial"/>
          <w:b/>
          <w:sz w:val="28"/>
          <w:szCs w:val="28"/>
        </w:rPr>
        <w:t>della Commissione speciale delle bonifiche fondiarie</w:t>
      </w:r>
    </w:p>
    <w:p w:rsidR="00892373" w:rsidRDefault="00892373" w:rsidP="00892373">
      <w:r>
        <w:rPr>
          <w:rFonts w:cs="Arial"/>
          <w:b/>
          <w:sz w:val="28"/>
          <w:szCs w:val="28"/>
        </w:rPr>
        <w:t xml:space="preserve">sul messaggio 13 dicembre 2017 concernente la concessione di un credito di </w:t>
      </w:r>
      <w:proofErr w:type="spellStart"/>
      <w:r>
        <w:rPr>
          <w:rFonts w:cs="Arial"/>
          <w:b/>
          <w:sz w:val="28"/>
          <w:szCs w:val="28"/>
        </w:rPr>
        <w:t>fr</w:t>
      </w:r>
      <w:proofErr w:type="spellEnd"/>
      <w:r>
        <w:rPr>
          <w:rFonts w:cs="Arial"/>
          <w:b/>
          <w:sz w:val="28"/>
          <w:szCs w:val="28"/>
        </w:rPr>
        <w:t>. 1'238'000.- a favore del Consorzio Acquedotto regionale del Mendrisiotto (ARM) quale sussidio per la realizzazione di opere di approvvigionamento idrico</w:t>
      </w:r>
    </w:p>
    <w:p w:rsidR="00892373" w:rsidRDefault="00892373" w:rsidP="00892373"/>
    <w:p w:rsidR="00892373" w:rsidRPr="005220E6" w:rsidRDefault="00892373" w:rsidP="00892373">
      <w:pPr>
        <w:rPr>
          <w:rFonts w:cs="Arial"/>
          <w:szCs w:val="24"/>
        </w:rPr>
      </w:pPr>
    </w:p>
    <w:p w:rsidR="00892373" w:rsidRDefault="00892373" w:rsidP="00892373">
      <w:pPr>
        <w:rPr>
          <w:rFonts w:cs="Arial"/>
          <w:szCs w:val="24"/>
        </w:rPr>
      </w:pPr>
    </w:p>
    <w:p w:rsidR="00892373" w:rsidRDefault="00892373" w:rsidP="00892373">
      <w:pPr>
        <w:rPr>
          <w:rFonts w:cs="Arial"/>
          <w:szCs w:val="24"/>
        </w:rPr>
      </w:pPr>
      <w:r>
        <w:rPr>
          <w:rFonts w:cs="Arial"/>
          <w:szCs w:val="24"/>
        </w:rPr>
        <w:t xml:space="preserve">Il messaggio in esame richiede lo stanziamento di un credito di </w:t>
      </w:r>
      <w:proofErr w:type="spellStart"/>
      <w:r>
        <w:rPr>
          <w:rFonts w:cs="Arial"/>
          <w:szCs w:val="24"/>
        </w:rPr>
        <w:t>fr</w:t>
      </w:r>
      <w:proofErr w:type="spellEnd"/>
      <w:r>
        <w:rPr>
          <w:rFonts w:cs="Arial"/>
          <w:szCs w:val="24"/>
        </w:rPr>
        <w:t xml:space="preserve">. 1'238'000.- a favore del Consorzio Acquedotto regionale del Mendrisiotto (ARM) per il sussidiamento di opere di approvvigionamento idrico nei Comuni di Mendrisio e </w:t>
      </w:r>
      <w:proofErr w:type="spellStart"/>
      <w:r>
        <w:rPr>
          <w:rFonts w:cs="Arial"/>
          <w:szCs w:val="24"/>
        </w:rPr>
        <w:t>Coldrerio</w:t>
      </w:r>
      <w:proofErr w:type="spellEnd"/>
      <w:r>
        <w:rPr>
          <w:rFonts w:cs="Arial"/>
          <w:szCs w:val="24"/>
        </w:rPr>
        <w:t>.</w:t>
      </w:r>
    </w:p>
    <w:p w:rsidR="00892373" w:rsidRDefault="00892373" w:rsidP="00892373">
      <w:pPr>
        <w:rPr>
          <w:rFonts w:cs="Arial"/>
          <w:szCs w:val="24"/>
        </w:rPr>
      </w:pPr>
    </w:p>
    <w:p w:rsidR="004429F4" w:rsidRDefault="004429F4" w:rsidP="00892373">
      <w:pPr>
        <w:rPr>
          <w:rFonts w:cs="Arial"/>
          <w:szCs w:val="24"/>
        </w:rPr>
      </w:pPr>
    </w:p>
    <w:p w:rsidR="00FF7999" w:rsidRPr="005220E6" w:rsidRDefault="00FF7999" w:rsidP="00892373">
      <w:pPr>
        <w:rPr>
          <w:rFonts w:cs="Arial"/>
          <w:szCs w:val="24"/>
        </w:rPr>
      </w:pPr>
    </w:p>
    <w:p w:rsidR="00892373" w:rsidRPr="00FD355B" w:rsidRDefault="00892373" w:rsidP="00892373">
      <w:pPr>
        <w:pStyle w:val="Titolo1"/>
        <w:numPr>
          <w:ilvl w:val="0"/>
          <w:numId w:val="6"/>
        </w:numPr>
        <w:ind w:left="567" w:hanging="567"/>
        <w:rPr>
          <w:lang w:val="it-CH"/>
        </w:rPr>
      </w:pPr>
      <w:r>
        <w:rPr>
          <w:lang w:val="it-CH"/>
        </w:rPr>
        <w:t>INTRODUZIONE</w:t>
      </w:r>
    </w:p>
    <w:p w:rsidR="00892373" w:rsidRDefault="00892373" w:rsidP="00892373">
      <w:pPr>
        <w:pStyle w:val="NormaleArial"/>
        <w:rPr>
          <w:b w:val="0"/>
          <w:caps w:val="0"/>
        </w:rPr>
      </w:pPr>
      <w:r>
        <w:rPr>
          <w:b w:val="0"/>
          <w:caps w:val="0"/>
        </w:rPr>
        <w:t xml:space="preserve">Il Mendrisiotto (esclusa la Valle di </w:t>
      </w:r>
      <w:proofErr w:type="spellStart"/>
      <w:r>
        <w:rPr>
          <w:b w:val="0"/>
          <w:caps w:val="0"/>
        </w:rPr>
        <w:t>Muggio</w:t>
      </w:r>
      <w:proofErr w:type="spellEnd"/>
      <w:r>
        <w:rPr>
          <w:b w:val="0"/>
          <w:caps w:val="0"/>
        </w:rPr>
        <w:t xml:space="preserve"> per la quale il Cantone ha allestito un apposito piano di approvvigionamento idrico denominato PCAI-VMU) è alimentato da 40 fonti diverse: 27 sorgenti e 13 pozzi di captazione delle acque sotterranee. </w:t>
      </w:r>
    </w:p>
    <w:p w:rsidR="00892373" w:rsidRDefault="00892373" w:rsidP="00892373">
      <w:pPr>
        <w:pStyle w:val="NormaleArial"/>
        <w:rPr>
          <w:b w:val="0"/>
          <w:caps w:val="0"/>
        </w:rPr>
      </w:pPr>
      <w:r>
        <w:rPr>
          <w:b w:val="0"/>
          <w:caps w:val="0"/>
        </w:rPr>
        <w:t>Con la costituzione del Consorzio Acquedotto regionale del Mendrisiotto, avvenuta nel 2015, gli 11 Comuni del comprensorio hanno tradotto nella pratica ciò che quarant'anni prima era solo un'idea.</w:t>
      </w:r>
    </w:p>
    <w:p w:rsidR="00892373" w:rsidRDefault="00892373" w:rsidP="00892373">
      <w:pPr>
        <w:pStyle w:val="NormaleArial"/>
        <w:rPr>
          <w:b w:val="0"/>
          <w:caps w:val="0"/>
        </w:rPr>
      </w:pPr>
      <w:r>
        <w:rPr>
          <w:b w:val="0"/>
          <w:caps w:val="0"/>
        </w:rPr>
        <w:t>Un'idea quella del 1975 che, a fronte dei rischi a cui sono soggette le diverse fonti, è ben presto diventata una necessità per assicurare un approvvigionamento idrico più sicuro per tutta la regione.</w:t>
      </w:r>
    </w:p>
    <w:p w:rsidR="00892373" w:rsidRDefault="00892373" w:rsidP="00892373">
      <w:pPr>
        <w:pStyle w:val="NormaleArial"/>
        <w:rPr>
          <w:b w:val="0"/>
          <w:caps w:val="0"/>
        </w:rPr>
      </w:pPr>
    </w:p>
    <w:p w:rsidR="00892373" w:rsidRDefault="00892373" w:rsidP="00892373">
      <w:pPr>
        <w:pStyle w:val="NormaleArial"/>
        <w:rPr>
          <w:b w:val="0"/>
          <w:caps w:val="0"/>
        </w:rPr>
      </w:pPr>
      <w:r>
        <w:rPr>
          <w:b w:val="0"/>
          <w:caps w:val="0"/>
        </w:rPr>
        <w:t>Sono due i principi sui quali si fonda l'Acquedotto regionale del Mendrisiotto. Il primo principio è diversificare le fonti per mantenere e valorizzare le stesse (sorgenti e pozzi di captazione in falda) e che risultano adeguate e gestibili in modo razionale.</w:t>
      </w:r>
    </w:p>
    <w:p w:rsidR="00892373" w:rsidRDefault="00892373" w:rsidP="00892373">
      <w:pPr>
        <w:pStyle w:val="NormaleArial"/>
        <w:rPr>
          <w:b w:val="0"/>
          <w:caps w:val="0"/>
        </w:rPr>
      </w:pPr>
      <w:r>
        <w:rPr>
          <w:b w:val="0"/>
          <w:caps w:val="0"/>
        </w:rPr>
        <w:t>Il secondo principio è l'alternativa o la complementarietà ricorrendo alla nuova captazione delle acque a lago quale sussidio alle sorgenti e ai pozzi che dovranno essere dismessi perché troppo esposti a rischi di inquinamento.</w:t>
      </w:r>
    </w:p>
    <w:p w:rsidR="00892373" w:rsidRDefault="00892373" w:rsidP="00892373">
      <w:pPr>
        <w:pStyle w:val="NormaleArial"/>
        <w:rPr>
          <w:b w:val="0"/>
          <w:caps w:val="0"/>
        </w:rPr>
      </w:pPr>
    </w:p>
    <w:p w:rsidR="00892373" w:rsidRDefault="00892373" w:rsidP="00892373">
      <w:pPr>
        <w:pStyle w:val="NormaleArial"/>
        <w:rPr>
          <w:b w:val="0"/>
          <w:caps w:val="0"/>
        </w:rPr>
      </w:pPr>
      <w:r>
        <w:rPr>
          <w:b w:val="0"/>
          <w:caps w:val="0"/>
        </w:rPr>
        <w:t>Per raggiungere questi obiettivi, i diversi studi condotti negli ultimi quarant'anni hanno definito che è necessario creare una rete regionale per collegare gli acquedotti comunali tra di loro e costruire una stazione di approvvigionamento a lago.</w:t>
      </w:r>
    </w:p>
    <w:p w:rsidR="00892373" w:rsidRPr="001E6F2B" w:rsidRDefault="00892373" w:rsidP="00892373">
      <w:pPr>
        <w:pStyle w:val="NormaleArial"/>
        <w:rPr>
          <w:b w:val="0"/>
          <w:caps w:val="0"/>
          <w:color w:val="000000" w:themeColor="text1"/>
        </w:rPr>
      </w:pPr>
    </w:p>
    <w:p w:rsidR="00892373" w:rsidRDefault="00892373" w:rsidP="00892373">
      <w:pPr>
        <w:pStyle w:val="NormaleArial"/>
        <w:rPr>
          <w:b w:val="0"/>
          <w:caps w:val="0"/>
        </w:rPr>
      </w:pPr>
      <w:r w:rsidRPr="001E6F2B">
        <w:rPr>
          <w:b w:val="0"/>
          <w:caps w:val="0"/>
          <w:color w:val="000000" w:themeColor="text1"/>
        </w:rPr>
        <w:t xml:space="preserve">Il messaggio oggetto del presente rapporto riguarda lavori concernenti una parte della </w:t>
      </w:r>
      <w:r>
        <w:rPr>
          <w:b w:val="0"/>
          <w:caps w:val="0"/>
        </w:rPr>
        <w:t xml:space="preserve">dorsale di collegamento, che consentirà l'adduzione dell'acqua della futura captazione a lago verso le stazioni di consegna, e del collegamento tra la stazione di consegna di </w:t>
      </w:r>
      <w:proofErr w:type="spellStart"/>
      <w:r>
        <w:rPr>
          <w:b w:val="0"/>
          <w:caps w:val="0"/>
        </w:rPr>
        <w:t>Coldrerio</w:t>
      </w:r>
      <w:proofErr w:type="spellEnd"/>
      <w:r>
        <w:rPr>
          <w:b w:val="0"/>
          <w:caps w:val="0"/>
        </w:rPr>
        <w:t xml:space="preserve"> e la stazione pompe di </w:t>
      </w:r>
      <w:proofErr w:type="spellStart"/>
      <w:r>
        <w:rPr>
          <w:b w:val="0"/>
          <w:caps w:val="0"/>
        </w:rPr>
        <w:t>Ligornetto</w:t>
      </w:r>
      <w:proofErr w:type="spellEnd"/>
      <w:r>
        <w:rPr>
          <w:b w:val="0"/>
          <w:caps w:val="0"/>
        </w:rPr>
        <w:t>, essenziale per la prevista messa in rete degli acquedotti dei Comuni consorziati.</w:t>
      </w:r>
    </w:p>
    <w:p w:rsidR="00892373" w:rsidRDefault="00892373" w:rsidP="00892373">
      <w:pPr>
        <w:pStyle w:val="NormaleArial"/>
        <w:rPr>
          <w:b w:val="0"/>
          <w:caps w:val="0"/>
        </w:rPr>
      </w:pPr>
    </w:p>
    <w:p w:rsidR="00892373" w:rsidRDefault="00892373" w:rsidP="00892373">
      <w:pPr>
        <w:pStyle w:val="NormaleArial"/>
        <w:rPr>
          <w:b w:val="0"/>
          <w:caps w:val="0"/>
        </w:rPr>
      </w:pPr>
      <w:r>
        <w:rPr>
          <w:b w:val="0"/>
          <w:caps w:val="0"/>
        </w:rPr>
        <w:lastRenderedPageBreak/>
        <w:t xml:space="preserve">I progetti oggetto del </w:t>
      </w:r>
      <w:r w:rsidRPr="001E6F2B">
        <w:rPr>
          <w:b w:val="0"/>
          <w:caps w:val="0"/>
          <w:color w:val="000000" w:themeColor="text1"/>
        </w:rPr>
        <w:t xml:space="preserve">presente rapporto sono </w:t>
      </w:r>
      <w:r>
        <w:rPr>
          <w:b w:val="0"/>
          <w:caps w:val="0"/>
        </w:rPr>
        <w:t>parte integrante della variante del piano cantonale di approvvigionamento idrico del Mendrisiotto (PCAI-M) adottato con Risoluzione del Consiglio di Stato (CdS) n. 2032 del 29 aprile 2014 e sono stati approvati dall'Ufficio della protezione delle acque e dell'approvvigionamento idrico (UPAAI), della Sezione della protezione dell'acqua e del suolo del Dipartimento del territorio.</w:t>
      </w:r>
    </w:p>
    <w:p w:rsidR="00892373" w:rsidRDefault="00892373" w:rsidP="00892373">
      <w:pPr>
        <w:pStyle w:val="NormaleArial"/>
        <w:rPr>
          <w:b w:val="0"/>
          <w:caps w:val="0"/>
        </w:rPr>
      </w:pPr>
    </w:p>
    <w:p w:rsidR="00892373" w:rsidRDefault="00892373" w:rsidP="00892373">
      <w:pPr>
        <w:pStyle w:val="NormaleArial"/>
        <w:rPr>
          <w:b w:val="0"/>
          <w:caps w:val="0"/>
        </w:rPr>
      </w:pPr>
      <w:r>
        <w:rPr>
          <w:b w:val="0"/>
          <w:caps w:val="0"/>
        </w:rPr>
        <w:t>Tutte le opere qui in discussione sono già state realizzate. L'UPAAI, su richiesta degli enti esecutori ha concesso, dopo aver approvato i progetti dal punto di vista tecnico e finanziario, l'autorizzazione all'inizio dei lavori anticipatamente al sussidiamento, tramite risoluzione del CdS.</w:t>
      </w:r>
    </w:p>
    <w:p w:rsidR="00892373" w:rsidRDefault="00892373" w:rsidP="00892373">
      <w:pPr>
        <w:tabs>
          <w:tab w:val="left" w:pos="360"/>
        </w:tabs>
        <w:rPr>
          <w:rFonts w:cs="Arial"/>
          <w:caps/>
        </w:rPr>
      </w:pPr>
    </w:p>
    <w:p w:rsidR="004429F4" w:rsidRDefault="004429F4" w:rsidP="00892373">
      <w:pPr>
        <w:tabs>
          <w:tab w:val="left" w:pos="360"/>
        </w:tabs>
        <w:rPr>
          <w:rFonts w:cs="Arial"/>
          <w:caps/>
        </w:rPr>
      </w:pPr>
    </w:p>
    <w:p w:rsidR="00892373" w:rsidRPr="00FD355B" w:rsidRDefault="00892373" w:rsidP="00892373">
      <w:pPr>
        <w:tabs>
          <w:tab w:val="left" w:pos="360"/>
        </w:tabs>
        <w:rPr>
          <w:rFonts w:cs="Arial"/>
          <w:caps/>
        </w:rPr>
      </w:pPr>
    </w:p>
    <w:p w:rsidR="00892373" w:rsidRPr="00FD355B" w:rsidRDefault="00892373" w:rsidP="00892373">
      <w:pPr>
        <w:pStyle w:val="Titolo1"/>
        <w:numPr>
          <w:ilvl w:val="1"/>
          <w:numId w:val="5"/>
        </w:numPr>
        <w:tabs>
          <w:tab w:val="clear" w:pos="1620"/>
        </w:tabs>
        <w:ind w:left="567" w:hanging="567"/>
        <w:rPr>
          <w:lang w:val="it-CH"/>
        </w:rPr>
      </w:pPr>
      <w:r>
        <w:rPr>
          <w:lang w:val="it-CH"/>
        </w:rPr>
        <w:t>I PROGETTI</w:t>
      </w:r>
    </w:p>
    <w:p w:rsidR="00892373" w:rsidRDefault="00FF7999" w:rsidP="00892373">
      <w:pPr>
        <w:pStyle w:val="Titolo2"/>
        <w:rPr>
          <w:lang w:val="it-CH"/>
        </w:rPr>
      </w:pPr>
      <w:r>
        <w:rPr>
          <w:lang w:val="it-CH"/>
        </w:rPr>
        <w:t>2.1</w:t>
      </w:r>
      <w:r>
        <w:rPr>
          <w:lang w:val="it-CH"/>
        </w:rPr>
        <w:tab/>
      </w:r>
      <w:r w:rsidR="00892373">
        <w:rPr>
          <w:lang w:val="it-CH"/>
        </w:rPr>
        <w:t xml:space="preserve">Posa condotte tratta stazione </w:t>
      </w:r>
      <w:proofErr w:type="spellStart"/>
      <w:r w:rsidR="00892373">
        <w:rPr>
          <w:lang w:val="it-CH"/>
        </w:rPr>
        <w:t>Ligornetto</w:t>
      </w:r>
      <w:proofErr w:type="spellEnd"/>
      <w:r w:rsidR="00892373">
        <w:rPr>
          <w:lang w:val="it-CH"/>
        </w:rPr>
        <w:t xml:space="preserve"> - passerella tecnica - via Laveggio</w:t>
      </w:r>
    </w:p>
    <w:p w:rsidR="00892373" w:rsidRDefault="00892373" w:rsidP="00892373">
      <w:pPr>
        <w:tabs>
          <w:tab w:val="left" w:pos="360"/>
        </w:tabs>
        <w:rPr>
          <w:rFonts w:cs="Arial"/>
        </w:rPr>
      </w:pPr>
      <w:r>
        <w:rPr>
          <w:rFonts w:cs="Arial"/>
        </w:rPr>
        <w:t xml:space="preserve">Lungo la tratta tra via Laveggio a Mendrisio e la passerella tecnica in corrispondenza dell'attraversamento ferroviario in zona Adorna sono stati posati </w:t>
      </w:r>
      <w:proofErr w:type="spellStart"/>
      <w:r>
        <w:rPr>
          <w:rFonts w:cs="Arial"/>
        </w:rPr>
        <w:t>ca</w:t>
      </w:r>
      <w:proofErr w:type="spellEnd"/>
      <w:r>
        <w:rPr>
          <w:rFonts w:cs="Arial"/>
        </w:rPr>
        <w:t>. 1'700 m di condotta AP, diametro 400 mm in ghisa, con funzione di dorsale principale.</w:t>
      </w:r>
    </w:p>
    <w:p w:rsidR="00892373" w:rsidRDefault="00892373" w:rsidP="00892373">
      <w:pPr>
        <w:tabs>
          <w:tab w:val="left" w:pos="360"/>
        </w:tabs>
        <w:rPr>
          <w:rFonts w:cs="Arial"/>
        </w:rPr>
      </w:pPr>
    </w:p>
    <w:p w:rsidR="00892373" w:rsidRDefault="00892373" w:rsidP="00892373">
      <w:pPr>
        <w:tabs>
          <w:tab w:val="left" w:pos="360"/>
        </w:tabs>
        <w:rPr>
          <w:rFonts w:cs="Arial"/>
        </w:rPr>
      </w:pPr>
      <w:r>
        <w:rPr>
          <w:rFonts w:cs="Arial"/>
        </w:rPr>
        <w:t xml:space="preserve">Tra il viadotto in località Tana e la stazione di consegna di </w:t>
      </w:r>
      <w:proofErr w:type="spellStart"/>
      <w:r>
        <w:rPr>
          <w:rFonts w:cs="Arial"/>
        </w:rPr>
        <w:t>Ligornetto</w:t>
      </w:r>
      <w:proofErr w:type="spellEnd"/>
      <w:r>
        <w:rPr>
          <w:rFonts w:cs="Arial"/>
        </w:rPr>
        <w:t xml:space="preserve"> sono stati posati </w:t>
      </w:r>
      <w:proofErr w:type="spellStart"/>
      <w:r>
        <w:rPr>
          <w:rFonts w:cs="Arial"/>
        </w:rPr>
        <w:t>ca</w:t>
      </w:r>
      <w:proofErr w:type="spellEnd"/>
      <w:r>
        <w:rPr>
          <w:rFonts w:cs="Arial"/>
        </w:rPr>
        <w:t>. 750 m di condotta, diametro 250 mm in ghisa.</w:t>
      </w:r>
    </w:p>
    <w:p w:rsidR="00892373" w:rsidRDefault="00892373" w:rsidP="00892373">
      <w:pPr>
        <w:tabs>
          <w:tab w:val="left" w:pos="360"/>
        </w:tabs>
        <w:rPr>
          <w:rFonts w:cs="Arial"/>
        </w:rPr>
      </w:pPr>
    </w:p>
    <w:p w:rsidR="00892373" w:rsidRDefault="00892373" w:rsidP="00892373">
      <w:pPr>
        <w:tabs>
          <w:tab w:val="left" w:pos="360"/>
        </w:tabs>
        <w:rPr>
          <w:rFonts w:cs="Arial"/>
        </w:rPr>
      </w:pPr>
      <w:r>
        <w:rPr>
          <w:rFonts w:cs="Arial"/>
        </w:rPr>
        <w:t>Parte delle opere sono state eseguite parallelamente con il cantiere USTRA che interessa gli svincoli di Mendrisio.</w:t>
      </w:r>
    </w:p>
    <w:p w:rsidR="00892373" w:rsidRDefault="00892373" w:rsidP="00892373">
      <w:pPr>
        <w:tabs>
          <w:tab w:val="left" w:pos="360"/>
        </w:tabs>
        <w:rPr>
          <w:rFonts w:cs="Arial"/>
        </w:rPr>
      </w:pPr>
    </w:p>
    <w:p w:rsidR="004429F4" w:rsidRDefault="004429F4" w:rsidP="00892373">
      <w:pPr>
        <w:tabs>
          <w:tab w:val="left" w:pos="360"/>
        </w:tabs>
        <w:rPr>
          <w:rFonts w:cs="Arial"/>
        </w:rPr>
      </w:pPr>
    </w:p>
    <w:p w:rsidR="00892373" w:rsidRDefault="00FF7999" w:rsidP="00892373">
      <w:pPr>
        <w:pStyle w:val="Titolo2"/>
        <w:rPr>
          <w:lang w:val="it-CH"/>
        </w:rPr>
      </w:pPr>
      <w:r>
        <w:rPr>
          <w:lang w:val="it-CH"/>
        </w:rPr>
        <w:t>2.2</w:t>
      </w:r>
      <w:r>
        <w:rPr>
          <w:lang w:val="it-CH"/>
        </w:rPr>
        <w:tab/>
      </w:r>
      <w:r w:rsidR="00892373">
        <w:rPr>
          <w:lang w:val="it-CH"/>
        </w:rPr>
        <w:t>Passerella tecnica</w:t>
      </w:r>
    </w:p>
    <w:p w:rsidR="00892373" w:rsidRDefault="00892373" w:rsidP="00892373">
      <w:pPr>
        <w:tabs>
          <w:tab w:val="left" w:pos="360"/>
        </w:tabs>
        <w:rPr>
          <w:rFonts w:cs="Arial"/>
        </w:rPr>
      </w:pPr>
      <w:r>
        <w:rPr>
          <w:rFonts w:cs="Arial"/>
        </w:rPr>
        <w:t xml:space="preserve">Lungo il tracciato delle sopraccitate condotte, tra il viadotto autostradale in località Tana e la zona Adorna in direzione di </w:t>
      </w:r>
      <w:proofErr w:type="spellStart"/>
      <w:r>
        <w:rPr>
          <w:rFonts w:cs="Arial"/>
        </w:rPr>
        <w:t>Coldrerio</w:t>
      </w:r>
      <w:proofErr w:type="spellEnd"/>
      <w:r>
        <w:rPr>
          <w:rFonts w:cs="Arial"/>
        </w:rPr>
        <w:t>, si è reso necessario costruire una passerella tecnica per l'attraversamento della trincea ferroviaria.</w:t>
      </w:r>
    </w:p>
    <w:p w:rsidR="00892373" w:rsidRDefault="00892373" w:rsidP="00892373">
      <w:pPr>
        <w:tabs>
          <w:tab w:val="left" w:pos="360"/>
        </w:tabs>
        <w:rPr>
          <w:rFonts w:cs="Arial"/>
        </w:rPr>
      </w:pPr>
    </w:p>
    <w:p w:rsidR="00892373" w:rsidRDefault="00892373" w:rsidP="00892373">
      <w:pPr>
        <w:tabs>
          <w:tab w:val="left" w:pos="360"/>
        </w:tabs>
        <w:rPr>
          <w:rFonts w:cs="Arial"/>
        </w:rPr>
      </w:pPr>
      <w:r>
        <w:rPr>
          <w:rFonts w:cs="Arial"/>
        </w:rPr>
        <w:t xml:space="preserve">All'interno della passerella sono posati </w:t>
      </w:r>
      <w:proofErr w:type="spellStart"/>
      <w:r>
        <w:rPr>
          <w:rFonts w:cs="Arial"/>
        </w:rPr>
        <w:t>ca</w:t>
      </w:r>
      <w:proofErr w:type="spellEnd"/>
      <w:r>
        <w:rPr>
          <w:rFonts w:cs="Arial"/>
        </w:rPr>
        <w:t xml:space="preserve">. 30 m di condotte, diametro 400 mm (dorsale principale) e 250 mm (collegamento stazione di consegna </w:t>
      </w:r>
      <w:proofErr w:type="spellStart"/>
      <w:r>
        <w:rPr>
          <w:rFonts w:cs="Arial"/>
        </w:rPr>
        <w:t>Ligornetto</w:t>
      </w:r>
      <w:proofErr w:type="spellEnd"/>
      <w:r>
        <w:rPr>
          <w:rFonts w:cs="Arial"/>
        </w:rPr>
        <w:t>).</w:t>
      </w:r>
    </w:p>
    <w:p w:rsidR="00892373" w:rsidRDefault="00892373" w:rsidP="00892373">
      <w:pPr>
        <w:tabs>
          <w:tab w:val="left" w:pos="360"/>
        </w:tabs>
        <w:rPr>
          <w:rFonts w:cs="Arial"/>
        </w:rPr>
      </w:pPr>
    </w:p>
    <w:p w:rsidR="00892373" w:rsidRDefault="00892373" w:rsidP="00892373">
      <w:pPr>
        <w:tabs>
          <w:tab w:val="left" w:pos="360"/>
        </w:tabs>
        <w:rPr>
          <w:rFonts w:cs="Arial"/>
        </w:rPr>
      </w:pPr>
      <w:r>
        <w:rPr>
          <w:rFonts w:cs="Arial"/>
        </w:rPr>
        <w:t>Inizialmente dedicata all'attraversamento delle condotte, la passerella è predisposta per un suo eventuale uso pubblico pedonale o ciclabile.</w:t>
      </w:r>
    </w:p>
    <w:p w:rsidR="00892373" w:rsidRDefault="00892373" w:rsidP="00892373">
      <w:pPr>
        <w:tabs>
          <w:tab w:val="left" w:pos="360"/>
        </w:tabs>
        <w:rPr>
          <w:rFonts w:cs="Arial"/>
        </w:rPr>
      </w:pPr>
    </w:p>
    <w:p w:rsidR="00892373" w:rsidRDefault="00892373" w:rsidP="00892373">
      <w:pPr>
        <w:tabs>
          <w:tab w:val="left" w:pos="360"/>
        </w:tabs>
        <w:rPr>
          <w:rFonts w:cs="Arial"/>
        </w:rPr>
      </w:pPr>
      <w:r>
        <w:rPr>
          <w:rFonts w:cs="Arial"/>
        </w:rPr>
        <w:t>Anche in questo caso le opere sono state eseguite in concomitanza con il cantiere USTRA.</w:t>
      </w:r>
    </w:p>
    <w:p w:rsidR="00892373" w:rsidRDefault="00892373" w:rsidP="00892373">
      <w:pPr>
        <w:tabs>
          <w:tab w:val="left" w:pos="360"/>
        </w:tabs>
        <w:rPr>
          <w:rFonts w:cs="Arial"/>
        </w:rPr>
      </w:pPr>
    </w:p>
    <w:p w:rsidR="004429F4" w:rsidRDefault="004429F4" w:rsidP="00892373">
      <w:pPr>
        <w:tabs>
          <w:tab w:val="left" w:pos="360"/>
        </w:tabs>
        <w:rPr>
          <w:rFonts w:cs="Arial"/>
        </w:rPr>
      </w:pPr>
    </w:p>
    <w:p w:rsidR="00892373" w:rsidRDefault="00FF7999" w:rsidP="00892373">
      <w:pPr>
        <w:pStyle w:val="Titolo2"/>
        <w:rPr>
          <w:lang w:val="it-CH"/>
        </w:rPr>
      </w:pPr>
      <w:r>
        <w:rPr>
          <w:lang w:val="it-CH"/>
        </w:rPr>
        <w:t>2.3</w:t>
      </w:r>
      <w:r>
        <w:rPr>
          <w:lang w:val="it-CH"/>
        </w:rPr>
        <w:tab/>
      </w:r>
      <w:r w:rsidR="00892373">
        <w:rPr>
          <w:lang w:val="it-CH"/>
        </w:rPr>
        <w:t xml:space="preserve">Posa condotte tratta passerella tecnica - stazione </w:t>
      </w:r>
      <w:proofErr w:type="spellStart"/>
      <w:r w:rsidR="00892373">
        <w:rPr>
          <w:lang w:val="it-CH"/>
        </w:rPr>
        <w:t>Coldrerio</w:t>
      </w:r>
      <w:proofErr w:type="spellEnd"/>
    </w:p>
    <w:p w:rsidR="00892373" w:rsidRDefault="00892373" w:rsidP="00892373">
      <w:pPr>
        <w:tabs>
          <w:tab w:val="left" w:pos="360"/>
        </w:tabs>
        <w:rPr>
          <w:rFonts w:cs="Arial"/>
        </w:rPr>
      </w:pPr>
      <w:r>
        <w:rPr>
          <w:rFonts w:cs="Arial"/>
        </w:rPr>
        <w:t xml:space="preserve">Lungo la tratta di </w:t>
      </w:r>
      <w:proofErr w:type="spellStart"/>
      <w:r>
        <w:rPr>
          <w:rFonts w:cs="Arial"/>
        </w:rPr>
        <w:t>ca</w:t>
      </w:r>
      <w:proofErr w:type="spellEnd"/>
      <w:r>
        <w:rPr>
          <w:rFonts w:cs="Arial"/>
        </w:rPr>
        <w:t xml:space="preserve">. 620 m tra la passerella tecnica e la futura stazione di consegna di </w:t>
      </w:r>
      <w:proofErr w:type="spellStart"/>
      <w:r>
        <w:rPr>
          <w:rFonts w:cs="Arial"/>
        </w:rPr>
        <w:t>Coldrerio</w:t>
      </w:r>
      <w:proofErr w:type="spellEnd"/>
      <w:r>
        <w:rPr>
          <w:rFonts w:cs="Arial"/>
        </w:rPr>
        <w:t xml:space="preserve"> sono stati posati contemporaneamente la dorsale principale (diametro 400 mm) e la condotta di collegamento tra le due stazioni di consegna di </w:t>
      </w:r>
      <w:proofErr w:type="spellStart"/>
      <w:r>
        <w:rPr>
          <w:rFonts w:cs="Arial"/>
        </w:rPr>
        <w:t>Coldrerio</w:t>
      </w:r>
      <w:proofErr w:type="spellEnd"/>
      <w:r>
        <w:rPr>
          <w:rFonts w:cs="Arial"/>
        </w:rPr>
        <w:t xml:space="preserve"> e </w:t>
      </w:r>
      <w:proofErr w:type="spellStart"/>
      <w:r>
        <w:rPr>
          <w:rFonts w:cs="Arial"/>
        </w:rPr>
        <w:t>Ligornetto</w:t>
      </w:r>
      <w:proofErr w:type="spellEnd"/>
      <w:r>
        <w:rPr>
          <w:rFonts w:cs="Arial"/>
        </w:rPr>
        <w:t xml:space="preserve"> (diametro 250 mm).</w:t>
      </w:r>
    </w:p>
    <w:p w:rsidR="00892373" w:rsidRDefault="00892373" w:rsidP="00892373">
      <w:pPr>
        <w:tabs>
          <w:tab w:val="left" w:pos="360"/>
        </w:tabs>
        <w:rPr>
          <w:rFonts w:cs="Arial"/>
        </w:rPr>
      </w:pPr>
    </w:p>
    <w:p w:rsidR="00892373" w:rsidRDefault="00892373" w:rsidP="00892373">
      <w:pPr>
        <w:tabs>
          <w:tab w:val="left" w:pos="360"/>
        </w:tabs>
        <w:rPr>
          <w:rFonts w:cs="Arial"/>
        </w:rPr>
      </w:pPr>
      <w:r>
        <w:rPr>
          <w:rFonts w:cs="Arial"/>
        </w:rPr>
        <w:t>I lavori di posa delle condotte sono stati eseguiti in concomitanza con il cantiere interessante la strada cantonale in zona Adorna (P3961) e il cantiere USTRA.</w:t>
      </w:r>
    </w:p>
    <w:p w:rsidR="00892373" w:rsidRDefault="00892373" w:rsidP="00892373">
      <w:pPr>
        <w:tabs>
          <w:tab w:val="left" w:pos="360"/>
        </w:tabs>
        <w:rPr>
          <w:rFonts w:cs="Arial"/>
        </w:rPr>
      </w:pPr>
    </w:p>
    <w:p w:rsidR="00892373" w:rsidRPr="00FD355B" w:rsidRDefault="00892373" w:rsidP="00892373">
      <w:pPr>
        <w:pStyle w:val="Titolo1"/>
        <w:numPr>
          <w:ilvl w:val="1"/>
          <w:numId w:val="5"/>
        </w:numPr>
        <w:tabs>
          <w:tab w:val="clear" w:pos="1620"/>
        </w:tabs>
        <w:ind w:left="567" w:hanging="567"/>
        <w:rPr>
          <w:lang w:val="it-CH"/>
        </w:rPr>
      </w:pPr>
      <w:r>
        <w:rPr>
          <w:lang w:val="it-CH"/>
        </w:rPr>
        <w:lastRenderedPageBreak/>
        <w:t>I COSTI E IL SUSSIDIO</w:t>
      </w:r>
    </w:p>
    <w:p w:rsidR="00892373" w:rsidRDefault="00892373" w:rsidP="00892373">
      <w:pPr>
        <w:tabs>
          <w:tab w:val="left" w:pos="360"/>
        </w:tabs>
        <w:rPr>
          <w:rFonts w:cs="Arial"/>
        </w:rPr>
      </w:pPr>
      <w:r>
        <w:rPr>
          <w:rFonts w:cs="Arial"/>
        </w:rPr>
        <w:t xml:space="preserve">Il Consiglio consortile del Consorzio ARM ha approvato un credito complessivo di </w:t>
      </w:r>
      <w:r w:rsidR="004429F4">
        <w:rPr>
          <w:rFonts w:cs="Arial"/>
        </w:rPr>
        <w:br/>
      </w:r>
      <w:proofErr w:type="spellStart"/>
      <w:r>
        <w:rPr>
          <w:rFonts w:cs="Arial"/>
        </w:rPr>
        <w:t>fr</w:t>
      </w:r>
      <w:proofErr w:type="spellEnd"/>
      <w:r>
        <w:rPr>
          <w:rFonts w:cs="Arial"/>
        </w:rPr>
        <w:t xml:space="preserve">. 8'318'700.- per la realizzazione di una prima fase di opere, di cui una parte corrispondente a </w:t>
      </w:r>
      <w:proofErr w:type="spellStart"/>
      <w:r>
        <w:rPr>
          <w:rFonts w:cs="Arial"/>
        </w:rPr>
        <w:t>fr</w:t>
      </w:r>
      <w:proofErr w:type="spellEnd"/>
      <w:r>
        <w:rPr>
          <w:rFonts w:cs="Arial"/>
        </w:rPr>
        <w:t>. 6'932'520.- relativa alle opere oggetto del presente messaggio così suddivisi:</w:t>
      </w:r>
    </w:p>
    <w:p w:rsidR="00892373" w:rsidRPr="005521E2" w:rsidRDefault="00892373" w:rsidP="005521E2">
      <w:pPr>
        <w:pStyle w:val="Paragrafoelenco"/>
        <w:numPr>
          <w:ilvl w:val="0"/>
          <w:numId w:val="7"/>
        </w:numPr>
        <w:tabs>
          <w:tab w:val="left" w:pos="284"/>
          <w:tab w:val="left" w:pos="1134"/>
          <w:tab w:val="left" w:pos="8222"/>
        </w:tabs>
        <w:spacing w:before="120"/>
        <w:ind w:left="284" w:hanging="284"/>
        <w:rPr>
          <w:rFonts w:cs="Arial"/>
          <w:sz w:val="23"/>
          <w:szCs w:val="23"/>
          <w:u w:val="single"/>
        </w:rPr>
      </w:pPr>
      <w:r w:rsidRPr="005521E2">
        <w:rPr>
          <w:rFonts w:cs="Arial"/>
          <w:sz w:val="23"/>
          <w:szCs w:val="23"/>
        </w:rPr>
        <w:t xml:space="preserve">Posa condotte tratta stazione </w:t>
      </w:r>
      <w:proofErr w:type="spellStart"/>
      <w:r w:rsidRPr="005521E2">
        <w:rPr>
          <w:rFonts w:cs="Arial"/>
          <w:sz w:val="23"/>
          <w:szCs w:val="23"/>
        </w:rPr>
        <w:t>Ligornetto</w:t>
      </w:r>
      <w:proofErr w:type="spellEnd"/>
      <w:r w:rsidRPr="005521E2">
        <w:rPr>
          <w:rFonts w:cs="Arial"/>
          <w:sz w:val="23"/>
          <w:szCs w:val="23"/>
        </w:rPr>
        <w:t xml:space="preserve"> - passerella tecnica - via Laveggio:</w:t>
      </w:r>
      <w:r w:rsidR="005521E2">
        <w:rPr>
          <w:rFonts w:cs="Arial"/>
          <w:sz w:val="23"/>
          <w:szCs w:val="23"/>
        </w:rPr>
        <w:tab/>
      </w:r>
      <w:proofErr w:type="spellStart"/>
      <w:r w:rsidRPr="005521E2">
        <w:rPr>
          <w:rFonts w:cs="Arial"/>
          <w:sz w:val="23"/>
          <w:szCs w:val="23"/>
          <w:u w:val="single"/>
        </w:rPr>
        <w:t>fr</w:t>
      </w:r>
      <w:proofErr w:type="spellEnd"/>
      <w:r w:rsidRPr="005521E2">
        <w:rPr>
          <w:rFonts w:cs="Arial"/>
          <w:sz w:val="23"/>
          <w:szCs w:val="23"/>
          <w:u w:val="single"/>
        </w:rPr>
        <w:t>. 4'423'373.-</w:t>
      </w:r>
    </w:p>
    <w:p w:rsidR="00892373" w:rsidRPr="005521E2" w:rsidRDefault="00892373" w:rsidP="005521E2">
      <w:pPr>
        <w:pStyle w:val="Paragrafoelenco"/>
        <w:numPr>
          <w:ilvl w:val="0"/>
          <w:numId w:val="7"/>
        </w:numPr>
        <w:tabs>
          <w:tab w:val="left" w:pos="284"/>
          <w:tab w:val="left" w:pos="1134"/>
          <w:tab w:val="left" w:pos="8222"/>
        </w:tabs>
        <w:spacing w:before="120"/>
        <w:ind w:left="284" w:hanging="284"/>
        <w:rPr>
          <w:rFonts w:cs="Arial"/>
          <w:sz w:val="23"/>
          <w:szCs w:val="23"/>
          <w:u w:val="single"/>
        </w:rPr>
      </w:pPr>
      <w:r w:rsidRPr="005521E2">
        <w:rPr>
          <w:rFonts w:cs="Arial"/>
          <w:sz w:val="23"/>
          <w:szCs w:val="23"/>
        </w:rPr>
        <w:t>Passerella tecnica:</w:t>
      </w:r>
      <w:r w:rsidR="005521E2" w:rsidRPr="005521E2">
        <w:rPr>
          <w:rFonts w:cs="Arial"/>
          <w:sz w:val="23"/>
          <w:szCs w:val="23"/>
        </w:rPr>
        <w:tab/>
      </w:r>
      <w:proofErr w:type="spellStart"/>
      <w:r w:rsidRPr="005521E2">
        <w:rPr>
          <w:rFonts w:cs="Arial"/>
          <w:sz w:val="23"/>
          <w:szCs w:val="23"/>
          <w:u w:val="single"/>
        </w:rPr>
        <w:t>fr</w:t>
      </w:r>
      <w:proofErr w:type="spellEnd"/>
      <w:r w:rsidRPr="005521E2">
        <w:rPr>
          <w:rFonts w:cs="Arial"/>
          <w:sz w:val="23"/>
          <w:szCs w:val="23"/>
          <w:u w:val="single"/>
        </w:rPr>
        <w:t>. 1'170'142.-</w:t>
      </w:r>
    </w:p>
    <w:p w:rsidR="00892373" w:rsidRPr="005521E2" w:rsidRDefault="00892373" w:rsidP="005521E2">
      <w:pPr>
        <w:pStyle w:val="Paragrafoelenco"/>
        <w:numPr>
          <w:ilvl w:val="0"/>
          <w:numId w:val="7"/>
        </w:numPr>
        <w:tabs>
          <w:tab w:val="left" w:pos="284"/>
          <w:tab w:val="left" w:pos="1134"/>
          <w:tab w:val="left" w:pos="8222"/>
        </w:tabs>
        <w:spacing w:before="120"/>
        <w:ind w:left="284" w:hanging="284"/>
        <w:rPr>
          <w:rFonts w:cs="Arial"/>
          <w:sz w:val="23"/>
          <w:szCs w:val="23"/>
          <w:u w:val="single"/>
        </w:rPr>
      </w:pPr>
      <w:r w:rsidRPr="005521E2">
        <w:rPr>
          <w:rFonts w:cs="Arial"/>
          <w:sz w:val="23"/>
          <w:szCs w:val="23"/>
        </w:rPr>
        <w:t xml:space="preserve">Posa condotte tratta passerella tecnica - stazione </w:t>
      </w:r>
      <w:proofErr w:type="spellStart"/>
      <w:r w:rsidRPr="005521E2">
        <w:rPr>
          <w:rFonts w:cs="Arial"/>
          <w:sz w:val="23"/>
          <w:szCs w:val="23"/>
        </w:rPr>
        <w:t>Coldrerio</w:t>
      </w:r>
      <w:proofErr w:type="spellEnd"/>
      <w:r w:rsidRPr="005521E2">
        <w:rPr>
          <w:rFonts w:cs="Arial"/>
          <w:sz w:val="23"/>
          <w:szCs w:val="23"/>
        </w:rPr>
        <w:t>:</w:t>
      </w:r>
      <w:r w:rsidR="005521E2" w:rsidRPr="005521E2">
        <w:rPr>
          <w:rFonts w:cs="Arial"/>
          <w:sz w:val="23"/>
          <w:szCs w:val="23"/>
        </w:rPr>
        <w:tab/>
      </w:r>
      <w:proofErr w:type="spellStart"/>
      <w:r w:rsidRPr="005521E2">
        <w:rPr>
          <w:rFonts w:cs="Arial"/>
          <w:sz w:val="23"/>
          <w:szCs w:val="23"/>
          <w:u w:val="single"/>
        </w:rPr>
        <w:t>fr</w:t>
      </w:r>
      <w:proofErr w:type="spellEnd"/>
      <w:r w:rsidRPr="005521E2">
        <w:rPr>
          <w:rFonts w:cs="Arial"/>
          <w:sz w:val="23"/>
          <w:szCs w:val="23"/>
          <w:u w:val="single"/>
        </w:rPr>
        <w:t>. 1'339'005.-</w:t>
      </w:r>
    </w:p>
    <w:p w:rsidR="00892373" w:rsidRDefault="00892373" w:rsidP="00892373">
      <w:pPr>
        <w:tabs>
          <w:tab w:val="left" w:pos="360"/>
        </w:tabs>
        <w:rPr>
          <w:rFonts w:cs="Arial"/>
        </w:rPr>
      </w:pPr>
    </w:p>
    <w:p w:rsidR="00892373" w:rsidRDefault="00892373" w:rsidP="00892373">
      <w:pPr>
        <w:tabs>
          <w:tab w:val="left" w:pos="360"/>
        </w:tabs>
        <w:rPr>
          <w:rFonts w:cs="Arial"/>
        </w:rPr>
      </w:pPr>
      <w:r>
        <w:rPr>
          <w:rFonts w:cs="Arial"/>
        </w:rPr>
        <w:t>L'aliquota di sussidio ponderata prevista dalla Legge sull'approvvigionamento idrico (</w:t>
      </w:r>
      <w:proofErr w:type="spellStart"/>
      <w:r>
        <w:rPr>
          <w:rFonts w:cs="Arial"/>
        </w:rPr>
        <w:t>LApprl</w:t>
      </w:r>
      <w:proofErr w:type="spellEnd"/>
      <w:r>
        <w:rPr>
          <w:rFonts w:cs="Arial"/>
        </w:rPr>
        <w:t>) ammonta al 17.86% ed è stata calcolata in base alla forza finanziaria e al numero di Abitanti Equivalenti dei Comuni aderenti al Consorzio ARM, secondo la graduatoria degli indici di capacità finanziaria dei Comuni ticinesi (biennio 2017-2018), che porta alla seguente situazione.</w:t>
      </w:r>
    </w:p>
    <w:p w:rsidR="00892373" w:rsidRDefault="00892373" w:rsidP="00892373">
      <w:pPr>
        <w:tabs>
          <w:tab w:val="left" w:pos="360"/>
        </w:tabs>
        <w:rPr>
          <w:rFonts w:cs="Arial"/>
        </w:rPr>
      </w:pPr>
    </w:p>
    <w:tbl>
      <w:tblPr>
        <w:tblW w:w="7670" w:type="dxa"/>
        <w:tblInd w:w="55" w:type="dxa"/>
        <w:tblLayout w:type="fixed"/>
        <w:tblCellMar>
          <w:top w:w="57" w:type="dxa"/>
          <w:left w:w="70" w:type="dxa"/>
          <w:bottom w:w="57" w:type="dxa"/>
          <w:right w:w="70" w:type="dxa"/>
        </w:tblCellMar>
        <w:tblLook w:val="04A0" w:firstRow="1" w:lastRow="0" w:firstColumn="1" w:lastColumn="0" w:noHBand="0" w:noVBand="1"/>
      </w:tblPr>
      <w:tblGrid>
        <w:gridCol w:w="1134"/>
        <w:gridCol w:w="2977"/>
        <w:gridCol w:w="15"/>
        <w:gridCol w:w="1260"/>
        <w:gridCol w:w="16"/>
        <w:gridCol w:w="977"/>
        <w:gridCol w:w="15"/>
        <w:gridCol w:w="1260"/>
        <w:gridCol w:w="16"/>
      </w:tblGrid>
      <w:tr w:rsidR="00892373" w:rsidRPr="0081597A" w:rsidTr="00E546DF">
        <w:trPr>
          <w:gridAfter w:val="1"/>
          <w:wAfter w:w="16" w:type="dxa"/>
          <w:trHeight w:val="726"/>
        </w:trPr>
        <w:tc>
          <w:tcPr>
            <w:tcW w:w="1134"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892373" w:rsidRPr="0081597A" w:rsidRDefault="00892373" w:rsidP="00E546DF">
            <w:pPr>
              <w:jc w:val="center"/>
              <w:rPr>
                <w:rFonts w:cs="Arial"/>
                <w:b/>
                <w:bCs/>
                <w:sz w:val="20"/>
              </w:rPr>
            </w:pPr>
            <w:r w:rsidRPr="0081597A">
              <w:rPr>
                <w:rFonts w:cs="Arial"/>
                <w:b/>
                <w:bCs/>
                <w:sz w:val="20"/>
              </w:rPr>
              <w:t>Comune</w:t>
            </w:r>
          </w:p>
        </w:tc>
        <w:tc>
          <w:tcPr>
            <w:tcW w:w="2977"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892373" w:rsidRPr="0081597A" w:rsidRDefault="00892373" w:rsidP="00E546DF">
            <w:pPr>
              <w:jc w:val="center"/>
              <w:rPr>
                <w:rFonts w:cs="Arial"/>
                <w:b/>
                <w:bCs/>
                <w:sz w:val="20"/>
              </w:rPr>
            </w:pPr>
            <w:r w:rsidRPr="0081597A">
              <w:rPr>
                <w:rFonts w:cs="Arial"/>
                <w:b/>
                <w:bCs/>
                <w:sz w:val="20"/>
              </w:rPr>
              <w:t>Opera</w:t>
            </w:r>
          </w:p>
        </w:tc>
        <w:tc>
          <w:tcPr>
            <w:tcW w:w="1275" w:type="dxa"/>
            <w:gridSpan w:val="2"/>
            <w:tcBorders>
              <w:top w:val="single" w:sz="4" w:space="0" w:color="4F81BD"/>
              <w:left w:val="single" w:sz="4" w:space="0" w:color="4F81BD"/>
              <w:bottom w:val="single" w:sz="8" w:space="0" w:color="4F81BD"/>
              <w:right w:val="single" w:sz="4" w:space="0" w:color="4F81BD"/>
            </w:tcBorders>
            <w:shd w:val="clear" w:color="auto" w:fill="auto"/>
            <w:vAlign w:val="center"/>
            <w:hideMark/>
          </w:tcPr>
          <w:p w:rsidR="00892373" w:rsidRPr="0081597A" w:rsidRDefault="00892373" w:rsidP="00E546DF">
            <w:pPr>
              <w:jc w:val="center"/>
              <w:rPr>
                <w:rFonts w:cs="Arial"/>
                <w:b/>
                <w:bCs/>
                <w:sz w:val="20"/>
              </w:rPr>
            </w:pPr>
            <w:r w:rsidRPr="0081597A">
              <w:rPr>
                <w:rFonts w:cs="Arial"/>
                <w:b/>
                <w:bCs/>
                <w:sz w:val="20"/>
              </w:rPr>
              <w:t xml:space="preserve">Costo </w:t>
            </w:r>
            <w:r>
              <w:rPr>
                <w:rFonts w:cs="Arial"/>
                <w:b/>
                <w:bCs/>
                <w:sz w:val="20"/>
              </w:rPr>
              <w:t>(</w:t>
            </w:r>
            <w:proofErr w:type="spellStart"/>
            <w:r>
              <w:rPr>
                <w:rFonts w:cs="Arial"/>
                <w:b/>
                <w:bCs/>
                <w:sz w:val="20"/>
              </w:rPr>
              <w:t>Pdef</w:t>
            </w:r>
            <w:proofErr w:type="spellEnd"/>
            <w:r>
              <w:rPr>
                <w:rFonts w:cs="Arial"/>
                <w:b/>
                <w:bCs/>
                <w:sz w:val="20"/>
              </w:rPr>
              <w:t>)</w:t>
            </w:r>
          </w:p>
        </w:tc>
        <w:tc>
          <w:tcPr>
            <w:tcW w:w="993" w:type="dxa"/>
            <w:gridSpan w:val="2"/>
            <w:tcBorders>
              <w:top w:val="single" w:sz="4" w:space="0" w:color="4F81BD"/>
              <w:left w:val="single" w:sz="4" w:space="0" w:color="4F81BD"/>
              <w:bottom w:val="single" w:sz="8" w:space="0" w:color="4F81BD"/>
              <w:right w:val="single" w:sz="4" w:space="0" w:color="4F81BD"/>
            </w:tcBorders>
            <w:shd w:val="clear" w:color="auto" w:fill="auto"/>
            <w:vAlign w:val="center"/>
            <w:hideMark/>
          </w:tcPr>
          <w:p w:rsidR="00892373" w:rsidRPr="0081597A" w:rsidRDefault="00892373" w:rsidP="00E546DF">
            <w:pPr>
              <w:jc w:val="center"/>
              <w:rPr>
                <w:rFonts w:cs="Arial"/>
                <w:b/>
                <w:bCs/>
                <w:sz w:val="20"/>
              </w:rPr>
            </w:pPr>
            <w:r w:rsidRPr="0081597A">
              <w:rPr>
                <w:rFonts w:cs="Arial"/>
                <w:b/>
                <w:bCs/>
                <w:sz w:val="20"/>
              </w:rPr>
              <w:t>% Sussidio</w:t>
            </w:r>
          </w:p>
        </w:tc>
        <w:tc>
          <w:tcPr>
            <w:tcW w:w="1275" w:type="dxa"/>
            <w:gridSpan w:val="2"/>
            <w:tcBorders>
              <w:top w:val="single" w:sz="4" w:space="0" w:color="4F81BD"/>
              <w:left w:val="single" w:sz="4" w:space="0" w:color="4F81BD"/>
              <w:bottom w:val="single" w:sz="8" w:space="0" w:color="4F81BD"/>
              <w:right w:val="single" w:sz="4" w:space="0" w:color="4F81BD"/>
            </w:tcBorders>
            <w:shd w:val="clear" w:color="auto" w:fill="auto"/>
            <w:vAlign w:val="center"/>
            <w:hideMark/>
          </w:tcPr>
          <w:p w:rsidR="00892373" w:rsidRPr="0081597A" w:rsidRDefault="00892373" w:rsidP="00E546DF">
            <w:pPr>
              <w:jc w:val="center"/>
              <w:rPr>
                <w:rFonts w:cs="Arial"/>
                <w:b/>
                <w:bCs/>
                <w:sz w:val="20"/>
              </w:rPr>
            </w:pPr>
            <w:r>
              <w:rPr>
                <w:rFonts w:cs="Arial"/>
                <w:b/>
                <w:bCs/>
                <w:sz w:val="20"/>
              </w:rPr>
              <w:t>Contributo massimo</w:t>
            </w:r>
          </w:p>
        </w:tc>
      </w:tr>
      <w:tr w:rsidR="00892373" w:rsidRPr="0081597A" w:rsidTr="00E546DF">
        <w:trPr>
          <w:gridAfter w:val="1"/>
          <w:wAfter w:w="16" w:type="dxa"/>
          <w:trHeight w:val="711"/>
        </w:trPr>
        <w:tc>
          <w:tcPr>
            <w:tcW w:w="1134"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892373" w:rsidRPr="0081597A" w:rsidRDefault="00892373" w:rsidP="00E546DF">
            <w:pPr>
              <w:jc w:val="left"/>
              <w:rPr>
                <w:rFonts w:cs="Arial"/>
                <w:sz w:val="20"/>
              </w:rPr>
            </w:pPr>
            <w:r w:rsidRPr="0081597A">
              <w:rPr>
                <w:rFonts w:cs="Arial"/>
                <w:sz w:val="20"/>
              </w:rPr>
              <w:t>Mendrisio</w:t>
            </w:r>
          </w:p>
        </w:tc>
        <w:tc>
          <w:tcPr>
            <w:tcW w:w="2977"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rsidR="00892373" w:rsidRPr="0081597A" w:rsidRDefault="00892373" w:rsidP="00E546DF">
            <w:pPr>
              <w:jc w:val="left"/>
              <w:rPr>
                <w:rFonts w:cs="Arial"/>
                <w:sz w:val="20"/>
              </w:rPr>
            </w:pPr>
            <w:r>
              <w:rPr>
                <w:rFonts w:cs="Arial"/>
                <w:sz w:val="20"/>
              </w:rPr>
              <w:t xml:space="preserve">Posa condotte tratta stazione </w:t>
            </w:r>
            <w:proofErr w:type="spellStart"/>
            <w:r>
              <w:rPr>
                <w:rFonts w:cs="Arial"/>
                <w:sz w:val="20"/>
              </w:rPr>
              <w:t>Ligornetto</w:t>
            </w:r>
            <w:proofErr w:type="spellEnd"/>
            <w:r>
              <w:rPr>
                <w:rFonts w:cs="Arial"/>
                <w:sz w:val="20"/>
              </w:rPr>
              <w:t xml:space="preserve"> - passerella tecnica - via Laveggio </w:t>
            </w:r>
          </w:p>
        </w:tc>
        <w:tc>
          <w:tcPr>
            <w:tcW w:w="1275" w:type="dxa"/>
            <w:gridSpan w:val="2"/>
            <w:tcBorders>
              <w:top w:val="single" w:sz="4" w:space="0" w:color="4F81BD"/>
              <w:left w:val="single" w:sz="4" w:space="0" w:color="4F81BD"/>
              <w:bottom w:val="single" w:sz="4" w:space="0" w:color="4F81BD"/>
              <w:right w:val="single" w:sz="4" w:space="0" w:color="4F81BD"/>
            </w:tcBorders>
            <w:shd w:val="clear" w:color="DCE6F1" w:fill="DCE6F1"/>
            <w:vAlign w:val="center"/>
            <w:hideMark/>
          </w:tcPr>
          <w:p w:rsidR="00892373" w:rsidRPr="0081597A" w:rsidRDefault="00892373" w:rsidP="00E546DF">
            <w:pPr>
              <w:jc w:val="right"/>
              <w:rPr>
                <w:rFonts w:cs="Arial"/>
                <w:sz w:val="20"/>
              </w:rPr>
            </w:pPr>
            <w:r w:rsidRPr="0081597A">
              <w:rPr>
                <w:rFonts w:cs="Arial"/>
                <w:sz w:val="20"/>
                <w:lang w:val="de-CH"/>
              </w:rPr>
              <w:t>fr. 4'423'373</w:t>
            </w:r>
          </w:p>
        </w:tc>
        <w:tc>
          <w:tcPr>
            <w:tcW w:w="993" w:type="dxa"/>
            <w:gridSpan w:val="2"/>
            <w:tcBorders>
              <w:top w:val="single" w:sz="4" w:space="0" w:color="4F81BD"/>
              <w:left w:val="single" w:sz="4" w:space="0" w:color="4F81BD"/>
              <w:bottom w:val="single" w:sz="4" w:space="0" w:color="4F81BD"/>
              <w:right w:val="single" w:sz="4" w:space="0" w:color="4F81BD"/>
            </w:tcBorders>
            <w:shd w:val="clear" w:color="DCE6F1" w:fill="DCE6F1"/>
            <w:vAlign w:val="center"/>
            <w:hideMark/>
          </w:tcPr>
          <w:p w:rsidR="00892373" w:rsidRPr="0081597A" w:rsidRDefault="00892373" w:rsidP="00E546DF">
            <w:pPr>
              <w:jc w:val="right"/>
              <w:rPr>
                <w:rFonts w:cs="Arial"/>
                <w:sz w:val="20"/>
              </w:rPr>
            </w:pPr>
            <w:r w:rsidRPr="0081597A">
              <w:rPr>
                <w:rFonts w:cs="Arial"/>
                <w:sz w:val="20"/>
              </w:rPr>
              <w:t>17.86%</w:t>
            </w:r>
          </w:p>
        </w:tc>
        <w:tc>
          <w:tcPr>
            <w:tcW w:w="1275" w:type="dxa"/>
            <w:gridSpan w:val="2"/>
            <w:tcBorders>
              <w:top w:val="single" w:sz="4" w:space="0" w:color="4F81BD"/>
              <w:left w:val="single" w:sz="4" w:space="0" w:color="4F81BD"/>
              <w:bottom w:val="single" w:sz="4" w:space="0" w:color="4F81BD"/>
              <w:right w:val="single" w:sz="4" w:space="0" w:color="4F81BD"/>
            </w:tcBorders>
            <w:shd w:val="clear" w:color="DCE6F1" w:fill="DCE6F1"/>
            <w:vAlign w:val="center"/>
            <w:hideMark/>
          </w:tcPr>
          <w:p w:rsidR="00892373" w:rsidRPr="0081597A" w:rsidRDefault="00892373" w:rsidP="00E546DF">
            <w:pPr>
              <w:jc w:val="right"/>
              <w:rPr>
                <w:rFonts w:cs="Arial"/>
                <w:sz w:val="20"/>
              </w:rPr>
            </w:pPr>
            <w:proofErr w:type="spellStart"/>
            <w:r w:rsidRPr="0081597A">
              <w:rPr>
                <w:rFonts w:cs="Arial"/>
                <w:sz w:val="20"/>
              </w:rPr>
              <w:t>fr</w:t>
            </w:r>
            <w:proofErr w:type="spellEnd"/>
            <w:r w:rsidRPr="0081597A">
              <w:rPr>
                <w:rFonts w:cs="Arial"/>
                <w:sz w:val="20"/>
              </w:rPr>
              <w:t>. 790'014</w:t>
            </w:r>
          </w:p>
        </w:tc>
      </w:tr>
      <w:tr w:rsidR="00892373" w:rsidRPr="0081597A" w:rsidTr="00E546DF">
        <w:trPr>
          <w:gridAfter w:val="1"/>
          <w:wAfter w:w="16" w:type="dxa"/>
          <w:trHeight w:val="711"/>
        </w:trPr>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892373" w:rsidRPr="0081597A" w:rsidRDefault="00892373" w:rsidP="00E546DF">
            <w:pPr>
              <w:jc w:val="left"/>
              <w:rPr>
                <w:rFonts w:cs="Arial"/>
                <w:sz w:val="20"/>
              </w:rPr>
            </w:pPr>
            <w:r w:rsidRPr="0081597A">
              <w:rPr>
                <w:rFonts w:cs="Arial"/>
                <w:sz w:val="20"/>
              </w:rPr>
              <w:t>Mendrisio</w:t>
            </w:r>
          </w:p>
        </w:tc>
        <w:tc>
          <w:tcPr>
            <w:tcW w:w="2977"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892373" w:rsidRPr="0081597A" w:rsidRDefault="00892373" w:rsidP="00E546DF">
            <w:pPr>
              <w:jc w:val="left"/>
              <w:rPr>
                <w:rFonts w:cs="Arial"/>
                <w:sz w:val="20"/>
              </w:rPr>
            </w:pPr>
            <w:r w:rsidRPr="0081597A">
              <w:rPr>
                <w:rFonts w:cs="Arial"/>
                <w:sz w:val="20"/>
              </w:rPr>
              <w:t>Passerella tecnica</w:t>
            </w:r>
            <w:r>
              <w:rPr>
                <w:rFonts w:cs="Arial"/>
                <w:sz w:val="20"/>
              </w:rPr>
              <w:t xml:space="preserve"> per le condotte</w:t>
            </w:r>
          </w:p>
        </w:tc>
        <w:tc>
          <w:tcPr>
            <w:tcW w:w="1275" w:type="dxa"/>
            <w:gridSpan w:val="2"/>
            <w:tcBorders>
              <w:top w:val="single" w:sz="4" w:space="0" w:color="4F81BD"/>
              <w:left w:val="single" w:sz="4" w:space="0" w:color="4F81BD"/>
              <w:bottom w:val="single" w:sz="4" w:space="0" w:color="4F81BD"/>
              <w:right w:val="single" w:sz="4" w:space="0" w:color="4F81BD"/>
            </w:tcBorders>
            <w:shd w:val="clear" w:color="auto" w:fill="auto"/>
            <w:vAlign w:val="center"/>
            <w:hideMark/>
          </w:tcPr>
          <w:p w:rsidR="00892373" w:rsidRPr="0081597A" w:rsidRDefault="00892373" w:rsidP="00E546DF">
            <w:pPr>
              <w:jc w:val="right"/>
              <w:rPr>
                <w:rFonts w:cs="Arial"/>
                <w:sz w:val="20"/>
              </w:rPr>
            </w:pPr>
            <w:proofErr w:type="spellStart"/>
            <w:r w:rsidRPr="0081597A">
              <w:rPr>
                <w:rFonts w:cs="Arial"/>
                <w:sz w:val="20"/>
              </w:rPr>
              <w:t>fr</w:t>
            </w:r>
            <w:proofErr w:type="spellEnd"/>
            <w:r w:rsidRPr="0081597A">
              <w:rPr>
                <w:rFonts w:cs="Arial"/>
                <w:sz w:val="20"/>
              </w:rPr>
              <w:t>. 1'170'142</w:t>
            </w:r>
          </w:p>
        </w:tc>
        <w:tc>
          <w:tcPr>
            <w:tcW w:w="993" w:type="dxa"/>
            <w:gridSpan w:val="2"/>
            <w:tcBorders>
              <w:top w:val="single" w:sz="4" w:space="0" w:color="4F81BD"/>
              <w:left w:val="single" w:sz="4" w:space="0" w:color="4F81BD"/>
              <w:bottom w:val="single" w:sz="4" w:space="0" w:color="4F81BD"/>
              <w:right w:val="single" w:sz="4" w:space="0" w:color="4F81BD"/>
            </w:tcBorders>
            <w:shd w:val="clear" w:color="auto" w:fill="auto"/>
            <w:vAlign w:val="center"/>
            <w:hideMark/>
          </w:tcPr>
          <w:p w:rsidR="00892373" w:rsidRPr="0081597A" w:rsidRDefault="00892373" w:rsidP="00E546DF">
            <w:pPr>
              <w:jc w:val="right"/>
              <w:rPr>
                <w:rFonts w:cs="Arial"/>
                <w:sz w:val="20"/>
              </w:rPr>
            </w:pPr>
            <w:r w:rsidRPr="0081597A">
              <w:rPr>
                <w:rFonts w:cs="Arial"/>
                <w:sz w:val="20"/>
              </w:rPr>
              <w:t>17.86%</w:t>
            </w:r>
          </w:p>
        </w:tc>
        <w:tc>
          <w:tcPr>
            <w:tcW w:w="1275" w:type="dxa"/>
            <w:gridSpan w:val="2"/>
            <w:tcBorders>
              <w:top w:val="single" w:sz="4" w:space="0" w:color="4F81BD"/>
              <w:left w:val="single" w:sz="4" w:space="0" w:color="4F81BD"/>
              <w:bottom w:val="single" w:sz="4" w:space="0" w:color="4F81BD"/>
              <w:right w:val="single" w:sz="4" w:space="0" w:color="4F81BD"/>
            </w:tcBorders>
            <w:shd w:val="clear" w:color="auto" w:fill="auto"/>
            <w:vAlign w:val="center"/>
            <w:hideMark/>
          </w:tcPr>
          <w:p w:rsidR="00892373" w:rsidRPr="0081597A" w:rsidRDefault="00892373" w:rsidP="00E546DF">
            <w:pPr>
              <w:jc w:val="right"/>
              <w:rPr>
                <w:rFonts w:cs="Arial"/>
                <w:sz w:val="20"/>
              </w:rPr>
            </w:pPr>
            <w:proofErr w:type="spellStart"/>
            <w:r w:rsidRPr="0081597A">
              <w:rPr>
                <w:rFonts w:cs="Arial"/>
                <w:sz w:val="20"/>
              </w:rPr>
              <w:t>fr</w:t>
            </w:r>
            <w:proofErr w:type="spellEnd"/>
            <w:r w:rsidRPr="0081597A">
              <w:rPr>
                <w:rFonts w:cs="Arial"/>
                <w:sz w:val="20"/>
              </w:rPr>
              <w:t>. 208'987</w:t>
            </w:r>
          </w:p>
        </w:tc>
      </w:tr>
      <w:tr w:rsidR="00892373" w:rsidRPr="0081597A" w:rsidTr="00E546DF">
        <w:trPr>
          <w:gridAfter w:val="1"/>
          <w:wAfter w:w="16" w:type="dxa"/>
          <w:trHeight w:val="711"/>
        </w:trPr>
        <w:tc>
          <w:tcPr>
            <w:tcW w:w="1134"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rsidR="00892373" w:rsidRPr="0081597A" w:rsidRDefault="00892373" w:rsidP="00E546DF">
            <w:pPr>
              <w:jc w:val="left"/>
              <w:rPr>
                <w:rFonts w:cs="Arial"/>
                <w:sz w:val="20"/>
              </w:rPr>
            </w:pPr>
            <w:r w:rsidRPr="0081597A">
              <w:rPr>
                <w:rFonts w:cs="Arial"/>
                <w:sz w:val="20"/>
              </w:rPr>
              <w:t>Mendrisio</w:t>
            </w:r>
            <w:r w:rsidRPr="0081597A">
              <w:rPr>
                <w:rFonts w:cs="Arial"/>
                <w:sz w:val="20"/>
              </w:rPr>
              <w:br/>
            </w:r>
            <w:proofErr w:type="spellStart"/>
            <w:r w:rsidRPr="0081597A">
              <w:rPr>
                <w:rFonts w:cs="Arial"/>
                <w:sz w:val="20"/>
              </w:rPr>
              <w:t>Coldrerio</w:t>
            </w:r>
            <w:proofErr w:type="spellEnd"/>
          </w:p>
        </w:tc>
        <w:tc>
          <w:tcPr>
            <w:tcW w:w="2977"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rsidR="00892373" w:rsidRPr="0081597A" w:rsidRDefault="00892373" w:rsidP="00E546DF">
            <w:pPr>
              <w:jc w:val="left"/>
              <w:rPr>
                <w:rFonts w:cs="Arial"/>
                <w:sz w:val="20"/>
              </w:rPr>
            </w:pPr>
            <w:r w:rsidRPr="0081597A">
              <w:rPr>
                <w:rFonts w:cs="Arial"/>
                <w:sz w:val="20"/>
              </w:rPr>
              <w:t xml:space="preserve">Posa condotte tratta Passerella tecnica - stazione </w:t>
            </w:r>
            <w:proofErr w:type="spellStart"/>
            <w:r w:rsidRPr="0081597A">
              <w:rPr>
                <w:rFonts w:cs="Arial"/>
                <w:sz w:val="20"/>
              </w:rPr>
              <w:t>Coldrerio</w:t>
            </w:r>
            <w:proofErr w:type="spellEnd"/>
          </w:p>
        </w:tc>
        <w:tc>
          <w:tcPr>
            <w:tcW w:w="1275" w:type="dxa"/>
            <w:gridSpan w:val="2"/>
            <w:tcBorders>
              <w:top w:val="single" w:sz="4" w:space="0" w:color="4F81BD"/>
              <w:left w:val="single" w:sz="4" w:space="0" w:color="4F81BD"/>
              <w:bottom w:val="single" w:sz="4" w:space="0" w:color="4F81BD"/>
              <w:right w:val="single" w:sz="4" w:space="0" w:color="4F81BD"/>
            </w:tcBorders>
            <w:shd w:val="clear" w:color="DCE6F1" w:fill="DCE6F1"/>
            <w:vAlign w:val="center"/>
            <w:hideMark/>
          </w:tcPr>
          <w:p w:rsidR="00892373" w:rsidRPr="0081597A" w:rsidRDefault="00892373" w:rsidP="00E546DF">
            <w:pPr>
              <w:jc w:val="right"/>
              <w:rPr>
                <w:rFonts w:cs="Arial"/>
                <w:sz w:val="20"/>
              </w:rPr>
            </w:pPr>
            <w:proofErr w:type="spellStart"/>
            <w:r w:rsidRPr="0081597A">
              <w:rPr>
                <w:rFonts w:cs="Arial"/>
                <w:sz w:val="20"/>
              </w:rPr>
              <w:t>fr</w:t>
            </w:r>
            <w:proofErr w:type="spellEnd"/>
            <w:r w:rsidRPr="0081597A">
              <w:rPr>
                <w:rFonts w:cs="Arial"/>
                <w:sz w:val="20"/>
              </w:rPr>
              <w:t>. 1'339'005</w:t>
            </w:r>
          </w:p>
        </w:tc>
        <w:tc>
          <w:tcPr>
            <w:tcW w:w="993" w:type="dxa"/>
            <w:gridSpan w:val="2"/>
            <w:tcBorders>
              <w:top w:val="single" w:sz="4" w:space="0" w:color="4F81BD"/>
              <w:left w:val="single" w:sz="4" w:space="0" w:color="4F81BD"/>
              <w:bottom w:val="single" w:sz="4" w:space="0" w:color="4F81BD"/>
              <w:right w:val="single" w:sz="4" w:space="0" w:color="4F81BD"/>
            </w:tcBorders>
            <w:shd w:val="clear" w:color="DCE6F1" w:fill="DCE6F1"/>
            <w:vAlign w:val="center"/>
            <w:hideMark/>
          </w:tcPr>
          <w:p w:rsidR="00892373" w:rsidRPr="0081597A" w:rsidRDefault="00892373" w:rsidP="00E546DF">
            <w:pPr>
              <w:jc w:val="right"/>
              <w:rPr>
                <w:rFonts w:cs="Arial"/>
                <w:sz w:val="20"/>
              </w:rPr>
            </w:pPr>
            <w:r w:rsidRPr="0081597A">
              <w:rPr>
                <w:rFonts w:cs="Arial"/>
                <w:sz w:val="20"/>
              </w:rPr>
              <w:t>17.86%</w:t>
            </w:r>
          </w:p>
        </w:tc>
        <w:tc>
          <w:tcPr>
            <w:tcW w:w="1275" w:type="dxa"/>
            <w:gridSpan w:val="2"/>
            <w:tcBorders>
              <w:top w:val="single" w:sz="4" w:space="0" w:color="4F81BD"/>
              <w:left w:val="single" w:sz="4" w:space="0" w:color="4F81BD"/>
              <w:bottom w:val="single" w:sz="4" w:space="0" w:color="4F81BD"/>
              <w:right w:val="single" w:sz="4" w:space="0" w:color="4F81BD"/>
            </w:tcBorders>
            <w:shd w:val="clear" w:color="DCE6F1" w:fill="DCE6F1"/>
            <w:vAlign w:val="center"/>
            <w:hideMark/>
          </w:tcPr>
          <w:p w:rsidR="00892373" w:rsidRPr="0081597A" w:rsidRDefault="00892373" w:rsidP="00E546DF">
            <w:pPr>
              <w:jc w:val="right"/>
              <w:rPr>
                <w:rFonts w:cs="Arial"/>
                <w:sz w:val="20"/>
              </w:rPr>
            </w:pPr>
            <w:proofErr w:type="spellStart"/>
            <w:r w:rsidRPr="0081597A">
              <w:rPr>
                <w:rFonts w:cs="Arial"/>
                <w:sz w:val="20"/>
              </w:rPr>
              <w:t>fr</w:t>
            </w:r>
            <w:proofErr w:type="spellEnd"/>
            <w:r w:rsidRPr="0081597A">
              <w:rPr>
                <w:rFonts w:cs="Arial"/>
                <w:sz w:val="20"/>
              </w:rPr>
              <w:t>. 239'146</w:t>
            </w:r>
          </w:p>
        </w:tc>
      </w:tr>
      <w:tr w:rsidR="00892373" w:rsidRPr="0081597A" w:rsidTr="00E546DF">
        <w:trPr>
          <w:trHeight w:val="302"/>
        </w:trPr>
        <w:tc>
          <w:tcPr>
            <w:tcW w:w="4126" w:type="dxa"/>
            <w:gridSpan w:val="3"/>
            <w:tcBorders>
              <w:top w:val="double" w:sz="6" w:space="0" w:color="4F81BD"/>
              <w:left w:val="single" w:sz="4" w:space="0" w:color="4F81BD"/>
              <w:bottom w:val="single" w:sz="4" w:space="0" w:color="4F81BD"/>
              <w:right w:val="single" w:sz="4" w:space="0" w:color="4F81BD"/>
            </w:tcBorders>
            <w:shd w:val="clear" w:color="auto" w:fill="auto"/>
            <w:noWrap/>
            <w:vAlign w:val="center"/>
            <w:hideMark/>
          </w:tcPr>
          <w:p w:rsidR="00892373" w:rsidRPr="0081597A" w:rsidRDefault="00892373" w:rsidP="00E546DF">
            <w:pPr>
              <w:jc w:val="left"/>
              <w:rPr>
                <w:rFonts w:cs="Arial"/>
                <w:b/>
                <w:bCs/>
                <w:sz w:val="20"/>
              </w:rPr>
            </w:pPr>
            <w:r w:rsidRPr="0081597A">
              <w:rPr>
                <w:rFonts w:cs="Arial"/>
                <w:b/>
                <w:bCs/>
                <w:sz w:val="20"/>
              </w:rPr>
              <w:t>Totale</w:t>
            </w:r>
          </w:p>
        </w:tc>
        <w:tc>
          <w:tcPr>
            <w:tcW w:w="1276" w:type="dxa"/>
            <w:gridSpan w:val="2"/>
            <w:tcBorders>
              <w:top w:val="double" w:sz="6" w:space="0" w:color="4F81BD"/>
              <w:left w:val="single" w:sz="4" w:space="0" w:color="4F81BD"/>
              <w:bottom w:val="single" w:sz="4" w:space="0" w:color="4F81BD"/>
              <w:right w:val="single" w:sz="4" w:space="0" w:color="4F81BD"/>
            </w:tcBorders>
            <w:shd w:val="clear" w:color="auto" w:fill="auto"/>
            <w:vAlign w:val="center"/>
            <w:hideMark/>
          </w:tcPr>
          <w:p w:rsidR="00892373" w:rsidRPr="0081597A" w:rsidRDefault="00892373" w:rsidP="00E546DF">
            <w:pPr>
              <w:jc w:val="right"/>
              <w:rPr>
                <w:rFonts w:cs="Arial"/>
                <w:b/>
                <w:bCs/>
                <w:sz w:val="20"/>
              </w:rPr>
            </w:pPr>
            <w:proofErr w:type="spellStart"/>
            <w:r w:rsidRPr="0081597A">
              <w:rPr>
                <w:rFonts w:cs="Arial"/>
                <w:b/>
                <w:bCs/>
                <w:sz w:val="20"/>
              </w:rPr>
              <w:t>fr</w:t>
            </w:r>
            <w:proofErr w:type="spellEnd"/>
            <w:r w:rsidRPr="0081597A">
              <w:rPr>
                <w:rFonts w:cs="Arial"/>
                <w:b/>
                <w:bCs/>
                <w:sz w:val="20"/>
              </w:rPr>
              <w:t>. 6'932'520</w:t>
            </w:r>
          </w:p>
        </w:tc>
        <w:tc>
          <w:tcPr>
            <w:tcW w:w="992" w:type="dxa"/>
            <w:gridSpan w:val="2"/>
            <w:tcBorders>
              <w:top w:val="double" w:sz="6" w:space="0" w:color="4F81BD"/>
              <w:left w:val="single" w:sz="4" w:space="0" w:color="4F81BD"/>
              <w:bottom w:val="single" w:sz="4" w:space="0" w:color="4F81BD"/>
              <w:right w:val="single" w:sz="4" w:space="0" w:color="4F81BD"/>
            </w:tcBorders>
            <w:shd w:val="clear" w:color="auto" w:fill="auto"/>
            <w:vAlign w:val="center"/>
            <w:hideMark/>
          </w:tcPr>
          <w:p w:rsidR="00892373" w:rsidRPr="0081597A" w:rsidRDefault="00892373" w:rsidP="00E546DF">
            <w:pPr>
              <w:jc w:val="left"/>
              <w:rPr>
                <w:rFonts w:cs="Arial"/>
                <w:b/>
                <w:bCs/>
                <w:sz w:val="20"/>
              </w:rPr>
            </w:pPr>
          </w:p>
        </w:tc>
        <w:tc>
          <w:tcPr>
            <w:tcW w:w="1276" w:type="dxa"/>
            <w:gridSpan w:val="2"/>
            <w:tcBorders>
              <w:top w:val="double" w:sz="6" w:space="0" w:color="4F81BD"/>
              <w:left w:val="single" w:sz="4" w:space="0" w:color="4F81BD"/>
              <w:bottom w:val="single" w:sz="4" w:space="0" w:color="4F81BD"/>
              <w:right w:val="single" w:sz="4" w:space="0" w:color="4F81BD"/>
            </w:tcBorders>
            <w:shd w:val="clear" w:color="auto" w:fill="auto"/>
            <w:vAlign w:val="center"/>
            <w:hideMark/>
          </w:tcPr>
          <w:p w:rsidR="00892373" w:rsidRPr="0081597A" w:rsidRDefault="00892373" w:rsidP="00E546DF">
            <w:pPr>
              <w:jc w:val="right"/>
              <w:rPr>
                <w:rFonts w:cs="Arial"/>
                <w:b/>
                <w:bCs/>
                <w:sz w:val="20"/>
              </w:rPr>
            </w:pPr>
            <w:proofErr w:type="spellStart"/>
            <w:r w:rsidRPr="0081597A">
              <w:rPr>
                <w:rFonts w:cs="Arial"/>
                <w:b/>
                <w:bCs/>
                <w:sz w:val="20"/>
              </w:rPr>
              <w:t>fr</w:t>
            </w:r>
            <w:proofErr w:type="spellEnd"/>
            <w:r w:rsidRPr="0081597A">
              <w:rPr>
                <w:rFonts w:cs="Arial"/>
                <w:b/>
                <w:bCs/>
                <w:sz w:val="20"/>
              </w:rPr>
              <w:t>. 1'238'148</w:t>
            </w:r>
          </w:p>
        </w:tc>
      </w:tr>
    </w:tbl>
    <w:p w:rsidR="00892373" w:rsidRDefault="00892373" w:rsidP="00892373">
      <w:pPr>
        <w:tabs>
          <w:tab w:val="left" w:pos="360"/>
        </w:tabs>
        <w:rPr>
          <w:rFonts w:cs="Arial"/>
        </w:rPr>
      </w:pPr>
    </w:p>
    <w:p w:rsidR="00892373" w:rsidRDefault="00892373" w:rsidP="00892373">
      <w:pPr>
        <w:tabs>
          <w:tab w:val="left" w:pos="360"/>
        </w:tabs>
        <w:rPr>
          <w:rFonts w:cs="Arial"/>
        </w:rPr>
      </w:pPr>
      <w:r>
        <w:rPr>
          <w:rFonts w:cs="Arial"/>
        </w:rPr>
        <w:t xml:space="preserve">Il Totale (arrotondato) dei contributi ammonta a </w:t>
      </w:r>
      <w:proofErr w:type="spellStart"/>
      <w:r w:rsidRPr="004C69F6">
        <w:rPr>
          <w:rFonts w:cs="Arial"/>
          <w:b/>
        </w:rPr>
        <w:t>fr</w:t>
      </w:r>
      <w:proofErr w:type="spellEnd"/>
      <w:r w:rsidRPr="004C69F6">
        <w:rPr>
          <w:rFonts w:cs="Arial"/>
          <w:b/>
        </w:rPr>
        <w:t>. 1'238'000.-</w:t>
      </w:r>
    </w:p>
    <w:p w:rsidR="00892373" w:rsidRDefault="00892373" w:rsidP="00892373">
      <w:pPr>
        <w:tabs>
          <w:tab w:val="left" w:pos="360"/>
        </w:tabs>
        <w:rPr>
          <w:rFonts w:cs="Arial"/>
        </w:rPr>
      </w:pPr>
    </w:p>
    <w:p w:rsidR="005521E2" w:rsidRDefault="005521E2" w:rsidP="00892373">
      <w:pPr>
        <w:tabs>
          <w:tab w:val="left" w:pos="360"/>
        </w:tabs>
        <w:rPr>
          <w:rFonts w:cs="Arial"/>
        </w:rPr>
      </w:pPr>
    </w:p>
    <w:p w:rsidR="00892373" w:rsidRDefault="00892373" w:rsidP="00892373">
      <w:pPr>
        <w:tabs>
          <w:tab w:val="left" w:pos="360"/>
        </w:tabs>
        <w:rPr>
          <w:rFonts w:cs="Arial"/>
        </w:rPr>
      </w:pPr>
    </w:p>
    <w:p w:rsidR="00892373" w:rsidRPr="00FD355B" w:rsidRDefault="00892373" w:rsidP="00892373">
      <w:pPr>
        <w:pStyle w:val="Titolo1"/>
        <w:numPr>
          <w:ilvl w:val="1"/>
          <w:numId w:val="5"/>
        </w:numPr>
        <w:tabs>
          <w:tab w:val="clear" w:pos="1620"/>
        </w:tabs>
        <w:ind w:left="567" w:hanging="567"/>
        <w:rPr>
          <w:lang w:val="it-CH"/>
        </w:rPr>
      </w:pPr>
      <w:r>
        <w:rPr>
          <w:lang w:val="it-CH"/>
        </w:rPr>
        <w:t>I LAVORI COMMISSIONALI</w:t>
      </w:r>
    </w:p>
    <w:p w:rsidR="00892373" w:rsidRDefault="00892373" w:rsidP="00892373">
      <w:pPr>
        <w:tabs>
          <w:tab w:val="left" w:pos="360"/>
        </w:tabs>
        <w:rPr>
          <w:rFonts w:cs="Arial"/>
        </w:rPr>
      </w:pPr>
      <w:r>
        <w:rPr>
          <w:rFonts w:cs="Arial"/>
        </w:rPr>
        <w:t xml:space="preserve">La Commissione speciale delle bonifiche fondiarie ha sentito in due occasioni, il 26 febbraio e il 26 marzo 2018, i responsabili dell'UPAAI, Mauro Veronesi (capo Ufficio) e Silvia </w:t>
      </w:r>
      <w:proofErr w:type="spellStart"/>
      <w:r>
        <w:rPr>
          <w:rFonts w:cs="Arial"/>
        </w:rPr>
        <w:t>Prodam</w:t>
      </w:r>
      <w:proofErr w:type="spellEnd"/>
      <w:r>
        <w:rPr>
          <w:rFonts w:cs="Arial"/>
        </w:rPr>
        <w:t xml:space="preserve"> </w:t>
      </w:r>
      <w:proofErr w:type="spellStart"/>
      <w:r>
        <w:rPr>
          <w:rFonts w:cs="Arial"/>
        </w:rPr>
        <w:t>Tich</w:t>
      </w:r>
      <w:proofErr w:type="spellEnd"/>
      <w:r>
        <w:rPr>
          <w:rFonts w:cs="Arial"/>
        </w:rPr>
        <w:t xml:space="preserve"> (collaboratrice tecnica), accompagnati durante il primo incontro dal segretario del Consorzio ARM sig. Marco Maffi e che ringraziamo per la collaborazione.</w:t>
      </w:r>
    </w:p>
    <w:p w:rsidR="00892373" w:rsidRDefault="00892373" w:rsidP="00892373">
      <w:pPr>
        <w:tabs>
          <w:tab w:val="left" w:pos="360"/>
        </w:tabs>
        <w:rPr>
          <w:rFonts w:cs="Arial"/>
        </w:rPr>
      </w:pPr>
    </w:p>
    <w:p w:rsidR="00892373" w:rsidRDefault="00892373" w:rsidP="00892373">
      <w:pPr>
        <w:tabs>
          <w:tab w:val="left" w:pos="360"/>
        </w:tabs>
        <w:rPr>
          <w:rFonts w:cs="Arial"/>
        </w:rPr>
      </w:pPr>
      <w:r>
        <w:rPr>
          <w:rFonts w:cs="Arial"/>
        </w:rPr>
        <w:t>La Commissione ha ricevuto informazioni sull'intero progetto PCAI-M (stato 2014), sulle tempistiche di realizzazione, sul calcolo della percentuale di sussidio e sui metodi di stanziamento dei crediti cantonali. Inoltre i collaboratori dell'UPAAI hanno fornito indicazioni sulle fonti di approvvigionamento ed in particolare sui fenomeni che interessano il Mendrisiotto.</w:t>
      </w:r>
    </w:p>
    <w:p w:rsidR="00892373" w:rsidRPr="005521E2" w:rsidRDefault="00892373" w:rsidP="00892373">
      <w:pPr>
        <w:tabs>
          <w:tab w:val="left" w:pos="360"/>
        </w:tabs>
        <w:rPr>
          <w:rFonts w:cs="Arial"/>
          <w:sz w:val="20"/>
          <w:szCs w:val="20"/>
        </w:rPr>
      </w:pPr>
    </w:p>
    <w:p w:rsidR="00892373" w:rsidRDefault="00892373" w:rsidP="00892373">
      <w:pPr>
        <w:tabs>
          <w:tab w:val="left" w:pos="360"/>
        </w:tabs>
        <w:rPr>
          <w:rFonts w:cs="Arial"/>
        </w:rPr>
      </w:pPr>
      <w:r>
        <w:rPr>
          <w:rFonts w:cs="Arial"/>
        </w:rPr>
        <w:t>La tabella seguente riassume i costi totali del progetto PCAI-M e il calcolo ponderato tra i Comuni aderenti al Consorzio ARM per la definizione della percentuale di sussidiamento delle opere.</w:t>
      </w:r>
    </w:p>
    <w:p w:rsidR="00892373" w:rsidRPr="005521E2" w:rsidRDefault="00892373" w:rsidP="00892373">
      <w:pPr>
        <w:tabs>
          <w:tab w:val="left" w:pos="360"/>
        </w:tabs>
        <w:rPr>
          <w:rFonts w:cs="Arial"/>
          <w:sz w:val="20"/>
          <w:szCs w:val="20"/>
        </w:rPr>
      </w:pPr>
    </w:p>
    <w:p w:rsidR="00892373" w:rsidRDefault="00892373" w:rsidP="00892373">
      <w:pPr>
        <w:tabs>
          <w:tab w:val="left" w:pos="360"/>
        </w:tabs>
        <w:rPr>
          <w:rFonts w:cs="Arial"/>
        </w:rPr>
      </w:pPr>
      <w:r>
        <w:rPr>
          <w:noProof/>
          <w:lang w:eastAsia="it-CH"/>
        </w:rPr>
        <w:lastRenderedPageBreak/>
        <w:drawing>
          <wp:inline distT="0" distB="0" distL="0" distR="0" wp14:anchorId="51C279B2" wp14:editId="2CC387CB">
            <wp:extent cx="3996358" cy="3687960"/>
            <wp:effectExtent l="19050" t="0" r="4142" b="0"/>
            <wp:docPr id="1" name="Immagine 1" descr="C:\Users\afor\AppData\Local\Microsoft\Windows\INetCache\Content.Word\Nuova immagine (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r\AppData\Local\Microsoft\Windows\INetCache\Content.Word\Nuova immagine (47).bmp"/>
                    <pic:cNvPicPr>
                      <a:picLocks noChangeAspect="1" noChangeArrowheads="1"/>
                    </pic:cNvPicPr>
                  </pic:nvPicPr>
                  <pic:blipFill>
                    <a:blip r:embed="rId9" cstate="print"/>
                    <a:srcRect/>
                    <a:stretch>
                      <a:fillRect/>
                    </a:stretch>
                  </pic:blipFill>
                  <pic:spPr bwMode="auto">
                    <a:xfrm>
                      <a:off x="0" y="0"/>
                      <a:ext cx="3997786" cy="3689278"/>
                    </a:xfrm>
                    <a:prstGeom prst="rect">
                      <a:avLst/>
                    </a:prstGeom>
                    <a:noFill/>
                    <a:ln w="9525">
                      <a:noFill/>
                      <a:miter lim="800000"/>
                      <a:headEnd/>
                      <a:tailEnd/>
                    </a:ln>
                  </pic:spPr>
                </pic:pic>
              </a:graphicData>
            </a:graphic>
          </wp:inline>
        </w:drawing>
      </w:r>
    </w:p>
    <w:p w:rsidR="00892373" w:rsidRPr="005521E2" w:rsidRDefault="00892373" w:rsidP="00892373">
      <w:pPr>
        <w:tabs>
          <w:tab w:val="left" w:pos="360"/>
        </w:tabs>
        <w:rPr>
          <w:rFonts w:cs="Arial"/>
          <w:sz w:val="20"/>
          <w:szCs w:val="20"/>
        </w:rPr>
      </w:pPr>
    </w:p>
    <w:p w:rsidR="00892373" w:rsidRDefault="00892373" w:rsidP="00892373">
      <w:pPr>
        <w:tabs>
          <w:tab w:val="left" w:pos="360"/>
        </w:tabs>
        <w:rPr>
          <w:rFonts w:cs="Arial"/>
        </w:rPr>
      </w:pPr>
      <w:r>
        <w:rPr>
          <w:rFonts w:cs="Arial"/>
        </w:rPr>
        <w:t>Va specificato che i futuri aggiornamenti del PCAI-M potrebbero portare ad una variazione delle cifre considerate sopra.</w:t>
      </w:r>
    </w:p>
    <w:p w:rsidR="00892373" w:rsidRPr="005521E2" w:rsidRDefault="00892373" w:rsidP="00892373">
      <w:pPr>
        <w:tabs>
          <w:tab w:val="left" w:pos="360"/>
        </w:tabs>
        <w:rPr>
          <w:rFonts w:cs="Arial"/>
          <w:sz w:val="20"/>
          <w:szCs w:val="20"/>
        </w:rPr>
      </w:pPr>
    </w:p>
    <w:p w:rsidR="00892373" w:rsidRDefault="00892373" w:rsidP="00892373">
      <w:pPr>
        <w:tabs>
          <w:tab w:val="left" w:pos="360"/>
        </w:tabs>
        <w:rPr>
          <w:rFonts w:cs="Arial"/>
        </w:rPr>
      </w:pPr>
      <w:r>
        <w:rPr>
          <w:rFonts w:cs="Arial"/>
        </w:rPr>
        <w:t>I sussidi saranno stanziati, come nel caso in oggetto, per singole opere approvate dalle istanze cantonali e dal Consorzio ARM. Non è da escludere che anche in futuro vi sia la necessità, alfine di cogliere le opportunità date dalla concomitanza con altri cantieri di dover anticipare, tramite Risoluzioni del CdS di inizio anticipato dei lavori (IAL), la realizzazione di opere rispetto alla decisione di stanziamento del sussidio da parte del Gran Consiglio.</w:t>
      </w:r>
    </w:p>
    <w:p w:rsidR="00892373" w:rsidRPr="005521E2" w:rsidRDefault="00892373" w:rsidP="00892373">
      <w:pPr>
        <w:tabs>
          <w:tab w:val="left" w:pos="360"/>
        </w:tabs>
        <w:rPr>
          <w:rFonts w:cs="Arial"/>
          <w:sz w:val="20"/>
          <w:szCs w:val="20"/>
        </w:rPr>
      </w:pPr>
    </w:p>
    <w:p w:rsidR="00892373" w:rsidRDefault="00892373" w:rsidP="00892373">
      <w:pPr>
        <w:tabs>
          <w:tab w:val="left" w:pos="360"/>
        </w:tabs>
        <w:rPr>
          <w:rFonts w:cs="Arial"/>
        </w:rPr>
      </w:pPr>
      <w:r>
        <w:rPr>
          <w:rFonts w:cs="Arial"/>
        </w:rPr>
        <w:t>A questo proposito la Commissione speciale delle bonifiche fondiarie chiede che, per le opere di sua competenza, venga informata delle risoluzioni adottate in questo senso.</w:t>
      </w:r>
    </w:p>
    <w:p w:rsidR="00892373" w:rsidRDefault="00892373" w:rsidP="00892373">
      <w:pPr>
        <w:tabs>
          <w:tab w:val="left" w:pos="360"/>
        </w:tabs>
        <w:rPr>
          <w:rFonts w:cs="Arial"/>
        </w:rPr>
      </w:pPr>
    </w:p>
    <w:p w:rsidR="00892373" w:rsidRDefault="00892373" w:rsidP="00892373">
      <w:pPr>
        <w:tabs>
          <w:tab w:val="left" w:pos="360"/>
        </w:tabs>
        <w:rPr>
          <w:rFonts w:cs="Arial"/>
        </w:rPr>
      </w:pPr>
    </w:p>
    <w:p w:rsidR="00892373" w:rsidRPr="00FD355B" w:rsidRDefault="00892373" w:rsidP="00892373">
      <w:pPr>
        <w:pStyle w:val="Titolo1"/>
        <w:numPr>
          <w:ilvl w:val="1"/>
          <w:numId w:val="5"/>
        </w:numPr>
        <w:tabs>
          <w:tab w:val="clear" w:pos="1620"/>
        </w:tabs>
        <w:ind w:left="567" w:hanging="567"/>
        <w:rPr>
          <w:lang w:val="it-CH"/>
        </w:rPr>
      </w:pPr>
      <w:r>
        <w:rPr>
          <w:lang w:val="it-CH"/>
        </w:rPr>
        <w:t>CONCLUSIONI</w:t>
      </w:r>
    </w:p>
    <w:p w:rsidR="00892373" w:rsidRDefault="00892373" w:rsidP="00892373">
      <w:pPr>
        <w:tabs>
          <w:tab w:val="left" w:pos="360"/>
        </w:tabs>
        <w:rPr>
          <w:rFonts w:cs="Arial"/>
        </w:rPr>
      </w:pPr>
      <w:r>
        <w:rPr>
          <w:rFonts w:cs="Arial"/>
        </w:rPr>
        <w:t xml:space="preserve">In considerazione di quanto esposto nel messaggio e nel presente rapporto e ritenuto tutto quanto emerso dai lavori commissionali, la Commissione speciale delle bonifiche fondiarie invita il Parlamento a voler accettare il Decreto legislativo annesso al messaggio e volto a concedere un </w:t>
      </w:r>
      <w:r>
        <w:rPr>
          <w:rFonts w:cs="Arial"/>
          <w:szCs w:val="24"/>
        </w:rPr>
        <w:t xml:space="preserve">credito di </w:t>
      </w:r>
      <w:proofErr w:type="spellStart"/>
      <w:r>
        <w:rPr>
          <w:rFonts w:cs="Arial"/>
          <w:szCs w:val="24"/>
        </w:rPr>
        <w:t>fr</w:t>
      </w:r>
      <w:proofErr w:type="spellEnd"/>
      <w:r>
        <w:rPr>
          <w:rFonts w:cs="Arial"/>
          <w:szCs w:val="24"/>
        </w:rPr>
        <w:t xml:space="preserve">. 1'238'000.- a favore del Consorzio Acquedotto regionale del Mendrisiotto (ARM) per il sussidiamento di opere di approvvigionamento idrico nei Comuni di Mendrisio e </w:t>
      </w:r>
      <w:proofErr w:type="spellStart"/>
      <w:r>
        <w:rPr>
          <w:rFonts w:cs="Arial"/>
          <w:szCs w:val="24"/>
        </w:rPr>
        <w:t>Coldrerio</w:t>
      </w:r>
      <w:proofErr w:type="spellEnd"/>
      <w:r>
        <w:rPr>
          <w:rFonts w:cs="Arial"/>
          <w:szCs w:val="24"/>
        </w:rPr>
        <w:t>.</w:t>
      </w:r>
    </w:p>
    <w:p w:rsidR="00892373" w:rsidRDefault="00892373" w:rsidP="00892373">
      <w:pPr>
        <w:ind w:right="426"/>
      </w:pPr>
    </w:p>
    <w:p w:rsidR="005521E2" w:rsidRDefault="005521E2" w:rsidP="00892373">
      <w:pPr>
        <w:ind w:right="426"/>
      </w:pPr>
    </w:p>
    <w:p w:rsidR="00FF7999" w:rsidRDefault="00FF7999" w:rsidP="00892373">
      <w:pPr>
        <w:ind w:right="426"/>
      </w:pPr>
    </w:p>
    <w:p w:rsidR="00892373" w:rsidRDefault="00892373" w:rsidP="00892373">
      <w:pPr>
        <w:spacing w:after="120"/>
        <w:ind w:right="426"/>
      </w:pPr>
      <w:r>
        <w:t>Per la Commissione speciale bonifiche fondiarie:</w:t>
      </w:r>
    </w:p>
    <w:p w:rsidR="00892373" w:rsidRDefault="00892373" w:rsidP="00892373">
      <w:pPr>
        <w:ind w:right="426"/>
      </w:pPr>
      <w:r>
        <w:t xml:space="preserve">Sebastiano Gaffuri, </w:t>
      </w:r>
      <w:r w:rsidRPr="00814FC8">
        <w:t>relatore</w:t>
      </w:r>
    </w:p>
    <w:p w:rsidR="00892373" w:rsidRDefault="00892373" w:rsidP="00892373">
      <w:pPr>
        <w:ind w:right="426"/>
      </w:pPr>
      <w:r>
        <w:t xml:space="preserve">Balli </w:t>
      </w:r>
      <w:r w:rsidR="00FF7999">
        <w:t xml:space="preserve">- </w:t>
      </w:r>
      <w:r>
        <w:t xml:space="preserve">Bang </w:t>
      </w:r>
      <w:r w:rsidR="00FF7999">
        <w:t xml:space="preserve">- </w:t>
      </w:r>
      <w:r>
        <w:t xml:space="preserve">Beretta Piccoli </w:t>
      </w:r>
      <w:r w:rsidR="00FF7999">
        <w:t xml:space="preserve">- </w:t>
      </w:r>
      <w:r>
        <w:t xml:space="preserve">Campana </w:t>
      </w:r>
      <w:r w:rsidR="00FF7999">
        <w:t xml:space="preserve">- </w:t>
      </w:r>
    </w:p>
    <w:p w:rsidR="00892373" w:rsidRDefault="00892373" w:rsidP="00FF7999">
      <w:r w:rsidRPr="00814FC8">
        <w:t>Canepa</w:t>
      </w:r>
      <w:r>
        <w:t xml:space="preserve"> </w:t>
      </w:r>
      <w:r w:rsidR="00FF7999">
        <w:t xml:space="preserve">- </w:t>
      </w:r>
      <w:r>
        <w:t xml:space="preserve">Cedraschi </w:t>
      </w:r>
      <w:r w:rsidR="00FF7999">
        <w:t xml:space="preserve">- </w:t>
      </w:r>
      <w:r>
        <w:t xml:space="preserve">Corti </w:t>
      </w:r>
      <w:r w:rsidR="00FF7999">
        <w:t xml:space="preserve">- Ferrari - </w:t>
      </w:r>
    </w:p>
    <w:p w:rsidR="00892373" w:rsidRDefault="00892373" w:rsidP="00892373">
      <w:pPr>
        <w:ind w:right="426"/>
      </w:pPr>
      <w:r>
        <w:t xml:space="preserve">Lurati </w:t>
      </w:r>
      <w:r w:rsidR="00FF7999">
        <w:t xml:space="preserve">- </w:t>
      </w:r>
      <w:r>
        <w:t xml:space="preserve">Pagnamenta </w:t>
      </w:r>
      <w:r w:rsidR="00FF7999">
        <w:t xml:space="preserve">- </w:t>
      </w:r>
      <w:r>
        <w:t xml:space="preserve">Peduzzi </w:t>
      </w:r>
      <w:r w:rsidR="00FF7999">
        <w:t xml:space="preserve">- </w:t>
      </w:r>
      <w:r>
        <w:t xml:space="preserve">Pellanda </w:t>
      </w:r>
      <w:r w:rsidR="00FF7999">
        <w:t xml:space="preserve">- </w:t>
      </w:r>
    </w:p>
    <w:p w:rsidR="00892373" w:rsidRPr="005C5233" w:rsidRDefault="00892373" w:rsidP="00892373">
      <w:pPr>
        <w:ind w:right="426"/>
      </w:pPr>
      <w:r>
        <w:t>Sch</w:t>
      </w:r>
      <w:r w:rsidR="00FF7999">
        <w:t>n</w:t>
      </w:r>
      <w:r>
        <w:t xml:space="preserve">ellmann </w:t>
      </w:r>
      <w:r w:rsidR="00FF7999">
        <w:t xml:space="preserve">- </w:t>
      </w:r>
      <w:r>
        <w:t xml:space="preserve">Storni </w:t>
      </w:r>
      <w:r w:rsidR="00FF7999">
        <w:t>- Zanini</w:t>
      </w:r>
    </w:p>
    <w:sectPr w:rsidR="00892373" w:rsidRPr="005C5233" w:rsidSect="005521E2">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D0" w:rsidRDefault="00046ED0" w:rsidP="008E77C6">
      <w:r>
        <w:separator/>
      </w:r>
    </w:p>
  </w:endnote>
  <w:endnote w:type="continuationSeparator" w:id="0">
    <w:p w:rsidR="00046ED0" w:rsidRDefault="00046ED0"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8230E" w:rsidRPr="0008230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D0" w:rsidRDefault="00046ED0" w:rsidP="008E77C6">
      <w:r>
        <w:separator/>
      </w:r>
    </w:p>
  </w:footnote>
  <w:footnote w:type="continuationSeparator" w:id="0">
    <w:p w:rsidR="00046ED0" w:rsidRDefault="00046ED0"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B716DB1"/>
    <w:multiLevelType w:val="hybridMultilevel"/>
    <w:tmpl w:val="3214B926"/>
    <w:lvl w:ilvl="0" w:tplc="605041EC">
      <w:numFmt w:val="decimal"/>
      <w:lvlText w:val="%1."/>
      <w:lvlJc w:val="left"/>
      <w:pPr>
        <w:tabs>
          <w:tab w:val="num" w:pos="540"/>
        </w:tabs>
        <w:ind w:left="540" w:hanging="360"/>
      </w:pPr>
      <w:rPr>
        <w:rFonts w:hint="default"/>
      </w:rPr>
    </w:lvl>
    <w:lvl w:ilvl="1" w:tplc="1E4E11FC">
      <w:start w:val="2"/>
      <w:numFmt w:val="decimal"/>
      <w:lvlText w:val="%2."/>
      <w:lvlJc w:val="left"/>
      <w:pPr>
        <w:tabs>
          <w:tab w:val="num" w:pos="1620"/>
        </w:tabs>
        <w:ind w:left="1620" w:hanging="720"/>
      </w:pPr>
      <w:rPr>
        <w:rFonts w:hint="default"/>
      </w:r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
    <w:nsid w:val="4F595087"/>
    <w:multiLevelType w:val="hybridMultilevel"/>
    <w:tmpl w:val="B61AA07A"/>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552078D1"/>
    <w:multiLevelType w:val="hybridMultilevel"/>
    <w:tmpl w:val="B8B200FA"/>
    <w:lvl w:ilvl="0" w:tplc="E6A8540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46ED0"/>
    <w:rsid w:val="00076E70"/>
    <w:rsid w:val="0008230E"/>
    <w:rsid w:val="00260C8C"/>
    <w:rsid w:val="002E5E40"/>
    <w:rsid w:val="004429F4"/>
    <w:rsid w:val="0052425A"/>
    <w:rsid w:val="005521E2"/>
    <w:rsid w:val="00586A8D"/>
    <w:rsid w:val="006D7A3B"/>
    <w:rsid w:val="007B5462"/>
    <w:rsid w:val="008034BD"/>
    <w:rsid w:val="00876352"/>
    <w:rsid w:val="00892373"/>
    <w:rsid w:val="008B4137"/>
    <w:rsid w:val="008C767A"/>
    <w:rsid w:val="008E77C6"/>
    <w:rsid w:val="009770BB"/>
    <w:rsid w:val="009E008D"/>
    <w:rsid w:val="00A5465F"/>
    <w:rsid w:val="00A77678"/>
    <w:rsid w:val="00BC4C95"/>
    <w:rsid w:val="00BD5944"/>
    <w:rsid w:val="00CF6858"/>
    <w:rsid w:val="00D377B5"/>
    <w:rsid w:val="00D93B31"/>
    <w:rsid w:val="00E505DB"/>
    <w:rsid w:val="00FF799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Arial">
    <w:name w:val="Normale + Arial"/>
    <w:aliases w:val="Giustificato"/>
    <w:basedOn w:val="Normale"/>
    <w:rsid w:val="00892373"/>
    <w:pPr>
      <w:tabs>
        <w:tab w:val="left" w:pos="360"/>
      </w:tabs>
    </w:pPr>
    <w:rPr>
      <w:rFonts w:eastAsia="Times New Roman" w:cs="Arial"/>
      <w:b/>
      <w:caps/>
      <w:szCs w:val="24"/>
      <w:lang w:eastAsia="it-IT"/>
    </w:rPr>
  </w:style>
  <w:style w:type="paragraph" w:styleId="Testofumetto">
    <w:name w:val="Balloon Text"/>
    <w:basedOn w:val="Normale"/>
    <w:link w:val="TestofumettoCarattere"/>
    <w:uiPriority w:val="99"/>
    <w:semiHidden/>
    <w:unhideWhenUsed/>
    <w:rsid w:val="008923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2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Arial">
    <w:name w:val="Normale + Arial"/>
    <w:aliases w:val="Giustificato"/>
    <w:basedOn w:val="Normale"/>
    <w:rsid w:val="00892373"/>
    <w:pPr>
      <w:tabs>
        <w:tab w:val="left" w:pos="360"/>
      </w:tabs>
    </w:pPr>
    <w:rPr>
      <w:rFonts w:eastAsia="Times New Roman" w:cs="Arial"/>
      <w:b/>
      <w:caps/>
      <w:szCs w:val="24"/>
      <w:lang w:eastAsia="it-IT"/>
    </w:rPr>
  </w:style>
  <w:style w:type="paragraph" w:styleId="Testofumetto">
    <w:name w:val="Balloon Text"/>
    <w:basedOn w:val="Normale"/>
    <w:link w:val="TestofumettoCarattere"/>
    <w:uiPriority w:val="99"/>
    <w:semiHidden/>
    <w:unhideWhenUsed/>
    <w:rsid w:val="008923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2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F2A7-B9D3-456C-8F40-30560D97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1288</Words>
  <Characters>7346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2018-04-23T14:52:00Z</cp:lastPrinted>
  <dcterms:created xsi:type="dcterms:W3CDTF">2018-04-23T14:21:00Z</dcterms:created>
  <dcterms:modified xsi:type="dcterms:W3CDTF">2018-04-25T09:12:00Z</dcterms:modified>
</cp:coreProperties>
</file>