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42E5" w:rsidRPr="005C669B" w:rsidRDefault="008A0539" w:rsidP="00F242E5">
      <w:pPr>
        <w:tabs>
          <w:tab w:val="left" w:pos="2495"/>
        </w:tabs>
        <w:spacing w:before="80" w:after="40"/>
        <w:rPr>
          <w:rFonts w:ascii="Gill Sans MT" w:hAnsi="Gill Sans MT"/>
          <w:b/>
          <w:sz w:val="56"/>
          <w:szCs w:val="56"/>
        </w:rPr>
      </w:pPr>
      <w:r>
        <w:rPr>
          <w:rFonts w:ascii="Gill Sans MT" w:hAnsi="Gill Sans MT"/>
          <w:b/>
          <w:sz w:val="56"/>
          <w:szCs w:val="56"/>
        </w:rPr>
        <w:t>Rapporto</w:t>
      </w:r>
      <w:bookmarkStart w:id="0" w:name="_GoBack"/>
      <w:bookmarkEnd w:id="0"/>
      <w:r>
        <w:rPr>
          <w:rFonts w:ascii="Gill Sans MT" w:hAnsi="Gill Sans MT"/>
          <w:b/>
          <w:sz w:val="56"/>
          <w:szCs w:val="56"/>
        </w:rPr>
        <w:t xml:space="preserve"> </w:t>
      </w:r>
      <w:r w:rsidR="00F242E5" w:rsidRPr="005C669B">
        <w:rPr>
          <w:rFonts w:ascii="Gill Sans MT" w:hAnsi="Gill Sans MT"/>
          <w:b/>
          <w:sz w:val="56"/>
          <w:szCs w:val="56"/>
        </w:rPr>
        <w:t>di maggioranza</w:t>
      </w:r>
    </w:p>
    <w:p w:rsidR="00F242E5" w:rsidRDefault="00F242E5" w:rsidP="00F242E5">
      <w:pPr>
        <w:pStyle w:val="Intestazione"/>
        <w:tabs>
          <w:tab w:val="clear" w:pos="4819"/>
          <w:tab w:val="clear" w:pos="9638"/>
        </w:tabs>
      </w:pPr>
    </w:p>
    <w:p w:rsidR="00F242E5" w:rsidRDefault="00F242E5" w:rsidP="00F242E5">
      <w:pPr>
        <w:pStyle w:val="Intestazione"/>
        <w:tabs>
          <w:tab w:val="clear" w:pos="4819"/>
          <w:tab w:val="clear" w:pos="9638"/>
        </w:tabs>
      </w:pPr>
    </w:p>
    <w:p w:rsidR="00F242E5" w:rsidRDefault="00594EBF" w:rsidP="00F242E5">
      <w:pPr>
        <w:tabs>
          <w:tab w:val="left" w:pos="2098"/>
          <w:tab w:val="left" w:pos="4962"/>
        </w:tabs>
        <w:rPr>
          <w:position w:val="4"/>
        </w:rPr>
      </w:pPr>
      <w:r>
        <w:rPr>
          <w:b/>
          <w:position w:val="4"/>
          <w:sz w:val="32"/>
          <w:szCs w:val="32"/>
        </w:rPr>
        <w:t>7332</w:t>
      </w:r>
      <w:r w:rsidR="00F242E5" w:rsidRPr="002D7BF1">
        <w:rPr>
          <w:b/>
          <w:position w:val="4"/>
          <w:sz w:val="32"/>
          <w:szCs w:val="32"/>
        </w:rPr>
        <w:t xml:space="preserve"> R</w:t>
      </w:r>
      <w:r w:rsidR="00F242E5">
        <w:rPr>
          <w:b/>
          <w:position w:val="4"/>
          <w:sz w:val="32"/>
          <w:szCs w:val="32"/>
        </w:rPr>
        <w:t>1</w:t>
      </w:r>
      <w:r w:rsidR="00F242E5">
        <w:rPr>
          <w:position w:val="4"/>
          <w:sz w:val="28"/>
        </w:rPr>
        <w:tab/>
      </w:r>
      <w:r>
        <w:rPr>
          <w:position w:val="4"/>
          <w:sz w:val="28"/>
        </w:rPr>
        <w:t>24 aprile 2018</w:t>
      </w:r>
      <w:r w:rsidR="00F242E5">
        <w:rPr>
          <w:position w:val="4"/>
          <w:sz w:val="28"/>
        </w:rPr>
        <w:tab/>
      </w:r>
      <w:r>
        <w:rPr>
          <w:position w:val="4"/>
          <w:sz w:val="28"/>
        </w:rPr>
        <w:t>TERRITORIO</w:t>
      </w:r>
    </w:p>
    <w:p w:rsidR="00F242E5" w:rsidRDefault="00F242E5" w:rsidP="00F242E5"/>
    <w:p w:rsidR="00F242E5" w:rsidRDefault="00F242E5" w:rsidP="00F242E5"/>
    <w:p w:rsidR="00F242E5" w:rsidRDefault="00F242E5" w:rsidP="00F242E5"/>
    <w:p w:rsidR="00594EBF" w:rsidRDefault="003D7A8E" w:rsidP="003D7A8E">
      <w:pPr>
        <w:rPr>
          <w:rFonts w:cs="Arial"/>
          <w:b/>
          <w:sz w:val="28"/>
          <w:szCs w:val="28"/>
        </w:rPr>
      </w:pPr>
      <w:r w:rsidRPr="002C7F6D">
        <w:rPr>
          <w:rFonts w:cs="Arial"/>
          <w:b/>
          <w:sz w:val="28"/>
          <w:szCs w:val="28"/>
        </w:rPr>
        <w:t xml:space="preserve">della Commissione </w:t>
      </w:r>
      <w:r w:rsidR="00594EBF">
        <w:rPr>
          <w:rFonts w:cs="Arial"/>
          <w:b/>
          <w:sz w:val="28"/>
          <w:szCs w:val="28"/>
        </w:rPr>
        <w:t>speciale e</w:t>
      </w:r>
      <w:r w:rsidRPr="002C7F6D">
        <w:rPr>
          <w:rFonts w:cs="Arial"/>
          <w:b/>
          <w:sz w:val="28"/>
          <w:szCs w:val="28"/>
        </w:rPr>
        <w:t>nergia</w:t>
      </w:r>
    </w:p>
    <w:p w:rsidR="003D7A8E" w:rsidRPr="00594EBF" w:rsidRDefault="003D7A8E" w:rsidP="003D7A8E">
      <w:pPr>
        <w:rPr>
          <w:rFonts w:cs="Arial"/>
          <w:b/>
          <w:sz w:val="28"/>
          <w:szCs w:val="28"/>
        </w:rPr>
      </w:pPr>
      <w:r w:rsidRPr="002C7F6D">
        <w:rPr>
          <w:rFonts w:cs="Arial"/>
          <w:b/>
          <w:sz w:val="28"/>
          <w:szCs w:val="28"/>
        </w:rPr>
        <w:t xml:space="preserve">sulla mozione </w:t>
      </w:r>
      <w:r w:rsidR="00594EBF">
        <w:rPr>
          <w:rFonts w:cs="Arial"/>
          <w:b/>
          <w:sz w:val="28"/>
          <w:szCs w:val="28"/>
        </w:rPr>
        <w:t xml:space="preserve">18 febbraio 2014 </w:t>
      </w:r>
      <w:r w:rsidRPr="002C7F6D">
        <w:rPr>
          <w:rFonts w:cs="Arial"/>
          <w:b/>
          <w:sz w:val="28"/>
          <w:szCs w:val="28"/>
        </w:rPr>
        <w:t xml:space="preserve">presentata da Bruno Storni e cofirmatari </w:t>
      </w:r>
      <w:r w:rsidRPr="00594EBF">
        <w:rPr>
          <w:rFonts w:cs="Arial"/>
          <w:b/>
          <w:sz w:val="28"/>
          <w:szCs w:val="28"/>
        </w:rPr>
        <w:t>“Creare le basi legali per l'estensione generalizzata obbligatoria della tassa di concessione per l'uso speciale del suolo pubblico a tutte le reti di distribuzione di vettori energetici e reti di teleriscaldamento”</w:t>
      </w:r>
    </w:p>
    <w:p w:rsidR="003D7A8E" w:rsidRPr="00594EBF" w:rsidRDefault="00594EBF" w:rsidP="00594EBF">
      <w:pPr>
        <w:spacing w:before="100"/>
        <w:rPr>
          <w:rFonts w:cs="Arial"/>
          <w:b/>
          <w:sz w:val="26"/>
          <w:szCs w:val="26"/>
        </w:rPr>
      </w:pPr>
      <w:r w:rsidRPr="00594EBF">
        <w:rPr>
          <w:rFonts w:cs="Arial"/>
          <w:b/>
          <w:sz w:val="26"/>
          <w:szCs w:val="26"/>
        </w:rPr>
        <w:t>(v. messaggio 20 giugno 2017 n. 7332)</w:t>
      </w:r>
    </w:p>
    <w:p w:rsidR="003D7A8E" w:rsidRDefault="003D7A8E" w:rsidP="003D7A8E">
      <w:pPr>
        <w:rPr>
          <w:rFonts w:cs="Arial"/>
        </w:rPr>
      </w:pPr>
    </w:p>
    <w:p w:rsidR="00594EBF" w:rsidRDefault="00594EBF" w:rsidP="003D7A8E">
      <w:pPr>
        <w:rPr>
          <w:rFonts w:cs="Arial"/>
        </w:rPr>
      </w:pPr>
    </w:p>
    <w:p w:rsidR="003D7A8E" w:rsidRDefault="003D7A8E" w:rsidP="003D7A8E">
      <w:pPr>
        <w:rPr>
          <w:rFonts w:cs="Arial"/>
        </w:rPr>
      </w:pPr>
    </w:p>
    <w:p w:rsidR="003D7A8E" w:rsidRPr="00594EBF" w:rsidRDefault="003D7A8E" w:rsidP="00594EBF">
      <w:pPr>
        <w:pStyle w:val="Titolo1"/>
      </w:pPr>
      <w:r w:rsidRPr="00594EBF">
        <w:t>Introduzione</w:t>
      </w:r>
    </w:p>
    <w:p w:rsidR="003D7A8E" w:rsidRDefault="003D7A8E" w:rsidP="003D7A8E">
      <w:pPr>
        <w:rPr>
          <w:rFonts w:cs="Arial"/>
          <w:szCs w:val="24"/>
        </w:rPr>
      </w:pPr>
      <w:r>
        <w:rPr>
          <w:rFonts w:cs="Arial"/>
          <w:szCs w:val="24"/>
        </w:rPr>
        <w:t xml:space="preserve">L’atto parlamentare </w:t>
      </w:r>
      <w:r w:rsidRPr="000A2575">
        <w:rPr>
          <w:rFonts w:cs="Arial"/>
          <w:szCs w:val="24"/>
        </w:rPr>
        <w:t xml:space="preserve">chiede che il Consiglio di Stato </w:t>
      </w:r>
      <w:r>
        <w:rPr>
          <w:rFonts w:cs="Arial"/>
          <w:szCs w:val="24"/>
        </w:rPr>
        <w:t>prenda le opportune misure e</w:t>
      </w:r>
      <w:r w:rsidRPr="000A2575">
        <w:rPr>
          <w:rFonts w:cs="Arial"/>
          <w:szCs w:val="24"/>
        </w:rPr>
        <w:t xml:space="preserve"> defini</w:t>
      </w:r>
      <w:r>
        <w:rPr>
          <w:rFonts w:cs="Arial"/>
          <w:szCs w:val="24"/>
        </w:rPr>
        <w:t xml:space="preserve">sca </w:t>
      </w:r>
      <w:r w:rsidRPr="000A2575">
        <w:rPr>
          <w:rFonts w:cs="Arial"/>
          <w:szCs w:val="24"/>
        </w:rPr>
        <w:t>il quadro legale per assoggettare tutti i servizi di distribuzione di energia e di telecomunicazione che fanno uso del (sotto)suolo.</w:t>
      </w:r>
    </w:p>
    <w:p w:rsidR="003D7A8E" w:rsidRPr="000A2575" w:rsidRDefault="003D7A8E" w:rsidP="003D7A8E">
      <w:pPr>
        <w:rPr>
          <w:rFonts w:cs="Arial"/>
          <w:szCs w:val="24"/>
        </w:rPr>
      </w:pPr>
    </w:p>
    <w:p w:rsidR="003D7A8E" w:rsidRPr="000A2575" w:rsidRDefault="003D7A8E" w:rsidP="003D7A8E">
      <w:pPr>
        <w:rPr>
          <w:rFonts w:cs="Arial"/>
          <w:szCs w:val="24"/>
        </w:rPr>
      </w:pPr>
      <w:r w:rsidRPr="000A2575">
        <w:rPr>
          <w:rFonts w:cs="Arial"/>
          <w:szCs w:val="24"/>
        </w:rPr>
        <w:t xml:space="preserve">Secondo i </w:t>
      </w:r>
      <w:proofErr w:type="spellStart"/>
      <w:r w:rsidRPr="000A2575">
        <w:rPr>
          <w:rFonts w:cs="Arial"/>
          <w:szCs w:val="24"/>
        </w:rPr>
        <w:t>mozionanti</w:t>
      </w:r>
      <w:proofErr w:type="spellEnd"/>
      <w:r w:rsidRPr="000A2575">
        <w:rPr>
          <w:rFonts w:cs="Arial"/>
          <w:szCs w:val="24"/>
        </w:rPr>
        <w:t xml:space="preserve"> </w:t>
      </w:r>
      <w:r>
        <w:rPr>
          <w:rFonts w:cs="Arial"/>
          <w:szCs w:val="24"/>
        </w:rPr>
        <w:t>«</w:t>
      </w:r>
      <w:r w:rsidRPr="001F57AF">
        <w:rPr>
          <w:rFonts w:cs="Arial"/>
          <w:i/>
          <w:szCs w:val="24"/>
        </w:rPr>
        <w:t xml:space="preserve">la recente decisione del Parlamento di confermare il prelievo di una tassa speciale per l’uso del suolo pubblico per le reti di distribuzione di energia elettrica (art. 14 </w:t>
      </w:r>
      <w:proofErr w:type="spellStart"/>
      <w:r w:rsidRPr="001F57AF">
        <w:rPr>
          <w:rFonts w:cs="Arial"/>
          <w:i/>
          <w:szCs w:val="24"/>
        </w:rPr>
        <w:t>LAEl</w:t>
      </w:r>
      <w:proofErr w:type="spellEnd"/>
      <w:r w:rsidRPr="001F57AF">
        <w:rPr>
          <w:rFonts w:cs="Arial"/>
          <w:i/>
          <w:szCs w:val="24"/>
        </w:rPr>
        <w:t>), adottando un tariffario in funzione della superficie delle strade comunali e cantonali, anziché in funzione dei consumi di energia elettrica erogata in ogni singolo Comune (messaggio n. 6249 del 08.07.2009), ha definitivamente consolidato il principio del pagamento di una concessione ai Comuni (e al Cantone; fatto nuovo, quest’ultimo) per la distribuzione dell’energia elettrica</w:t>
      </w:r>
      <w:r>
        <w:rPr>
          <w:rFonts w:cs="Arial"/>
          <w:szCs w:val="24"/>
        </w:rPr>
        <w:t>»</w:t>
      </w:r>
      <w:r w:rsidRPr="000A2575">
        <w:rPr>
          <w:rFonts w:cs="Arial"/>
          <w:szCs w:val="24"/>
        </w:rPr>
        <w:t>.</w:t>
      </w:r>
    </w:p>
    <w:p w:rsidR="003D7A8E" w:rsidRPr="000A2575" w:rsidRDefault="003D7A8E" w:rsidP="003D7A8E">
      <w:pPr>
        <w:rPr>
          <w:rFonts w:cs="Arial"/>
          <w:szCs w:val="24"/>
        </w:rPr>
      </w:pPr>
    </w:p>
    <w:p w:rsidR="003D7A8E" w:rsidRPr="000A2575" w:rsidRDefault="003D7A8E" w:rsidP="003D7A8E">
      <w:pPr>
        <w:rPr>
          <w:rFonts w:cs="Arial"/>
          <w:szCs w:val="24"/>
        </w:rPr>
      </w:pPr>
      <w:r w:rsidRPr="000A2575">
        <w:rPr>
          <w:rFonts w:cs="Arial"/>
          <w:szCs w:val="24"/>
        </w:rPr>
        <w:t xml:space="preserve">Una modifica che, sempre a detta dei </w:t>
      </w:r>
      <w:proofErr w:type="spellStart"/>
      <w:r w:rsidRPr="000A2575">
        <w:rPr>
          <w:rFonts w:cs="Arial"/>
          <w:szCs w:val="24"/>
        </w:rPr>
        <w:t>mozionanti</w:t>
      </w:r>
      <w:proofErr w:type="spellEnd"/>
      <w:r w:rsidRPr="000A2575">
        <w:rPr>
          <w:rFonts w:cs="Arial"/>
          <w:szCs w:val="24"/>
        </w:rPr>
        <w:t>, comporterebbe per i Comuni una notevole diminuzione delle entrate sia per rapporto al compenso di privativa antecedente sia per rapporto alla soluzione transitoria in vigore dal 2009. Tale regime è tuttavia limitato al vettore elettrico</w:t>
      </w:r>
      <w:r>
        <w:rPr>
          <w:rFonts w:cs="Arial"/>
          <w:szCs w:val="24"/>
        </w:rPr>
        <w:t>,</w:t>
      </w:r>
      <w:r w:rsidRPr="000A2575">
        <w:rPr>
          <w:rFonts w:cs="Arial"/>
          <w:szCs w:val="24"/>
        </w:rPr>
        <w:t xml:space="preserve"> mentre non vengono considerati altri servizi che utilizzano il suolo pubblico e che per questioni di parità di trattamento e concorrenza dovrebbero essere sottoposti alle medesime condizioni imposte alle reti di distribuzione di energia elettrica.</w:t>
      </w:r>
    </w:p>
    <w:p w:rsidR="003D7A8E" w:rsidRPr="000A2575" w:rsidRDefault="003D7A8E" w:rsidP="003D7A8E">
      <w:pPr>
        <w:rPr>
          <w:rFonts w:cs="Arial"/>
          <w:szCs w:val="24"/>
        </w:rPr>
      </w:pPr>
    </w:p>
    <w:p w:rsidR="003D7A8E" w:rsidRPr="000A2575" w:rsidRDefault="003D7A8E" w:rsidP="003D7A8E">
      <w:pPr>
        <w:rPr>
          <w:rFonts w:cs="Arial"/>
          <w:szCs w:val="24"/>
        </w:rPr>
      </w:pPr>
    </w:p>
    <w:p w:rsidR="003D7A8E" w:rsidRDefault="003D7A8E" w:rsidP="00594EBF">
      <w:pPr>
        <w:pStyle w:val="Titolo1"/>
      </w:pPr>
      <w:r>
        <w:t>La posizione del Consiglio di stato</w:t>
      </w:r>
    </w:p>
    <w:p w:rsidR="003D7A8E" w:rsidRPr="008C14D1" w:rsidRDefault="003D7A8E" w:rsidP="003D7A8E">
      <w:pPr>
        <w:tabs>
          <w:tab w:val="left" w:pos="708"/>
        </w:tabs>
        <w:rPr>
          <w:rFonts w:eastAsia="Calibri" w:cs="Arial"/>
          <w:b/>
        </w:rPr>
      </w:pPr>
      <w:r>
        <w:rPr>
          <w:rFonts w:cs="Arial"/>
          <w:szCs w:val="24"/>
        </w:rPr>
        <w:t xml:space="preserve">Con il messaggio </w:t>
      </w:r>
      <w:r w:rsidR="009E3D90">
        <w:rPr>
          <w:rFonts w:cs="Arial"/>
          <w:szCs w:val="24"/>
        </w:rPr>
        <w:t xml:space="preserve">n. </w:t>
      </w:r>
      <w:r w:rsidRPr="003956BF">
        <w:rPr>
          <w:rFonts w:cs="Arial"/>
          <w:szCs w:val="24"/>
        </w:rPr>
        <w:t>7332</w:t>
      </w:r>
      <w:r>
        <w:rPr>
          <w:rFonts w:cs="Arial"/>
          <w:szCs w:val="24"/>
        </w:rPr>
        <w:t xml:space="preserve"> il Consiglio di Stato </w:t>
      </w:r>
      <w:r w:rsidRPr="008C14D1">
        <w:rPr>
          <w:rFonts w:eastAsia="Calibri" w:cs="Arial"/>
        </w:rPr>
        <w:t>valuta negativ</w:t>
      </w:r>
      <w:r>
        <w:rPr>
          <w:rFonts w:eastAsia="Calibri" w:cs="Arial"/>
        </w:rPr>
        <w:t xml:space="preserve">amente la richiesta </w:t>
      </w:r>
      <w:r w:rsidRPr="008C14D1">
        <w:rPr>
          <w:rFonts w:eastAsia="Calibri" w:cs="Arial"/>
        </w:rPr>
        <w:t>di estensione della tassa per l’uso del demanio pubblico prevista dagli art. 14 e 14a LA-</w:t>
      </w:r>
      <w:proofErr w:type="spellStart"/>
      <w:r w:rsidRPr="008C14D1">
        <w:rPr>
          <w:rFonts w:eastAsia="Calibri" w:cs="Arial"/>
        </w:rPr>
        <w:t>LAEl</w:t>
      </w:r>
      <w:proofErr w:type="spellEnd"/>
      <w:r w:rsidRPr="008C14D1">
        <w:rPr>
          <w:rFonts w:eastAsia="Calibri" w:cs="Arial"/>
        </w:rPr>
        <w:t xml:space="preserve"> ad altri vettori energetici quali gas</w:t>
      </w:r>
      <w:r>
        <w:rPr>
          <w:rFonts w:eastAsia="Calibri" w:cs="Arial"/>
        </w:rPr>
        <w:t xml:space="preserve"> e </w:t>
      </w:r>
      <w:r w:rsidRPr="008C14D1">
        <w:rPr>
          <w:rFonts w:eastAsia="Calibri" w:cs="Arial"/>
        </w:rPr>
        <w:t xml:space="preserve">teleriscaldamento e al </w:t>
      </w:r>
      <w:r>
        <w:rPr>
          <w:rFonts w:eastAsia="Calibri" w:cs="Arial"/>
        </w:rPr>
        <w:t>settore delle telecomunicazioni e invita a non accoglie</w:t>
      </w:r>
      <w:r w:rsidRPr="009936E3">
        <w:rPr>
          <w:rFonts w:eastAsia="Calibri" w:cs="Arial"/>
        </w:rPr>
        <w:t xml:space="preserve">re </w:t>
      </w:r>
      <w:r>
        <w:rPr>
          <w:rFonts w:eastAsia="Calibri" w:cs="Arial"/>
        </w:rPr>
        <w:t xml:space="preserve">la </w:t>
      </w:r>
      <w:r w:rsidRPr="009936E3">
        <w:rPr>
          <w:rFonts w:eastAsia="Calibri" w:cs="Arial"/>
        </w:rPr>
        <w:t>proposta della mozione.</w:t>
      </w:r>
    </w:p>
    <w:p w:rsidR="003D7A8E" w:rsidRPr="0052286E" w:rsidRDefault="003D7A8E" w:rsidP="003D7A8E">
      <w:pPr>
        <w:tabs>
          <w:tab w:val="left" w:pos="708"/>
        </w:tabs>
        <w:rPr>
          <w:rFonts w:cs="Arial"/>
          <w:szCs w:val="24"/>
        </w:rPr>
      </w:pPr>
    </w:p>
    <w:p w:rsidR="003D7A8E" w:rsidRDefault="003D7A8E" w:rsidP="003D7A8E">
      <w:pPr>
        <w:rPr>
          <w:rFonts w:cs="Arial"/>
          <w:i/>
          <w:szCs w:val="24"/>
        </w:rPr>
      </w:pPr>
      <w:r w:rsidRPr="009936E3">
        <w:rPr>
          <w:rFonts w:cs="Arial"/>
          <w:szCs w:val="24"/>
        </w:rPr>
        <w:t xml:space="preserve">Il tema era già stato affrontato nel </w:t>
      </w:r>
      <w:r>
        <w:rPr>
          <w:rFonts w:cs="Arial"/>
          <w:szCs w:val="24"/>
        </w:rPr>
        <w:t>m</w:t>
      </w:r>
      <w:r w:rsidRPr="009936E3">
        <w:rPr>
          <w:rFonts w:cs="Arial"/>
          <w:szCs w:val="24"/>
        </w:rPr>
        <w:t xml:space="preserve">essaggio </w:t>
      </w:r>
      <w:r w:rsidR="009E3D90">
        <w:rPr>
          <w:rFonts w:cs="Arial"/>
          <w:szCs w:val="24"/>
        </w:rPr>
        <w:t xml:space="preserve">n. </w:t>
      </w:r>
      <w:r w:rsidRPr="009936E3">
        <w:rPr>
          <w:rFonts w:cs="Arial"/>
          <w:szCs w:val="24"/>
        </w:rPr>
        <w:t>6775 relativo alla modifica della LA-</w:t>
      </w:r>
      <w:proofErr w:type="spellStart"/>
      <w:r w:rsidRPr="009936E3">
        <w:rPr>
          <w:rFonts w:cs="Arial"/>
          <w:szCs w:val="24"/>
        </w:rPr>
        <w:t>LAEl</w:t>
      </w:r>
      <w:proofErr w:type="spellEnd"/>
      <w:r w:rsidRPr="009936E3">
        <w:rPr>
          <w:rFonts w:cs="Arial"/>
          <w:szCs w:val="24"/>
        </w:rPr>
        <w:t xml:space="preserve"> arrivando alla conclusione che</w:t>
      </w:r>
      <w:r>
        <w:rPr>
          <w:rFonts w:cs="Arial"/>
          <w:i/>
          <w:szCs w:val="24"/>
        </w:rPr>
        <w:t xml:space="preserve"> </w:t>
      </w:r>
      <w:r>
        <w:rPr>
          <w:rFonts w:cs="Arial"/>
          <w:szCs w:val="24"/>
        </w:rPr>
        <w:t>«</w:t>
      </w:r>
      <w:r w:rsidRPr="0052286E">
        <w:rPr>
          <w:rFonts w:cs="Arial"/>
          <w:i/>
          <w:szCs w:val="24"/>
        </w:rPr>
        <w:t>la legge federale in questione e quella cantonale di applicazione sono riferite unicamente all’approvvigionamento di energia elettrica</w:t>
      </w:r>
      <w:r>
        <w:rPr>
          <w:rFonts w:cs="Arial"/>
          <w:szCs w:val="24"/>
        </w:rPr>
        <w:t>»</w:t>
      </w:r>
      <w:r>
        <w:rPr>
          <w:rFonts w:cs="Arial"/>
          <w:i/>
          <w:szCs w:val="24"/>
        </w:rPr>
        <w:t xml:space="preserve"> </w:t>
      </w:r>
      <w:r w:rsidRPr="00825435">
        <w:rPr>
          <w:rFonts w:cs="Arial"/>
          <w:szCs w:val="24"/>
        </w:rPr>
        <w:t>e che</w:t>
      </w:r>
      <w:r>
        <w:rPr>
          <w:rFonts w:cs="Arial"/>
          <w:i/>
          <w:szCs w:val="24"/>
        </w:rPr>
        <w:t xml:space="preserve"> </w:t>
      </w:r>
      <w:r>
        <w:rPr>
          <w:rFonts w:cs="Arial"/>
          <w:szCs w:val="24"/>
        </w:rPr>
        <w:t>«</w:t>
      </w:r>
      <w:r w:rsidRPr="0052286E">
        <w:rPr>
          <w:rFonts w:cs="Arial"/>
          <w:i/>
          <w:szCs w:val="24"/>
        </w:rPr>
        <w:t>una soluzio</w:t>
      </w:r>
      <w:r>
        <w:rPr>
          <w:rFonts w:cs="Arial"/>
          <w:i/>
          <w:szCs w:val="24"/>
        </w:rPr>
        <w:t>ne analoga in materia di conces</w:t>
      </w:r>
      <w:r w:rsidRPr="0052286E">
        <w:rPr>
          <w:rFonts w:cs="Arial"/>
          <w:i/>
          <w:szCs w:val="24"/>
        </w:rPr>
        <w:t xml:space="preserve">sione dell'uso speciale delle strade per il </w:t>
      </w:r>
      <w:r w:rsidRPr="0052286E">
        <w:rPr>
          <w:rFonts w:cs="Arial"/>
          <w:i/>
          <w:szCs w:val="24"/>
        </w:rPr>
        <w:lastRenderedPageBreak/>
        <w:t>passaggio di altri vettori dev’essere valutata in un’ottica di politica energetica globale e soprattutto con conoscenza e cognizione di causa</w:t>
      </w:r>
      <w:r>
        <w:rPr>
          <w:rFonts w:cs="Arial"/>
          <w:szCs w:val="24"/>
        </w:rPr>
        <w:t>»</w:t>
      </w:r>
      <w:r w:rsidRPr="001F57AF">
        <w:rPr>
          <w:rFonts w:cs="Arial"/>
          <w:szCs w:val="24"/>
        </w:rPr>
        <w:t>.</w:t>
      </w:r>
    </w:p>
    <w:p w:rsidR="003D7A8E" w:rsidRPr="00AC7A8B" w:rsidRDefault="003D7A8E" w:rsidP="003D7A8E">
      <w:pPr>
        <w:rPr>
          <w:rFonts w:cs="Arial"/>
          <w:szCs w:val="24"/>
        </w:rPr>
      </w:pPr>
    </w:p>
    <w:p w:rsidR="003D7A8E" w:rsidRDefault="003D7A8E" w:rsidP="003D7A8E">
      <w:pPr>
        <w:rPr>
          <w:rFonts w:cs="Arial"/>
          <w:szCs w:val="24"/>
        </w:rPr>
      </w:pPr>
      <w:r>
        <w:rPr>
          <w:rFonts w:cs="Arial"/>
          <w:szCs w:val="24"/>
        </w:rPr>
        <w:t>Il Governo ricorda che con l’</w:t>
      </w:r>
      <w:r w:rsidRPr="0052286E">
        <w:rPr>
          <w:rFonts w:cs="Arial"/>
          <w:szCs w:val="24"/>
        </w:rPr>
        <w:t xml:space="preserve">entrata in vigore </w:t>
      </w:r>
      <w:r>
        <w:rPr>
          <w:rFonts w:cs="Arial"/>
          <w:szCs w:val="24"/>
        </w:rPr>
        <w:t>del</w:t>
      </w:r>
      <w:r w:rsidRPr="0052286E">
        <w:rPr>
          <w:rFonts w:cs="Arial"/>
          <w:szCs w:val="24"/>
        </w:rPr>
        <w:t xml:space="preserve">la Legge federale sull’approvvigionamento elettrico </w:t>
      </w:r>
      <w:proofErr w:type="spellStart"/>
      <w:r w:rsidRPr="0052286E">
        <w:rPr>
          <w:rFonts w:cs="Arial"/>
          <w:szCs w:val="24"/>
        </w:rPr>
        <w:t>LAEl</w:t>
      </w:r>
      <w:proofErr w:type="spellEnd"/>
      <w:r>
        <w:rPr>
          <w:rFonts w:cs="Arial"/>
          <w:szCs w:val="24"/>
        </w:rPr>
        <w:t xml:space="preserve"> </w:t>
      </w:r>
      <w:r w:rsidRPr="0052286E">
        <w:rPr>
          <w:rFonts w:cs="Arial"/>
          <w:szCs w:val="24"/>
        </w:rPr>
        <w:t>le attività di distribuzione di energia elettrica</w:t>
      </w:r>
      <w:r>
        <w:rPr>
          <w:rFonts w:cs="Arial"/>
          <w:szCs w:val="24"/>
        </w:rPr>
        <w:t xml:space="preserve"> e le attività legate alla rete, fino ad allora </w:t>
      </w:r>
      <w:r w:rsidRPr="0052286E">
        <w:rPr>
          <w:rFonts w:cs="Arial"/>
          <w:szCs w:val="24"/>
        </w:rPr>
        <w:t>disciplinate dal diritto cantonale</w:t>
      </w:r>
      <w:r>
        <w:rPr>
          <w:rFonts w:cs="Arial"/>
          <w:szCs w:val="24"/>
        </w:rPr>
        <w:t>, sono ora sottomesse a</w:t>
      </w:r>
      <w:r w:rsidRPr="0052286E">
        <w:rPr>
          <w:rFonts w:cs="Arial"/>
          <w:szCs w:val="24"/>
        </w:rPr>
        <w:t xml:space="preserve">l diritto federale </w:t>
      </w:r>
      <w:r>
        <w:rPr>
          <w:rFonts w:cs="Arial"/>
          <w:szCs w:val="24"/>
        </w:rPr>
        <w:t>che disciplina</w:t>
      </w:r>
      <w:r w:rsidRPr="0052286E">
        <w:rPr>
          <w:rFonts w:cs="Arial"/>
          <w:szCs w:val="24"/>
        </w:rPr>
        <w:t xml:space="preserve"> il settore elettrico direttamente e in modo diverso da quello vigente nel nostro Cantone. </w:t>
      </w:r>
    </w:p>
    <w:p w:rsidR="003D7A8E" w:rsidRPr="0052286E" w:rsidRDefault="003D7A8E" w:rsidP="003D7A8E">
      <w:pPr>
        <w:rPr>
          <w:rFonts w:cs="Arial"/>
          <w:szCs w:val="24"/>
        </w:rPr>
      </w:pPr>
    </w:p>
    <w:p w:rsidR="003D7A8E" w:rsidRPr="0052286E" w:rsidRDefault="003D7A8E" w:rsidP="003D7A8E">
      <w:pPr>
        <w:rPr>
          <w:rFonts w:cs="Arial"/>
          <w:szCs w:val="24"/>
        </w:rPr>
      </w:pPr>
      <w:r>
        <w:rPr>
          <w:rFonts w:cs="Arial"/>
          <w:szCs w:val="24"/>
        </w:rPr>
        <w:t>Dunque i</w:t>
      </w:r>
      <w:r w:rsidRPr="0052286E">
        <w:rPr>
          <w:rFonts w:cs="Arial"/>
          <w:szCs w:val="24"/>
        </w:rPr>
        <w:t xml:space="preserve"> monopoli di </w:t>
      </w:r>
      <w:r>
        <w:rPr>
          <w:rFonts w:cs="Arial"/>
          <w:szCs w:val="24"/>
        </w:rPr>
        <w:t xml:space="preserve">distribuzione ai clienti finali, prima regolati </w:t>
      </w:r>
      <w:r w:rsidRPr="0052286E">
        <w:rPr>
          <w:rFonts w:cs="Arial"/>
          <w:szCs w:val="24"/>
        </w:rPr>
        <w:t>dalla LMSP e dalla LAET</w:t>
      </w:r>
      <w:r>
        <w:rPr>
          <w:rFonts w:cs="Arial"/>
          <w:szCs w:val="24"/>
        </w:rPr>
        <w:t>,</w:t>
      </w:r>
      <w:r w:rsidRPr="0052286E">
        <w:rPr>
          <w:rFonts w:cs="Arial"/>
          <w:szCs w:val="24"/>
        </w:rPr>
        <w:t xml:space="preserve"> sono stati soppressi</w:t>
      </w:r>
      <w:r>
        <w:rPr>
          <w:rFonts w:cs="Arial"/>
          <w:szCs w:val="24"/>
        </w:rPr>
        <w:t xml:space="preserve"> per adeguare</w:t>
      </w:r>
      <w:r w:rsidRPr="0052286E">
        <w:rPr>
          <w:rFonts w:cs="Arial"/>
          <w:szCs w:val="24"/>
        </w:rPr>
        <w:t xml:space="preserve"> le regole </w:t>
      </w:r>
      <w:r>
        <w:rPr>
          <w:rFonts w:cs="Arial"/>
          <w:szCs w:val="24"/>
        </w:rPr>
        <w:t xml:space="preserve">al diritto federale. Le conseguenti </w:t>
      </w:r>
      <w:r w:rsidRPr="0052286E">
        <w:rPr>
          <w:rFonts w:cs="Arial"/>
          <w:szCs w:val="24"/>
        </w:rPr>
        <w:t>modifiche legislative</w:t>
      </w:r>
      <w:r>
        <w:rPr>
          <w:rFonts w:cs="Arial"/>
          <w:szCs w:val="24"/>
        </w:rPr>
        <w:t xml:space="preserve"> a livello cantonale hanno portato all’</w:t>
      </w:r>
      <w:r w:rsidRPr="0052286E">
        <w:rPr>
          <w:rFonts w:cs="Arial"/>
          <w:szCs w:val="24"/>
        </w:rPr>
        <w:t>ado</w:t>
      </w:r>
      <w:r>
        <w:rPr>
          <w:rFonts w:cs="Arial"/>
          <w:szCs w:val="24"/>
        </w:rPr>
        <w:t>zione del</w:t>
      </w:r>
      <w:r w:rsidRPr="0052286E">
        <w:rPr>
          <w:rFonts w:cs="Arial"/>
          <w:szCs w:val="24"/>
        </w:rPr>
        <w:t>la LA-</w:t>
      </w:r>
      <w:proofErr w:type="spellStart"/>
      <w:r w:rsidRPr="0052286E">
        <w:rPr>
          <w:rFonts w:cs="Arial"/>
          <w:szCs w:val="24"/>
        </w:rPr>
        <w:t>LAEl</w:t>
      </w:r>
      <w:proofErr w:type="spellEnd"/>
      <w:r>
        <w:rPr>
          <w:rFonts w:cs="Arial"/>
          <w:szCs w:val="24"/>
        </w:rPr>
        <w:t xml:space="preserve"> e l</w:t>
      </w:r>
      <w:r w:rsidRPr="0052286E">
        <w:rPr>
          <w:rFonts w:cs="Arial"/>
          <w:szCs w:val="24"/>
        </w:rPr>
        <w:t>e concessioni</w:t>
      </w:r>
      <w:r>
        <w:rPr>
          <w:rFonts w:cs="Arial"/>
          <w:szCs w:val="24"/>
        </w:rPr>
        <w:t>,</w:t>
      </w:r>
      <w:r w:rsidRPr="0052286E">
        <w:rPr>
          <w:rFonts w:cs="Arial"/>
          <w:szCs w:val="24"/>
        </w:rPr>
        <w:t xml:space="preserve"> </w:t>
      </w:r>
      <w:r>
        <w:rPr>
          <w:rFonts w:cs="Arial"/>
          <w:szCs w:val="24"/>
        </w:rPr>
        <w:t xml:space="preserve">che </w:t>
      </w:r>
      <w:r w:rsidRPr="0052286E">
        <w:rPr>
          <w:rFonts w:cs="Arial"/>
          <w:szCs w:val="24"/>
        </w:rPr>
        <w:t>si fondavano sul presupposto che il Comune era titolare del monopolio del servizio pubblico</w:t>
      </w:r>
      <w:r>
        <w:rPr>
          <w:rFonts w:cs="Arial"/>
          <w:szCs w:val="24"/>
        </w:rPr>
        <w:t xml:space="preserve">, </w:t>
      </w:r>
      <w:r w:rsidRPr="0052286E">
        <w:rPr>
          <w:rFonts w:cs="Arial"/>
          <w:szCs w:val="24"/>
        </w:rPr>
        <w:t>sono decadute</w:t>
      </w:r>
      <w:r>
        <w:rPr>
          <w:rFonts w:cs="Arial"/>
          <w:szCs w:val="24"/>
        </w:rPr>
        <w:t xml:space="preserve"> e con esse anche </w:t>
      </w:r>
      <w:r w:rsidRPr="0052286E">
        <w:rPr>
          <w:rFonts w:cs="Arial"/>
          <w:szCs w:val="24"/>
        </w:rPr>
        <w:t>i</w:t>
      </w:r>
      <w:r>
        <w:rPr>
          <w:rFonts w:cs="Arial"/>
          <w:szCs w:val="24"/>
        </w:rPr>
        <w:t>l tributo di concessione</w:t>
      </w:r>
      <w:r w:rsidRPr="0052286E">
        <w:rPr>
          <w:rFonts w:cs="Arial"/>
          <w:szCs w:val="24"/>
        </w:rPr>
        <w:t xml:space="preserve"> conosciuto con il nome di “privativa”</w:t>
      </w:r>
      <w:r>
        <w:rPr>
          <w:rFonts w:cs="Arial"/>
          <w:szCs w:val="24"/>
        </w:rPr>
        <w:t xml:space="preserve"> che era </w:t>
      </w:r>
      <w:r w:rsidRPr="0052286E">
        <w:rPr>
          <w:rFonts w:cs="Arial"/>
          <w:szCs w:val="24"/>
        </w:rPr>
        <w:t>previsto dalla LMSP.</w:t>
      </w:r>
    </w:p>
    <w:p w:rsidR="003D7A8E" w:rsidRDefault="003D7A8E" w:rsidP="003D7A8E">
      <w:pPr>
        <w:rPr>
          <w:rFonts w:cs="Arial"/>
          <w:szCs w:val="24"/>
        </w:rPr>
      </w:pPr>
    </w:p>
    <w:p w:rsidR="003D7A8E" w:rsidRPr="0052286E" w:rsidRDefault="003D7A8E" w:rsidP="003D7A8E">
      <w:pPr>
        <w:rPr>
          <w:rFonts w:cs="Arial"/>
          <w:szCs w:val="24"/>
        </w:rPr>
      </w:pPr>
      <w:r>
        <w:rPr>
          <w:rFonts w:cs="Arial"/>
          <w:szCs w:val="24"/>
        </w:rPr>
        <w:t xml:space="preserve">Il </w:t>
      </w:r>
      <w:r w:rsidRPr="0052286E">
        <w:rPr>
          <w:rFonts w:cs="Arial"/>
          <w:szCs w:val="24"/>
        </w:rPr>
        <w:t>Parlamento</w:t>
      </w:r>
      <w:r>
        <w:rPr>
          <w:rFonts w:cs="Arial"/>
          <w:szCs w:val="24"/>
        </w:rPr>
        <w:t>,</w:t>
      </w:r>
      <w:r w:rsidRPr="0052286E">
        <w:rPr>
          <w:rFonts w:cs="Arial"/>
          <w:szCs w:val="24"/>
        </w:rPr>
        <w:t xml:space="preserve"> </w:t>
      </w:r>
      <w:r>
        <w:rPr>
          <w:rFonts w:cs="Arial"/>
          <w:szCs w:val="24"/>
        </w:rPr>
        <w:t xml:space="preserve">per </w:t>
      </w:r>
      <w:r w:rsidRPr="0052286E">
        <w:rPr>
          <w:rFonts w:cs="Arial"/>
          <w:szCs w:val="24"/>
        </w:rPr>
        <w:t xml:space="preserve">evitare </w:t>
      </w:r>
      <w:r>
        <w:rPr>
          <w:rFonts w:cs="Arial"/>
          <w:szCs w:val="24"/>
        </w:rPr>
        <w:t xml:space="preserve">una importante perdita di entrate finanziarie a carico dei </w:t>
      </w:r>
      <w:r w:rsidRPr="0052286E">
        <w:rPr>
          <w:rFonts w:cs="Arial"/>
          <w:szCs w:val="24"/>
        </w:rPr>
        <w:t>Comuni</w:t>
      </w:r>
      <w:r>
        <w:rPr>
          <w:rFonts w:cs="Arial"/>
          <w:szCs w:val="24"/>
        </w:rPr>
        <w:t>,</w:t>
      </w:r>
      <w:r w:rsidRPr="0052286E">
        <w:rPr>
          <w:rFonts w:cs="Arial"/>
          <w:szCs w:val="24"/>
        </w:rPr>
        <w:t xml:space="preserve"> aveva introdotto una nuova tassa di 2 </w:t>
      </w:r>
      <w:proofErr w:type="spellStart"/>
      <w:r w:rsidRPr="0052286E">
        <w:rPr>
          <w:rFonts w:cs="Arial"/>
          <w:szCs w:val="24"/>
        </w:rPr>
        <w:t>cts</w:t>
      </w:r>
      <w:proofErr w:type="spellEnd"/>
      <w:r w:rsidRPr="0052286E">
        <w:rPr>
          <w:rFonts w:cs="Arial"/>
          <w:szCs w:val="24"/>
        </w:rPr>
        <w:t>/kWh a carico dei consumatori finali</w:t>
      </w:r>
      <w:r>
        <w:rPr>
          <w:rFonts w:cs="Arial"/>
          <w:szCs w:val="24"/>
        </w:rPr>
        <w:t xml:space="preserve">. Tale impostazione </w:t>
      </w:r>
      <w:r w:rsidRPr="0052286E">
        <w:rPr>
          <w:rFonts w:cs="Arial"/>
          <w:szCs w:val="24"/>
        </w:rPr>
        <w:t xml:space="preserve">è stata tuttavia contestata </w:t>
      </w:r>
      <w:r>
        <w:rPr>
          <w:rFonts w:cs="Arial"/>
          <w:szCs w:val="24"/>
        </w:rPr>
        <w:t>tramite ricorso accolto da</w:t>
      </w:r>
      <w:r w:rsidRPr="0052286E">
        <w:rPr>
          <w:rFonts w:cs="Arial"/>
          <w:szCs w:val="24"/>
        </w:rPr>
        <w:t>l T</w:t>
      </w:r>
      <w:r>
        <w:rPr>
          <w:rFonts w:cs="Arial"/>
          <w:szCs w:val="24"/>
        </w:rPr>
        <w:t xml:space="preserve">ribunale </w:t>
      </w:r>
      <w:r w:rsidRPr="0052286E">
        <w:rPr>
          <w:rFonts w:cs="Arial"/>
          <w:szCs w:val="24"/>
        </w:rPr>
        <w:t>F</w:t>
      </w:r>
      <w:r>
        <w:rPr>
          <w:rFonts w:cs="Arial"/>
          <w:szCs w:val="24"/>
        </w:rPr>
        <w:t>ederale,</w:t>
      </w:r>
      <w:r w:rsidRPr="0052286E">
        <w:rPr>
          <w:rFonts w:cs="Arial"/>
          <w:szCs w:val="24"/>
        </w:rPr>
        <w:t xml:space="preserve"> </w:t>
      </w:r>
      <w:r>
        <w:rPr>
          <w:rFonts w:cs="Arial"/>
          <w:szCs w:val="24"/>
        </w:rPr>
        <w:t xml:space="preserve">che </w:t>
      </w:r>
      <w:r w:rsidRPr="0052286E">
        <w:rPr>
          <w:rFonts w:cs="Arial"/>
          <w:szCs w:val="24"/>
        </w:rPr>
        <w:t xml:space="preserve">ha rilevato in particolare che </w:t>
      </w:r>
      <w:r>
        <w:rPr>
          <w:rFonts w:cs="Arial"/>
          <w:szCs w:val="24"/>
        </w:rPr>
        <w:t>«</w:t>
      </w:r>
      <w:r w:rsidRPr="002C7F6D">
        <w:rPr>
          <w:rFonts w:cs="Arial"/>
          <w:i/>
          <w:szCs w:val="24"/>
        </w:rPr>
        <w:t>il tributo in esame era per sua natura una tassa causale, che costituiva la controprestazione per la concessione dell’uso del suolo pubblico accordata ai gestori di rete; la sua diretta percezione presso i consumatori finali, invece che presso i gestori di rete, era quindi manifestamente insostenibile e con questo arbitraria</w:t>
      </w:r>
      <w:r>
        <w:rPr>
          <w:rFonts w:cs="Arial"/>
          <w:szCs w:val="24"/>
        </w:rPr>
        <w:t>»</w:t>
      </w:r>
      <w:r w:rsidRPr="0052286E">
        <w:rPr>
          <w:rFonts w:cs="Arial"/>
          <w:szCs w:val="24"/>
        </w:rPr>
        <w:t>.</w:t>
      </w:r>
    </w:p>
    <w:p w:rsidR="003D7A8E" w:rsidRPr="0052286E" w:rsidRDefault="003D7A8E" w:rsidP="003D7A8E">
      <w:pPr>
        <w:rPr>
          <w:rFonts w:cs="Arial"/>
          <w:szCs w:val="24"/>
        </w:rPr>
      </w:pPr>
    </w:p>
    <w:p w:rsidR="003D7A8E" w:rsidRDefault="003D7A8E" w:rsidP="003D7A8E">
      <w:pPr>
        <w:rPr>
          <w:rFonts w:cs="Arial"/>
          <w:szCs w:val="24"/>
        </w:rPr>
      </w:pPr>
      <w:r>
        <w:rPr>
          <w:rFonts w:cs="Arial"/>
          <w:szCs w:val="24"/>
        </w:rPr>
        <w:t xml:space="preserve">Per valutare una </w:t>
      </w:r>
      <w:r w:rsidRPr="0052286E">
        <w:rPr>
          <w:rFonts w:cs="Arial"/>
          <w:szCs w:val="24"/>
        </w:rPr>
        <w:t>nuova soluzione</w:t>
      </w:r>
      <w:r>
        <w:rPr>
          <w:rFonts w:cs="Arial"/>
          <w:szCs w:val="24"/>
        </w:rPr>
        <w:t xml:space="preserve"> conforme al diritto federale è stato chiesto un parere al </w:t>
      </w:r>
      <w:r w:rsidRPr="0052286E">
        <w:rPr>
          <w:rFonts w:cs="Arial"/>
          <w:szCs w:val="24"/>
        </w:rPr>
        <w:t xml:space="preserve">prof. Peter </w:t>
      </w:r>
      <w:proofErr w:type="spellStart"/>
      <w:r w:rsidRPr="0052286E">
        <w:rPr>
          <w:rFonts w:cs="Arial"/>
          <w:szCs w:val="24"/>
        </w:rPr>
        <w:t>Locher</w:t>
      </w:r>
      <w:proofErr w:type="spellEnd"/>
      <w:r w:rsidRPr="0052286E">
        <w:rPr>
          <w:rFonts w:cs="Arial"/>
          <w:szCs w:val="24"/>
        </w:rPr>
        <w:t xml:space="preserve">, che ha giudicato problematico </w:t>
      </w:r>
      <w:r>
        <w:rPr>
          <w:rFonts w:cs="Arial"/>
          <w:szCs w:val="24"/>
        </w:rPr>
        <w:t xml:space="preserve">attuare una </w:t>
      </w:r>
      <w:r w:rsidRPr="0052286E">
        <w:rPr>
          <w:rFonts w:cs="Arial"/>
          <w:szCs w:val="24"/>
        </w:rPr>
        <w:t>tassa</w:t>
      </w:r>
      <w:r>
        <w:rPr>
          <w:rFonts w:cs="Arial"/>
          <w:szCs w:val="24"/>
        </w:rPr>
        <w:t xml:space="preserve"> sulla </w:t>
      </w:r>
      <w:r w:rsidRPr="0052286E">
        <w:rPr>
          <w:rFonts w:cs="Arial"/>
          <w:szCs w:val="24"/>
        </w:rPr>
        <w:t>bas</w:t>
      </w:r>
      <w:r>
        <w:rPr>
          <w:rFonts w:cs="Arial"/>
          <w:szCs w:val="24"/>
        </w:rPr>
        <w:t>e del</w:t>
      </w:r>
      <w:r w:rsidRPr="0052286E">
        <w:rPr>
          <w:rFonts w:cs="Arial"/>
          <w:szCs w:val="24"/>
        </w:rPr>
        <w:t xml:space="preserve"> consumo di energia </w:t>
      </w:r>
      <w:r>
        <w:rPr>
          <w:rFonts w:cs="Arial"/>
          <w:szCs w:val="24"/>
        </w:rPr>
        <w:t>ritenendo più corretto applicare una tassa</w:t>
      </w:r>
      <w:r w:rsidRPr="0052286E">
        <w:rPr>
          <w:rFonts w:cs="Arial"/>
          <w:szCs w:val="24"/>
        </w:rPr>
        <w:t xml:space="preserve"> di concessione sull’infrastruttura</w:t>
      </w:r>
      <w:r>
        <w:rPr>
          <w:rFonts w:cs="Arial"/>
          <w:szCs w:val="24"/>
        </w:rPr>
        <w:t xml:space="preserve">. In </w:t>
      </w:r>
      <w:r w:rsidRPr="0052286E">
        <w:rPr>
          <w:rFonts w:cs="Arial"/>
          <w:szCs w:val="24"/>
        </w:rPr>
        <w:t xml:space="preserve">base </w:t>
      </w:r>
      <w:r>
        <w:rPr>
          <w:rFonts w:cs="Arial"/>
          <w:szCs w:val="24"/>
        </w:rPr>
        <w:t xml:space="preserve">a </w:t>
      </w:r>
      <w:r w:rsidRPr="0052286E">
        <w:rPr>
          <w:rFonts w:cs="Arial"/>
          <w:szCs w:val="24"/>
        </w:rPr>
        <w:t>questo parere</w:t>
      </w:r>
      <w:r>
        <w:rPr>
          <w:rFonts w:cs="Arial"/>
          <w:szCs w:val="24"/>
        </w:rPr>
        <w:t xml:space="preserve"> il </w:t>
      </w:r>
      <w:r w:rsidRPr="0052286E">
        <w:rPr>
          <w:rFonts w:cs="Arial"/>
          <w:szCs w:val="24"/>
        </w:rPr>
        <w:t xml:space="preserve">Gran Consiglio </w:t>
      </w:r>
      <w:r>
        <w:rPr>
          <w:rFonts w:cs="Arial"/>
          <w:szCs w:val="24"/>
        </w:rPr>
        <w:t xml:space="preserve">ha accolto le modifiche alla </w:t>
      </w:r>
      <w:r w:rsidRPr="0052286E">
        <w:rPr>
          <w:rFonts w:cs="Arial"/>
          <w:szCs w:val="24"/>
        </w:rPr>
        <w:t>LA-</w:t>
      </w:r>
      <w:proofErr w:type="spellStart"/>
      <w:r w:rsidRPr="0052286E">
        <w:rPr>
          <w:rFonts w:cs="Arial"/>
          <w:szCs w:val="24"/>
        </w:rPr>
        <w:t>LAEl</w:t>
      </w:r>
      <w:proofErr w:type="spellEnd"/>
      <w:r w:rsidRPr="0052286E">
        <w:rPr>
          <w:rFonts w:cs="Arial"/>
          <w:szCs w:val="24"/>
        </w:rPr>
        <w:t xml:space="preserve"> </w:t>
      </w:r>
      <w:r>
        <w:rPr>
          <w:rFonts w:cs="Arial"/>
          <w:szCs w:val="24"/>
        </w:rPr>
        <w:t xml:space="preserve">introducendo </w:t>
      </w:r>
      <w:r w:rsidRPr="0052286E">
        <w:rPr>
          <w:rFonts w:cs="Arial"/>
          <w:szCs w:val="24"/>
        </w:rPr>
        <w:t>una tassa per l’uso del demanio pubblico, limitato alle strade cantonali e comunali</w:t>
      </w:r>
      <w:r>
        <w:rPr>
          <w:rFonts w:cs="Arial"/>
          <w:szCs w:val="24"/>
        </w:rPr>
        <w:t>. Un’impostazione poi confermata da</w:t>
      </w:r>
      <w:r w:rsidRPr="0052286E">
        <w:rPr>
          <w:rFonts w:cs="Arial"/>
          <w:szCs w:val="24"/>
        </w:rPr>
        <w:t>l Tribunale Federale</w:t>
      </w:r>
      <w:r>
        <w:rPr>
          <w:rFonts w:cs="Arial"/>
          <w:szCs w:val="24"/>
        </w:rPr>
        <w:t>.</w:t>
      </w:r>
    </w:p>
    <w:p w:rsidR="003D7A8E" w:rsidRDefault="003D7A8E" w:rsidP="003D7A8E">
      <w:pPr>
        <w:rPr>
          <w:rFonts w:cs="Arial"/>
          <w:szCs w:val="24"/>
        </w:rPr>
      </w:pPr>
    </w:p>
    <w:p w:rsidR="003D7A8E" w:rsidRDefault="003D7A8E" w:rsidP="003D7A8E">
      <w:pPr>
        <w:rPr>
          <w:rFonts w:cs="Arial"/>
          <w:szCs w:val="24"/>
        </w:rPr>
      </w:pPr>
      <w:r>
        <w:rPr>
          <w:rFonts w:cs="Arial"/>
          <w:szCs w:val="24"/>
        </w:rPr>
        <w:t>Il Consiglio di Stato ricorda inoltre che i</w:t>
      </w:r>
      <w:r w:rsidRPr="0052286E">
        <w:rPr>
          <w:rFonts w:cs="Arial"/>
          <w:szCs w:val="24"/>
        </w:rPr>
        <w:t>l gas</w:t>
      </w:r>
      <w:r>
        <w:rPr>
          <w:rFonts w:cs="Arial"/>
          <w:szCs w:val="24"/>
        </w:rPr>
        <w:t xml:space="preserve"> </w:t>
      </w:r>
      <w:r w:rsidRPr="0052286E">
        <w:rPr>
          <w:rFonts w:cs="Arial"/>
          <w:szCs w:val="24"/>
        </w:rPr>
        <w:t>è un vettore energetico che n</w:t>
      </w:r>
      <w:r>
        <w:rPr>
          <w:rFonts w:cs="Arial"/>
          <w:szCs w:val="24"/>
        </w:rPr>
        <w:t xml:space="preserve">on è strettamente necessario, </w:t>
      </w:r>
      <w:r w:rsidRPr="0052286E">
        <w:rPr>
          <w:rFonts w:cs="Arial"/>
          <w:szCs w:val="24"/>
        </w:rPr>
        <w:t>serve perlopiù a fornire calore</w:t>
      </w:r>
      <w:r>
        <w:rPr>
          <w:rFonts w:cs="Arial"/>
          <w:szCs w:val="24"/>
        </w:rPr>
        <w:t xml:space="preserve">, </w:t>
      </w:r>
      <w:r w:rsidRPr="0052286E">
        <w:rPr>
          <w:rFonts w:cs="Arial"/>
          <w:szCs w:val="24"/>
        </w:rPr>
        <w:t>non</w:t>
      </w:r>
      <w:r>
        <w:rPr>
          <w:rFonts w:cs="Arial"/>
          <w:szCs w:val="24"/>
        </w:rPr>
        <w:t xml:space="preserve"> è sottoposto al</w:t>
      </w:r>
      <w:r w:rsidRPr="0052286E">
        <w:rPr>
          <w:rFonts w:cs="Arial"/>
          <w:szCs w:val="24"/>
        </w:rPr>
        <w:t>l’obbli</w:t>
      </w:r>
      <w:r>
        <w:rPr>
          <w:rFonts w:cs="Arial"/>
          <w:szCs w:val="24"/>
        </w:rPr>
        <w:t xml:space="preserve">go di </w:t>
      </w:r>
      <w:r w:rsidRPr="0052286E">
        <w:rPr>
          <w:rFonts w:cs="Arial"/>
          <w:szCs w:val="24"/>
        </w:rPr>
        <w:t>allacciamento e</w:t>
      </w:r>
      <w:r>
        <w:rPr>
          <w:rFonts w:cs="Arial"/>
          <w:szCs w:val="24"/>
        </w:rPr>
        <w:t xml:space="preserve"> </w:t>
      </w:r>
      <w:r w:rsidRPr="0052286E">
        <w:rPr>
          <w:rFonts w:cs="Arial"/>
          <w:szCs w:val="24"/>
        </w:rPr>
        <w:t>la</w:t>
      </w:r>
      <w:r>
        <w:rPr>
          <w:rFonts w:cs="Arial"/>
          <w:szCs w:val="24"/>
        </w:rPr>
        <w:t xml:space="preserve"> sua</w:t>
      </w:r>
      <w:r w:rsidRPr="0052286E">
        <w:rPr>
          <w:rFonts w:cs="Arial"/>
          <w:szCs w:val="24"/>
        </w:rPr>
        <w:t xml:space="preserve"> rete di distribuzione non</w:t>
      </w:r>
      <w:r>
        <w:rPr>
          <w:rFonts w:cs="Arial"/>
          <w:szCs w:val="24"/>
        </w:rPr>
        <w:t xml:space="preserve"> è </w:t>
      </w:r>
      <w:r w:rsidRPr="0052286E">
        <w:rPr>
          <w:rFonts w:cs="Arial"/>
          <w:szCs w:val="24"/>
        </w:rPr>
        <w:t>capillar</w:t>
      </w:r>
      <w:r>
        <w:rPr>
          <w:rFonts w:cs="Arial"/>
          <w:szCs w:val="24"/>
        </w:rPr>
        <w:t>e, contrariamente alla situazione relativa all</w:t>
      </w:r>
      <w:r w:rsidRPr="0052286E">
        <w:rPr>
          <w:rFonts w:cs="Arial"/>
          <w:szCs w:val="24"/>
        </w:rPr>
        <w:t>’energia elettrica</w:t>
      </w:r>
      <w:r>
        <w:rPr>
          <w:rFonts w:cs="Arial"/>
          <w:szCs w:val="24"/>
        </w:rPr>
        <w:t xml:space="preserve">, </w:t>
      </w:r>
      <w:r w:rsidRPr="0052286E">
        <w:rPr>
          <w:rFonts w:cs="Arial"/>
          <w:szCs w:val="24"/>
        </w:rPr>
        <w:t>vettore energetico del quale tutti hanno bisogno e che</w:t>
      </w:r>
      <w:r>
        <w:rPr>
          <w:rFonts w:cs="Arial"/>
          <w:szCs w:val="24"/>
        </w:rPr>
        <w:t xml:space="preserve"> </w:t>
      </w:r>
      <w:r w:rsidRPr="0052286E">
        <w:rPr>
          <w:rFonts w:cs="Arial"/>
          <w:szCs w:val="24"/>
        </w:rPr>
        <w:t>serve in tutti gli ambiti</w:t>
      </w:r>
      <w:r>
        <w:rPr>
          <w:rFonts w:cs="Arial"/>
          <w:szCs w:val="24"/>
        </w:rPr>
        <w:t xml:space="preserve"> con una forte capillarità</w:t>
      </w:r>
      <w:r w:rsidRPr="0052286E">
        <w:rPr>
          <w:rFonts w:cs="Arial"/>
          <w:szCs w:val="24"/>
        </w:rPr>
        <w:t xml:space="preserve">. </w:t>
      </w:r>
    </w:p>
    <w:p w:rsidR="003D7A8E" w:rsidRPr="0052286E" w:rsidRDefault="003D7A8E" w:rsidP="003D7A8E">
      <w:pPr>
        <w:rPr>
          <w:rFonts w:cs="Arial"/>
          <w:szCs w:val="24"/>
        </w:rPr>
      </w:pPr>
    </w:p>
    <w:p w:rsidR="003D7A8E" w:rsidRPr="0052286E" w:rsidRDefault="003D7A8E" w:rsidP="003D7A8E">
      <w:pPr>
        <w:rPr>
          <w:rFonts w:cs="Arial"/>
          <w:szCs w:val="24"/>
        </w:rPr>
      </w:pPr>
      <w:r>
        <w:rPr>
          <w:rFonts w:cs="Arial"/>
          <w:szCs w:val="24"/>
        </w:rPr>
        <w:t>Anche secondo</w:t>
      </w:r>
      <w:r w:rsidRPr="0052286E">
        <w:rPr>
          <w:rFonts w:cs="Arial"/>
          <w:szCs w:val="24"/>
        </w:rPr>
        <w:t xml:space="preserve"> il PEC</w:t>
      </w:r>
      <w:r>
        <w:rPr>
          <w:rFonts w:cs="Arial"/>
          <w:szCs w:val="24"/>
        </w:rPr>
        <w:t>,</w:t>
      </w:r>
      <w:r w:rsidRPr="0052286E">
        <w:rPr>
          <w:rFonts w:cs="Arial"/>
          <w:szCs w:val="24"/>
        </w:rPr>
        <w:t xml:space="preserve"> </w:t>
      </w:r>
      <w:r>
        <w:rPr>
          <w:rFonts w:cs="Arial"/>
          <w:szCs w:val="24"/>
        </w:rPr>
        <w:t xml:space="preserve">per il gas naturale, pur essendo considerato </w:t>
      </w:r>
      <w:r w:rsidRPr="0052286E">
        <w:rPr>
          <w:rFonts w:cs="Arial"/>
          <w:szCs w:val="24"/>
        </w:rPr>
        <w:t>vettore di sostituzione dell’olio combustibile</w:t>
      </w:r>
      <w:r>
        <w:rPr>
          <w:rFonts w:cs="Arial"/>
          <w:szCs w:val="24"/>
        </w:rPr>
        <w:t>, non è previsto a medio-lungo termine un</w:t>
      </w:r>
      <w:r w:rsidRPr="0052286E">
        <w:rPr>
          <w:rFonts w:cs="Arial"/>
          <w:szCs w:val="24"/>
        </w:rPr>
        <w:t xml:space="preserve"> aument</w:t>
      </w:r>
      <w:r>
        <w:rPr>
          <w:rFonts w:cs="Arial"/>
          <w:szCs w:val="24"/>
        </w:rPr>
        <w:t xml:space="preserve">o della </w:t>
      </w:r>
      <w:r w:rsidRPr="0052286E">
        <w:rPr>
          <w:rFonts w:cs="Arial"/>
          <w:szCs w:val="24"/>
        </w:rPr>
        <w:t>capillari</w:t>
      </w:r>
      <w:r>
        <w:rPr>
          <w:rFonts w:cs="Arial"/>
          <w:szCs w:val="24"/>
        </w:rPr>
        <w:t>tà della rete di distribuzione. L</w:t>
      </w:r>
      <w:r w:rsidRPr="0052286E">
        <w:rPr>
          <w:rFonts w:cs="Arial"/>
          <w:szCs w:val="24"/>
        </w:rPr>
        <w:t>’indirizzo è</w:t>
      </w:r>
      <w:r>
        <w:rPr>
          <w:rFonts w:cs="Arial"/>
          <w:szCs w:val="24"/>
        </w:rPr>
        <w:t xml:space="preserve"> piuttosto quello</w:t>
      </w:r>
      <w:r w:rsidRPr="0052286E">
        <w:rPr>
          <w:rFonts w:cs="Arial"/>
          <w:szCs w:val="24"/>
        </w:rPr>
        <w:t xml:space="preserve"> di realizzare reti di teleriscaldamento </w:t>
      </w:r>
      <w:r>
        <w:rPr>
          <w:rFonts w:cs="Arial"/>
          <w:szCs w:val="24"/>
        </w:rPr>
        <w:t xml:space="preserve">in alternativa alla </w:t>
      </w:r>
      <w:r w:rsidRPr="0052286E">
        <w:rPr>
          <w:rFonts w:cs="Arial"/>
          <w:szCs w:val="24"/>
        </w:rPr>
        <w:t xml:space="preserve">rete </w:t>
      </w:r>
      <w:r>
        <w:rPr>
          <w:rFonts w:cs="Arial"/>
          <w:szCs w:val="24"/>
        </w:rPr>
        <w:t xml:space="preserve">di </w:t>
      </w:r>
      <w:r w:rsidRPr="0052286E">
        <w:rPr>
          <w:rFonts w:cs="Arial"/>
          <w:szCs w:val="24"/>
        </w:rPr>
        <w:t>gas</w:t>
      </w:r>
      <w:r>
        <w:rPr>
          <w:rFonts w:cs="Arial"/>
          <w:szCs w:val="24"/>
        </w:rPr>
        <w:t>.</w:t>
      </w:r>
    </w:p>
    <w:p w:rsidR="003D7A8E" w:rsidRPr="0052286E" w:rsidRDefault="003D7A8E" w:rsidP="003D7A8E">
      <w:pPr>
        <w:rPr>
          <w:rFonts w:cs="Arial"/>
          <w:szCs w:val="24"/>
        </w:rPr>
      </w:pPr>
    </w:p>
    <w:p w:rsidR="003D7A8E" w:rsidRDefault="003D7A8E" w:rsidP="003D7A8E">
      <w:pPr>
        <w:rPr>
          <w:rFonts w:cs="Arial"/>
          <w:szCs w:val="24"/>
        </w:rPr>
      </w:pPr>
      <w:r>
        <w:rPr>
          <w:rFonts w:cs="Arial"/>
          <w:szCs w:val="24"/>
        </w:rPr>
        <w:t>Bisogna inoltre ricordare che l</w:t>
      </w:r>
      <w:r w:rsidRPr="0052286E">
        <w:rPr>
          <w:rFonts w:cs="Arial"/>
          <w:szCs w:val="24"/>
        </w:rPr>
        <w:t xml:space="preserve">a distribuzione del gas naturale </w:t>
      </w:r>
      <w:r>
        <w:rPr>
          <w:rFonts w:cs="Arial"/>
          <w:szCs w:val="24"/>
        </w:rPr>
        <w:t xml:space="preserve">avviene tramite </w:t>
      </w:r>
      <w:r w:rsidRPr="0052286E">
        <w:rPr>
          <w:rFonts w:cs="Arial"/>
          <w:szCs w:val="24"/>
        </w:rPr>
        <w:t>atti di concessione fra Comuni e Aziende distributrici</w:t>
      </w:r>
      <w:r>
        <w:rPr>
          <w:rFonts w:cs="Arial"/>
          <w:szCs w:val="24"/>
        </w:rPr>
        <w:t xml:space="preserve">: </w:t>
      </w:r>
      <w:r w:rsidRPr="0052286E">
        <w:rPr>
          <w:rFonts w:cs="Arial"/>
          <w:szCs w:val="24"/>
        </w:rPr>
        <w:t>i Comuni conce</w:t>
      </w:r>
      <w:r>
        <w:rPr>
          <w:rFonts w:cs="Arial"/>
          <w:szCs w:val="24"/>
        </w:rPr>
        <w:t>dono alle società distributrici</w:t>
      </w:r>
      <w:r w:rsidRPr="0052286E">
        <w:rPr>
          <w:rFonts w:cs="Arial"/>
          <w:szCs w:val="24"/>
        </w:rPr>
        <w:t xml:space="preserve"> il diritto di utilizzare </w:t>
      </w:r>
      <w:r>
        <w:rPr>
          <w:rFonts w:cs="Arial"/>
          <w:szCs w:val="24"/>
        </w:rPr>
        <w:t xml:space="preserve">il suolo pubblico, ma per questo utilizzo non impongono una tassa, poiché ritengono vi siano </w:t>
      </w:r>
      <w:r w:rsidRPr="0052286E">
        <w:rPr>
          <w:rFonts w:cs="Arial"/>
          <w:szCs w:val="24"/>
        </w:rPr>
        <w:t xml:space="preserve">delle prestazioni e </w:t>
      </w:r>
      <w:r>
        <w:rPr>
          <w:rFonts w:cs="Arial"/>
          <w:szCs w:val="24"/>
        </w:rPr>
        <w:t xml:space="preserve">nel contempo delle </w:t>
      </w:r>
      <w:r w:rsidRPr="0052286E">
        <w:rPr>
          <w:rFonts w:cs="Arial"/>
          <w:szCs w:val="24"/>
        </w:rPr>
        <w:t>controprestazioni fra le parti.</w:t>
      </w:r>
    </w:p>
    <w:p w:rsidR="003D7A8E" w:rsidRDefault="003D7A8E" w:rsidP="003D7A8E">
      <w:pPr>
        <w:rPr>
          <w:rFonts w:cs="Arial"/>
          <w:szCs w:val="24"/>
        </w:rPr>
      </w:pPr>
    </w:p>
    <w:p w:rsidR="003D7A8E" w:rsidRDefault="003D7A8E" w:rsidP="003D7A8E">
      <w:pPr>
        <w:rPr>
          <w:rFonts w:cs="Arial"/>
          <w:szCs w:val="24"/>
        </w:rPr>
      </w:pPr>
      <w:r>
        <w:rPr>
          <w:rFonts w:cs="Arial"/>
          <w:szCs w:val="24"/>
        </w:rPr>
        <w:t>Anche per quanto attiene al</w:t>
      </w:r>
      <w:r w:rsidRPr="0052286E">
        <w:rPr>
          <w:rFonts w:cs="Arial"/>
          <w:szCs w:val="24"/>
        </w:rPr>
        <w:t xml:space="preserve"> teleriscaldamento</w:t>
      </w:r>
      <w:r>
        <w:rPr>
          <w:rFonts w:cs="Arial"/>
          <w:szCs w:val="24"/>
        </w:rPr>
        <w:t>, che gioca</w:t>
      </w:r>
      <w:r w:rsidRPr="0052286E">
        <w:rPr>
          <w:rFonts w:cs="Arial"/>
          <w:szCs w:val="24"/>
        </w:rPr>
        <w:t xml:space="preserve"> un ruolo importante per raggiungere gli obiettivi prefissati dal PEC, </w:t>
      </w:r>
      <w:r>
        <w:rPr>
          <w:rFonts w:cs="Arial"/>
          <w:szCs w:val="24"/>
        </w:rPr>
        <w:t>attualmente si rileva un</w:t>
      </w:r>
      <w:r w:rsidRPr="0052286E">
        <w:rPr>
          <w:rFonts w:cs="Arial"/>
          <w:szCs w:val="24"/>
        </w:rPr>
        <w:t xml:space="preserve">’estensione </w:t>
      </w:r>
      <w:r>
        <w:rPr>
          <w:rFonts w:cs="Arial"/>
          <w:szCs w:val="24"/>
        </w:rPr>
        <w:t xml:space="preserve">minima </w:t>
      </w:r>
      <w:r w:rsidRPr="0052286E">
        <w:rPr>
          <w:rFonts w:cs="Arial"/>
          <w:szCs w:val="24"/>
        </w:rPr>
        <w:t>delle reti e quelle realizzate non presentano certo caratteristiche di capillarità comparabili a quelle della rete elettrica.</w:t>
      </w:r>
    </w:p>
    <w:p w:rsidR="003D7A8E" w:rsidRDefault="003D7A8E" w:rsidP="003D7A8E">
      <w:pPr>
        <w:rPr>
          <w:rFonts w:cs="Arial"/>
          <w:szCs w:val="24"/>
        </w:rPr>
      </w:pPr>
    </w:p>
    <w:p w:rsidR="003D7A8E" w:rsidRPr="0052286E" w:rsidRDefault="003D7A8E" w:rsidP="003D7A8E">
      <w:pPr>
        <w:rPr>
          <w:rFonts w:cs="Arial"/>
          <w:szCs w:val="24"/>
        </w:rPr>
      </w:pPr>
      <w:r>
        <w:rPr>
          <w:rFonts w:cs="Arial"/>
          <w:szCs w:val="24"/>
        </w:rPr>
        <w:t xml:space="preserve">Sul </w:t>
      </w:r>
      <w:r w:rsidRPr="0052286E">
        <w:rPr>
          <w:rFonts w:cs="Arial"/>
          <w:szCs w:val="24"/>
        </w:rPr>
        <w:t>settore delle telecomunicazioni</w:t>
      </w:r>
      <w:r>
        <w:rPr>
          <w:rFonts w:cs="Arial"/>
          <w:szCs w:val="24"/>
        </w:rPr>
        <w:t>,</w:t>
      </w:r>
      <w:r w:rsidRPr="0052286E">
        <w:rPr>
          <w:rFonts w:cs="Arial"/>
          <w:szCs w:val="24"/>
        </w:rPr>
        <w:t xml:space="preserve"> </w:t>
      </w:r>
      <w:r w:rsidRPr="0052286E">
        <w:rPr>
          <w:rFonts w:eastAsia="Calibri" w:cs="Arial"/>
          <w:szCs w:val="24"/>
        </w:rPr>
        <w:t xml:space="preserve">che per la sua natura è </w:t>
      </w:r>
      <w:r>
        <w:rPr>
          <w:rFonts w:eastAsia="Calibri" w:cs="Arial"/>
          <w:szCs w:val="24"/>
        </w:rPr>
        <w:t xml:space="preserve">simile a </w:t>
      </w:r>
      <w:r w:rsidRPr="0052286E">
        <w:rPr>
          <w:rFonts w:eastAsia="Calibri" w:cs="Arial"/>
          <w:szCs w:val="24"/>
        </w:rPr>
        <w:t xml:space="preserve">quello elettrico </w:t>
      </w:r>
      <w:r>
        <w:rPr>
          <w:rFonts w:eastAsia="Calibri" w:cs="Arial"/>
          <w:szCs w:val="24"/>
        </w:rPr>
        <w:t xml:space="preserve">avendo caratteristiche di capillarità, </w:t>
      </w:r>
      <w:r>
        <w:rPr>
          <w:rFonts w:cs="Arial"/>
          <w:szCs w:val="24"/>
        </w:rPr>
        <w:t xml:space="preserve">il Governo precisa che lo stesso </w:t>
      </w:r>
      <w:r w:rsidRPr="0052286E">
        <w:rPr>
          <w:rFonts w:cs="Arial"/>
          <w:szCs w:val="24"/>
        </w:rPr>
        <w:t>è regolato dalla Legge federale sulle telecomunicazioni (LTC)</w:t>
      </w:r>
      <w:r>
        <w:rPr>
          <w:rFonts w:cs="Arial"/>
          <w:szCs w:val="24"/>
        </w:rPr>
        <w:t xml:space="preserve">, </w:t>
      </w:r>
      <w:r w:rsidRPr="0052286E">
        <w:rPr>
          <w:rFonts w:cs="Arial"/>
          <w:szCs w:val="24"/>
        </w:rPr>
        <w:t>che stabilisce che il proprietario dell’area è tenuto ad autorizzare i fornitori di servizi di telecomunicazion</w:t>
      </w:r>
      <w:r>
        <w:rPr>
          <w:rFonts w:cs="Arial"/>
          <w:szCs w:val="24"/>
        </w:rPr>
        <w:t>i</w:t>
      </w:r>
      <w:r w:rsidRPr="0052286E">
        <w:rPr>
          <w:rFonts w:cs="Arial"/>
          <w:szCs w:val="24"/>
        </w:rPr>
        <w:t xml:space="preserve"> </w:t>
      </w:r>
      <w:r>
        <w:rPr>
          <w:rFonts w:cs="Arial"/>
          <w:szCs w:val="24"/>
        </w:rPr>
        <w:t xml:space="preserve">all’utilizzo del suolo pubblico </w:t>
      </w:r>
      <w:r w:rsidRPr="0052286E">
        <w:rPr>
          <w:rFonts w:cs="Arial"/>
          <w:szCs w:val="24"/>
        </w:rPr>
        <w:t>gratuitamente</w:t>
      </w:r>
      <w:r>
        <w:rPr>
          <w:rFonts w:cs="Arial"/>
          <w:szCs w:val="24"/>
        </w:rPr>
        <w:t>.</w:t>
      </w:r>
    </w:p>
    <w:p w:rsidR="003D7A8E" w:rsidRPr="00FD17EC" w:rsidRDefault="003D7A8E" w:rsidP="003D7A8E">
      <w:pPr>
        <w:tabs>
          <w:tab w:val="left" w:pos="708"/>
        </w:tabs>
        <w:rPr>
          <w:rFonts w:eastAsia="Calibri" w:cs="Arial"/>
          <w:szCs w:val="24"/>
        </w:rPr>
      </w:pPr>
    </w:p>
    <w:p w:rsidR="003D7A8E" w:rsidRPr="00FD17EC" w:rsidRDefault="003D7A8E" w:rsidP="003D7A8E">
      <w:pPr>
        <w:tabs>
          <w:tab w:val="left" w:pos="708"/>
        </w:tabs>
        <w:rPr>
          <w:rFonts w:eastAsia="Calibri" w:cs="Arial"/>
          <w:szCs w:val="24"/>
        </w:rPr>
      </w:pPr>
      <w:r w:rsidRPr="00FD17EC">
        <w:rPr>
          <w:rFonts w:eastAsia="Calibri" w:cs="Arial"/>
          <w:szCs w:val="24"/>
        </w:rPr>
        <w:t xml:space="preserve">In base agli approfondimenti attuati, il Consiglio di Stato ritiene che </w:t>
      </w:r>
      <w:r>
        <w:rPr>
          <w:rFonts w:eastAsia="Calibri" w:cs="Arial"/>
          <w:szCs w:val="24"/>
        </w:rPr>
        <w:t>«</w:t>
      </w:r>
      <w:r w:rsidRPr="002C7F6D">
        <w:rPr>
          <w:rFonts w:eastAsia="Calibri" w:cs="Arial"/>
          <w:i/>
          <w:szCs w:val="24"/>
        </w:rPr>
        <w:t>un’estensione del modello elettrico ‒ in particolare la fissazione nel diritto cantonale di un obbligo a carico delle aziende distributrici di corrispondere una tassa di occupazione del suolo pubblico ‒ ai vettori energetici del gas e teleriscaldamento e al settore delle telecomunicazioni</w:t>
      </w:r>
      <w:r>
        <w:rPr>
          <w:rFonts w:eastAsia="Calibri" w:cs="Arial"/>
          <w:szCs w:val="24"/>
        </w:rPr>
        <w:t>»</w:t>
      </w:r>
      <w:r w:rsidRPr="00FD17EC">
        <w:rPr>
          <w:rFonts w:eastAsia="Calibri" w:cs="Arial"/>
          <w:szCs w:val="24"/>
        </w:rPr>
        <w:t xml:space="preserve"> non possa entrare in linea di conto per la natura dei vettori, la loro capillarità, la necessità di compensare privative preesistenti e la necessità di adeguarsi al </w:t>
      </w:r>
      <w:r>
        <w:rPr>
          <w:rFonts w:eastAsia="Calibri" w:cs="Arial"/>
          <w:szCs w:val="24"/>
        </w:rPr>
        <w:t>d</w:t>
      </w:r>
      <w:r w:rsidRPr="00FD17EC">
        <w:rPr>
          <w:rFonts w:eastAsia="Calibri" w:cs="Arial"/>
          <w:szCs w:val="24"/>
        </w:rPr>
        <w:t>iritto superiore.</w:t>
      </w:r>
    </w:p>
    <w:p w:rsidR="003D7A8E" w:rsidRPr="00B53BF7" w:rsidRDefault="003D7A8E" w:rsidP="003D7A8E">
      <w:pPr>
        <w:tabs>
          <w:tab w:val="left" w:pos="708"/>
        </w:tabs>
        <w:rPr>
          <w:rFonts w:eastAsia="Calibri" w:cs="Arial"/>
          <w:szCs w:val="24"/>
        </w:rPr>
      </w:pPr>
    </w:p>
    <w:p w:rsidR="003D7A8E" w:rsidRPr="003A6554" w:rsidRDefault="003D7A8E" w:rsidP="003D7A8E">
      <w:pPr>
        <w:rPr>
          <w:rFonts w:cs="Arial"/>
        </w:rPr>
      </w:pPr>
    </w:p>
    <w:p w:rsidR="003D7A8E" w:rsidRDefault="003D7A8E" w:rsidP="00594EBF">
      <w:pPr>
        <w:pStyle w:val="Titolo1"/>
      </w:pPr>
      <w:r>
        <w:t>L’AUDIZIONE della Commissione</w:t>
      </w:r>
    </w:p>
    <w:p w:rsidR="003D7A8E" w:rsidRPr="00037061" w:rsidRDefault="003D7A8E" w:rsidP="003D7A8E">
      <w:pPr>
        <w:rPr>
          <w:i/>
        </w:rPr>
      </w:pPr>
      <w:r w:rsidRPr="0052286E">
        <w:t xml:space="preserve">La CSE ha voluto approfondire la proposta convocando in audizione il Capo della Sezione protezione aria, acqua e suolo, Giovanni </w:t>
      </w:r>
      <w:proofErr w:type="spellStart"/>
      <w:r w:rsidRPr="0052286E">
        <w:t>Bernasconi</w:t>
      </w:r>
      <w:proofErr w:type="spellEnd"/>
      <w:r w:rsidRPr="0052286E">
        <w:t xml:space="preserve">, il Capo dell’Ufficio del demanio, Antonio De </w:t>
      </w:r>
      <w:proofErr w:type="spellStart"/>
      <w:r w:rsidRPr="0052286E">
        <w:t>Nigris</w:t>
      </w:r>
      <w:proofErr w:type="spellEnd"/>
      <w:r w:rsidRPr="0052286E">
        <w:t>, e la Capo dell’Ufficio amministrativo e del contenzioso della Sezione degli enti locali, Carla Biasca</w:t>
      </w:r>
      <w:r w:rsidRPr="00037061">
        <w:rPr>
          <w:i/>
        </w:rPr>
        <w:t>.</w:t>
      </w:r>
    </w:p>
    <w:p w:rsidR="003D7A8E" w:rsidRDefault="003D7A8E" w:rsidP="003D7A8E"/>
    <w:p w:rsidR="003D7A8E" w:rsidRPr="00FD17EC" w:rsidRDefault="003D7A8E" w:rsidP="003D7A8E">
      <w:r w:rsidRPr="00FD17EC">
        <w:t xml:space="preserve">Gli interlocutori hanno potuto precisare, come già rilevato nel messaggio del Governo, </w:t>
      </w:r>
      <w:r>
        <w:t>i punti fondamentali</w:t>
      </w:r>
      <w:r w:rsidRPr="00FD17EC">
        <w:t xml:space="preserve"> che determinano le differenze tra la distribuzione elettrica e quella di gas e teleriscaldamento. In particolare hanno </w:t>
      </w:r>
      <w:r>
        <w:t>ribadito</w:t>
      </w:r>
      <w:r w:rsidRPr="00FD17EC">
        <w:t xml:space="preserve"> che:</w:t>
      </w:r>
    </w:p>
    <w:p w:rsidR="003D7A8E" w:rsidRDefault="003D7A8E" w:rsidP="00594EBF">
      <w:pPr>
        <w:numPr>
          <w:ilvl w:val="0"/>
          <w:numId w:val="20"/>
        </w:numPr>
        <w:spacing w:before="80"/>
        <w:ind w:left="284" w:hanging="284"/>
      </w:pPr>
      <w:r>
        <w:t xml:space="preserve">la tassa attualmente in vigore è stata istituita nell’ambito della </w:t>
      </w:r>
      <w:r w:rsidRPr="003308B5">
        <w:rPr>
          <w:spacing w:val="-2"/>
        </w:rPr>
        <w:t>Legge cantonale di applicazione della legge federale sull’approvvigionamento elettrico (LA-</w:t>
      </w:r>
      <w:proofErr w:type="spellStart"/>
      <w:r w:rsidRPr="003308B5">
        <w:rPr>
          <w:spacing w:val="-2"/>
        </w:rPr>
        <w:t>LAEl</w:t>
      </w:r>
      <w:proofErr w:type="spellEnd"/>
      <w:r w:rsidRPr="003308B5">
        <w:rPr>
          <w:spacing w:val="-2"/>
        </w:rPr>
        <w:t>)</w:t>
      </w:r>
      <w:r>
        <w:t xml:space="preserve"> per compensare le privative incassate dai Comuni, cadute a seguito dell’introduzione della </w:t>
      </w:r>
      <w:r w:rsidRPr="003308B5">
        <w:rPr>
          <w:spacing w:val="-2"/>
        </w:rPr>
        <w:t>Legge federale sull’approvvigionamento elettrico (</w:t>
      </w:r>
      <w:proofErr w:type="spellStart"/>
      <w:r w:rsidRPr="003308B5">
        <w:rPr>
          <w:spacing w:val="-2"/>
        </w:rPr>
        <w:t>LAEl</w:t>
      </w:r>
      <w:proofErr w:type="spellEnd"/>
      <w:r w:rsidRPr="003308B5">
        <w:rPr>
          <w:spacing w:val="-2"/>
        </w:rPr>
        <w:t>)</w:t>
      </w:r>
      <w:r>
        <w:t xml:space="preserve">; </w:t>
      </w:r>
    </w:p>
    <w:p w:rsidR="003D7A8E" w:rsidRDefault="003D7A8E" w:rsidP="00594EBF">
      <w:pPr>
        <w:numPr>
          <w:ilvl w:val="0"/>
          <w:numId w:val="20"/>
        </w:numPr>
        <w:spacing w:before="80"/>
        <w:ind w:left="284" w:hanging="284"/>
      </w:pPr>
      <w:r>
        <w:t xml:space="preserve">il sistema individuato è basato sull’occupazione del demanio pubblico: le aziende di distribuzione pagano una tassa per </w:t>
      </w:r>
      <w:r w:rsidRPr="00BD2F29">
        <w:t>la concessione dell’uso speciale delle strade pubbliche</w:t>
      </w:r>
      <w:r>
        <w:t xml:space="preserve">; </w:t>
      </w:r>
    </w:p>
    <w:p w:rsidR="003D7A8E" w:rsidRDefault="003D7A8E" w:rsidP="00594EBF">
      <w:pPr>
        <w:numPr>
          <w:ilvl w:val="0"/>
          <w:numId w:val="20"/>
        </w:numPr>
        <w:spacing w:before="80"/>
        <w:ind w:left="284" w:hanging="284"/>
      </w:pPr>
      <w:r>
        <w:t>il servizio di distribuzione dell’elettricità, contrariamente a quello degli altri vettori energetici, è un servizio pubblico primario, quindi le aziende distributrici hanno l’obbligo di legge di fornire un allacciamento a tutti gli utenti su tutto il territorio. Le aziende si sono quindi trovate a gestire e sviluppare una rete estremamente capillare;</w:t>
      </w:r>
    </w:p>
    <w:p w:rsidR="003D7A8E" w:rsidRPr="009E0316" w:rsidRDefault="003D7A8E" w:rsidP="00594EBF">
      <w:pPr>
        <w:numPr>
          <w:ilvl w:val="0"/>
          <w:numId w:val="20"/>
        </w:numPr>
        <w:spacing w:before="80"/>
        <w:ind w:left="284" w:hanging="284"/>
      </w:pPr>
      <w:r>
        <w:t>per quanto attiene al gas non sussiste per i Comuni la necessità di compensare un introito preesistente (le privative), la rete del gas non tocca tutti i Comuni e non è nemmeno lontanamente capillare come quella dell’elettricità o come quella delle telecomunicazioni, che però sono escluse in virtù della legislazione federale.</w:t>
      </w:r>
    </w:p>
    <w:p w:rsidR="003D7A8E" w:rsidRDefault="003D7A8E" w:rsidP="003D7A8E">
      <w:pPr>
        <w:ind w:left="2268" w:hanging="2268"/>
      </w:pPr>
    </w:p>
    <w:p w:rsidR="003D7A8E" w:rsidRDefault="003D7A8E" w:rsidP="00594EBF">
      <w:r w:rsidRPr="002C66A1">
        <w:t xml:space="preserve">Inoltre è stato chiarito che non sussiste disparità di trattamento per il fatto che la tassa sia applicata a un solo vettore energetico </w:t>
      </w:r>
      <w:r>
        <w:t xml:space="preserve">mentre altri ne sono </w:t>
      </w:r>
      <w:r w:rsidRPr="002C66A1">
        <w:t>esenti</w:t>
      </w:r>
      <w:r>
        <w:t>. Questo perché,</w:t>
      </w:r>
      <w:r w:rsidRPr="002C66A1">
        <w:t xml:space="preserve"> come confermato anche dal Tribunale federale, vi è disparità di trattamento se situazioni simili vengono trattate in modo difforme o se situazioni non simili vengono arbitrariamente trattate in modo uguale su un aspetto fondamentale. Nella fattispecie sussistono differenze tra il vettore elettrico e gli altri vettori, in particolare la question</w:t>
      </w:r>
      <w:r w:rsidR="00594EBF">
        <w:t>e della capillarità della rete.</w:t>
      </w:r>
    </w:p>
    <w:p w:rsidR="00594EBF" w:rsidRPr="002C66A1" w:rsidRDefault="00594EBF" w:rsidP="00594EBF"/>
    <w:p w:rsidR="003D7A8E" w:rsidRDefault="003D7A8E" w:rsidP="00594EBF">
      <w:r>
        <w:t xml:space="preserve">È stato comunque chiarito che anche gli altri vettori pagano delle tasse per l’utilizzo del suolo pubblico seppure con altri parametri. Essendo le strade di proprietà del demanio, il Cantone impone una tassa per ogni metro lineare di conduttura del gas posata sotto le </w:t>
      </w:r>
      <w:r>
        <w:lastRenderedPageBreak/>
        <w:t>strade. Si è adottato un modello lineare perché non tutte le strade sono percorse dalla rete del gas, perciò è più logico misurarne la lunghezza esatta. Tale modello risulta inapplicabile per la rete elettrica, essendo così fitta che diventa difficile misurarla esattamente.</w:t>
      </w:r>
    </w:p>
    <w:p w:rsidR="00594EBF" w:rsidRDefault="00594EBF" w:rsidP="00594EBF"/>
    <w:p w:rsidR="003D7A8E" w:rsidRDefault="003D7A8E" w:rsidP="00594EBF">
      <w:r>
        <w:t>Anche altri Cantoni adottano il modello lineare, analogo a quello utilizzato dal Cantone per il gas con due varianti: si calcola il metro di condotta oppure si misura la lunghezza dello scavo in considerazione del disagio per la posa della condotta. Tale tassa è comunque una tantum come avveniva anche in Ticino fino a un anno fa.</w:t>
      </w:r>
    </w:p>
    <w:p w:rsidR="003D7A8E" w:rsidRDefault="003D7A8E" w:rsidP="003D7A8E">
      <w:pPr>
        <w:ind w:left="2268" w:hanging="2268"/>
      </w:pPr>
    </w:p>
    <w:p w:rsidR="003D7A8E" w:rsidRDefault="003D7A8E" w:rsidP="003D7A8E"/>
    <w:p w:rsidR="003D7A8E" w:rsidRDefault="003D7A8E" w:rsidP="00594EBF">
      <w:pPr>
        <w:pStyle w:val="Titolo1"/>
      </w:pPr>
      <w:r>
        <w:t>LA posizione della Commissione</w:t>
      </w:r>
    </w:p>
    <w:p w:rsidR="003D7A8E" w:rsidRPr="009C38CB" w:rsidRDefault="003D7A8E" w:rsidP="003D7A8E">
      <w:pPr>
        <w:rPr>
          <w:rFonts w:cs="Arial"/>
        </w:rPr>
      </w:pPr>
      <w:r w:rsidRPr="009C38CB">
        <w:rPr>
          <w:rFonts w:cs="Arial"/>
        </w:rPr>
        <w:t xml:space="preserve">Oltre a condividere le osservazioni presentate dal Consiglio di Stato e confermate nel corso </w:t>
      </w:r>
      <w:r>
        <w:rPr>
          <w:rFonts w:cs="Arial"/>
        </w:rPr>
        <w:t>delle audizioni, la Commissione</w:t>
      </w:r>
      <w:r w:rsidRPr="009C38CB">
        <w:rPr>
          <w:rFonts w:cs="Arial"/>
        </w:rPr>
        <w:t xml:space="preserve"> speciale </w:t>
      </w:r>
      <w:r>
        <w:rPr>
          <w:rFonts w:cs="Arial"/>
        </w:rPr>
        <w:t>e</w:t>
      </w:r>
      <w:r w:rsidRPr="009C38CB">
        <w:rPr>
          <w:rFonts w:cs="Arial"/>
        </w:rPr>
        <w:t xml:space="preserve">nergia ha </w:t>
      </w:r>
      <w:r>
        <w:rPr>
          <w:rFonts w:cs="Arial"/>
        </w:rPr>
        <w:t xml:space="preserve">valutato la proposta sotto altre angolature, partendo dalla costatazione </w:t>
      </w:r>
      <w:r w:rsidRPr="009C38CB">
        <w:rPr>
          <w:rFonts w:cs="Arial"/>
        </w:rPr>
        <w:t>abbastanza evidente che tra le motivazioni che hanno portato il collega Storni e cofirmatari a presentare questa mozione vi sia, oltre all'idea di equità di trattamento nella gestione dei vari vettori energetici</w:t>
      </w:r>
      <w:r>
        <w:rPr>
          <w:rFonts w:cs="Arial"/>
        </w:rPr>
        <w:t>,</w:t>
      </w:r>
      <w:r w:rsidRPr="009C38CB">
        <w:rPr>
          <w:rFonts w:cs="Arial"/>
        </w:rPr>
        <w:t xml:space="preserve"> il desiderio di disincentivare l'utilizzo di vettori energetici non rinnovabili, come il gas.</w:t>
      </w:r>
    </w:p>
    <w:p w:rsidR="003D7A8E" w:rsidRPr="009C38CB" w:rsidRDefault="003D7A8E" w:rsidP="003D7A8E">
      <w:pPr>
        <w:rPr>
          <w:rFonts w:cs="Arial"/>
        </w:rPr>
      </w:pPr>
    </w:p>
    <w:p w:rsidR="003D7A8E" w:rsidRPr="009C38CB" w:rsidRDefault="003D7A8E" w:rsidP="003D7A8E">
      <w:pPr>
        <w:rPr>
          <w:rFonts w:cs="Arial"/>
        </w:rPr>
      </w:pPr>
      <w:r>
        <w:rPr>
          <w:rFonts w:cs="Arial"/>
        </w:rPr>
        <w:t>Motivazioni lecite e in parte condivisibili che t</w:t>
      </w:r>
      <w:r w:rsidRPr="009C38CB">
        <w:rPr>
          <w:rFonts w:cs="Arial"/>
        </w:rPr>
        <w:t xml:space="preserve">uttavia, alla prova dei fatti, </w:t>
      </w:r>
      <w:r>
        <w:rPr>
          <w:rFonts w:cs="Arial"/>
        </w:rPr>
        <w:t>si scontrano con la realtà, che invece porta a dire che q</w:t>
      </w:r>
      <w:r w:rsidRPr="009C38CB">
        <w:rPr>
          <w:rFonts w:cs="Arial"/>
        </w:rPr>
        <w:t xml:space="preserve">uest'obiettivo non è realisticamente raggiungibile, se non </w:t>
      </w:r>
      <w:r>
        <w:rPr>
          <w:rFonts w:cs="Arial"/>
        </w:rPr>
        <w:t>per rare eccezioni</w:t>
      </w:r>
      <w:r w:rsidRPr="009C38CB">
        <w:rPr>
          <w:rFonts w:cs="Arial"/>
        </w:rPr>
        <w:t>, tramite l’imposizione di una tassa. Difatti</w:t>
      </w:r>
      <w:r>
        <w:rPr>
          <w:rFonts w:cs="Arial"/>
        </w:rPr>
        <w:t xml:space="preserve"> </w:t>
      </w:r>
      <w:r w:rsidRPr="009C38CB">
        <w:rPr>
          <w:rFonts w:cs="Arial"/>
        </w:rPr>
        <w:t xml:space="preserve">l'eventuale tassa verrebbe </w:t>
      </w:r>
      <w:r>
        <w:rPr>
          <w:rFonts w:cs="Arial"/>
        </w:rPr>
        <w:t xml:space="preserve">quasi certamente </w:t>
      </w:r>
      <w:r w:rsidRPr="009C38CB">
        <w:rPr>
          <w:rFonts w:cs="Arial"/>
        </w:rPr>
        <w:t>scaricata dal distributore ai consumatori finali</w:t>
      </w:r>
      <w:r>
        <w:rPr>
          <w:rFonts w:cs="Arial"/>
        </w:rPr>
        <w:t xml:space="preserve">, </w:t>
      </w:r>
      <w:r w:rsidRPr="009C38CB">
        <w:rPr>
          <w:rFonts w:cs="Arial"/>
        </w:rPr>
        <w:t xml:space="preserve">che peraltro non </w:t>
      </w:r>
      <w:r>
        <w:rPr>
          <w:rFonts w:cs="Arial"/>
        </w:rPr>
        <w:t>percepirebbero l’effetto dell’</w:t>
      </w:r>
      <w:r w:rsidRPr="009C38CB">
        <w:rPr>
          <w:rFonts w:cs="Arial"/>
        </w:rPr>
        <w:t>aumento</w:t>
      </w:r>
      <w:r>
        <w:rPr>
          <w:rFonts w:cs="Arial"/>
        </w:rPr>
        <w:t>,</w:t>
      </w:r>
      <w:r w:rsidRPr="009C38CB">
        <w:rPr>
          <w:rFonts w:cs="Arial"/>
        </w:rPr>
        <w:t xml:space="preserve"> essendo i costi</w:t>
      </w:r>
      <w:r>
        <w:rPr>
          <w:rFonts w:cs="Arial"/>
        </w:rPr>
        <w:t xml:space="preserve"> ripartiti su più u</w:t>
      </w:r>
      <w:r w:rsidRPr="009C38CB">
        <w:rPr>
          <w:rFonts w:cs="Arial"/>
        </w:rPr>
        <w:t>nità</w:t>
      </w:r>
      <w:r>
        <w:rPr>
          <w:rFonts w:cs="Arial"/>
        </w:rPr>
        <w:t xml:space="preserve">. Non si otterrebbe dunque </w:t>
      </w:r>
      <w:r w:rsidRPr="009C38CB">
        <w:rPr>
          <w:rFonts w:cs="Arial"/>
        </w:rPr>
        <w:t>l'effetto sperato</w:t>
      </w:r>
      <w:r>
        <w:rPr>
          <w:rFonts w:cs="Arial"/>
        </w:rPr>
        <w:t>,</w:t>
      </w:r>
      <w:r w:rsidRPr="009C38CB">
        <w:rPr>
          <w:rFonts w:cs="Arial"/>
        </w:rPr>
        <w:t xml:space="preserve"> ossia quello di invogliare </w:t>
      </w:r>
      <w:r>
        <w:rPr>
          <w:rFonts w:cs="Arial"/>
        </w:rPr>
        <w:t>al</w:t>
      </w:r>
      <w:r w:rsidRPr="009C38CB">
        <w:rPr>
          <w:rFonts w:cs="Arial"/>
        </w:rPr>
        <w:t>l'acquisto di energia cosiddetta pulita.</w:t>
      </w:r>
    </w:p>
    <w:p w:rsidR="003D7A8E" w:rsidRPr="009C38CB" w:rsidRDefault="003D7A8E" w:rsidP="003D7A8E">
      <w:pPr>
        <w:rPr>
          <w:rFonts w:cs="Arial"/>
        </w:rPr>
      </w:pPr>
    </w:p>
    <w:p w:rsidR="003D7A8E" w:rsidRPr="009C38CB" w:rsidRDefault="003D7A8E" w:rsidP="003D7A8E">
      <w:pPr>
        <w:rPr>
          <w:rFonts w:cs="Arial"/>
        </w:rPr>
      </w:pPr>
      <w:r>
        <w:rPr>
          <w:rFonts w:cs="Arial"/>
        </w:rPr>
        <w:t>Ma non solo. La tassa non porterebbe al risultato sperato, anche perché o</w:t>
      </w:r>
      <w:r w:rsidRPr="009C38CB">
        <w:rPr>
          <w:rFonts w:cs="Arial"/>
        </w:rPr>
        <w:t xml:space="preserve">ccorre ricordare che in diverse zone del Cantone, nel Luganese per esempio, il collegamento alla rete del gas viene attuato </w:t>
      </w:r>
      <w:r>
        <w:rPr>
          <w:rFonts w:cs="Arial"/>
        </w:rPr>
        <w:t>in</w:t>
      </w:r>
      <w:r w:rsidRPr="009C38CB">
        <w:rPr>
          <w:rFonts w:cs="Arial"/>
        </w:rPr>
        <w:t xml:space="preserve"> case composte da numerose unità abitative in affitto, ossia dove il consumatore finale non ha nessunissima possibilità di scelta.</w:t>
      </w:r>
      <w:r>
        <w:rPr>
          <w:rFonts w:cs="Arial"/>
        </w:rPr>
        <w:t xml:space="preserve"> </w:t>
      </w:r>
      <w:r w:rsidRPr="009C38CB">
        <w:rPr>
          <w:rFonts w:cs="Arial"/>
        </w:rPr>
        <w:t>Questo peraltro</w:t>
      </w:r>
      <w:r>
        <w:rPr>
          <w:rFonts w:cs="Arial"/>
        </w:rPr>
        <w:t xml:space="preserve"> non solo non porterebbe ad alcun incentivo, ma </w:t>
      </w:r>
      <w:r w:rsidRPr="009C38CB">
        <w:rPr>
          <w:rFonts w:cs="Arial"/>
        </w:rPr>
        <w:t xml:space="preserve">farebbe emergere problemi di disparità di trattamento anziché risolverli. Avremo infatti disparità di trattamento tra cittadini di </w:t>
      </w:r>
      <w:r>
        <w:rPr>
          <w:rFonts w:cs="Arial"/>
        </w:rPr>
        <w:t>C</w:t>
      </w:r>
      <w:r w:rsidRPr="009C38CB">
        <w:rPr>
          <w:rFonts w:cs="Arial"/>
        </w:rPr>
        <w:t>omuni diversi.</w:t>
      </w:r>
    </w:p>
    <w:p w:rsidR="003D7A8E" w:rsidRDefault="003D7A8E" w:rsidP="003D7A8E">
      <w:pPr>
        <w:rPr>
          <w:rFonts w:cs="Arial"/>
        </w:rPr>
      </w:pPr>
    </w:p>
    <w:p w:rsidR="00594EBF" w:rsidRDefault="00594EBF" w:rsidP="00594EBF">
      <w:pPr>
        <w:rPr>
          <w:rFonts w:cs="Arial"/>
        </w:rPr>
      </w:pPr>
    </w:p>
    <w:p w:rsidR="00594EBF" w:rsidRPr="000B2940" w:rsidRDefault="00594EBF" w:rsidP="00594EBF">
      <w:pPr>
        <w:jc w:val="center"/>
        <w:rPr>
          <w:rFonts w:cs="Arial"/>
          <w:sz w:val="28"/>
          <w:szCs w:val="28"/>
        </w:rPr>
      </w:pPr>
      <w:r w:rsidRPr="000B2940">
        <w:rPr>
          <w:rFonts w:cs="Arial"/>
          <w:sz w:val="28"/>
          <w:szCs w:val="28"/>
        </w:rPr>
        <w:sym w:font="Wingdings" w:char="F0AF"/>
      </w:r>
      <w:r w:rsidRPr="000B2940">
        <w:rPr>
          <w:rFonts w:cs="Arial"/>
          <w:sz w:val="28"/>
          <w:szCs w:val="28"/>
        </w:rPr>
        <w:t xml:space="preserve"> </w:t>
      </w:r>
      <w:r w:rsidRPr="000B2940">
        <w:rPr>
          <w:rFonts w:cs="Arial"/>
          <w:sz w:val="28"/>
          <w:szCs w:val="28"/>
        </w:rPr>
        <w:sym w:font="Wingdings" w:char="F0AF"/>
      </w:r>
      <w:r w:rsidRPr="000B2940">
        <w:rPr>
          <w:rFonts w:cs="Arial"/>
          <w:sz w:val="28"/>
          <w:szCs w:val="28"/>
        </w:rPr>
        <w:t xml:space="preserve"> </w:t>
      </w:r>
      <w:r w:rsidRPr="000B2940">
        <w:rPr>
          <w:rFonts w:cs="Arial"/>
          <w:sz w:val="28"/>
          <w:szCs w:val="28"/>
        </w:rPr>
        <w:sym w:font="Wingdings" w:char="F0AF"/>
      </w:r>
      <w:r w:rsidRPr="000B2940">
        <w:rPr>
          <w:rFonts w:cs="Arial"/>
          <w:sz w:val="28"/>
          <w:szCs w:val="28"/>
        </w:rPr>
        <w:t xml:space="preserve"> </w:t>
      </w:r>
      <w:r w:rsidRPr="000B2940">
        <w:rPr>
          <w:rFonts w:cs="Arial"/>
          <w:sz w:val="28"/>
          <w:szCs w:val="28"/>
        </w:rPr>
        <w:sym w:font="Wingdings" w:char="F0AF"/>
      </w:r>
      <w:r w:rsidRPr="000B2940">
        <w:rPr>
          <w:rFonts w:cs="Arial"/>
          <w:sz w:val="28"/>
          <w:szCs w:val="28"/>
        </w:rPr>
        <w:t xml:space="preserve"> </w:t>
      </w:r>
      <w:r w:rsidRPr="000B2940">
        <w:rPr>
          <w:rFonts w:cs="Arial"/>
          <w:sz w:val="28"/>
          <w:szCs w:val="28"/>
        </w:rPr>
        <w:sym w:font="Wingdings" w:char="F0AF"/>
      </w:r>
    </w:p>
    <w:p w:rsidR="00594EBF" w:rsidRDefault="00594EBF" w:rsidP="00594EBF">
      <w:pPr>
        <w:rPr>
          <w:rFonts w:cs="Arial"/>
        </w:rPr>
      </w:pPr>
    </w:p>
    <w:p w:rsidR="00594EBF" w:rsidRPr="009C38CB" w:rsidRDefault="00594EBF" w:rsidP="003D7A8E">
      <w:pPr>
        <w:rPr>
          <w:rFonts w:cs="Arial"/>
        </w:rPr>
      </w:pPr>
    </w:p>
    <w:p w:rsidR="003D7A8E" w:rsidRPr="009C38CB" w:rsidRDefault="003D7A8E" w:rsidP="003D7A8E">
      <w:pPr>
        <w:rPr>
          <w:rFonts w:cs="Arial"/>
        </w:rPr>
      </w:pPr>
      <w:r w:rsidRPr="009C38CB">
        <w:rPr>
          <w:rFonts w:cs="Arial"/>
        </w:rPr>
        <w:t>La maggioranza della Commissione speciale energia, sulla base di quanto sopra esposto, invita pertanto a non accogliere la proposta presentata dalla mozione.</w:t>
      </w:r>
    </w:p>
    <w:p w:rsidR="003D7A8E" w:rsidRPr="00B53BF7" w:rsidRDefault="003D7A8E" w:rsidP="003D7A8E"/>
    <w:p w:rsidR="003D7A8E" w:rsidRDefault="003D7A8E" w:rsidP="003D7A8E">
      <w:pPr>
        <w:rPr>
          <w:rFonts w:cs="Arial"/>
        </w:rPr>
      </w:pPr>
    </w:p>
    <w:p w:rsidR="003D7A8E" w:rsidRDefault="003D7A8E" w:rsidP="003D7A8E">
      <w:pPr>
        <w:rPr>
          <w:rFonts w:cs="Arial"/>
        </w:rPr>
      </w:pPr>
    </w:p>
    <w:p w:rsidR="003D7A8E" w:rsidRPr="005A55E7" w:rsidRDefault="003D7A8E" w:rsidP="003D7A8E">
      <w:pPr>
        <w:spacing w:after="120"/>
        <w:rPr>
          <w:rFonts w:cs="Arial"/>
        </w:rPr>
      </w:pPr>
      <w:r w:rsidRPr="005A55E7">
        <w:rPr>
          <w:rFonts w:cs="Arial"/>
        </w:rPr>
        <w:t xml:space="preserve">Per la </w:t>
      </w:r>
      <w:r>
        <w:rPr>
          <w:rFonts w:cs="Arial"/>
        </w:rPr>
        <w:t>maggioranza</w:t>
      </w:r>
      <w:r w:rsidRPr="005A55E7">
        <w:rPr>
          <w:rFonts w:cs="Arial"/>
        </w:rPr>
        <w:t xml:space="preserve"> della Commissione </w:t>
      </w:r>
      <w:r>
        <w:rPr>
          <w:rFonts w:cs="Arial"/>
        </w:rPr>
        <w:t>s</w:t>
      </w:r>
      <w:r w:rsidRPr="005A55E7">
        <w:rPr>
          <w:rFonts w:cs="Arial"/>
        </w:rPr>
        <w:t xml:space="preserve">peciale </w:t>
      </w:r>
      <w:r>
        <w:rPr>
          <w:rFonts w:cs="Arial"/>
        </w:rPr>
        <w:t>e</w:t>
      </w:r>
      <w:r w:rsidRPr="005A55E7">
        <w:rPr>
          <w:rFonts w:cs="Arial"/>
        </w:rPr>
        <w:t>nergia:</w:t>
      </w:r>
    </w:p>
    <w:p w:rsidR="003D7A8E" w:rsidRPr="00B53BF7" w:rsidRDefault="003D7A8E" w:rsidP="003D7A8E">
      <w:pPr>
        <w:rPr>
          <w:rFonts w:cs="Arial"/>
        </w:rPr>
      </w:pPr>
      <w:r>
        <w:rPr>
          <w:rFonts w:cs="Arial"/>
        </w:rPr>
        <w:t>Lorenzo Jelmini</w:t>
      </w:r>
      <w:r w:rsidR="00594EBF">
        <w:rPr>
          <w:rFonts w:cs="Arial"/>
        </w:rPr>
        <w:t>, relatore</w:t>
      </w:r>
    </w:p>
    <w:p w:rsidR="00594EBF" w:rsidRDefault="00594EBF" w:rsidP="00594EBF">
      <w:r>
        <w:t xml:space="preserve">Bignasca - Brivio - Crugnola - Filippini - </w:t>
      </w:r>
    </w:p>
    <w:p w:rsidR="00594EBF" w:rsidRDefault="00594EBF" w:rsidP="00594EBF">
      <w:r>
        <w:t>Gianora - Käppeli - Robbiani - Terraneo</w:t>
      </w:r>
    </w:p>
    <w:p w:rsidR="00CB127C" w:rsidRPr="007A285B" w:rsidRDefault="00CB127C" w:rsidP="00CB127C"/>
    <w:sectPr w:rsidR="00CB127C" w:rsidRPr="007A285B" w:rsidSect="00F242E5">
      <w:footerReference w:type="default" r:id="rId9"/>
      <w:pgSz w:w="11906" w:h="16838"/>
      <w:pgMar w:top="1134" w:right="1134" w:bottom="1134" w:left="1134"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2EDB" w:rsidRDefault="005D2EDB" w:rsidP="008E77C6">
      <w:r>
        <w:separator/>
      </w:r>
    </w:p>
  </w:endnote>
  <w:endnote w:type="continuationSeparator" w:id="0">
    <w:p w:rsidR="005D2EDB" w:rsidRDefault="005D2EDB" w:rsidP="008E7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719662"/>
      <w:docPartObj>
        <w:docPartGallery w:val="Page Numbers (Bottom of Page)"/>
        <w:docPartUnique/>
      </w:docPartObj>
    </w:sdtPr>
    <w:sdtEndPr>
      <w:rPr>
        <w:sz w:val="20"/>
        <w:szCs w:val="20"/>
      </w:rPr>
    </w:sdtEndPr>
    <w:sdtContent>
      <w:p w:rsidR="008E77C6" w:rsidRPr="008E77C6" w:rsidRDefault="008E77C6">
        <w:pPr>
          <w:pStyle w:val="Pidipagina"/>
          <w:jc w:val="center"/>
          <w:rPr>
            <w:sz w:val="20"/>
            <w:szCs w:val="20"/>
          </w:rPr>
        </w:pPr>
        <w:r w:rsidRPr="008E77C6">
          <w:rPr>
            <w:sz w:val="20"/>
            <w:szCs w:val="20"/>
          </w:rPr>
          <w:fldChar w:fldCharType="begin"/>
        </w:r>
        <w:r w:rsidRPr="008E77C6">
          <w:rPr>
            <w:sz w:val="20"/>
            <w:szCs w:val="20"/>
          </w:rPr>
          <w:instrText>PAGE   \* MERGEFORMAT</w:instrText>
        </w:r>
        <w:r w:rsidRPr="008E77C6">
          <w:rPr>
            <w:sz w:val="20"/>
            <w:szCs w:val="20"/>
          </w:rPr>
          <w:fldChar w:fldCharType="separate"/>
        </w:r>
        <w:r w:rsidR="008A0539" w:rsidRPr="008A0539">
          <w:rPr>
            <w:noProof/>
            <w:sz w:val="20"/>
            <w:szCs w:val="20"/>
            <w:lang w:val="it-IT"/>
          </w:rPr>
          <w:t>4</w:t>
        </w:r>
        <w:r w:rsidRPr="008E77C6">
          <w:rPr>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2EDB" w:rsidRDefault="005D2EDB" w:rsidP="008E77C6">
      <w:r>
        <w:separator/>
      </w:r>
    </w:p>
  </w:footnote>
  <w:footnote w:type="continuationSeparator" w:id="0">
    <w:p w:rsidR="005D2EDB" w:rsidRDefault="005D2EDB" w:rsidP="008E77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469AE"/>
    <w:multiLevelType w:val="hybridMultilevel"/>
    <w:tmpl w:val="F9888982"/>
    <w:lvl w:ilvl="0" w:tplc="3A32EC04">
      <w:numFmt w:val="bullet"/>
      <w:lvlText w:val="-"/>
      <w:lvlJc w:val="left"/>
      <w:pPr>
        <w:ind w:left="1776" w:hanging="360"/>
      </w:pPr>
      <w:rPr>
        <w:rFonts w:ascii="Arial" w:eastAsia="Times New Roman" w:hAnsi="Arial" w:cs="Arial" w:hint="default"/>
      </w:rPr>
    </w:lvl>
    <w:lvl w:ilvl="1" w:tplc="08100003" w:tentative="1">
      <w:start w:val="1"/>
      <w:numFmt w:val="bullet"/>
      <w:lvlText w:val="o"/>
      <w:lvlJc w:val="left"/>
      <w:pPr>
        <w:ind w:left="2496" w:hanging="360"/>
      </w:pPr>
      <w:rPr>
        <w:rFonts w:ascii="Courier New" w:hAnsi="Courier New" w:cs="Courier New" w:hint="default"/>
      </w:rPr>
    </w:lvl>
    <w:lvl w:ilvl="2" w:tplc="08100005" w:tentative="1">
      <w:start w:val="1"/>
      <w:numFmt w:val="bullet"/>
      <w:lvlText w:val=""/>
      <w:lvlJc w:val="left"/>
      <w:pPr>
        <w:ind w:left="3216" w:hanging="360"/>
      </w:pPr>
      <w:rPr>
        <w:rFonts w:ascii="Wingdings" w:hAnsi="Wingdings" w:hint="default"/>
      </w:rPr>
    </w:lvl>
    <w:lvl w:ilvl="3" w:tplc="08100001" w:tentative="1">
      <w:start w:val="1"/>
      <w:numFmt w:val="bullet"/>
      <w:lvlText w:val=""/>
      <w:lvlJc w:val="left"/>
      <w:pPr>
        <w:ind w:left="3936" w:hanging="360"/>
      </w:pPr>
      <w:rPr>
        <w:rFonts w:ascii="Symbol" w:hAnsi="Symbol" w:hint="default"/>
      </w:rPr>
    </w:lvl>
    <w:lvl w:ilvl="4" w:tplc="08100003" w:tentative="1">
      <w:start w:val="1"/>
      <w:numFmt w:val="bullet"/>
      <w:lvlText w:val="o"/>
      <w:lvlJc w:val="left"/>
      <w:pPr>
        <w:ind w:left="4656" w:hanging="360"/>
      </w:pPr>
      <w:rPr>
        <w:rFonts w:ascii="Courier New" w:hAnsi="Courier New" w:cs="Courier New" w:hint="default"/>
      </w:rPr>
    </w:lvl>
    <w:lvl w:ilvl="5" w:tplc="08100005" w:tentative="1">
      <w:start w:val="1"/>
      <w:numFmt w:val="bullet"/>
      <w:lvlText w:val=""/>
      <w:lvlJc w:val="left"/>
      <w:pPr>
        <w:ind w:left="5376" w:hanging="360"/>
      </w:pPr>
      <w:rPr>
        <w:rFonts w:ascii="Wingdings" w:hAnsi="Wingdings" w:hint="default"/>
      </w:rPr>
    </w:lvl>
    <w:lvl w:ilvl="6" w:tplc="08100001" w:tentative="1">
      <w:start w:val="1"/>
      <w:numFmt w:val="bullet"/>
      <w:lvlText w:val=""/>
      <w:lvlJc w:val="left"/>
      <w:pPr>
        <w:ind w:left="6096" w:hanging="360"/>
      </w:pPr>
      <w:rPr>
        <w:rFonts w:ascii="Symbol" w:hAnsi="Symbol" w:hint="default"/>
      </w:rPr>
    </w:lvl>
    <w:lvl w:ilvl="7" w:tplc="08100003" w:tentative="1">
      <w:start w:val="1"/>
      <w:numFmt w:val="bullet"/>
      <w:lvlText w:val="o"/>
      <w:lvlJc w:val="left"/>
      <w:pPr>
        <w:ind w:left="6816" w:hanging="360"/>
      </w:pPr>
      <w:rPr>
        <w:rFonts w:ascii="Courier New" w:hAnsi="Courier New" w:cs="Courier New" w:hint="default"/>
      </w:rPr>
    </w:lvl>
    <w:lvl w:ilvl="8" w:tplc="08100005" w:tentative="1">
      <w:start w:val="1"/>
      <w:numFmt w:val="bullet"/>
      <w:lvlText w:val=""/>
      <w:lvlJc w:val="left"/>
      <w:pPr>
        <w:ind w:left="7536" w:hanging="360"/>
      </w:pPr>
      <w:rPr>
        <w:rFonts w:ascii="Wingdings" w:hAnsi="Wingdings" w:hint="default"/>
      </w:rPr>
    </w:lvl>
  </w:abstractNum>
  <w:abstractNum w:abstractNumId="1">
    <w:nsid w:val="0A71514E"/>
    <w:multiLevelType w:val="hybridMultilevel"/>
    <w:tmpl w:val="53F69038"/>
    <w:lvl w:ilvl="0" w:tplc="EA2C3A1A">
      <w:numFmt w:val="bullet"/>
      <w:lvlText w:val="-"/>
      <w:lvlJc w:val="left"/>
      <w:pPr>
        <w:ind w:left="1428" w:hanging="360"/>
      </w:pPr>
      <w:rPr>
        <w:rFonts w:ascii="Arial" w:eastAsia="Times New Roman" w:hAnsi="Arial" w:cs="Arial" w:hint="default"/>
      </w:rPr>
    </w:lvl>
    <w:lvl w:ilvl="1" w:tplc="08100003" w:tentative="1">
      <w:start w:val="1"/>
      <w:numFmt w:val="bullet"/>
      <w:lvlText w:val="o"/>
      <w:lvlJc w:val="left"/>
      <w:pPr>
        <w:ind w:left="2148" w:hanging="360"/>
      </w:pPr>
      <w:rPr>
        <w:rFonts w:ascii="Courier New" w:hAnsi="Courier New" w:cs="Courier New" w:hint="default"/>
      </w:rPr>
    </w:lvl>
    <w:lvl w:ilvl="2" w:tplc="08100005" w:tentative="1">
      <w:start w:val="1"/>
      <w:numFmt w:val="bullet"/>
      <w:lvlText w:val=""/>
      <w:lvlJc w:val="left"/>
      <w:pPr>
        <w:ind w:left="2868" w:hanging="360"/>
      </w:pPr>
      <w:rPr>
        <w:rFonts w:ascii="Wingdings" w:hAnsi="Wingdings" w:hint="default"/>
      </w:rPr>
    </w:lvl>
    <w:lvl w:ilvl="3" w:tplc="08100001" w:tentative="1">
      <w:start w:val="1"/>
      <w:numFmt w:val="bullet"/>
      <w:lvlText w:val=""/>
      <w:lvlJc w:val="left"/>
      <w:pPr>
        <w:ind w:left="3588" w:hanging="360"/>
      </w:pPr>
      <w:rPr>
        <w:rFonts w:ascii="Symbol" w:hAnsi="Symbol" w:hint="default"/>
      </w:rPr>
    </w:lvl>
    <w:lvl w:ilvl="4" w:tplc="08100003" w:tentative="1">
      <w:start w:val="1"/>
      <w:numFmt w:val="bullet"/>
      <w:lvlText w:val="o"/>
      <w:lvlJc w:val="left"/>
      <w:pPr>
        <w:ind w:left="4308" w:hanging="360"/>
      </w:pPr>
      <w:rPr>
        <w:rFonts w:ascii="Courier New" w:hAnsi="Courier New" w:cs="Courier New" w:hint="default"/>
      </w:rPr>
    </w:lvl>
    <w:lvl w:ilvl="5" w:tplc="08100005" w:tentative="1">
      <w:start w:val="1"/>
      <w:numFmt w:val="bullet"/>
      <w:lvlText w:val=""/>
      <w:lvlJc w:val="left"/>
      <w:pPr>
        <w:ind w:left="5028" w:hanging="360"/>
      </w:pPr>
      <w:rPr>
        <w:rFonts w:ascii="Wingdings" w:hAnsi="Wingdings" w:hint="default"/>
      </w:rPr>
    </w:lvl>
    <w:lvl w:ilvl="6" w:tplc="08100001" w:tentative="1">
      <w:start w:val="1"/>
      <w:numFmt w:val="bullet"/>
      <w:lvlText w:val=""/>
      <w:lvlJc w:val="left"/>
      <w:pPr>
        <w:ind w:left="5748" w:hanging="360"/>
      </w:pPr>
      <w:rPr>
        <w:rFonts w:ascii="Symbol" w:hAnsi="Symbol" w:hint="default"/>
      </w:rPr>
    </w:lvl>
    <w:lvl w:ilvl="7" w:tplc="08100003" w:tentative="1">
      <w:start w:val="1"/>
      <w:numFmt w:val="bullet"/>
      <w:lvlText w:val="o"/>
      <w:lvlJc w:val="left"/>
      <w:pPr>
        <w:ind w:left="6468" w:hanging="360"/>
      </w:pPr>
      <w:rPr>
        <w:rFonts w:ascii="Courier New" w:hAnsi="Courier New" w:cs="Courier New" w:hint="default"/>
      </w:rPr>
    </w:lvl>
    <w:lvl w:ilvl="8" w:tplc="08100005" w:tentative="1">
      <w:start w:val="1"/>
      <w:numFmt w:val="bullet"/>
      <w:lvlText w:val=""/>
      <w:lvlJc w:val="left"/>
      <w:pPr>
        <w:ind w:left="7188" w:hanging="360"/>
      </w:pPr>
      <w:rPr>
        <w:rFonts w:ascii="Wingdings" w:hAnsi="Wingdings" w:hint="default"/>
      </w:rPr>
    </w:lvl>
  </w:abstractNum>
  <w:abstractNum w:abstractNumId="2">
    <w:nsid w:val="0D355C0C"/>
    <w:multiLevelType w:val="hybridMultilevel"/>
    <w:tmpl w:val="740A27EA"/>
    <w:lvl w:ilvl="0" w:tplc="832C90B8">
      <w:start w:val="1"/>
      <w:numFmt w:val="decimal"/>
      <w:pStyle w:val="Titolo1"/>
      <w:lvlText w:val="%1."/>
      <w:lvlJc w:val="left"/>
      <w:pPr>
        <w:ind w:left="927" w:hanging="360"/>
      </w:pPr>
      <w:rPr>
        <w:rFonts w:hint="default"/>
      </w:rPr>
    </w:lvl>
    <w:lvl w:ilvl="1" w:tplc="08100019" w:tentative="1">
      <w:start w:val="1"/>
      <w:numFmt w:val="lowerLetter"/>
      <w:lvlText w:val="%2."/>
      <w:lvlJc w:val="left"/>
      <w:pPr>
        <w:ind w:left="1647" w:hanging="360"/>
      </w:pPr>
    </w:lvl>
    <w:lvl w:ilvl="2" w:tplc="0810001B" w:tentative="1">
      <w:start w:val="1"/>
      <w:numFmt w:val="lowerRoman"/>
      <w:lvlText w:val="%3."/>
      <w:lvlJc w:val="right"/>
      <w:pPr>
        <w:ind w:left="2367" w:hanging="180"/>
      </w:pPr>
    </w:lvl>
    <w:lvl w:ilvl="3" w:tplc="0810000F" w:tentative="1">
      <w:start w:val="1"/>
      <w:numFmt w:val="decimal"/>
      <w:lvlText w:val="%4."/>
      <w:lvlJc w:val="left"/>
      <w:pPr>
        <w:ind w:left="3087" w:hanging="360"/>
      </w:pPr>
    </w:lvl>
    <w:lvl w:ilvl="4" w:tplc="08100019" w:tentative="1">
      <w:start w:val="1"/>
      <w:numFmt w:val="lowerLetter"/>
      <w:lvlText w:val="%5."/>
      <w:lvlJc w:val="left"/>
      <w:pPr>
        <w:ind w:left="3807" w:hanging="360"/>
      </w:pPr>
    </w:lvl>
    <w:lvl w:ilvl="5" w:tplc="0810001B" w:tentative="1">
      <w:start w:val="1"/>
      <w:numFmt w:val="lowerRoman"/>
      <w:lvlText w:val="%6."/>
      <w:lvlJc w:val="right"/>
      <w:pPr>
        <w:ind w:left="4527" w:hanging="180"/>
      </w:pPr>
    </w:lvl>
    <w:lvl w:ilvl="6" w:tplc="0810000F" w:tentative="1">
      <w:start w:val="1"/>
      <w:numFmt w:val="decimal"/>
      <w:lvlText w:val="%7."/>
      <w:lvlJc w:val="left"/>
      <w:pPr>
        <w:ind w:left="5247" w:hanging="360"/>
      </w:pPr>
    </w:lvl>
    <w:lvl w:ilvl="7" w:tplc="08100019" w:tentative="1">
      <w:start w:val="1"/>
      <w:numFmt w:val="lowerLetter"/>
      <w:lvlText w:val="%8."/>
      <w:lvlJc w:val="left"/>
      <w:pPr>
        <w:ind w:left="5967" w:hanging="360"/>
      </w:pPr>
    </w:lvl>
    <w:lvl w:ilvl="8" w:tplc="0810001B" w:tentative="1">
      <w:start w:val="1"/>
      <w:numFmt w:val="lowerRoman"/>
      <w:lvlText w:val="%9."/>
      <w:lvlJc w:val="right"/>
      <w:pPr>
        <w:ind w:left="6687" w:hanging="180"/>
      </w:pPr>
    </w:lvl>
  </w:abstractNum>
  <w:abstractNum w:abstractNumId="3">
    <w:nsid w:val="0D965C65"/>
    <w:multiLevelType w:val="hybridMultilevel"/>
    <w:tmpl w:val="DE3431A4"/>
    <w:lvl w:ilvl="0" w:tplc="8E4091E0">
      <w:numFmt w:val="bullet"/>
      <w:lvlText w:val="-"/>
      <w:lvlJc w:val="left"/>
      <w:pPr>
        <w:ind w:left="720" w:hanging="360"/>
      </w:pPr>
      <w:rPr>
        <w:rFonts w:ascii="Arial" w:eastAsia="Times New Roman" w:hAnsi="Arial" w:cs="Aria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4">
    <w:nsid w:val="0E7C5D3C"/>
    <w:multiLevelType w:val="hybridMultilevel"/>
    <w:tmpl w:val="2496F944"/>
    <w:lvl w:ilvl="0" w:tplc="09A2E726">
      <w:start w:val="1"/>
      <w:numFmt w:val="decimal"/>
      <w:lvlText w:val="%1."/>
      <w:lvlJc w:val="left"/>
      <w:pPr>
        <w:ind w:left="1440" w:hanging="360"/>
      </w:pPr>
      <w:rPr>
        <w:rFonts w:hint="default"/>
      </w:rPr>
    </w:lvl>
    <w:lvl w:ilvl="1" w:tplc="08100019" w:tentative="1">
      <w:start w:val="1"/>
      <w:numFmt w:val="lowerLetter"/>
      <w:lvlText w:val="%2."/>
      <w:lvlJc w:val="left"/>
      <w:pPr>
        <w:ind w:left="2160" w:hanging="360"/>
      </w:pPr>
    </w:lvl>
    <w:lvl w:ilvl="2" w:tplc="0810001B" w:tentative="1">
      <w:start w:val="1"/>
      <w:numFmt w:val="lowerRoman"/>
      <w:lvlText w:val="%3."/>
      <w:lvlJc w:val="right"/>
      <w:pPr>
        <w:ind w:left="2880" w:hanging="180"/>
      </w:pPr>
    </w:lvl>
    <w:lvl w:ilvl="3" w:tplc="0810000F" w:tentative="1">
      <w:start w:val="1"/>
      <w:numFmt w:val="decimal"/>
      <w:lvlText w:val="%4."/>
      <w:lvlJc w:val="left"/>
      <w:pPr>
        <w:ind w:left="3600" w:hanging="360"/>
      </w:pPr>
    </w:lvl>
    <w:lvl w:ilvl="4" w:tplc="08100019" w:tentative="1">
      <w:start w:val="1"/>
      <w:numFmt w:val="lowerLetter"/>
      <w:lvlText w:val="%5."/>
      <w:lvlJc w:val="left"/>
      <w:pPr>
        <w:ind w:left="4320" w:hanging="360"/>
      </w:pPr>
    </w:lvl>
    <w:lvl w:ilvl="5" w:tplc="0810001B" w:tentative="1">
      <w:start w:val="1"/>
      <w:numFmt w:val="lowerRoman"/>
      <w:lvlText w:val="%6."/>
      <w:lvlJc w:val="right"/>
      <w:pPr>
        <w:ind w:left="5040" w:hanging="180"/>
      </w:pPr>
    </w:lvl>
    <w:lvl w:ilvl="6" w:tplc="0810000F" w:tentative="1">
      <w:start w:val="1"/>
      <w:numFmt w:val="decimal"/>
      <w:lvlText w:val="%7."/>
      <w:lvlJc w:val="left"/>
      <w:pPr>
        <w:ind w:left="5760" w:hanging="360"/>
      </w:pPr>
    </w:lvl>
    <w:lvl w:ilvl="7" w:tplc="08100019" w:tentative="1">
      <w:start w:val="1"/>
      <w:numFmt w:val="lowerLetter"/>
      <w:lvlText w:val="%8."/>
      <w:lvlJc w:val="left"/>
      <w:pPr>
        <w:ind w:left="6480" w:hanging="360"/>
      </w:pPr>
    </w:lvl>
    <w:lvl w:ilvl="8" w:tplc="0810001B" w:tentative="1">
      <w:start w:val="1"/>
      <w:numFmt w:val="lowerRoman"/>
      <w:lvlText w:val="%9."/>
      <w:lvlJc w:val="right"/>
      <w:pPr>
        <w:ind w:left="7200" w:hanging="180"/>
      </w:pPr>
    </w:lvl>
  </w:abstractNum>
  <w:abstractNum w:abstractNumId="5">
    <w:nsid w:val="17845EB7"/>
    <w:multiLevelType w:val="hybridMultilevel"/>
    <w:tmpl w:val="DB9A5B90"/>
    <w:lvl w:ilvl="0" w:tplc="08100001">
      <w:start w:val="1"/>
      <w:numFmt w:val="bullet"/>
      <w:lvlText w:val=""/>
      <w:lvlJc w:val="left"/>
      <w:pPr>
        <w:ind w:left="720" w:hanging="360"/>
      </w:pPr>
      <w:rPr>
        <w:rFonts w:ascii="Symbol" w:hAnsi="Symbo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6">
    <w:nsid w:val="1924418B"/>
    <w:multiLevelType w:val="hybridMultilevel"/>
    <w:tmpl w:val="4220162A"/>
    <w:lvl w:ilvl="0" w:tplc="1B4A4F6C">
      <w:numFmt w:val="bullet"/>
      <w:lvlText w:val="-"/>
      <w:lvlJc w:val="left"/>
      <w:pPr>
        <w:ind w:left="1428" w:hanging="360"/>
      </w:pPr>
      <w:rPr>
        <w:rFonts w:ascii="Arial" w:eastAsia="Times New Roman" w:hAnsi="Arial" w:cs="Arial" w:hint="default"/>
      </w:rPr>
    </w:lvl>
    <w:lvl w:ilvl="1" w:tplc="08100003">
      <w:start w:val="1"/>
      <w:numFmt w:val="bullet"/>
      <w:lvlText w:val="o"/>
      <w:lvlJc w:val="left"/>
      <w:pPr>
        <w:ind w:left="2148" w:hanging="360"/>
      </w:pPr>
      <w:rPr>
        <w:rFonts w:ascii="Courier New" w:hAnsi="Courier New" w:cs="Courier New" w:hint="default"/>
      </w:rPr>
    </w:lvl>
    <w:lvl w:ilvl="2" w:tplc="08100005" w:tentative="1">
      <w:start w:val="1"/>
      <w:numFmt w:val="bullet"/>
      <w:lvlText w:val=""/>
      <w:lvlJc w:val="left"/>
      <w:pPr>
        <w:ind w:left="2868" w:hanging="360"/>
      </w:pPr>
      <w:rPr>
        <w:rFonts w:ascii="Wingdings" w:hAnsi="Wingdings" w:hint="default"/>
      </w:rPr>
    </w:lvl>
    <w:lvl w:ilvl="3" w:tplc="08100001" w:tentative="1">
      <w:start w:val="1"/>
      <w:numFmt w:val="bullet"/>
      <w:lvlText w:val=""/>
      <w:lvlJc w:val="left"/>
      <w:pPr>
        <w:ind w:left="3588" w:hanging="360"/>
      </w:pPr>
      <w:rPr>
        <w:rFonts w:ascii="Symbol" w:hAnsi="Symbol" w:hint="default"/>
      </w:rPr>
    </w:lvl>
    <w:lvl w:ilvl="4" w:tplc="08100003" w:tentative="1">
      <w:start w:val="1"/>
      <w:numFmt w:val="bullet"/>
      <w:lvlText w:val="o"/>
      <w:lvlJc w:val="left"/>
      <w:pPr>
        <w:ind w:left="4308" w:hanging="360"/>
      </w:pPr>
      <w:rPr>
        <w:rFonts w:ascii="Courier New" w:hAnsi="Courier New" w:cs="Courier New" w:hint="default"/>
      </w:rPr>
    </w:lvl>
    <w:lvl w:ilvl="5" w:tplc="08100005" w:tentative="1">
      <w:start w:val="1"/>
      <w:numFmt w:val="bullet"/>
      <w:lvlText w:val=""/>
      <w:lvlJc w:val="left"/>
      <w:pPr>
        <w:ind w:left="5028" w:hanging="360"/>
      </w:pPr>
      <w:rPr>
        <w:rFonts w:ascii="Wingdings" w:hAnsi="Wingdings" w:hint="default"/>
      </w:rPr>
    </w:lvl>
    <w:lvl w:ilvl="6" w:tplc="08100001" w:tentative="1">
      <w:start w:val="1"/>
      <w:numFmt w:val="bullet"/>
      <w:lvlText w:val=""/>
      <w:lvlJc w:val="left"/>
      <w:pPr>
        <w:ind w:left="5748" w:hanging="360"/>
      </w:pPr>
      <w:rPr>
        <w:rFonts w:ascii="Symbol" w:hAnsi="Symbol" w:hint="default"/>
      </w:rPr>
    </w:lvl>
    <w:lvl w:ilvl="7" w:tplc="08100003" w:tentative="1">
      <w:start w:val="1"/>
      <w:numFmt w:val="bullet"/>
      <w:lvlText w:val="o"/>
      <w:lvlJc w:val="left"/>
      <w:pPr>
        <w:ind w:left="6468" w:hanging="360"/>
      </w:pPr>
      <w:rPr>
        <w:rFonts w:ascii="Courier New" w:hAnsi="Courier New" w:cs="Courier New" w:hint="default"/>
      </w:rPr>
    </w:lvl>
    <w:lvl w:ilvl="8" w:tplc="08100005" w:tentative="1">
      <w:start w:val="1"/>
      <w:numFmt w:val="bullet"/>
      <w:lvlText w:val=""/>
      <w:lvlJc w:val="left"/>
      <w:pPr>
        <w:ind w:left="7188" w:hanging="360"/>
      </w:pPr>
      <w:rPr>
        <w:rFonts w:ascii="Wingdings" w:hAnsi="Wingdings" w:hint="default"/>
      </w:rPr>
    </w:lvl>
  </w:abstractNum>
  <w:abstractNum w:abstractNumId="7">
    <w:nsid w:val="2B1620F0"/>
    <w:multiLevelType w:val="hybridMultilevel"/>
    <w:tmpl w:val="57107804"/>
    <w:lvl w:ilvl="0" w:tplc="9706314A">
      <w:numFmt w:val="bullet"/>
      <w:lvlText w:val="-"/>
      <w:lvlJc w:val="left"/>
      <w:pPr>
        <w:ind w:left="720" w:hanging="360"/>
      </w:pPr>
      <w:rPr>
        <w:rFonts w:ascii="Arial" w:eastAsia="Times New Roman" w:hAnsi="Arial" w:cs="Aria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8">
    <w:nsid w:val="2C352F91"/>
    <w:multiLevelType w:val="hybridMultilevel"/>
    <w:tmpl w:val="F4D8C652"/>
    <w:lvl w:ilvl="0" w:tplc="B2945954">
      <w:start w:val="1"/>
      <w:numFmt w:val="upperRoman"/>
      <w:lvlText w:val="%1."/>
      <w:lvlJc w:val="left"/>
      <w:pPr>
        <w:ind w:left="1080" w:hanging="720"/>
      </w:pPr>
      <w:rPr>
        <w:rFonts w:hint="default"/>
      </w:r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abstractNum w:abstractNumId="9">
    <w:nsid w:val="3E9B7043"/>
    <w:multiLevelType w:val="hybridMultilevel"/>
    <w:tmpl w:val="1D56D6A4"/>
    <w:lvl w:ilvl="0" w:tplc="8A56849E">
      <w:numFmt w:val="bullet"/>
      <w:lvlText w:val="-"/>
      <w:lvlJc w:val="left"/>
      <w:pPr>
        <w:ind w:left="1440" w:hanging="360"/>
      </w:pPr>
      <w:rPr>
        <w:rFonts w:ascii="Arial" w:eastAsia="Times New Roman" w:hAnsi="Arial" w:cs="Arial" w:hint="default"/>
      </w:rPr>
    </w:lvl>
    <w:lvl w:ilvl="1" w:tplc="08100003" w:tentative="1">
      <w:start w:val="1"/>
      <w:numFmt w:val="bullet"/>
      <w:lvlText w:val="o"/>
      <w:lvlJc w:val="left"/>
      <w:pPr>
        <w:ind w:left="2160" w:hanging="360"/>
      </w:pPr>
      <w:rPr>
        <w:rFonts w:ascii="Courier New" w:hAnsi="Courier New" w:cs="Courier New" w:hint="default"/>
      </w:rPr>
    </w:lvl>
    <w:lvl w:ilvl="2" w:tplc="08100005" w:tentative="1">
      <w:start w:val="1"/>
      <w:numFmt w:val="bullet"/>
      <w:lvlText w:val=""/>
      <w:lvlJc w:val="left"/>
      <w:pPr>
        <w:ind w:left="2880" w:hanging="360"/>
      </w:pPr>
      <w:rPr>
        <w:rFonts w:ascii="Wingdings" w:hAnsi="Wingdings" w:hint="default"/>
      </w:rPr>
    </w:lvl>
    <w:lvl w:ilvl="3" w:tplc="08100001" w:tentative="1">
      <w:start w:val="1"/>
      <w:numFmt w:val="bullet"/>
      <w:lvlText w:val=""/>
      <w:lvlJc w:val="left"/>
      <w:pPr>
        <w:ind w:left="3600" w:hanging="360"/>
      </w:pPr>
      <w:rPr>
        <w:rFonts w:ascii="Symbol" w:hAnsi="Symbol" w:hint="default"/>
      </w:rPr>
    </w:lvl>
    <w:lvl w:ilvl="4" w:tplc="08100003" w:tentative="1">
      <w:start w:val="1"/>
      <w:numFmt w:val="bullet"/>
      <w:lvlText w:val="o"/>
      <w:lvlJc w:val="left"/>
      <w:pPr>
        <w:ind w:left="4320" w:hanging="360"/>
      </w:pPr>
      <w:rPr>
        <w:rFonts w:ascii="Courier New" w:hAnsi="Courier New" w:cs="Courier New" w:hint="default"/>
      </w:rPr>
    </w:lvl>
    <w:lvl w:ilvl="5" w:tplc="08100005" w:tentative="1">
      <w:start w:val="1"/>
      <w:numFmt w:val="bullet"/>
      <w:lvlText w:val=""/>
      <w:lvlJc w:val="left"/>
      <w:pPr>
        <w:ind w:left="5040" w:hanging="360"/>
      </w:pPr>
      <w:rPr>
        <w:rFonts w:ascii="Wingdings" w:hAnsi="Wingdings" w:hint="default"/>
      </w:rPr>
    </w:lvl>
    <w:lvl w:ilvl="6" w:tplc="08100001" w:tentative="1">
      <w:start w:val="1"/>
      <w:numFmt w:val="bullet"/>
      <w:lvlText w:val=""/>
      <w:lvlJc w:val="left"/>
      <w:pPr>
        <w:ind w:left="5760" w:hanging="360"/>
      </w:pPr>
      <w:rPr>
        <w:rFonts w:ascii="Symbol" w:hAnsi="Symbol" w:hint="default"/>
      </w:rPr>
    </w:lvl>
    <w:lvl w:ilvl="7" w:tplc="08100003" w:tentative="1">
      <w:start w:val="1"/>
      <w:numFmt w:val="bullet"/>
      <w:lvlText w:val="o"/>
      <w:lvlJc w:val="left"/>
      <w:pPr>
        <w:ind w:left="6480" w:hanging="360"/>
      </w:pPr>
      <w:rPr>
        <w:rFonts w:ascii="Courier New" w:hAnsi="Courier New" w:cs="Courier New" w:hint="default"/>
      </w:rPr>
    </w:lvl>
    <w:lvl w:ilvl="8" w:tplc="08100005" w:tentative="1">
      <w:start w:val="1"/>
      <w:numFmt w:val="bullet"/>
      <w:lvlText w:val=""/>
      <w:lvlJc w:val="left"/>
      <w:pPr>
        <w:ind w:left="7200" w:hanging="360"/>
      </w:pPr>
      <w:rPr>
        <w:rFonts w:ascii="Wingdings" w:hAnsi="Wingdings" w:hint="default"/>
      </w:rPr>
    </w:lvl>
  </w:abstractNum>
  <w:abstractNum w:abstractNumId="10">
    <w:nsid w:val="43C64E9E"/>
    <w:multiLevelType w:val="hybridMultilevel"/>
    <w:tmpl w:val="37EA8088"/>
    <w:lvl w:ilvl="0" w:tplc="30A69B2A">
      <w:numFmt w:val="bullet"/>
      <w:lvlText w:val="-"/>
      <w:lvlJc w:val="left"/>
      <w:pPr>
        <w:ind w:left="1440" w:hanging="360"/>
      </w:pPr>
      <w:rPr>
        <w:rFonts w:ascii="Arial" w:eastAsia="Times New Roman" w:hAnsi="Arial" w:cs="Arial" w:hint="default"/>
      </w:rPr>
    </w:lvl>
    <w:lvl w:ilvl="1" w:tplc="08100003" w:tentative="1">
      <w:start w:val="1"/>
      <w:numFmt w:val="bullet"/>
      <w:lvlText w:val="o"/>
      <w:lvlJc w:val="left"/>
      <w:pPr>
        <w:ind w:left="2160" w:hanging="360"/>
      </w:pPr>
      <w:rPr>
        <w:rFonts w:ascii="Courier New" w:hAnsi="Courier New" w:cs="Courier New" w:hint="default"/>
      </w:rPr>
    </w:lvl>
    <w:lvl w:ilvl="2" w:tplc="08100005" w:tentative="1">
      <w:start w:val="1"/>
      <w:numFmt w:val="bullet"/>
      <w:lvlText w:val=""/>
      <w:lvlJc w:val="left"/>
      <w:pPr>
        <w:ind w:left="2880" w:hanging="360"/>
      </w:pPr>
      <w:rPr>
        <w:rFonts w:ascii="Wingdings" w:hAnsi="Wingdings" w:hint="default"/>
      </w:rPr>
    </w:lvl>
    <w:lvl w:ilvl="3" w:tplc="08100001" w:tentative="1">
      <w:start w:val="1"/>
      <w:numFmt w:val="bullet"/>
      <w:lvlText w:val=""/>
      <w:lvlJc w:val="left"/>
      <w:pPr>
        <w:ind w:left="3600" w:hanging="360"/>
      </w:pPr>
      <w:rPr>
        <w:rFonts w:ascii="Symbol" w:hAnsi="Symbol" w:hint="default"/>
      </w:rPr>
    </w:lvl>
    <w:lvl w:ilvl="4" w:tplc="08100003" w:tentative="1">
      <w:start w:val="1"/>
      <w:numFmt w:val="bullet"/>
      <w:lvlText w:val="o"/>
      <w:lvlJc w:val="left"/>
      <w:pPr>
        <w:ind w:left="4320" w:hanging="360"/>
      </w:pPr>
      <w:rPr>
        <w:rFonts w:ascii="Courier New" w:hAnsi="Courier New" w:cs="Courier New" w:hint="default"/>
      </w:rPr>
    </w:lvl>
    <w:lvl w:ilvl="5" w:tplc="08100005" w:tentative="1">
      <w:start w:val="1"/>
      <w:numFmt w:val="bullet"/>
      <w:lvlText w:val=""/>
      <w:lvlJc w:val="left"/>
      <w:pPr>
        <w:ind w:left="5040" w:hanging="360"/>
      </w:pPr>
      <w:rPr>
        <w:rFonts w:ascii="Wingdings" w:hAnsi="Wingdings" w:hint="default"/>
      </w:rPr>
    </w:lvl>
    <w:lvl w:ilvl="6" w:tplc="08100001" w:tentative="1">
      <w:start w:val="1"/>
      <w:numFmt w:val="bullet"/>
      <w:lvlText w:val=""/>
      <w:lvlJc w:val="left"/>
      <w:pPr>
        <w:ind w:left="5760" w:hanging="360"/>
      </w:pPr>
      <w:rPr>
        <w:rFonts w:ascii="Symbol" w:hAnsi="Symbol" w:hint="default"/>
      </w:rPr>
    </w:lvl>
    <w:lvl w:ilvl="7" w:tplc="08100003" w:tentative="1">
      <w:start w:val="1"/>
      <w:numFmt w:val="bullet"/>
      <w:lvlText w:val="o"/>
      <w:lvlJc w:val="left"/>
      <w:pPr>
        <w:ind w:left="6480" w:hanging="360"/>
      </w:pPr>
      <w:rPr>
        <w:rFonts w:ascii="Courier New" w:hAnsi="Courier New" w:cs="Courier New" w:hint="default"/>
      </w:rPr>
    </w:lvl>
    <w:lvl w:ilvl="8" w:tplc="08100005" w:tentative="1">
      <w:start w:val="1"/>
      <w:numFmt w:val="bullet"/>
      <w:lvlText w:val=""/>
      <w:lvlJc w:val="left"/>
      <w:pPr>
        <w:ind w:left="7200" w:hanging="360"/>
      </w:pPr>
      <w:rPr>
        <w:rFonts w:ascii="Wingdings" w:hAnsi="Wingdings" w:hint="default"/>
      </w:rPr>
    </w:lvl>
  </w:abstractNum>
  <w:abstractNum w:abstractNumId="11">
    <w:nsid w:val="444A068F"/>
    <w:multiLevelType w:val="hybridMultilevel"/>
    <w:tmpl w:val="2B86088E"/>
    <w:lvl w:ilvl="0" w:tplc="ED0A279E">
      <w:numFmt w:val="bullet"/>
      <w:lvlText w:val="-"/>
      <w:lvlJc w:val="left"/>
      <w:pPr>
        <w:ind w:left="1440" w:hanging="360"/>
      </w:pPr>
      <w:rPr>
        <w:rFonts w:ascii="Arial" w:eastAsia="Times New Roman" w:hAnsi="Arial" w:cs="Arial" w:hint="default"/>
      </w:rPr>
    </w:lvl>
    <w:lvl w:ilvl="1" w:tplc="08100003" w:tentative="1">
      <w:start w:val="1"/>
      <w:numFmt w:val="bullet"/>
      <w:lvlText w:val="o"/>
      <w:lvlJc w:val="left"/>
      <w:pPr>
        <w:ind w:left="2160" w:hanging="360"/>
      </w:pPr>
      <w:rPr>
        <w:rFonts w:ascii="Courier New" w:hAnsi="Courier New" w:cs="Courier New" w:hint="default"/>
      </w:rPr>
    </w:lvl>
    <w:lvl w:ilvl="2" w:tplc="08100005" w:tentative="1">
      <w:start w:val="1"/>
      <w:numFmt w:val="bullet"/>
      <w:lvlText w:val=""/>
      <w:lvlJc w:val="left"/>
      <w:pPr>
        <w:ind w:left="2880" w:hanging="360"/>
      </w:pPr>
      <w:rPr>
        <w:rFonts w:ascii="Wingdings" w:hAnsi="Wingdings" w:hint="default"/>
      </w:rPr>
    </w:lvl>
    <w:lvl w:ilvl="3" w:tplc="08100001" w:tentative="1">
      <w:start w:val="1"/>
      <w:numFmt w:val="bullet"/>
      <w:lvlText w:val=""/>
      <w:lvlJc w:val="left"/>
      <w:pPr>
        <w:ind w:left="3600" w:hanging="360"/>
      </w:pPr>
      <w:rPr>
        <w:rFonts w:ascii="Symbol" w:hAnsi="Symbol" w:hint="default"/>
      </w:rPr>
    </w:lvl>
    <w:lvl w:ilvl="4" w:tplc="08100003" w:tentative="1">
      <w:start w:val="1"/>
      <w:numFmt w:val="bullet"/>
      <w:lvlText w:val="o"/>
      <w:lvlJc w:val="left"/>
      <w:pPr>
        <w:ind w:left="4320" w:hanging="360"/>
      </w:pPr>
      <w:rPr>
        <w:rFonts w:ascii="Courier New" w:hAnsi="Courier New" w:cs="Courier New" w:hint="default"/>
      </w:rPr>
    </w:lvl>
    <w:lvl w:ilvl="5" w:tplc="08100005" w:tentative="1">
      <w:start w:val="1"/>
      <w:numFmt w:val="bullet"/>
      <w:lvlText w:val=""/>
      <w:lvlJc w:val="left"/>
      <w:pPr>
        <w:ind w:left="5040" w:hanging="360"/>
      </w:pPr>
      <w:rPr>
        <w:rFonts w:ascii="Wingdings" w:hAnsi="Wingdings" w:hint="default"/>
      </w:rPr>
    </w:lvl>
    <w:lvl w:ilvl="6" w:tplc="08100001" w:tentative="1">
      <w:start w:val="1"/>
      <w:numFmt w:val="bullet"/>
      <w:lvlText w:val=""/>
      <w:lvlJc w:val="left"/>
      <w:pPr>
        <w:ind w:left="5760" w:hanging="360"/>
      </w:pPr>
      <w:rPr>
        <w:rFonts w:ascii="Symbol" w:hAnsi="Symbol" w:hint="default"/>
      </w:rPr>
    </w:lvl>
    <w:lvl w:ilvl="7" w:tplc="08100003" w:tentative="1">
      <w:start w:val="1"/>
      <w:numFmt w:val="bullet"/>
      <w:lvlText w:val="o"/>
      <w:lvlJc w:val="left"/>
      <w:pPr>
        <w:ind w:left="6480" w:hanging="360"/>
      </w:pPr>
      <w:rPr>
        <w:rFonts w:ascii="Courier New" w:hAnsi="Courier New" w:cs="Courier New" w:hint="default"/>
      </w:rPr>
    </w:lvl>
    <w:lvl w:ilvl="8" w:tplc="08100005" w:tentative="1">
      <w:start w:val="1"/>
      <w:numFmt w:val="bullet"/>
      <w:lvlText w:val=""/>
      <w:lvlJc w:val="left"/>
      <w:pPr>
        <w:ind w:left="7200" w:hanging="360"/>
      </w:pPr>
      <w:rPr>
        <w:rFonts w:ascii="Wingdings" w:hAnsi="Wingdings" w:hint="default"/>
      </w:rPr>
    </w:lvl>
  </w:abstractNum>
  <w:abstractNum w:abstractNumId="12">
    <w:nsid w:val="44E4171E"/>
    <w:multiLevelType w:val="hybridMultilevel"/>
    <w:tmpl w:val="86088168"/>
    <w:lvl w:ilvl="0" w:tplc="EA9E3FF0">
      <w:start w:val="1"/>
      <w:numFmt w:val="decimal"/>
      <w:lvlText w:val="%1."/>
      <w:lvlJc w:val="left"/>
      <w:pPr>
        <w:ind w:left="1428" w:hanging="360"/>
      </w:pPr>
      <w:rPr>
        <w:rFonts w:hint="default"/>
        <w:b/>
      </w:rPr>
    </w:lvl>
    <w:lvl w:ilvl="1" w:tplc="08100019" w:tentative="1">
      <w:start w:val="1"/>
      <w:numFmt w:val="lowerLetter"/>
      <w:lvlText w:val="%2."/>
      <w:lvlJc w:val="left"/>
      <w:pPr>
        <w:ind w:left="2148" w:hanging="360"/>
      </w:pPr>
    </w:lvl>
    <w:lvl w:ilvl="2" w:tplc="0810001B" w:tentative="1">
      <w:start w:val="1"/>
      <w:numFmt w:val="lowerRoman"/>
      <w:lvlText w:val="%3."/>
      <w:lvlJc w:val="right"/>
      <w:pPr>
        <w:ind w:left="2868" w:hanging="180"/>
      </w:pPr>
    </w:lvl>
    <w:lvl w:ilvl="3" w:tplc="0810000F" w:tentative="1">
      <w:start w:val="1"/>
      <w:numFmt w:val="decimal"/>
      <w:lvlText w:val="%4."/>
      <w:lvlJc w:val="left"/>
      <w:pPr>
        <w:ind w:left="3588" w:hanging="360"/>
      </w:pPr>
    </w:lvl>
    <w:lvl w:ilvl="4" w:tplc="08100019" w:tentative="1">
      <w:start w:val="1"/>
      <w:numFmt w:val="lowerLetter"/>
      <w:lvlText w:val="%5."/>
      <w:lvlJc w:val="left"/>
      <w:pPr>
        <w:ind w:left="4308" w:hanging="360"/>
      </w:pPr>
    </w:lvl>
    <w:lvl w:ilvl="5" w:tplc="0810001B" w:tentative="1">
      <w:start w:val="1"/>
      <w:numFmt w:val="lowerRoman"/>
      <w:lvlText w:val="%6."/>
      <w:lvlJc w:val="right"/>
      <w:pPr>
        <w:ind w:left="5028" w:hanging="180"/>
      </w:pPr>
    </w:lvl>
    <w:lvl w:ilvl="6" w:tplc="0810000F" w:tentative="1">
      <w:start w:val="1"/>
      <w:numFmt w:val="decimal"/>
      <w:lvlText w:val="%7."/>
      <w:lvlJc w:val="left"/>
      <w:pPr>
        <w:ind w:left="5748" w:hanging="360"/>
      </w:pPr>
    </w:lvl>
    <w:lvl w:ilvl="7" w:tplc="08100019" w:tentative="1">
      <w:start w:val="1"/>
      <w:numFmt w:val="lowerLetter"/>
      <w:lvlText w:val="%8."/>
      <w:lvlJc w:val="left"/>
      <w:pPr>
        <w:ind w:left="6468" w:hanging="360"/>
      </w:pPr>
    </w:lvl>
    <w:lvl w:ilvl="8" w:tplc="0810001B" w:tentative="1">
      <w:start w:val="1"/>
      <w:numFmt w:val="lowerRoman"/>
      <w:lvlText w:val="%9."/>
      <w:lvlJc w:val="right"/>
      <w:pPr>
        <w:ind w:left="7188" w:hanging="180"/>
      </w:pPr>
    </w:lvl>
  </w:abstractNum>
  <w:abstractNum w:abstractNumId="13">
    <w:nsid w:val="48C87670"/>
    <w:multiLevelType w:val="hybridMultilevel"/>
    <w:tmpl w:val="5C2457A6"/>
    <w:lvl w:ilvl="0" w:tplc="4AB6AA78">
      <w:numFmt w:val="bullet"/>
      <w:lvlText w:val="-"/>
      <w:lvlJc w:val="left"/>
      <w:pPr>
        <w:ind w:left="720" w:hanging="360"/>
      </w:pPr>
      <w:rPr>
        <w:rFonts w:ascii="Arial" w:eastAsia="Times New Roman" w:hAnsi="Arial" w:cs="Aria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14">
    <w:nsid w:val="49115CB3"/>
    <w:multiLevelType w:val="hybridMultilevel"/>
    <w:tmpl w:val="AABEAD84"/>
    <w:lvl w:ilvl="0" w:tplc="9856B380">
      <w:start w:val="1"/>
      <w:numFmt w:val="lowerLetter"/>
      <w:lvlText w:val="%1)"/>
      <w:lvlJc w:val="left"/>
      <w:pPr>
        <w:ind w:left="1440" w:hanging="360"/>
      </w:pPr>
      <w:rPr>
        <w:rFonts w:hint="default"/>
      </w:rPr>
    </w:lvl>
    <w:lvl w:ilvl="1" w:tplc="08100019" w:tentative="1">
      <w:start w:val="1"/>
      <w:numFmt w:val="lowerLetter"/>
      <w:lvlText w:val="%2."/>
      <w:lvlJc w:val="left"/>
      <w:pPr>
        <w:ind w:left="2160" w:hanging="360"/>
      </w:pPr>
    </w:lvl>
    <w:lvl w:ilvl="2" w:tplc="0810001B" w:tentative="1">
      <w:start w:val="1"/>
      <w:numFmt w:val="lowerRoman"/>
      <w:lvlText w:val="%3."/>
      <w:lvlJc w:val="right"/>
      <w:pPr>
        <w:ind w:left="2880" w:hanging="180"/>
      </w:pPr>
    </w:lvl>
    <w:lvl w:ilvl="3" w:tplc="0810000F" w:tentative="1">
      <w:start w:val="1"/>
      <w:numFmt w:val="decimal"/>
      <w:lvlText w:val="%4."/>
      <w:lvlJc w:val="left"/>
      <w:pPr>
        <w:ind w:left="3600" w:hanging="360"/>
      </w:pPr>
    </w:lvl>
    <w:lvl w:ilvl="4" w:tplc="08100019" w:tentative="1">
      <w:start w:val="1"/>
      <w:numFmt w:val="lowerLetter"/>
      <w:lvlText w:val="%5."/>
      <w:lvlJc w:val="left"/>
      <w:pPr>
        <w:ind w:left="4320" w:hanging="360"/>
      </w:pPr>
    </w:lvl>
    <w:lvl w:ilvl="5" w:tplc="0810001B" w:tentative="1">
      <w:start w:val="1"/>
      <w:numFmt w:val="lowerRoman"/>
      <w:lvlText w:val="%6."/>
      <w:lvlJc w:val="right"/>
      <w:pPr>
        <w:ind w:left="5040" w:hanging="180"/>
      </w:pPr>
    </w:lvl>
    <w:lvl w:ilvl="6" w:tplc="0810000F" w:tentative="1">
      <w:start w:val="1"/>
      <w:numFmt w:val="decimal"/>
      <w:lvlText w:val="%7."/>
      <w:lvlJc w:val="left"/>
      <w:pPr>
        <w:ind w:left="5760" w:hanging="360"/>
      </w:pPr>
    </w:lvl>
    <w:lvl w:ilvl="7" w:tplc="08100019" w:tentative="1">
      <w:start w:val="1"/>
      <w:numFmt w:val="lowerLetter"/>
      <w:lvlText w:val="%8."/>
      <w:lvlJc w:val="left"/>
      <w:pPr>
        <w:ind w:left="6480" w:hanging="360"/>
      </w:pPr>
    </w:lvl>
    <w:lvl w:ilvl="8" w:tplc="0810001B" w:tentative="1">
      <w:start w:val="1"/>
      <w:numFmt w:val="lowerRoman"/>
      <w:lvlText w:val="%9."/>
      <w:lvlJc w:val="right"/>
      <w:pPr>
        <w:ind w:left="7200" w:hanging="180"/>
      </w:pPr>
    </w:lvl>
  </w:abstractNum>
  <w:abstractNum w:abstractNumId="15">
    <w:nsid w:val="4A4E4B7B"/>
    <w:multiLevelType w:val="hybridMultilevel"/>
    <w:tmpl w:val="158CF016"/>
    <w:lvl w:ilvl="0" w:tplc="A440938E">
      <w:numFmt w:val="bullet"/>
      <w:lvlText w:val="-"/>
      <w:lvlJc w:val="left"/>
      <w:pPr>
        <w:ind w:left="1068" w:hanging="360"/>
      </w:pPr>
      <w:rPr>
        <w:rFonts w:ascii="Arial" w:eastAsia="Times New Roman" w:hAnsi="Arial" w:cs="Arial" w:hint="default"/>
      </w:rPr>
    </w:lvl>
    <w:lvl w:ilvl="1" w:tplc="08100003" w:tentative="1">
      <w:start w:val="1"/>
      <w:numFmt w:val="bullet"/>
      <w:lvlText w:val="o"/>
      <w:lvlJc w:val="left"/>
      <w:pPr>
        <w:ind w:left="1788" w:hanging="360"/>
      </w:pPr>
      <w:rPr>
        <w:rFonts w:ascii="Courier New" w:hAnsi="Courier New" w:cs="Courier New" w:hint="default"/>
      </w:rPr>
    </w:lvl>
    <w:lvl w:ilvl="2" w:tplc="08100005" w:tentative="1">
      <w:start w:val="1"/>
      <w:numFmt w:val="bullet"/>
      <w:lvlText w:val=""/>
      <w:lvlJc w:val="left"/>
      <w:pPr>
        <w:ind w:left="2508" w:hanging="360"/>
      </w:pPr>
      <w:rPr>
        <w:rFonts w:ascii="Wingdings" w:hAnsi="Wingdings" w:hint="default"/>
      </w:rPr>
    </w:lvl>
    <w:lvl w:ilvl="3" w:tplc="08100001" w:tentative="1">
      <w:start w:val="1"/>
      <w:numFmt w:val="bullet"/>
      <w:lvlText w:val=""/>
      <w:lvlJc w:val="left"/>
      <w:pPr>
        <w:ind w:left="3228" w:hanging="360"/>
      </w:pPr>
      <w:rPr>
        <w:rFonts w:ascii="Symbol" w:hAnsi="Symbol" w:hint="default"/>
      </w:rPr>
    </w:lvl>
    <w:lvl w:ilvl="4" w:tplc="08100003" w:tentative="1">
      <w:start w:val="1"/>
      <w:numFmt w:val="bullet"/>
      <w:lvlText w:val="o"/>
      <w:lvlJc w:val="left"/>
      <w:pPr>
        <w:ind w:left="3948" w:hanging="360"/>
      </w:pPr>
      <w:rPr>
        <w:rFonts w:ascii="Courier New" w:hAnsi="Courier New" w:cs="Courier New" w:hint="default"/>
      </w:rPr>
    </w:lvl>
    <w:lvl w:ilvl="5" w:tplc="08100005" w:tentative="1">
      <w:start w:val="1"/>
      <w:numFmt w:val="bullet"/>
      <w:lvlText w:val=""/>
      <w:lvlJc w:val="left"/>
      <w:pPr>
        <w:ind w:left="4668" w:hanging="360"/>
      </w:pPr>
      <w:rPr>
        <w:rFonts w:ascii="Wingdings" w:hAnsi="Wingdings" w:hint="default"/>
      </w:rPr>
    </w:lvl>
    <w:lvl w:ilvl="6" w:tplc="08100001" w:tentative="1">
      <w:start w:val="1"/>
      <w:numFmt w:val="bullet"/>
      <w:lvlText w:val=""/>
      <w:lvlJc w:val="left"/>
      <w:pPr>
        <w:ind w:left="5388" w:hanging="360"/>
      </w:pPr>
      <w:rPr>
        <w:rFonts w:ascii="Symbol" w:hAnsi="Symbol" w:hint="default"/>
      </w:rPr>
    </w:lvl>
    <w:lvl w:ilvl="7" w:tplc="08100003" w:tentative="1">
      <w:start w:val="1"/>
      <w:numFmt w:val="bullet"/>
      <w:lvlText w:val="o"/>
      <w:lvlJc w:val="left"/>
      <w:pPr>
        <w:ind w:left="6108" w:hanging="360"/>
      </w:pPr>
      <w:rPr>
        <w:rFonts w:ascii="Courier New" w:hAnsi="Courier New" w:cs="Courier New" w:hint="default"/>
      </w:rPr>
    </w:lvl>
    <w:lvl w:ilvl="8" w:tplc="08100005" w:tentative="1">
      <w:start w:val="1"/>
      <w:numFmt w:val="bullet"/>
      <w:lvlText w:val=""/>
      <w:lvlJc w:val="left"/>
      <w:pPr>
        <w:ind w:left="6828" w:hanging="360"/>
      </w:pPr>
      <w:rPr>
        <w:rFonts w:ascii="Wingdings" w:hAnsi="Wingdings" w:hint="default"/>
      </w:rPr>
    </w:lvl>
  </w:abstractNum>
  <w:abstractNum w:abstractNumId="16">
    <w:nsid w:val="5CBC74B3"/>
    <w:multiLevelType w:val="hybridMultilevel"/>
    <w:tmpl w:val="BB8EA900"/>
    <w:lvl w:ilvl="0" w:tplc="0D7E058A">
      <w:numFmt w:val="bullet"/>
      <w:lvlText w:val="-"/>
      <w:lvlJc w:val="left"/>
      <w:pPr>
        <w:ind w:left="1068" w:hanging="360"/>
      </w:pPr>
      <w:rPr>
        <w:rFonts w:ascii="Arial" w:eastAsia="Times New Roman" w:hAnsi="Arial" w:cs="Arial" w:hint="default"/>
      </w:rPr>
    </w:lvl>
    <w:lvl w:ilvl="1" w:tplc="08100003" w:tentative="1">
      <w:start w:val="1"/>
      <w:numFmt w:val="bullet"/>
      <w:lvlText w:val="o"/>
      <w:lvlJc w:val="left"/>
      <w:pPr>
        <w:ind w:left="1788" w:hanging="360"/>
      </w:pPr>
      <w:rPr>
        <w:rFonts w:ascii="Courier New" w:hAnsi="Courier New" w:cs="Courier New" w:hint="default"/>
      </w:rPr>
    </w:lvl>
    <w:lvl w:ilvl="2" w:tplc="08100005" w:tentative="1">
      <w:start w:val="1"/>
      <w:numFmt w:val="bullet"/>
      <w:lvlText w:val=""/>
      <w:lvlJc w:val="left"/>
      <w:pPr>
        <w:ind w:left="2508" w:hanging="360"/>
      </w:pPr>
      <w:rPr>
        <w:rFonts w:ascii="Wingdings" w:hAnsi="Wingdings" w:hint="default"/>
      </w:rPr>
    </w:lvl>
    <w:lvl w:ilvl="3" w:tplc="08100001" w:tentative="1">
      <w:start w:val="1"/>
      <w:numFmt w:val="bullet"/>
      <w:lvlText w:val=""/>
      <w:lvlJc w:val="left"/>
      <w:pPr>
        <w:ind w:left="3228" w:hanging="360"/>
      </w:pPr>
      <w:rPr>
        <w:rFonts w:ascii="Symbol" w:hAnsi="Symbol" w:hint="default"/>
      </w:rPr>
    </w:lvl>
    <w:lvl w:ilvl="4" w:tplc="08100003" w:tentative="1">
      <w:start w:val="1"/>
      <w:numFmt w:val="bullet"/>
      <w:lvlText w:val="o"/>
      <w:lvlJc w:val="left"/>
      <w:pPr>
        <w:ind w:left="3948" w:hanging="360"/>
      </w:pPr>
      <w:rPr>
        <w:rFonts w:ascii="Courier New" w:hAnsi="Courier New" w:cs="Courier New" w:hint="default"/>
      </w:rPr>
    </w:lvl>
    <w:lvl w:ilvl="5" w:tplc="08100005" w:tentative="1">
      <w:start w:val="1"/>
      <w:numFmt w:val="bullet"/>
      <w:lvlText w:val=""/>
      <w:lvlJc w:val="left"/>
      <w:pPr>
        <w:ind w:left="4668" w:hanging="360"/>
      </w:pPr>
      <w:rPr>
        <w:rFonts w:ascii="Wingdings" w:hAnsi="Wingdings" w:hint="default"/>
      </w:rPr>
    </w:lvl>
    <w:lvl w:ilvl="6" w:tplc="08100001" w:tentative="1">
      <w:start w:val="1"/>
      <w:numFmt w:val="bullet"/>
      <w:lvlText w:val=""/>
      <w:lvlJc w:val="left"/>
      <w:pPr>
        <w:ind w:left="5388" w:hanging="360"/>
      </w:pPr>
      <w:rPr>
        <w:rFonts w:ascii="Symbol" w:hAnsi="Symbol" w:hint="default"/>
      </w:rPr>
    </w:lvl>
    <w:lvl w:ilvl="7" w:tplc="08100003" w:tentative="1">
      <w:start w:val="1"/>
      <w:numFmt w:val="bullet"/>
      <w:lvlText w:val="o"/>
      <w:lvlJc w:val="left"/>
      <w:pPr>
        <w:ind w:left="6108" w:hanging="360"/>
      </w:pPr>
      <w:rPr>
        <w:rFonts w:ascii="Courier New" w:hAnsi="Courier New" w:cs="Courier New" w:hint="default"/>
      </w:rPr>
    </w:lvl>
    <w:lvl w:ilvl="8" w:tplc="08100005" w:tentative="1">
      <w:start w:val="1"/>
      <w:numFmt w:val="bullet"/>
      <w:lvlText w:val=""/>
      <w:lvlJc w:val="left"/>
      <w:pPr>
        <w:ind w:left="6828" w:hanging="360"/>
      </w:pPr>
      <w:rPr>
        <w:rFonts w:ascii="Wingdings" w:hAnsi="Wingdings" w:hint="default"/>
      </w:rPr>
    </w:lvl>
  </w:abstractNum>
  <w:abstractNum w:abstractNumId="17">
    <w:nsid w:val="6AC26B62"/>
    <w:multiLevelType w:val="multilevel"/>
    <w:tmpl w:val="0810001D"/>
    <w:styleLink w:val="Stile1"/>
    <w:lvl w:ilvl="0">
      <w:start w:val="1"/>
      <w:numFmt w:val="decimal"/>
      <w:lvlText w:val="%1)"/>
      <w:lvlJc w:val="left"/>
      <w:pPr>
        <w:ind w:left="360" w:hanging="360"/>
      </w:pPr>
    </w:lvl>
    <w:lvl w:ilvl="1">
      <w:start w:val="1"/>
      <w:numFmt w:val="lowerLetter"/>
      <w:lvlText w:val="%2)"/>
      <w:lvlJc w:val="left"/>
      <w:pPr>
        <w:ind w:left="360" w:hanging="360"/>
      </w:pPr>
    </w:lvl>
    <w:lvl w:ilvl="2">
      <w:start w:val="1"/>
      <w:numFmt w:val="lowerRoman"/>
      <w:lvlText w:val="%3)"/>
      <w:lvlJc w:val="left"/>
      <w:pPr>
        <w:ind w:left="360" w:hanging="360"/>
      </w:pPr>
    </w:lvl>
    <w:lvl w:ilvl="3">
      <w:start w:val="1"/>
      <w:numFmt w:val="decimal"/>
      <w:lvlText w:val="(%4)"/>
      <w:lvlJc w:val="left"/>
      <w:pPr>
        <w:ind w:left="36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77F718E1"/>
    <w:multiLevelType w:val="hybridMultilevel"/>
    <w:tmpl w:val="4F4203DC"/>
    <w:lvl w:ilvl="0" w:tplc="8D0A19FA">
      <w:start w:val="1"/>
      <w:numFmt w:val="decimal"/>
      <w:lvlText w:val="%1."/>
      <w:lvlJc w:val="left"/>
      <w:pPr>
        <w:ind w:left="720" w:hanging="360"/>
      </w:pPr>
      <w:rPr>
        <w:rFonts w:hint="default"/>
      </w:r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num w:numId="1">
    <w:abstractNumId w:val="17"/>
  </w:num>
  <w:num w:numId="2">
    <w:abstractNumId w:val="17"/>
  </w:num>
  <w:num w:numId="3">
    <w:abstractNumId w:val="18"/>
  </w:num>
  <w:num w:numId="4">
    <w:abstractNumId w:val="2"/>
  </w:num>
  <w:num w:numId="5">
    <w:abstractNumId w:val="8"/>
  </w:num>
  <w:num w:numId="6">
    <w:abstractNumId w:val="7"/>
  </w:num>
  <w:num w:numId="7">
    <w:abstractNumId w:val="3"/>
  </w:num>
  <w:num w:numId="8">
    <w:abstractNumId w:val="13"/>
  </w:num>
  <w:num w:numId="9">
    <w:abstractNumId w:val="6"/>
  </w:num>
  <w:num w:numId="10">
    <w:abstractNumId w:val="10"/>
  </w:num>
  <w:num w:numId="11">
    <w:abstractNumId w:val="11"/>
  </w:num>
  <w:num w:numId="12">
    <w:abstractNumId w:val="14"/>
  </w:num>
  <w:num w:numId="13">
    <w:abstractNumId w:val="4"/>
  </w:num>
  <w:num w:numId="14">
    <w:abstractNumId w:val="12"/>
  </w:num>
  <w:num w:numId="15">
    <w:abstractNumId w:val="16"/>
  </w:num>
  <w:num w:numId="16">
    <w:abstractNumId w:val="0"/>
  </w:num>
  <w:num w:numId="17">
    <w:abstractNumId w:val="15"/>
  </w:num>
  <w:num w:numId="18">
    <w:abstractNumId w:val="1"/>
  </w:num>
  <w:num w:numId="19">
    <w:abstractNumId w:val="9"/>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9"/>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4137"/>
    <w:rsid w:val="00076E70"/>
    <w:rsid w:val="000B2940"/>
    <w:rsid w:val="002E5E40"/>
    <w:rsid w:val="003B7935"/>
    <w:rsid w:val="003D7A8E"/>
    <w:rsid w:val="0052425A"/>
    <w:rsid w:val="0057039F"/>
    <w:rsid w:val="00586A8D"/>
    <w:rsid w:val="00594EBF"/>
    <w:rsid w:val="005D2EDB"/>
    <w:rsid w:val="005F4380"/>
    <w:rsid w:val="006D7A3B"/>
    <w:rsid w:val="007B5462"/>
    <w:rsid w:val="008034BD"/>
    <w:rsid w:val="00876352"/>
    <w:rsid w:val="008A0539"/>
    <w:rsid w:val="008B4137"/>
    <w:rsid w:val="008C767A"/>
    <w:rsid w:val="008E77C6"/>
    <w:rsid w:val="009770BB"/>
    <w:rsid w:val="009E008D"/>
    <w:rsid w:val="009E3D90"/>
    <w:rsid w:val="00A5465F"/>
    <w:rsid w:val="00A77678"/>
    <w:rsid w:val="00BC4C95"/>
    <w:rsid w:val="00BD5944"/>
    <w:rsid w:val="00CB127C"/>
    <w:rsid w:val="00CF6858"/>
    <w:rsid w:val="00D377B5"/>
    <w:rsid w:val="00D93B31"/>
    <w:rsid w:val="00F242E5"/>
  </w:rsids>
  <m:mathPr>
    <m:mathFont m:val="Cambria Math"/>
    <m:brkBin m:val="before"/>
    <m:brkBinSub m:val="--"/>
    <m:smallFrac m:val="0"/>
    <m:dispDef/>
    <m:lMargin m:val="0"/>
    <m:rMargin m:val="0"/>
    <m:defJc m:val="centerGroup"/>
    <m:wrapIndent m:val="1440"/>
    <m:intLim m:val="subSup"/>
    <m:naryLim m:val="undOvr"/>
  </m:mathPr>
  <w:themeFontLang w:val="it-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CH"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76E70"/>
    <w:rPr>
      <w:rFonts w:ascii="Arial" w:hAnsi="Arial"/>
      <w:sz w:val="24"/>
    </w:rPr>
  </w:style>
  <w:style w:type="paragraph" w:styleId="Titolo1">
    <w:name w:val="heading 1"/>
    <w:basedOn w:val="Normale"/>
    <w:next w:val="Normale"/>
    <w:link w:val="Titolo1Carattere"/>
    <w:autoRedefine/>
    <w:qFormat/>
    <w:rsid w:val="00594EBF"/>
    <w:pPr>
      <w:keepNext/>
      <w:numPr>
        <w:numId w:val="4"/>
      </w:numPr>
      <w:tabs>
        <w:tab w:val="left" w:pos="567"/>
      </w:tabs>
      <w:spacing w:after="120"/>
      <w:ind w:left="567" w:hanging="567"/>
      <w:outlineLvl w:val="0"/>
    </w:pPr>
    <w:rPr>
      <w:b/>
      <w:caps/>
      <w:szCs w:val="24"/>
      <w:lang w:val="it-IT" w:eastAsia="it-IT"/>
    </w:rPr>
  </w:style>
  <w:style w:type="paragraph" w:styleId="Titolo2">
    <w:name w:val="heading 2"/>
    <w:basedOn w:val="Normale"/>
    <w:next w:val="Normale"/>
    <w:link w:val="Titolo2Carattere"/>
    <w:autoRedefine/>
    <w:qFormat/>
    <w:rsid w:val="006D7A3B"/>
    <w:pPr>
      <w:keepNext/>
      <w:tabs>
        <w:tab w:val="left" w:pos="567"/>
      </w:tabs>
      <w:spacing w:after="120"/>
      <w:outlineLvl w:val="1"/>
    </w:pPr>
    <w:rPr>
      <w:b/>
      <w:lang w:val="it-IT" w:eastAsia="it-IT"/>
    </w:rPr>
  </w:style>
  <w:style w:type="paragraph" w:styleId="Titolo3">
    <w:name w:val="heading 3"/>
    <w:basedOn w:val="Normale"/>
    <w:next w:val="Normale"/>
    <w:link w:val="Titolo3Carattere"/>
    <w:autoRedefine/>
    <w:qFormat/>
    <w:rsid w:val="006D7A3B"/>
    <w:pPr>
      <w:keepNext/>
      <w:tabs>
        <w:tab w:val="left" w:pos="709"/>
      </w:tabs>
      <w:spacing w:before="120" w:after="120"/>
      <w:outlineLvl w:val="2"/>
    </w:pPr>
    <w:rPr>
      <w:b/>
      <w:i/>
      <w:sz w:val="23"/>
      <w:szCs w:val="23"/>
      <w:lang w:val="it-IT" w:eastAsia="it-IT"/>
    </w:rPr>
  </w:style>
  <w:style w:type="paragraph" w:styleId="Titolo4">
    <w:name w:val="heading 4"/>
    <w:basedOn w:val="Normale"/>
    <w:next w:val="Normale"/>
    <w:link w:val="Titolo4Carattere"/>
    <w:uiPriority w:val="9"/>
    <w:unhideWhenUsed/>
    <w:qFormat/>
    <w:rsid w:val="00076E70"/>
    <w:pPr>
      <w:keepNext/>
      <w:keepLines/>
      <w:spacing w:before="120" w:after="120"/>
      <w:outlineLvl w:val="3"/>
    </w:pPr>
    <w:rPr>
      <w:rFonts w:eastAsiaTheme="majorEastAsia" w:cstheme="majorBidi"/>
      <w:b/>
      <w:bCs/>
      <w:iCs/>
      <w:sz w:val="22"/>
    </w:rPr>
  </w:style>
  <w:style w:type="paragraph" w:styleId="Titolo5">
    <w:name w:val="heading 5"/>
    <w:basedOn w:val="Normale"/>
    <w:next w:val="Normale"/>
    <w:link w:val="Titolo5Carattere"/>
    <w:uiPriority w:val="9"/>
    <w:unhideWhenUsed/>
    <w:qFormat/>
    <w:rsid w:val="00076E70"/>
    <w:pPr>
      <w:keepNext/>
      <w:keepLines/>
      <w:tabs>
        <w:tab w:val="left" w:pos="993"/>
      </w:tabs>
      <w:spacing w:after="120"/>
      <w:outlineLvl w:val="4"/>
    </w:pPr>
    <w:rPr>
      <w:rFonts w:eastAsiaTheme="majorEastAsia" w:cstheme="majorBidi"/>
      <w:b/>
      <w:i/>
      <w:color w:val="243F60" w:themeColor="accent1" w:themeShade="7F"/>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Sommario1">
    <w:name w:val="toc 1"/>
    <w:basedOn w:val="Normale"/>
    <w:next w:val="Normale"/>
    <w:autoRedefine/>
    <w:uiPriority w:val="39"/>
    <w:unhideWhenUsed/>
    <w:rsid w:val="0052425A"/>
    <w:pPr>
      <w:spacing w:before="240"/>
    </w:pPr>
    <w:rPr>
      <w:rFonts w:eastAsia="Calibri" w:cs="Times New Roman"/>
      <w:caps/>
      <w:szCs w:val="24"/>
      <w:lang w:val="it-IT"/>
    </w:rPr>
  </w:style>
  <w:style w:type="character" w:customStyle="1" w:styleId="Titolo1Carattere">
    <w:name w:val="Titolo 1 Carattere"/>
    <w:basedOn w:val="Carpredefinitoparagrafo"/>
    <w:link w:val="Titolo1"/>
    <w:rsid w:val="00594EBF"/>
    <w:rPr>
      <w:rFonts w:ascii="Arial" w:hAnsi="Arial"/>
      <w:b/>
      <w:caps/>
      <w:sz w:val="24"/>
      <w:szCs w:val="24"/>
      <w:lang w:val="it-IT" w:eastAsia="it-IT"/>
    </w:rPr>
  </w:style>
  <w:style w:type="character" w:customStyle="1" w:styleId="Titolo2Carattere">
    <w:name w:val="Titolo 2 Carattere"/>
    <w:basedOn w:val="Carpredefinitoparagrafo"/>
    <w:link w:val="Titolo2"/>
    <w:rsid w:val="006D7A3B"/>
    <w:rPr>
      <w:rFonts w:ascii="Arial" w:hAnsi="Arial"/>
      <w:b/>
      <w:sz w:val="24"/>
      <w:lang w:val="it-IT" w:eastAsia="it-IT"/>
    </w:rPr>
  </w:style>
  <w:style w:type="character" w:customStyle="1" w:styleId="Titolo3Carattere">
    <w:name w:val="Titolo 3 Carattere"/>
    <w:basedOn w:val="Carpredefinitoparagrafo"/>
    <w:link w:val="Titolo3"/>
    <w:rsid w:val="006D7A3B"/>
    <w:rPr>
      <w:rFonts w:ascii="Arial" w:hAnsi="Arial"/>
      <w:b/>
      <w:i/>
      <w:sz w:val="23"/>
      <w:szCs w:val="23"/>
      <w:lang w:val="it-IT" w:eastAsia="it-IT"/>
    </w:rPr>
  </w:style>
  <w:style w:type="numbering" w:customStyle="1" w:styleId="Stile1">
    <w:name w:val="Stile1"/>
    <w:uiPriority w:val="99"/>
    <w:rsid w:val="0052425A"/>
    <w:pPr>
      <w:numPr>
        <w:numId w:val="1"/>
      </w:numPr>
    </w:pPr>
  </w:style>
  <w:style w:type="paragraph" w:styleId="Sommario3">
    <w:name w:val="toc 3"/>
    <w:basedOn w:val="Normale"/>
    <w:next w:val="Normale"/>
    <w:autoRedefine/>
    <w:uiPriority w:val="39"/>
    <w:unhideWhenUsed/>
    <w:rsid w:val="0052425A"/>
    <w:pPr>
      <w:spacing w:before="60"/>
    </w:pPr>
    <w:rPr>
      <w:rFonts w:eastAsia="Calibri" w:cs="Times New Roman"/>
      <w:szCs w:val="24"/>
      <w:lang w:val="it-IT"/>
    </w:rPr>
  </w:style>
  <w:style w:type="paragraph" w:styleId="Sommario2">
    <w:name w:val="toc 2"/>
    <w:basedOn w:val="Normale"/>
    <w:next w:val="Normale"/>
    <w:autoRedefine/>
    <w:uiPriority w:val="39"/>
    <w:unhideWhenUsed/>
    <w:rsid w:val="0052425A"/>
    <w:rPr>
      <w:rFonts w:eastAsia="Calibri" w:cs="Times New Roman"/>
      <w:szCs w:val="24"/>
      <w:lang w:val="it-IT"/>
    </w:rPr>
  </w:style>
  <w:style w:type="paragraph" w:styleId="Paragrafoelenco">
    <w:name w:val="List Paragraph"/>
    <w:basedOn w:val="Normale"/>
    <w:uiPriority w:val="34"/>
    <w:qFormat/>
    <w:rsid w:val="0052425A"/>
  </w:style>
  <w:style w:type="character" w:customStyle="1" w:styleId="Titolo4Carattere">
    <w:name w:val="Titolo 4 Carattere"/>
    <w:basedOn w:val="Carpredefinitoparagrafo"/>
    <w:link w:val="Titolo4"/>
    <w:uiPriority w:val="9"/>
    <w:rsid w:val="00076E70"/>
    <w:rPr>
      <w:rFonts w:ascii="Arial" w:eastAsiaTheme="majorEastAsia" w:hAnsi="Arial" w:cstheme="majorBidi"/>
      <w:b/>
      <w:bCs/>
      <w:iCs/>
    </w:rPr>
  </w:style>
  <w:style w:type="character" w:customStyle="1" w:styleId="Titolo5Carattere">
    <w:name w:val="Titolo 5 Carattere"/>
    <w:basedOn w:val="Carpredefinitoparagrafo"/>
    <w:link w:val="Titolo5"/>
    <w:uiPriority w:val="9"/>
    <w:rsid w:val="00076E70"/>
    <w:rPr>
      <w:rFonts w:ascii="Arial" w:eastAsiaTheme="majorEastAsia" w:hAnsi="Arial" w:cstheme="majorBidi"/>
      <w:b/>
      <w:i/>
      <w:color w:val="243F60" w:themeColor="accent1" w:themeShade="7F"/>
    </w:rPr>
  </w:style>
  <w:style w:type="paragraph" w:styleId="Nessunaspaziatura">
    <w:name w:val="No Spacing"/>
    <w:uiPriority w:val="1"/>
    <w:qFormat/>
    <w:rsid w:val="00076E70"/>
  </w:style>
  <w:style w:type="paragraph" w:styleId="Intestazione">
    <w:name w:val="header"/>
    <w:basedOn w:val="Normale"/>
    <w:link w:val="IntestazioneCarattere"/>
    <w:uiPriority w:val="99"/>
    <w:unhideWhenUsed/>
    <w:rsid w:val="008E77C6"/>
    <w:pPr>
      <w:tabs>
        <w:tab w:val="center" w:pos="4819"/>
        <w:tab w:val="right" w:pos="9638"/>
      </w:tabs>
    </w:pPr>
  </w:style>
  <w:style w:type="character" w:customStyle="1" w:styleId="IntestazioneCarattere">
    <w:name w:val="Intestazione Carattere"/>
    <w:basedOn w:val="Carpredefinitoparagrafo"/>
    <w:link w:val="Intestazione"/>
    <w:uiPriority w:val="99"/>
    <w:rsid w:val="008E77C6"/>
    <w:rPr>
      <w:rFonts w:ascii="Arial" w:hAnsi="Arial"/>
      <w:sz w:val="24"/>
    </w:rPr>
  </w:style>
  <w:style w:type="paragraph" w:styleId="Pidipagina">
    <w:name w:val="footer"/>
    <w:basedOn w:val="Normale"/>
    <w:link w:val="PidipaginaCarattere"/>
    <w:uiPriority w:val="99"/>
    <w:unhideWhenUsed/>
    <w:rsid w:val="008E77C6"/>
    <w:pPr>
      <w:tabs>
        <w:tab w:val="center" w:pos="4819"/>
        <w:tab w:val="right" w:pos="9638"/>
      </w:tabs>
    </w:pPr>
  </w:style>
  <w:style w:type="character" w:customStyle="1" w:styleId="PidipaginaCarattere">
    <w:name w:val="Piè di pagina Carattere"/>
    <w:basedOn w:val="Carpredefinitoparagrafo"/>
    <w:link w:val="Pidipagina"/>
    <w:uiPriority w:val="99"/>
    <w:rsid w:val="008E77C6"/>
    <w:rPr>
      <w:rFonts w:ascii="Arial" w:hAnsi="Arial"/>
      <w:sz w:val="24"/>
    </w:rPr>
  </w:style>
  <w:style w:type="paragraph" w:styleId="Corpotesto">
    <w:name w:val="Body Text"/>
    <w:basedOn w:val="Normale"/>
    <w:link w:val="CorpotestoCarattere"/>
    <w:rsid w:val="00CB127C"/>
    <w:pPr>
      <w:tabs>
        <w:tab w:val="left" w:pos="284"/>
        <w:tab w:val="left" w:pos="426"/>
        <w:tab w:val="left" w:pos="4962"/>
      </w:tabs>
    </w:pPr>
    <w:rPr>
      <w:rFonts w:eastAsia="Times New Roman" w:cs="Times New Roman"/>
      <w:szCs w:val="20"/>
      <w:lang w:val="it-IT" w:eastAsia="it-IT"/>
    </w:rPr>
  </w:style>
  <w:style w:type="character" w:customStyle="1" w:styleId="CorpotestoCarattere">
    <w:name w:val="Corpo testo Carattere"/>
    <w:basedOn w:val="Carpredefinitoparagrafo"/>
    <w:link w:val="Corpotesto"/>
    <w:rsid w:val="00CB127C"/>
    <w:rPr>
      <w:rFonts w:ascii="Arial" w:eastAsia="Times New Roman" w:hAnsi="Arial" w:cs="Times New Roman"/>
      <w:sz w:val="24"/>
      <w:szCs w:val="20"/>
      <w:lang w:val="it-IT" w:eastAsia="it-IT"/>
    </w:rPr>
  </w:style>
  <w:style w:type="paragraph" w:styleId="Testonotaapidipagina">
    <w:name w:val="footnote text"/>
    <w:basedOn w:val="Normale"/>
    <w:link w:val="TestonotaapidipaginaCarattere"/>
    <w:uiPriority w:val="99"/>
    <w:semiHidden/>
    <w:unhideWhenUsed/>
    <w:rsid w:val="00CB127C"/>
    <w:rPr>
      <w:rFonts w:eastAsia="Times New Roman" w:cs="Times New Roman"/>
      <w:sz w:val="20"/>
      <w:szCs w:val="20"/>
      <w:lang w:val="it-IT" w:eastAsia="it-IT"/>
    </w:rPr>
  </w:style>
  <w:style w:type="character" w:customStyle="1" w:styleId="TestonotaapidipaginaCarattere">
    <w:name w:val="Testo nota a piè di pagina Carattere"/>
    <w:basedOn w:val="Carpredefinitoparagrafo"/>
    <w:link w:val="Testonotaapidipagina"/>
    <w:uiPriority w:val="99"/>
    <w:semiHidden/>
    <w:rsid w:val="00CB127C"/>
    <w:rPr>
      <w:rFonts w:ascii="Arial" w:eastAsia="Times New Roman" w:hAnsi="Arial" w:cs="Times New Roman"/>
      <w:sz w:val="20"/>
      <w:szCs w:val="20"/>
      <w:lang w:val="it-IT" w:eastAsia="it-IT"/>
    </w:rPr>
  </w:style>
  <w:style w:type="character" w:styleId="Rimandonotaapidipagina">
    <w:name w:val="footnote reference"/>
    <w:basedOn w:val="Carpredefinitoparagrafo"/>
    <w:uiPriority w:val="99"/>
    <w:semiHidden/>
    <w:unhideWhenUsed/>
    <w:rsid w:val="00CB127C"/>
    <w:rPr>
      <w:vertAlign w:val="superscript"/>
    </w:rPr>
  </w:style>
  <w:style w:type="paragraph" w:customStyle="1" w:styleId="Default">
    <w:name w:val="Default"/>
    <w:rsid w:val="00CB127C"/>
    <w:pPr>
      <w:autoSpaceDE w:val="0"/>
      <w:autoSpaceDN w:val="0"/>
      <w:adjustRightInd w:val="0"/>
      <w:jc w:val="left"/>
    </w:pPr>
    <w:rPr>
      <w:rFonts w:ascii="Arial" w:hAnsi="Arial" w:cs="Arial"/>
      <w:color w:val="000000"/>
      <w:sz w:val="24"/>
      <w:szCs w:val="24"/>
    </w:rPr>
  </w:style>
  <w:style w:type="table" w:styleId="Grigliatabella">
    <w:name w:val="Table Grid"/>
    <w:basedOn w:val="Tabellanormale"/>
    <w:uiPriority w:val="39"/>
    <w:rsid w:val="00CB127C"/>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CB127C"/>
    <w:rPr>
      <w:color w:val="0000FF"/>
      <w:u w:val="single"/>
    </w:rPr>
  </w:style>
  <w:style w:type="paragraph" w:styleId="Testofumetto">
    <w:name w:val="Balloon Text"/>
    <w:basedOn w:val="Normale"/>
    <w:link w:val="TestofumettoCarattere"/>
    <w:uiPriority w:val="99"/>
    <w:semiHidden/>
    <w:unhideWhenUsed/>
    <w:rsid w:val="009E3D9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E3D9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CH"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76E70"/>
    <w:rPr>
      <w:rFonts w:ascii="Arial" w:hAnsi="Arial"/>
      <w:sz w:val="24"/>
    </w:rPr>
  </w:style>
  <w:style w:type="paragraph" w:styleId="Titolo1">
    <w:name w:val="heading 1"/>
    <w:basedOn w:val="Normale"/>
    <w:next w:val="Normale"/>
    <w:link w:val="Titolo1Carattere"/>
    <w:autoRedefine/>
    <w:qFormat/>
    <w:rsid w:val="00594EBF"/>
    <w:pPr>
      <w:keepNext/>
      <w:numPr>
        <w:numId w:val="4"/>
      </w:numPr>
      <w:tabs>
        <w:tab w:val="left" w:pos="567"/>
      </w:tabs>
      <w:spacing w:after="120"/>
      <w:ind w:left="567" w:hanging="567"/>
      <w:outlineLvl w:val="0"/>
    </w:pPr>
    <w:rPr>
      <w:b/>
      <w:caps/>
      <w:szCs w:val="24"/>
      <w:lang w:val="it-IT" w:eastAsia="it-IT"/>
    </w:rPr>
  </w:style>
  <w:style w:type="paragraph" w:styleId="Titolo2">
    <w:name w:val="heading 2"/>
    <w:basedOn w:val="Normale"/>
    <w:next w:val="Normale"/>
    <w:link w:val="Titolo2Carattere"/>
    <w:autoRedefine/>
    <w:qFormat/>
    <w:rsid w:val="006D7A3B"/>
    <w:pPr>
      <w:keepNext/>
      <w:tabs>
        <w:tab w:val="left" w:pos="567"/>
      </w:tabs>
      <w:spacing w:after="120"/>
      <w:outlineLvl w:val="1"/>
    </w:pPr>
    <w:rPr>
      <w:b/>
      <w:lang w:val="it-IT" w:eastAsia="it-IT"/>
    </w:rPr>
  </w:style>
  <w:style w:type="paragraph" w:styleId="Titolo3">
    <w:name w:val="heading 3"/>
    <w:basedOn w:val="Normale"/>
    <w:next w:val="Normale"/>
    <w:link w:val="Titolo3Carattere"/>
    <w:autoRedefine/>
    <w:qFormat/>
    <w:rsid w:val="006D7A3B"/>
    <w:pPr>
      <w:keepNext/>
      <w:tabs>
        <w:tab w:val="left" w:pos="709"/>
      </w:tabs>
      <w:spacing w:before="120" w:after="120"/>
      <w:outlineLvl w:val="2"/>
    </w:pPr>
    <w:rPr>
      <w:b/>
      <w:i/>
      <w:sz w:val="23"/>
      <w:szCs w:val="23"/>
      <w:lang w:val="it-IT" w:eastAsia="it-IT"/>
    </w:rPr>
  </w:style>
  <w:style w:type="paragraph" w:styleId="Titolo4">
    <w:name w:val="heading 4"/>
    <w:basedOn w:val="Normale"/>
    <w:next w:val="Normale"/>
    <w:link w:val="Titolo4Carattere"/>
    <w:uiPriority w:val="9"/>
    <w:unhideWhenUsed/>
    <w:qFormat/>
    <w:rsid w:val="00076E70"/>
    <w:pPr>
      <w:keepNext/>
      <w:keepLines/>
      <w:spacing w:before="120" w:after="120"/>
      <w:outlineLvl w:val="3"/>
    </w:pPr>
    <w:rPr>
      <w:rFonts w:eastAsiaTheme="majorEastAsia" w:cstheme="majorBidi"/>
      <w:b/>
      <w:bCs/>
      <w:iCs/>
      <w:sz w:val="22"/>
    </w:rPr>
  </w:style>
  <w:style w:type="paragraph" w:styleId="Titolo5">
    <w:name w:val="heading 5"/>
    <w:basedOn w:val="Normale"/>
    <w:next w:val="Normale"/>
    <w:link w:val="Titolo5Carattere"/>
    <w:uiPriority w:val="9"/>
    <w:unhideWhenUsed/>
    <w:qFormat/>
    <w:rsid w:val="00076E70"/>
    <w:pPr>
      <w:keepNext/>
      <w:keepLines/>
      <w:tabs>
        <w:tab w:val="left" w:pos="993"/>
      </w:tabs>
      <w:spacing w:after="120"/>
      <w:outlineLvl w:val="4"/>
    </w:pPr>
    <w:rPr>
      <w:rFonts w:eastAsiaTheme="majorEastAsia" w:cstheme="majorBidi"/>
      <w:b/>
      <w:i/>
      <w:color w:val="243F60" w:themeColor="accent1" w:themeShade="7F"/>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Sommario1">
    <w:name w:val="toc 1"/>
    <w:basedOn w:val="Normale"/>
    <w:next w:val="Normale"/>
    <w:autoRedefine/>
    <w:uiPriority w:val="39"/>
    <w:unhideWhenUsed/>
    <w:rsid w:val="0052425A"/>
    <w:pPr>
      <w:spacing w:before="240"/>
    </w:pPr>
    <w:rPr>
      <w:rFonts w:eastAsia="Calibri" w:cs="Times New Roman"/>
      <w:caps/>
      <w:szCs w:val="24"/>
      <w:lang w:val="it-IT"/>
    </w:rPr>
  </w:style>
  <w:style w:type="character" w:customStyle="1" w:styleId="Titolo1Carattere">
    <w:name w:val="Titolo 1 Carattere"/>
    <w:basedOn w:val="Carpredefinitoparagrafo"/>
    <w:link w:val="Titolo1"/>
    <w:rsid w:val="00594EBF"/>
    <w:rPr>
      <w:rFonts w:ascii="Arial" w:hAnsi="Arial"/>
      <w:b/>
      <w:caps/>
      <w:sz w:val="24"/>
      <w:szCs w:val="24"/>
      <w:lang w:val="it-IT" w:eastAsia="it-IT"/>
    </w:rPr>
  </w:style>
  <w:style w:type="character" w:customStyle="1" w:styleId="Titolo2Carattere">
    <w:name w:val="Titolo 2 Carattere"/>
    <w:basedOn w:val="Carpredefinitoparagrafo"/>
    <w:link w:val="Titolo2"/>
    <w:rsid w:val="006D7A3B"/>
    <w:rPr>
      <w:rFonts w:ascii="Arial" w:hAnsi="Arial"/>
      <w:b/>
      <w:sz w:val="24"/>
      <w:lang w:val="it-IT" w:eastAsia="it-IT"/>
    </w:rPr>
  </w:style>
  <w:style w:type="character" w:customStyle="1" w:styleId="Titolo3Carattere">
    <w:name w:val="Titolo 3 Carattere"/>
    <w:basedOn w:val="Carpredefinitoparagrafo"/>
    <w:link w:val="Titolo3"/>
    <w:rsid w:val="006D7A3B"/>
    <w:rPr>
      <w:rFonts w:ascii="Arial" w:hAnsi="Arial"/>
      <w:b/>
      <w:i/>
      <w:sz w:val="23"/>
      <w:szCs w:val="23"/>
      <w:lang w:val="it-IT" w:eastAsia="it-IT"/>
    </w:rPr>
  </w:style>
  <w:style w:type="numbering" w:customStyle="1" w:styleId="Stile1">
    <w:name w:val="Stile1"/>
    <w:uiPriority w:val="99"/>
    <w:rsid w:val="0052425A"/>
    <w:pPr>
      <w:numPr>
        <w:numId w:val="1"/>
      </w:numPr>
    </w:pPr>
  </w:style>
  <w:style w:type="paragraph" w:styleId="Sommario3">
    <w:name w:val="toc 3"/>
    <w:basedOn w:val="Normale"/>
    <w:next w:val="Normale"/>
    <w:autoRedefine/>
    <w:uiPriority w:val="39"/>
    <w:unhideWhenUsed/>
    <w:rsid w:val="0052425A"/>
    <w:pPr>
      <w:spacing w:before="60"/>
    </w:pPr>
    <w:rPr>
      <w:rFonts w:eastAsia="Calibri" w:cs="Times New Roman"/>
      <w:szCs w:val="24"/>
      <w:lang w:val="it-IT"/>
    </w:rPr>
  </w:style>
  <w:style w:type="paragraph" w:styleId="Sommario2">
    <w:name w:val="toc 2"/>
    <w:basedOn w:val="Normale"/>
    <w:next w:val="Normale"/>
    <w:autoRedefine/>
    <w:uiPriority w:val="39"/>
    <w:unhideWhenUsed/>
    <w:rsid w:val="0052425A"/>
    <w:rPr>
      <w:rFonts w:eastAsia="Calibri" w:cs="Times New Roman"/>
      <w:szCs w:val="24"/>
      <w:lang w:val="it-IT"/>
    </w:rPr>
  </w:style>
  <w:style w:type="paragraph" w:styleId="Paragrafoelenco">
    <w:name w:val="List Paragraph"/>
    <w:basedOn w:val="Normale"/>
    <w:uiPriority w:val="34"/>
    <w:qFormat/>
    <w:rsid w:val="0052425A"/>
  </w:style>
  <w:style w:type="character" w:customStyle="1" w:styleId="Titolo4Carattere">
    <w:name w:val="Titolo 4 Carattere"/>
    <w:basedOn w:val="Carpredefinitoparagrafo"/>
    <w:link w:val="Titolo4"/>
    <w:uiPriority w:val="9"/>
    <w:rsid w:val="00076E70"/>
    <w:rPr>
      <w:rFonts w:ascii="Arial" w:eastAsiaTheme="majorEastAsia" w:hAnsi="Arial" w:cstheme="majorBidi"/>
      <w:b/>
      <w:bCs/>
      <w:iCs/>
    </w:rPr>
  </w:style>
  <w:style w:type="character" w:customStyle="1" w:styleId="Titolo5Carattere">
    <w:name w:val="Titolo 5 Carattere"/>
    <w:basedOn w:val="Carpredefinitoparagrafo"/>
    <w:link w:val="Titolo5"/>
    <w:uiPriority w:val="9"/>
    <w:rsid w:val="00076E70"/>
    <w:rPr>
      <w:rFonts w:ascii="Arial" w:eastAsiaTheme="majorEastAsia" w:hAnsi="Arial" w:cstheme="majorBidi"/>
      <w:b/>
      <w:i/>
      <w:color w:val="243F60" w:themeColor="accent1" w:themeShade="7F"/>
    </w:rPr>
  </w:style>
  <w:style w:type="paragraph" w:styleId="Nessunaspaziatura">
    <w:name w:val="No Spacing"/>
    <w:uiPriority w:val="1"/>
    <w:qFormat/>
    <w:rsid w:val="00076E70"/>
  </w:style>
  <w:style w:type="paragraph" w:styleId="Intestazione">
    <w:name w:val="header"/>
    <w:basedOn w:val="Normale"/>
    <w:link w:val="IntestazioneCarattere"/>
    <w:uiPriority w:val="99"/>
    <w:unhideWhenUsed/>
    <w:rsid w:val="008E77C6"/>
    <w:pPr>
      <w:tabs>
        <w:tab w:val="center" w:pos="4819"/>
        <w:tab w:val="right" w:pos="9638"/>
      </w:tabs>
    </w:pPr>
  </w:style>
  <w:style w:type="character" w:customStyle="1" w:styleId="IntestazioneCarattere">
    <w:name w:val="Intestazione Carattere"/>
    <w:basedOn w:val="Carpredefinitoparagrafo"/>
    <w:link w:val="Intestazione"/>
    <w:uiPriority w:val="99"/>
    <w:rsid w:val="008E77C6"/>
    <w:rPr>
      <w:rFonts w:ascii="Arial" w:hAnsi="Arial"/>
      <w:sz w:val="24"/>
    </w:rPr>
  </w:style>
  <w:style w:type="paragraph" w:styleId="Pidipagina">
    <w:name w:val="footer"/>
    <w:basedOn w:val="Normale"/>
    <w:link w:val="PidipaginaCarattere"/>
    <w:uiPriority w:val="99"/>
    <w:unhideWhenUsed/>
    <w:rsid w:val="008E77C6"/>
    <w:pPr>
      <w:tabs>
        <w:tab w:val="center" w:pos="4819"/>
        <w:tab w:val="right" w:pos="9638"/>
      </w:tabs>
    </w:pPr>
  </w:style>
  <w:style w:type="character" w:customStyle="1" w:styleId="PidipaginaCarattere">
    <w:name w:val="Piè di pagina Carattere"/>
    <w:basedOn w:val="Carpredefinitoparagrafo"/>
    <w:link w:val="Pidipagina"/>
    <w:uiPriority w:val="99"/>
    <w:rsid w:val="008E77C6"/>
    <w:rPr>
      <w:rFonts w:ascii="Arial" w:hAnsi="Arial"/>
      <w:sz w:val="24"/>
    </w:rPr>
  </w:style>
  <w:style w:type="paragraph" w:styleId="Corpotesto">
    <w:name w:val="Body Text"/>
    <w:basedOn w:val="Normale"/>
    <w:link w:val="CorpotestoCarattere"/>
    <w:rsid w:val="00CB127C"/>
    <w:pPr>
      <w:tabs>
        <w:tab w:val="left" w:pos="284"/>
        <w:tab w:val="left" w:pos="426"/>
        <w:tab w:val="left" w:pos="4962"/>
      </w:tabs>
    </w:pPr>
    <w:rPr>
      <w:rFonts w:eastAsia="Times New Roman" w:cs="Times New Roman"/>
      <w:szCs w:val="20"/>
      <w:lang w:val="it-IT" w:eastAsia="it-IT"/>
    </w:rPr>
  </w:style>
  <w:style w:type="character" w:customStyle="1" w:styleId="CorpotestoCarattere">
    <w:name w:val="Corpo testo Carattere"/>
    <w:basedOn w:val="Carpredefinitoparagrafo"/>
    <w:link w:val="Corpotesto"/>
    <w:rsid w:val="00CB127C"/>
    <w:rPr>
      <w:rFonts w:ascii="Arial" w:eastAsia="Times New Roman" w:hAnsi="Arial" w:cs="Times New Roman"/>
      <w:sz w:val="24"/>
      <w:szCs w:val="20"/>
      <w:lang w:val="it-IT" w:eastAsia="it-IT"/>
    </w:rPr>
  </w:style>
  <w:style w:type="paragraph" w:styleId="Testonotaapidipagina">
    <w:name w:val="footnote text"/>
    <w:basedOn w:val="Normale"/>
    <w:link w:val="TestonotaapidipaginaCarattere"/>
    <w:uiPriority w:val="99"/>
    <w:semiHidden/>
    <w:unhideWhenUsed/>
    <w:rsid w:val="00CB127C"/>
    <w:rPr>
      <w:rFonts w:eastAsia="Times New Roman" w:cs="Times New Roman"/>
      <w:sz w:val="20"/>
      <w:szCs w:val="20"/>
      <w:lang w:val="it-IT" w:eastAsia="it-IT"/>
    </w:rPr>
  </w:style>
  <w:style w:type="character" w:customStyle="1" w:styleId="TestonotaapidipaginaCarattere">
    <w:name w:val="Testo nota a piè di pagina Carattere"/>
    <w:basedOn w:val="Carpredefinitoparagrafo"/>
    <w:link w:val="Testonotaapidipagina"/>
    <w:uiPriority w:val="99"/>
    <w:semiHidden/>
    <w:rsid w:val="00CB127C"/>
    <w:rPr>
      <w:rFonts w:ascii="Arial" w:eastAsia="Times New Roman" w:hAnsi="Arial" w:cs="Times New Roman"/>
      <w:sz w:val="20"/>
      <w:szCs w:val="20"/>
      <w:lang w:val="it-IT" w:eastAsia="it-IT"/>
    </w:rPr>
  </w:style>
  <w:style w:type="character" w:styleId="Rimandonotaapidipagina">
    <w:name w:val="footnote reference"/>
    <w:basedOn w:val="Carpredefinitoparagrafo"/>
    <w:uiPriority w:val="99"/>
    <w:semiHidden/>
    <w:unhideWhenUsed/>
    <w:rsid w:val="00CB127C"/>
    <w:rPr>
      <w:vertAlign w:val="superscript"/>
    </w:rPr>
  </w:style>
  <w:style w:type="paragraph" w:customStyle="1" w:styleId="Default">
    <w:name w:val="Default"/>
    <w:rsid w:val="00CB127C"/>
    <w:pPr>
      <w:autoSpaceDE w:val="0"/>
      <w:autoSpaceDN w:val="0"/>
      <w:adjustRightInd w:val="0"/>
      <w:jc w:val="left"/>
    </w:pPr>
    <w:rPr>
      <w:rFonts w:ascii="Arial" w:hAnsi="Arial" w:cs="Arial"/>
      <w:color w:val="000000"/>
      <w:sz w:val="24"/>
      <w:szCs w:val="24"/>
    </w:rPr>
  </w:style>
  <w:style w:type="table" w:styleId="Grigliatabella">
    <w:name w:val="Table Grid"/>
    <w:basedOn w:val="Tabellanormale"/>
    <w:uiPriority w:val="39"/>
    <w:rsid w:val="00CB127C"/>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CB127C"/>
    <w:rPr>
      <w:color w:val="0000FF"/>
      <w:u w:val="single"/>
    </w:rPr>
  </w:style>
  <w:style w:type="paragraph" w:styleId="Testofumetto">
    <w:name w:val="Balloon Text"/>
    <w:basedOn w:val="Normale"/>
    <w:link w:val="TestofumettoCarattere"/>
    <w:uiPriority w:val="99"/>
    <w:semiHidden/>
    <w:unhideWhenUsed/>
    <w:rsid w:val="009E3D9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E3D9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CA2589-F566-4581-91D6-15B57A9D93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1817</Words>
  <Characters>10360</Characters>
  <Application>Microsoft Office Word</Application>
  <DocSecurity>0</DocSecurity>
  <Lines>86</Lines>
  <Paragraphs>24</Paragraphs>
  <ScaleCrop>false</ScaleCrop>
  <HeadingPairs>
    <vt:vector size="2" baseType="variant">
      <vt:variant>
        <vt:lpstr>Titolo</vt:lpstr>
      </vt:variant>
      <vt:variant>
        <vt:i4>1</vt:i4>
      </vt:variant>
    </vt:vector>
  </HeadingPairs>
  <TitlesOfParts>
    <vt:vector size="1" baseType="lpstr">
      <vt:lpstr/>
    </vt:vector>
  </TitlesOfParts>
  <Company>Amministrazione Cantonale</Company>
  <LinksUpToDate>false</LinksUpToDate>
  <CharactersWithSpaces>12153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Agostinetti Jole / kxgc002</dc:creator>
  <cp:lastModifiedBy>Agostinetti Jole / kxgc002</cp:lastModifiedBy>
  <cp:revision>5</cp:revision>
  <cp:lastPrinted>2018-04-25T08:06:00Z</cp:lastPrinted>
  <dcterms:created xsi:type="dcterms:W3CDTF">2018-04-25T07:49:00Z</dcterms:created>
  <dcterms:modified xsi:type="dcterms:W3CDTF">2018-04-25T09:11:00Z</dcterms:modified>
</cp:coreProperties>
</file>