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7" w:rsidRDefault="00DD3E6C" w:rsidP="00076E70">
      <w:r w:rsidRPr="00401239">
        <w:rPr>
          <w:rFonts w:ascii="Gill Sans MT" w:hAnsi="Gill Sans MT"/>
          <w:b/>
          <w:sz w:val="52"/>
          <w:szCs w:val="52"/>
        </w:rPr>
        <w:t>Rapporto</w:t>
      </w:r>
      <w:bookmarkStart w:id="0" w:name="_GoBack"/>
      <w:bookmarkEnd w:id="0"/>
    </w:p>
    <w:p w:rsidR="008B4137" w:rsidRDefault="008B4137">
      <w:pPr>
        <w:rPr>
          <w:rFonts w:cs="Arial"/>
          <w:szCs w:val="24"/>
        </w:rPr>
      </w:pPr>
    </w:p>
    <w:p w:rsidR="00076E70" w:rsidRDefault="00076E70">
      <w:pPr>
        <w:rPr>
          <w:rFonts w:cs="Arial"/>
          <w:szCs w:val="24"/>
        </w:rPr>
      </w:pPr>
    </w:p>
    <w:p w:rsidR="00260C8C" w:rsidRDefault="005C7ECF" w:rsidP="00260C8C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749</w:t>
      </w:r>
      <w:r w:rsidR="00E505DB">
        <w:rPr>
          <w:rFonts w:cs="Arial"/>
          <w:b/>
          <w:sz w:val="32"/>
          <w:szCs w:val="32"/>
        </w:rPr>
        <w:t>0</w:t>
      </w:r>
      <w:r w:rsidR="00260C8C" w:rsidRPr="008B4137">
        <w:rPr>
          <w:rFonts w:cs="Arial"/>
          <w:b/>
          <w:sz w:val="32"/>
          <w:szCs w:val="32"/>
        </w:rPr>
        <w:t xml:space="preserve"> R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15 maggio 2018</w:t>
      </w:r>
      <w:r w:rsidR="00260C8C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TERRITORIO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Pr="008B4137" w:rsidRDefault="00260C8C" w:rsidP="00260C8C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Commissione della </w:t>
      </w:r>
      <w:r w:rsidR="00E505DB">
        <w:rPr>
          <w:rFonts w:cs="Arial"/>
          <w:b/>
          <w:sz w:val="28"/>
          <w:szCs w:val="28"/>
        </w:rPr>
        <w:t>gestione e delle finanze</w:t>
      </w:r>
    </w:p>
    <w:p w:rsidR="00260C8C" w:rsidRPr="00AD77F0" w:rsidRDefault="00260C8C" w:rsidP="00260C8C">
      <w:pPr>
        <w:rPr>
          <w:rFonts w:cs="Arial"/>
          <w:b/>
          <w:sz w:val="28"/>
          <w:szCs w:val="28"/>
        </w:rPr>
      </w:pPr>
      <w:r w:rsidRPr="00AD77F0">
        <w:rPr>
          <w:rFonts w:cs="Arial"/>
          <w:b/>
          <w:sz w:val="28"/>
          <w:szCs w:val="28"/>
        </w:rPr>
        <w:t>sul</w:t>
      </w:r>
      <w:r w:rsidR="00E505DB">
        <w:rPr>
          <w:rFonts w:cs="Arial"/>
          <w:b/>
          <w:sz w:val="28"/>
          <w:szCs w:val="28"/>
        </w:rPr>
        <w:t xml:space="preserve"> messaggio </w:t>
      </w:r>
      <w:r w:rsidR="005C7ECF">
        <w:rPr>
          <w:rFonts w:cs="Arial"/>
          <w:b/>
          <w:sz w:val="28"/>
          <w:szCs w:val="28"/>
        </w:rPr>
        <w:t xml:space="preserve">24 gennaio 2018 concernente lo </w:t>
      </w:r>
      <w:r w:rsidR="005C7ECF">
        <w:rPr>
          <w:b/>
          <w:sz w:val="28"/>
          <w:szCs w:val="28"/>
        </w:rPr>
        <w:t>s</w:t>
      </w:r>
      <w:r w:rsidR="005C7ECF" w:rsidRPr="009C0CD2">
        <w:rPr>
          <w:b/>
          <w:sz w:val="28"/>
          <w:szCs w:val="28"/>
        </w:rPr>
        <w:t>tanziamento di un credito complessivo di 4'500'000 franchi per l’aggiornamento del credito quadro per le opere di protezione e premunizione dai pericoli naturali nel periodo 2016-2019</w:t>
      </w: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260C8C" w:rsidRDefault="00260C8C" w:rsidP="00260C8C">
      <w:pPr>
        <w:rPr>
          <w:rFonts w:cs="Arial"/>
          <w:szCs w:val="24"/>
        </w:rPr>
      </w:pPr>
    </w:p>
    <w:p w:rsidR="001D7298" w:rsidRPr="00300F95" w:rsidRDefault="001D7298" w:rsidP="005C7ECF">
      <w:r w:rsidRPr="00300F95">
        <w:t xml:space="preserve">Con il messaggio </w:t>
      </w:r>
      <w:r>
        <w:t xml:space="preserve">n. 7490 il Consiglio di Stato </w:t>
      </w:r>
      <w:r w:rsidRPr="00300F95">
        <w:t>propo</w:t>
      </w:r>
      <w:r>
        <w:t>n</w:t>
      </w:r>
      <w:r w:rsidRPr="00300F95">
        <w:t xml:space="preserve">e un aggiornamento del credito quadro per le opere di protezione e premunizione dai pericoli naturali </w:t>
      </w:r>
      <w:r>
        <w:t xml:space="preserve">(di </w:t>
      </w:r>
      <w:proofErr w:type="spellStart"/>
      <w:r>
        <w:t>fr</w:t>
      </w:r>
      <w:proofErr w:type="spellEnd"/>
      <w:r>
        <w:t xml:space="preserve">. 4'500'000.-) che faceva parte di un pacchetto di 7 crediti quadro relativi </w:t>
      </w:r>
      <w:r w:rsidRPr="00300F95">
        <w:t xml:space="preserve">alla conservazione del patrimonio delle strade cantonali nel periodo 2016-2019 per </w:t>
      </w:r>
      <w:r>
        <w:t xml:space="preserve">complessivi </w:t>
      </w:r>
      <w:proofErr w:type="spellStart"/>
      <w:r>
        <w:t>fr</w:t>
      </w:r>
      <w:proofErr w:type="spellEnd"/>
      <w:r>
        <w:t>.</w:t>
      </w:r>
      <w:r w:rsidRPr="00300F95">
        <w:t xml:space="preserve"> 163'000'000</w:t>
      </w:r>
      <w:r>
        <w:t xml:space="preserve">.- (cfr. </w:t>
      </w:r>
      <w:r w:rsidRPr="00300F95">
        <w:t>messaggio n. 7148 del 18 novembre 2015</w:t>
      </w:r>
      <w:r>
        <w:t>)</w:t>
      </w:r>
      <w:r w:rsidRPr="00300F95">
        <w:t>.</w:t>
      </w:r>
    </w:p>
    <w:p w:rsidR="001D7298" w:rsidRDefault="001D7298" w:rsidP="005C7ECF">
      <w:pPr>
        <w:rPr>
          <w:rFonts w:cs="Arial"/>
        </w:rPr>
      </w:pPr>
    </w:p>
    <w:p w:rsidR="005C7ECF" w:rsidRDefault="005C7ECF" w:rsidP="005C7ECF">
      <w:pPr>
        <w:rPr>
          <w:rFonts w:cs="Arial"/>
        </w:rPr>
      </w:pPr>
    </w:p>
    <w:p w:rsidR="001D7298" w:rsidRPr="00FB4BB6" w:rsidRDefault="001D7298" w:rsidP="005C7ECF">
      <w:pPr>
        <w:pStyle w:val="Titolo1"/>
      </w:pPr>
      <w:r w:rsidRPr="00FB4BB6">
        <w:t>Introduzione</w:t>
      </w:r>
    </w:p>
    <w:p w:rsidR="001D7298" w:rsidRDefault="001D7298" w:rsidP="005C7ECF">
      <w:r>
        <w:t xml:space="preserve">Nel biennio 2016-2017 si sono verificati sulle strade cantonali diversi problemi causati da eventi alluvionali imprevisti. Gli eventi di messa in sicurezza e ricostruzione delle parti danneggiate sono stati finanziati con il credito quadro per le opere di protezione e premunizione dei pericoli naturali (menzionato in entrata sopra), togliendo in questo modo importanti risorse alla conservazione delle premunizioni esistenti e agli investimenti programmati necessari a migliorare costantemente le protezioni sulla rete delle strade cantonali. Il credito quadro “originario” di </w:t>
      </w:r>
      <w:proofErr w:type="spellStart"/>
      <w:r>
        <w:t>fr</w:t>
      </w:r>
      <w:proofErr w:type="spellEnd"/>
      <w:r>
        <w:t xml:space="preserve">. 4'500'000.- (uno dei 7 allegati al messaggio </w:t>
      </w:r>
      <w:r w:rsidR="005C7ECF">
        <w:br/>
      </w:r>
      <w:r>
        <w:t xml:space="preserve">n. 7148) aveva al momento della redazione del presente messaggio un saldo residuo utile di </w:t>
      </w:r>
      <w:proofErr w:type="spellStart"/>
      <w:r>
        <w:t>fr</w:t>
      </w:r>
      <w:proofErr w:type="spellEnd"/>
      <w:r>
        <w:t xml:space="preserve">. 355'941.-, nettamente insufficiente a garantire i lavori di conservazione programmati fino alla fine del 2019 e ad assicurare i prossimi interventi urgenti di ricostruzione. Ai capitoli 2, 3 e 4 del messaggio n. 7490 vengono fornite tutte le spiegazioni utili che permettono di ricostruire il saldo residuo di </w:t>
      </w:r>
      <w:proofErr w:type="spellStart"/>
      <w:r>
        <w:t>ca</w:t>
      </w:r>
      <w:proofErr w:type="spellEnd"/>
      <w:r>
        <w:t xml:space="preserve">. </w:t>
      </w:r>
      <w:proofErr w:type="spellStart"/>
      <w:r>
        <w:t>fr</w:t>
      </w:r>
      <w:proofErr w:type="spellEnd"/>
      <w:r>
        <w:t>. 360'000.- (</w:t>
      </w:r>
      <w:proofErr w:type="spellStart"/>
      <w:r>
        <w:t>fr</w:t>
      </w:r>
      <w:proofErr w:type="spellEnd"/>
      <w:r>
        <w:t>. 355'941.- per la precisione).</w:t>
      </w:r>
    </w:p>
    <w:p w:rsidR="001D7298" w:rsidRDefault="001D7298" w:rsidP="005C7ECF"/>
    <w:p w:rsidR="001D7298" w:rsidRDefault="001D7298" w:rsidP="005C7ECF"/>
    <w:p w:rsidR="001D7298" w:rsidRPr="00FB4BB6" w:rsidRDefault="001D7298" w:rsidP="005C7ECF">
      <w:pPr>
        <w:pStyle w:val="Titolo1"/>
      </w:pPr>
      <w:r w:rsidRPr="00FB4BB6">
        <w:t>Aggiornamento del credito quadro</w:t>
      </w:r>
    </w:p>
    <w:p w:rsidR="001D7298" w:rsidRPr="00EF2E2E" w:rsidRDefault="001D7298" w:rsidP="005C7ECF">
      <w:r w:rsidRPr="00EF2E2E">
        <w:t>Riassumendo, a causa di alcuni eventi alluvionali, il credito quadro delle premunizioni è stato utilizzato soprattutto per finanziare i lavori di riparazione dei danni e assicurare la riapertura delle strade in tempi brevi. Alle pag. 2-5 del messaggio oggetto del presente rapporto è riportata la descrizione degli interventi urgenti, che principalmente hanno contribuito all’aumento della spesa nel biennio 2016-2017. Oltre a ciò, l’Area dell’esercizio e della manutenzione del Dipartimento del Territorio ha allestito anche un rapporto molto ben dettagliato sui temporali del mese di giugno</w:t>
      </w:r>
      <w:r>
        <w:t xml:space="preserve"> 2107</w:t>
      </w:r>
      <w:r w:rsidRPr="00EF2E2E">
        <w:t xml:space="preserve"> nel Mendrisiotto</w:t>
      </w:r>
      <w:r>
        <w:t xml:space="preserve"> (allegato al messaggio)</w:t>
      </w:r>
      <w:r w:rsidRPr="00EF2E2E">
        <w:t>, il quale descrive molto bene e dettagliatamente la serie di eventi che hanno provocato la chiusura di 2 strade cantonali (Brusino-Riva S. Vitale-Rancate e Maroggia-</w:t>
      </w:r>
      <w:proofErr w:type="spellStart"/>
      <w:r w:rsidRPr="00EF2E2E">
        <w:t>Arogno</w:t>
      </w:r>
      <w:proofErr w:type="spellEnd"/>
      <w:r w:rsidRPr="00EF2E2E">
        <w:t>-</w:t>
      </w:r>
      <w:proofErr w:type="spellStart"/>
      <w:r w:rsidRPr="00EF2E2E">
        <w:t>Rovio</w:t>
      </w:r>
      <w:proofErr w:type="spellEnd"/>
      <w:r w:rsidRPr="00EF2E2E">
        <w:t>-Melano) e spiega cosa si intende fare per migliorare la sicurezza.</w:t>
      </w:r>
    </w:p>
    <w:p w:rsidR="001D7298" w:rsidRPr="00EF2E2E" w:rsidRDefault="001D7298" w:rsidP="005C7ECF">
      <w:r w:rsidRPr="00EF2E2E">
        <w:lastRenderedPageBreak/>
        <w:t xml:space="preserve">Come ben riportato nel messaggio governativo a pag. 8, “la spesa maturata sul credito quadro è di 4.14 Mio CHF, e si compone dei costi per i lavori urgenti fatti nel periodo 2016-2017 (capitolo 3) di 2.54 Mio CHF e dei costi dei lavori di conservazione (capitolo 4) di 1.60 Mio CHF. Nei prossimi due anni è pianificata una spesa di 4.86 Mio CHF, di cui 1.46 Mio CHF sono per l’ultimazione dei lavori di ripristino dei danni alluvionali del biennio 2016-2017 (tabella 1 del messaggio, </w:t>
      </w:r>
      <w:proofErr w:type="spellStart"/>
      <w:r w:rsidRPr="00EF2E2E">
        <w:t>ndr</w:t>
      </w:r>
      <w:proofErr w:type="spellEnd"/>
      <w:r w:rsidRPr="00EF2E2E">
        <w:t xml:space="preserve">), 2.40 Mio CHF è la spesa preventivata per i lavori di conservazione (tabella 2 del messaggio, </w:t>
      </w:r>
      <w:proofErr w:type="spellStart"/>
      <w:r w:rsidRPr="00EF2E2E">
        <w:t>ndr</w:t>
      </w:r>
      <w:proofErr w:type="spellEnd"/>
      <w:r w:rsidRPr="00EF2E2E">
        <w:t>) e 1.00 Mio CHF (circa 500'000 CHF all’anno) sono una riserva per assicurare i primi lavori urgenti qualora dovessero verificarsi nuove situazioni straordinarie. Il nuovo importo complessivo del credito per le opere di protezione e premunizione dai pericoli naturali nel periodo 2016-2019 è quindi di 9.0 Mio CHF. Con l’aggiornamento del credito quadro la pianificazione delle spese è la seguente:</w:t>
      </w:r>
    </w:p>
    <w:p w:rsidR="001D7298" w:rsidRPr="00EF2E2E" w:rsidRDefault="001D7298" w:rsidP="005C7ECF"/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276"/>
        <w:gridCol w:w="1418"/>
      </w:tblGrid>
      <w:tr w:rsidR="001D7298" w:rsidRPr="00385460" w:rsidTr="00942D88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298" w:rsidRPr="00385460" w:rsidRDefault="001D7298" w:rsidP="00942D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jc w:val="center"/>
              <w:rPr>
                <w:sz w:val="22"/>
              </w:rPr>
            </w:pPr>
            <w:r w:rsidRPr="00385460">
              <w:rPr>
                <w:sz w:val="22"/>
              </w:rPr>
              <w:t>2016</w:t>
            </w:r>
          </w:p>
          <w:p w:rsidR="001D7298" w:rsidRPr="00385460" w:rsidRDefault="001D7298" w:rsidP="00942D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85460">
              <w:rPr>
                <w:sz w:val="18"/>
                <w:szCs w:val="18"/>
              </w:rPr>
              <w:t>[Mio CHF]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jc w:val="center"/>
              <w:rPr>
                <w:sz w:val="22"/>
              </w:rPr>
            </w:pPr>
            <w:r w:rsidRPr="00385460">
              <w:rPr>
                <w:sz w:val="22"/>
              </w:rPr>
              <w:t>2017</w:t>
            </w:r>
          </w:p>
          <w:p w:rsidR="001D7298" w:rsidRPr="00385460" w:rsidRDefault="001D7298" w:rsidP="00942D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85460">
              <w:rPr>
                <w:sz w:val="18"/>
                <w:szCs w:val="18"/>
              </w:rPr>
              <w:t>[Mio CHF]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jc w:val="center"/>
              <w:rPr>
                <w:sz w:val="22"/>
              </w:rPr>
            </w:pPr>
            <w:r w:rsidRPr="00385460">
              <w:rPr>
                <w:sz w:val="22"/>
              </w:rPr>
              <w:t>2018</w:t>
            </w:r>
          </w:p>
          <w:p w:rsidR="001D7298" w:rsidRPr="00385460" w:rsidRDefault="001D7298" w:rsidP="00942D8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85460">
              <w:rPr>
                <w:sz w:val="18"/>
                <w:szCs w:val="18"/>
              </w:rPr>
              <w:t>[Mio CHF]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jc w:val="center"/>
              <w:rPr>
                <w:sz w:val="22"/>
              </w:rPr>
            </w:pPr>
            <w:r w:rsidRPr="00385460">
              <w:rPr>
                <w:sz w:val="22"/>
              </w:rPr>
              <w:t>2019</w:t>
            </w:r>
          </w:p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18"/>
                <w:szCs w:val="18"/>
              </w:rPr>
              <w:t>[Mio CHF]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jc w:val="center"/>
              <w:rPr>
                <w:sz w:val="22"/>
              </w:rPr>
            </w:pPr>
            <w:r w:rsidRPr="00385460">
              <w:rPr>
                <w:sz w:val="22"/>
              </w:rPr>
              <w:t>Totale</w:t>
            </w:r>
          </w:p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18"/>
                <w:szCs w:val="18"/>
              </w:rPr>
              <w:t>[Mio CHF]</w:t>
            </w:r>
          </w:p>
        </w:tc>
      </w:tr>
      <w:tr w:rsidR="001D7298" w:rsidRPr="00385460" w:rsidTr="00942D88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spacing w:before="40" w:after="40"/>
              <w:rPr>
                <w:sz w:val="22"/>
              </w:rPr>
            </w:pPr>
            <w:r w:rsidRPr="00385460">
              <w:rPr>
                <w:sz w:val="22"/>
              </w:rPr>
              <w:t>Conservazione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0.80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0.80</w:t>
            </w:r>
          </w:p>
        </w:tc>
        <w:tc>
          <w:tcPr>
            <w:tcW w:w="1275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1.4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1.0</w:t>
            </w:r>
          </w:p>
        </w:tc>
        <w:tc>
          <w:tcPr>
            <w:tcW w:w="1418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4.0</w:t>
            </w:r>
          </w:p>
        </w:tc>
      </w:tr>
      <w:tr w:rsidR="001D7298" w:rsidRPr="00385460" w:rsidTr="00942D8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spacing w:before="40" w:after="40"/>
              <w:rPr>
                <w:sz w:val="22"/>
              </w:rPr>
            </w:pPr>
            <w:r w:rsidRPr="00385460">
              <w:rPr>
                <w:sz w:val="22"/>
              </w:rPr>
              <w:t>Danni ‘16-‘17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1.60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0.94</w:t>
            </w:r>
          </w:p>
        </w:tc>
        <w:tc>
          <w:tcPr>
            <w:tcW w:w="1275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0.9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0.56</w:t>
            </w:r>
          </w:p>
        </w:tc>
        <w:tc>
          <w:tcPr>
            <w:tcW w:w="1418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4.0</w:t>
            </w:r>
          </w:p>
        </w:tc>
      </w:tr>
      <w:tr w:rsidR="001D7298" w:rsidRPr="00385460" w:rsidTr="00942D88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D7298" w:rsidRPr="00385460" w:rsidRDefault="001D7298" w:rsidP="00942D88">
            <w:pPr>
              <w:spacing w:before="40" w:after="40"/>
              <w:rPr>
                <w:sz w:val="22"/>
              </w:rPr>
            </w:pPr>
            <w:r w:rsidRPr="00385460">
              <w:rPr>
                <w:sz w:val="22"/>
              </w:rPr>
              <w:t>Riserva</w:t>
            </w:r>
            <w:r>
              <w:rPr>
                <w:sz w:val="22"/>
              </w:rPr>
              <w:t xml:space="preserve"> </w:t>
            </w:r>
            <w:r w:rsidRPr="00385460">
              <w:rPr>
                <w:sz w:val="16"/>
                <w:szCs w:val="16"/>
              </w:rPr>
              <w:t>(danni alluvionali)</w:t>
            </w:r>
            <w:r>
              <w:rPr>
                <w:sz w:val="22"/>
              </w:rPr>
              <w:t xml:space="preserve"> </w:t>
            </w:r>
            <w:r w:rsidRPr="00385460">
              <w:rPr>
                <w:sz w:val="22"/>
              </w:rPr>
              <w:t>‘18-‘19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0.50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0.50</w:t>
            </w:r>
          </w:p>
        </w:tc>
        <w:tc>
          <w:tcPr>
            <w:tcW w:w="1418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sz w:val="22"/>
              </w:rPr>
            </w:pPr>
            <w:r w:rsidRPr="00385460">
              <w:rPr>
                <w:sz w:val="22"/>
              </w:rPr>
              <w:t>1.0</w:t>
            </w:r>
          </w:p>
        </w:tc>
      </w:tr>
      <w:tr w:rsidR="001D7298" w:rsidRPr="00385460" w:rsidTr="00942D88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7298" w:rsidRPr="00385460" w:rsidRDefault="001D7298" w:rsidP="00942D88">
            <w:pPr>
              <w:spacing w:before="40" w:after="40"/>
              <w:jc w:val="right"/>
              <w:rPr>
                <w:b/>
                <w:sz w:val="22"/>
              </w:rPr>
            </w:pPr>
            <w:r w:rsidRPr="00385460">
              <w:rPr>
                <w:b/>
                <w:sz w:val="22"/>
              </w:rPr>
              <w:t>Totale [Mio CHF]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b/>
                <w:sz w:val="22"/>
              </w:rPr>
            </w:pPr>
            <w:r w:rsidRPr="00385460">
              <w:rPr>
                <w:b/>
                <w:sz w:val="22"/>
              </w:rPr>
              <w:t>2.40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b/>
                <w:sz w:val="22"/>
              </w:rPr>
            </w:pPr>
            <w:r w:rsidRPr="00385460">
              <w:rPr>
                <w:b/>
                <w:sz w:val="22"/>
              </w:rPr>
              <w:t>1.74</w:t>
            </w:r>
          </w:p>
        </w:tc>
        <w:tc>
          <w:tcPr>
            <w:tcW w:w="1275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b/>
                <w:sz w:val="22"/>
              </w:rPr>
            </w:pPr>
            <w:r w:rsidRPr="00385460">
              <w:rPr>
                <w:b/>
                <w:sz w:val="22"/>
              </w:rPr>
              <w:t>2.80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b/>
                <w:sz w:val="22"/>
              </w:rPr>
            </w:pPr>
            <w:r w:rsidRPr="00385460">
              <w:rPr>
                <w:b/>
                <w:sz w:val="22"/>
              </w:rPr>
              <w:t>2.06</w:t>
            </w:r>
          </w:p>
        </w:tc>
        <w:tc>
          <w:tcPr>
            <w:tcW w:w="1418" w:type="dxa"/>
            <w:vAlign w:val="center"/>
          </w:tcPr>
          <w:p w:rsidR="001D7298" w:rsidRPr="00385460" w:rsidRDefault="001D7298" w:rsidP="00942D88">
            <w:pPr>
              <w:spacing w:before="40" w:after="40"/>
              <w:jc w:val="center"/>
              <w:rPr>
                <w:b/>
                <w:sz w:val="22"/>
              </w:rPr>
            </w:pPr>
            <w:r w:rsidRPr="00385460">
              <w:rPr>
                <w:b/>
                <w:sz w:val="22"/>
              </w:rPr>
              <w:t>9.0</w:t>
            </w:r>
          </w:p>
        </w:tc>
      </w:tr>
      <w:tr w:rsidR="001D7298" w:rsidRPr="00385460" w:rsidTr="00942D88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7298" w:rsidRPr="00385460" w:rsidRDefault="001D7298" w:rsidP="00942D88">
            <w:pPr>
              <w:spacing w:before="40" w:after="40"/>
              <w:jc w:val="right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D7298" w:rsidRPr="00385460" w:rsidRDefault="001D7298" w:rsidP="00942D88">
            <w:pPr>
              <w:spacing w:before="40" w:after="40"/>
              <w:rPr>
                <w:sz w:val="21"/>
                <w:szCs w:val="21"/>
              </w:rPr>
            </w:pPr>
            <w:r w:rsidRPr="00385460">
              <w:rPr>
                <w:sz w:val="21"/>
                <w:szCs w:val="21"/>
              </w:rPr>
              <w:t>Consuntivo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rPr>
                <w:sz w:val="21"/>
                <w:szCs w:val="21"/>
              </w:rPr>
            </w:pPr>
            <w:r w:rsidRPr="00385460">
              <w:rPr>
                <w:sz w:val="21"/>
                <w:szCs w:val="21"/>
              </w:rPr>
              <w:t>Consuntivo</w:t>
            </w:r>
          </w:p>
        </w:tc>
        <w:tc>
          <w:tcPr>
            <w:tcW w:w="1275" w:type="dxa"/>
            <w:vAlign w:val="center"/>
          </w:tcPr>
          <w:p w:rsidR="001D7298" w:rsidRPr="00385460" w:rsidRDefault="001D7298" w:rsidP="00942D88">
            <w:pPr>
              <w:spacing w:before="40" w:after="40"/>
              <w:rPr>
                <w:sz w:val="21"/>
                <w:szCs w:val="21"/>
              </w:rPr>
            </w:pPr>
            <w:r w:rsidRPr="00385460">
              <w:rPr>
                <w:sz w:val="21"/>
                <w:szCs w:val="21"/>
              </w:rPr>
              <w:t>Previsione</w:t>
            </w:r>
          </w:p>
        </w:tc>
        <w:tc>
          <w:tcPr>
            <w:tcW w:w="1276" w:type="dxa"/>
            <w:vAlign w:val="center"/>
          </w:tcPr>
          <w:p w:rsidR="001D7298" w:rsidRPr="00385460" w:rsidRDefault="001D7298" w:rsidP="00942D88">
            <w:pPr>
              <w:spacing w:before="40" w:after="40"/>
              <w:rPr>
                <w:sz w:val="21"/>
                <w:szCs w:val="21"/>
              </w:rPr>
            </w:pPr>
            <w:r w:rsidRPr="00385460">
              <w:rPr>
                <w:sz w:val="21"/>
                <w:szCs w:val="21"/>
              </w:rPr>
              <w:t>Previsione</w:t>
            </w:r>
          </w:p>
        </w:tc>
        <w:tc>
          <w:tcPr>
            <w:tcW w:w="1418" w:type="dxa"/>
          </w:tcPr>
          <w:p w:rsidR="001D7298" w:rsidRPr="00385460" w:rsidRDefault="001D7298" w:rsidP="00942D88">
            <w:pPr>
              <w:keepNext/>
              <w:spacing w:before="40" w:after="40"/>
              <w:rPr>
                <w:sz w:val="22"/>
              </w:rPr>
            </w:pPr>
          </w:p>
        </w:tc>
      </w:tr>
    </w:tbl>
    <w:p w:rsidR="001D7298" w:rsidRPr="005C7ECF" w:rsidRDefault="001D7298" w:rsidP="005C7ECF">
      <w:pPr>
        <w:spacing w:before="120"/>
        <w:rPr>
          <w:b/>
          <w:sz w:val="22"/>
        </w:rPr>
      </w:pPr>
      <w:r w:rsidRPr="005C7ECF">
        <w:rPr>
          <w:b/>
          <w:sz w:val="22"/>
        </w:rPr>
        <w:t xml:space="preserve">Tabella: aggiornamento del credito quadro da </w:t>
      </w:r>
      <w:proofErr w:type="spellStart"/>
      <w:r w:rsidRPr="005C7ECF">
        <w:rPr>
          <w:b/>
          <w:sz w:val="22"/>
        </w:rPr>
        <w:t>fr</w:t>
      </w:r>
      <w:proofErr w:type="spellEnd"/>
      <w:r w:rsidRPr="005C7ECF">
        <w:rPr>
          <w:b/>
          <w:sz w:val="22"/>
        </w:rPr>
        <w:t>. 4.5 milioni a 9.0 milioni”.</w:t>
      </w:r>
    </w:p>
    <w:p w:rsidR="001D7298" w:rsidRPr="005C7ECF" w:rsidRDefault="001D7298" w:rsidP="005C7ECF">
      <w:pPr>
        <w:rPr>
          <w:szCs w:val="24"/>
        </w:rPr>
      </w:pPr>
    </w:p>
    <w:p w:rsidR="001D7298" w:rsidRPr="005C7ECF" w:rsidRDefault="001D7298" w:rsidP="005C7ECF">
      <w:pPr>
        <w:rPr>
          <w:rFonts w:cs="Arial"/>
          <w:szCs w:val="24"/>
        </w:rPr>
      </w:pPr>
      <w:r w:rsidRPr="005C7ECF">
        <w:rPr>
          <w:rFonts w:cs="Arial"/>
          <w:szCs w:val="24"/>
        </w:rPr>
        <w:t xml:space="preserve">Dalla lettura di questa tabella riassuntiva si evince chiaramente che l’importo dei </w:t>
      </w:r>
      <w:r w:rsidRPr="005C7ECF">
        <w:rPr>
          <w:rFonts w:cs="Arial"/>
          <w:b/>
          <w:sz w:val="23"/>
          <w:szCs w:val="23"/>
        </w:rPr>
        <w:t xml:space="preserve">danni causati dagli eventi alluvionali nei primi due anni del quadriennio 2016-2019 ammonta a </w:t>
      </w:r>
      <w:proofErr w:type="spellStart"/>
      <w:r w:rsidRPr="005C7ECF">
        <w:rPr>
          <w:rFonts w:cs="Arial"/>
          <w:b/>
          <w:sz w:val="23"/>
          <w:szCs w:val="23"/>
        </w:rPr>
        <w:t>fr</w:t>
      </w:r>
      <w:proofErr w:type="spellEnd"/>
      <w:r w:rsidRPr="005C7ECF">
        <w:rPr>
          <w:rFonts w:cs="Arial"/>
          <w:b/>
          <w:sz w:val="23"/>
          <w:szCs w:val="23"/>
        </w:rPr>
        <w:t>. 4.0 milioni</w:t>
      </w:r>
      <w:r w:rsidRPr="005C7ECF">
        <w:rPr>
          <w:rFonts w:cs="Arial"/>
          <w:szCs w:val="24"/>
        </w:rPr>
        <w:t xml:space="preserve"> (seconda riga), di cui </w:t>
      </w:r>
      <w:proofErr w:type="spellStart"/>
      <w:r w:rsidRPr="005C7ECF">
        <w:rPr>
          <w:rFonts w:cs="Arial"/>
          <w:szCs w:val="24"/>
        </w:rPr>
        <w:t>fr</w:t>
      </w:r>
      <w:proofErr w:type="spellEnd"/>
      <w:r w:rsidRPr="005C7ECF">
        <w:rPr>
          <w:rFonts w:cs="Arial"/>
          <w:szCs w:val="24"/>
        </w:rPr>
        <w:t xml:space="preserve">. 2'540'000.- sono interventi eseguiti in urgenza (colonne 2016 e 2017 della seconda riga), e </w:t>
      </w:r>
      <w:proofErr w:type="spellStart"/>
      <w:r w:rsidRPr="005C7ECF">
        <w:rPr>
          <w:rFonts w:cs="Arial"/>
          <w:szCs w:val="24"/>
        </w:rPr>
        <w:t>fr</w:t>
      </w:r>
      <w:proofErr w:type="spellEnd"/>
      <w:r w:rsidRPr="005C7ECF">
        <w:rPr>
          <w:rFonts w:cs="Arial"/>
          <w:szCs w:val="24"/>
        </w:rPr>
        <w:t>. 1'460'000.- è il preventivo dei lavori necessari, ma non ancora realizzati (anni 2018 e 2019).</w:t>
      </w:r>
    </w:p>
    <w:p w:rsidR="001D7298" w:rsidRPr="005C7ECF" w:rsidRDefault="001D7298" w:rsidP="005C7ECF">
      <w:pPr>
        <w:rPr>
          <w:rFonts w:cs="Arial"/>
          <w:szCs w:val="24"/>
        </w:rPr>
      </w:pPr>
      <w:r w:rsidRPr="005C7ECF">
        <w:rPr>
          <w:rFonts w:cs="Arial"/>
          <w:szCs w:val="24"/>
        </w:rPr>
        <w:t xml:space="preserve">Parallelamente ai lavori urgenti causati dagli eventi naturali sono stati fatti vari interventi di conservazione sulle opere di premunizione esistenti spendendo </w:t>
      </w:r>
      <w:proofErr w:type="spellStart"/>
      <w:r w:rsidRPr="005C7ECF">
        <w:rPr>
          <w:rFonts w:cs="Arial"/>
          <w:szCs w:val="24"/>
        </w:rPr>
        <w:t>ca</w:t>
      </w:r>
      <w:proofErr w:type="spellEnd"/>
      <w:r w:rsidRPr="005C7ECF">
        <w:rPr>
          <w:rFonts w:cs="Arial"/>
          <w:szCs w:val="24"/>
        </w:rPr>
        <w:t xml:space="preserve">. </w:t>
      </w:r>
      <w:proofErr w:type="spellStart"/>
      <w:r w:rsidRPr="005C7ECF">
        <w:rPr>
          <w:rFonts w:cs="Arial"/>
          <w:szCs w:val="24"/>
        </w:rPr>
        <w:t>fr</w:t>
      </w:r>
      <w:proofErr w:type="spellEnd"/>
      <w:r w:rsidRPr="005C7ECF">
        <w:rPr>
          <w:rFonts w:cs="Arial"/>
          <w:szCs w:val="24"/>
        </w:rPr>
        <w:t xml:space="preserve">. 1.6 milioni, in linea con gli intendimenti del credito quadro del 2015 (prime due caselle della prima riga). Nei prossimi due anni sono previsti nuovi investimenti per una spesa complessiva di </w:t>
      </w:r>
      <w:proofErr w:type="spellStart"/>
      <w:r w:rsidRPr="005C7ECF">
        <w:rPr>
          <w:rFonts w:cs="Arial"/>
          <w:szCs w:val="24"/>
        </w:rPr>
        <w:t>fr</w:t>
      </w:r>
      <w:proofErr w:type="spellEnd"/>
      <w:r w:rsidRPr="005C7ECF">
        <w:rPr>
          <w:rFonts w:cs="Arial"/>
          <w:szCs w:val="24"/>
        </w:rPr>
        <w:t xml:space="preserve">. 2.4 milioni (colonne 2018 e 2019 della prima riga). </w:t>
      </w:r>
      <w:r w:rsidRPr="005C7ECF">
        <w:rPr>
          <w:rFonts w:cs="Arial"/>
          <w:b/>
          <w:sz w:val="23"/>
          <w:szCs w:val="23"/>
        </w:rPr>
        <w:t xml:space="preserve">La previsione del consuntivo alla fine del quadriennio per gli interventi di conservazione è di </w:t>
      </w:r>
      <w:proofErr w:type="spellStart"/>
      <w:r w:rsidRPr="005C7ECF">
        <w:rPr>
          <w:rFonts w:cs="Arial"/>
          <w:b/>
          <w:sz w:val="23"/>
          <w:szCs w:val="23"/>
        </w:rPr>
        <w:t>fr</w:t>
      </w:r>
      <w:proofErr w:type="spellEnd"/>
      <w:r w:rsidRPr="005C7ECF">
        <w:rPr>
          <w:rFonts w:cs="Arial"/>
          <w:b/>
          <w:sz w:val="23"/>
          <w:szCs w:val="23"/>
        </w:rPr>
        <w:t>. 4.0</w:t>
      </w:r>
      <w:r w:rsidRPr="005C7ECF">
        <w:rPr>
          <w:rFonts w:cs="Arial"/>
          <w:szCs w:val="24"/>
        </w:rPr>
        <w:t xml:space="preserve"> milioni (prima riga). </w:t>
      </w:r>
    </w:p>
    <w:p w:rsidR="001D7298" w:rsidRPr="005C7ECF" w:rsidRDefault="001D7298" w:rsidP="005C7ECF">
      <w:pPr>
        <w:rPr>
          <w:rFonts w:cs="Arial"/>
          <w:szCs w:val="24"/>
        </w:rPr>
      </w:pPr>
      <w:r w:rsidRPr="005C7ECF">
        <w:rPr>
          <w:rFonts w:cs="Arial"/>
          <w:szCs w:val="24"/>
        </w:rPr>
        <w:t xml:space="preserve">Il consuntivo del credito quadro aggiornato ammonta quindi a </w:t>
      </w:r>
      <w:proofErr w:type="spellStart"/>
      <w:r w:rsidRPr="005C7ECF">
        <w:rPr>
          <w:rFonts w:cs="Arial"/>
          <w:szCs w:val="24"/>
        </w:rPr>
        <w:t>fr</w:t>
      </w:r>
      <w:proofErr w:type="spellEnd"/>
      <w:r w:rsidRPr="005C7ECF">
        <w:rPr>
          <w:rFonts w:cs="Arial"/>
          <w:szCs w:val="24"/>
        </w:rPr>
        <w:t xml:space="preserve">. 9.0 milioni, derivante dalla somma del preventivo per i danni alluvionali del biennio 2016-17 (4.0 milioni), la previsione di consuntivo per gli interventi di conservazione (4.0 milioni) e la riserva di </w:t>
      </w:r>
      <w:proofErr w:type="spellStart"/>
      <w:r w:rsidRPr="005C7ECF">
        <w:rPr>
          <w:rFonts w:cs="Arial"/>
          <w:szCs w:val="24"/>
        </w:rPr>
        <w:t>fr</w:t>
      </w:r>
      <w:proofErr w:type="spellEnd"/>
      <w:r w:rsidRPr="005C7ECF">
        <w:rPr>
          <w:rFonts w:cs="Arial"/>
          <w:szCs w:val="24"/>
        </w:rPr>
        <w:t>. 1.0 milioni per gli interventi urgenti di ricostruzione dei “danni alluvionali” ipotizzabili nel biennio 2018-19 (</w:t>
      </w:r>
      <w:proofErr w:type="spellStart"/>
      <w:r w:rsidRPr="005C7ECF">
        <w:rPr>
          <w:rFonts w:cs="Arial"/>
          <w:szCs w:val="24"/>
        </w:rPr>
        <w:t>fr</w:t>
      </w:r>
      <w:proofErr w:type="spellEnd"/>
      <w:r w:rsidRPr="005C7ECF">
        <w:rPr>
          <w:rFonts w:cs="Arial"/>
          <w:szCs w:val="24"/>
        </w:rPr>
        <w:t>. 500'000.- all’anno per i prossimi due anni, vedi terza riga della tabella).</w:t>
      </w:r>
    </w:p>
    <w:p w:rsidR="001D7298" w:rsidRPr="005C7ECF" w:rsidRDefault="001D7298" w:rsidP="005C7ECF">
      <w:pPr>
        <w:rPr>
          <w:rFonts w:cs="Arial"/>
          <w:szCs w:val="24"/>
        </w:rPr>
      </w:pPr>
    </w:p>
    <w:p w:rsidR="001D7298" w:rsidRPr="005C7ECF" w:rsidRDefault="001D7298" w:rsidP="005C7ECF">
      <w:pPr>
        <w:rPr>
          <w:rFonts w:cs="Arial"/>
          <w:szCs w:val="24"/>
        </w:rPr>
      </w:pPr>
    </w:p>
    <w:p w:rsidR="001D7298" w:rsidRPr="00FB4BB6" w:rsidRDefault="001D7298" w:rsidP="005C7ECF">
      <w:pPr>
        <w:pStyle w:val="Titolo1"/>
      </w:pPr>
      <w:r w:rsidRPr="00FB4BB6">
        <w:t>Conclusioni</w:t>
      </w:r>
    </w:p>
    <w:p w:rsidR="001D7298" w:rsidRDefault="001D7298" w:rsidP="005C7ECF">
      <w:r>
        <w:t xml:space="preserve">Da alcuni anni assistiamo sempre più a eventi meteorologici estremi, dovuti principalmente all’effetto del cambiamento climatico. Ciò è all’origine di numerose frane e smottamenti, che comportano numerosi danni materiali e talvolta (purtroppo) anche delle vittime. Inoltre, anche la morfologia del nostro territorio e la progressiva urbanizzazione, contribuiscono a complicare la situazione. L’unico modo per limitare gli effetti è garantire una regolare manutenzione delle opere di premunizione esistenti, ed investire con lungimiranza ove i pericoli naturali si possono manifestare con maggiore probabilità. Oltre a questi aspetti, in caso di evento, è necessario procedere subito a mettere in sicurezza e, appena possibile, </w:t>
      </w:r>
      <w:r>
        <w:lastRenderedPageBreak/>
        <w:t>ripristinare la situazione, rispettivamente migliorare le premunizioni oppure attivare altre misure preventive che possono prevenire sul nascere il danno.</w:t>
      </w:r>
    </w:p>
    <w:p w:rsidR="005C7ECF" w:rsidRDefault="005C7ECF" w:rsidP="005C7ECF"/>
    <w:p w:rsidR="001D7298" w:rsidRDefault="001D7298" w:rsidP="005C7ECF">
      <w:r>
        <w:t>Alla luce di queste considerazioni, e ritenute le esaurienti spiegazioni fornite dal Consiglio di Stato e nei vari rapporti allegati al messaggio</w:t>
      </w:r>
      <w:r w:rsidR="005C7ECF">
        <w:t xml:space="preserve"> in esame</w:t>
      </w:r>
      <w:r>
        <w:t xml:space="preserve">, si invitano le colleghe e i colleghi a voler approvare il disegno di decreto legislativo che propone di stanziare un credito quadro di ulteriori </w:t>
      </w:r>
      <w:proofErr w:type="spellStart"/>
      <w:r>
        <w:t>fr</w:t>
      </w:r>
      <w:proofErr w:type="spellEnd"/>
      <w:r>
        <w:t xml:space="preserve">. 4.5 milioni, quale aggiornamento del credito quadro per le opere di protezione e premunizione per il periodo 2016-2019 (già presentato e approvato con il messaggio n. 7148): il credito aggiornato ammonterà così a complessivi </w:t>
      </w:r>
      <w:proofErr w:type="spellStart"/>
      <w:r>
        <w:t>fr</w:t>
      </w:r>
      <w:proofErr w:type="spellEnd"/>
      <w:r>
        <w:t>. 9.0 milioni (eventuali sussidi federali andranno, ovviamente, a favore delle voci in entrata corrispondenti).</w:t>
      </w: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autoSpaceDE w:val="0"/>
        <w:autoSpaceDN w:val="0"/>
        <w:adjustRightInd w:val="0"/>
        <w:rPr>
          <w:rFonts w:cs="Arial"/>
          <w:szCs w:val="24"/>
        </w:rPr>
      </w:pPr>
    </w:p>
    <w:p w:rsidR="00076E70" w:rsidRPr="00076E70" w:rsidRDefault="00076E70" w:rsidP="00076E70">
      <w:pPr>
        <w:rPr>
          <w:rFonts w:cs="Arial"/>
          <w:szCs w:val="24"/>
        </w:rPr>
      </w:pPr>
    </w:p>
    <w:p w:rsidR="00076E70" w:rsidRPr="00076E70" w:rsidRDefault="00076E70" w:rsidP="00076E70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Commissione"/>
        </w:smartTagPr>
        <w:r w:rsidRPr="00076E70">
          <w:rPr>
            <w:rFonts w:cs="Arial"/>
            <w:szCs w:val="24"/>
          </w:rPr>
          <w:t>la Commissione</w:t>
        </w:r>
      </w:smartTag>
      <w:r w:rsidRPr="00076E70">
        <w:rPr>
          <w:rFonts w:cs="Arial"/>
          <w:szCs w:val="24"/>
        </w:rPr>
        <w:t xml:space="preserve"> gestione e finanze:</w:t>
      </w:r>
    </w:p>
    <w:p w:rsidR="00076E70" w:rsidRPr="00076E70" w:rsidRDefault="005C7ECF" w:rsidP="00076E70">
      <w:pPr>
        <w:rPr>
          <w:rFonts w:cs="Arial"/>
          <w:szCs w:val="24"/>
        </w:rPr>
      </w:pPr>
      <w:r>
        <w:rPr>
          <w:rFonts w:cs="Arial"/>
          <w:szCs w:val="24"/>
        </w:rPr>
        <w:t>Raffaele De Rosa</w:t>
      </w:r>
      <w:r w:rsidR="00076E70" w:rsidRPr="00076E70">
        <w:rPr>
          <w:rFonts w:cs="Arial"/>
          <w:szCs w:val="24"/>
        </w:rPr>
        <w:t>, relatore</w:t>
      </w:r>
    </w:p>
    <w:p w:rsidR="005C7ECF" w:rsidRDefault="005C7ECF" w:rsidP="005C7ECF">
      <w:pPr>
        <w:rPr>
          <w:rFonts w:cs="Arial"/>
        </w:rPr>
      </w:pPr>
      <w:bookmarkStart w:id="1" w:name="OLE_LINK1"/>
      <w:bookmarkStart w:id="2" w:name="OLE_LINK2"/>
      <w:r w:rsidRPr="005E5056">
        <w:rPr>
          <w:rFonts w:cs="Arial"/>
        </w:rPr>
        <w:t xml:space="preserve">Bacchetta-Cattori - </w:t>
      </w:r>
      <w:r>
        <w:rPr>
          <w:rFonts w:cs="Arial"/>
        </w:rPr>
        <w:t xml:space="preserve">Badasci - Caprara - </w:t>
      </w:r>
    </w:p>
    <w:p w:rsidR="005C7ECF" w:rsidRDefault="005C7ECF" w:rsidP="005C7ECF">
      <w:pPr>
        <w:rPr>
          <w:rFonts w:cs="Arial"/>
        </w:rPr>
      </w:pPr>
      <w:r>
        <w:rPr>
          <w:rFonts w:cs="Arial"/>
        </w:rPr>
        <w:t xml:space="preserve">Caverzasio - Dadò - Denti - Durisch - </w:t>
      </w:r>
    </w:p>
    <w:p w:rsidR="005C7ECF" w:rsidRDefault="005C7ECF" w:rsidP="005C7ECF">
      <w:pPr>
        <w:rPr>
          <w:rFonts w:cs="Arial"/>
        </w:rPr>
      </w:pPr>
      <w:r>
        <w:rPr>
          <w:rFonts w:cs="Arial"/>
        </w:rPr>
        <w:t xml:space="preserve">Farinelli - Garobbio - Garzoli - Guerra - </w:t>
      </w:r>
    </w:p>
    <w:p w:rsidR="005C7ECF" w:rsidRDefault="005C7ECF" w:rsidP="005C7ECF">
      <w:pPr>
        <w:rPr>
          <w:rFonts w:cs="Arial"/>
        </w:rPr>
      </w:pPr>
      <w:r>
        <w:rPr>
          <w:rFonts w:cs="Arial"/>
        </w:rPr>
        <w:t>Kandemir Bordoli - Pini - Quadranti</w:t>
      </w:r>
    </w:p>
    <w:bookmarkEnd w:id="1"/>
    <w:bookmarkEnd w:id="2"/>
    <w:p w:rsidR="00076E70" w:rsidRPr="00076E70" w:rsidRDefault="00076E70">
      <w:pPr>
        <w:rPr>
          <w:rFonts w:cs="Arial"/>
          <w:szCs w:val="24"/>
        </w:rPr>
      </w:pPr>
    </w:p>
    <w:sectPr w:rsidR="00076E70" w:rsidRPr="00076E70" w:rsidSect="008B4137">
      <w:footerReference w:type="default" r:id="rId9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FE" w:rsidRDefault="00EA58FE" w:rsidP="008E77C6">
      <w:r>
        <w:separator/>
      </w:r>
    </w:p>
  </w:endnote>
  <w:endnote w:type="continuationSeparator" w:id="0">
    <w:p w:rsidR="00EA58FE" w:rsidRDefault="00EA58FE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DD3E6C" w:rsidRPr="00DD3E6C">
          <w:rPr>
            <w:noProof/>
            <w:sz w:val="20"/>
            <w:szCs w:val="20"/>
            <w:lang w:val="it-IT"/>
          </w:rPr>
          <w:t>1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FE" w:rsidRDefault="00EA58FE" w:rsidP="008E77C6">
      <w:r>
        <w:separator/>
      </w:r>
    </w:p>
  </w:footnote>
  <w:footnote w:type="continuationSeparator" w:id="0">
    <w:p w:rsidR="00EA58FE" w:rsidRDefault="00EA58FE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23663B"/>
    <w:multiLevelType w:val="hybridMultilevel"/>
    <w:tmpl w:val="192056D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37"/>
    <w:rsid w:val="00076E70"/>
    <w:rsid w:val="001D7298"/>
    <w:rsid w:val="00260C8C"/>
    <w:rsid w:val="002E5E40"/>
    <w:rsid w:val="0052425A"/>
    <w:rsid w:val="00586A8D"/>
    <w:rsid w:val="005C7ECF"/>
    <w:rsid w:val="006D7A3B"/>
    <w:rsid w:val="007B5462"/>
    <w:rsid w:val="008034BD"/>
    <w:rsid w:val="00876352"/>
    <w:rsid w:val="008B4137"/>
    <w:rsid w:val="008C767A"/>
    <w:rsid w:val="008E77C6"/>
    <w:rsid w:val="009770BB"/>
    <w:rsid w:val="009E008D"/>
    <w:rsid w:val="00A5465F"/>
    <w:rsid w:val="00A77678"/>
    <w:rsid w:val="00BC4C95"/>
    <w:rsid w:val="00BD5944"/>
    <w:rsid w:val="00CF6858"/>
    <w:rsid w:val="00D377B5"/>
    <w:rsid w:val="00D93B31"/>
    <w:rsid w:val="00DD3E6C"/>
    <w:rsid w:val="00E505DB"/>
    <w:rsid w:val="00E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E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E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DF8C-712D-43D4-AE2B-B3452E41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 / kxgc002</cp:lastModifiedBy>
  <cp:revision>4</cp:revision>
  <cp:lastPrinted>2018-05-15T13:55:00Z</cp:lastPrinted>
  <dcterms:created xsi:type="dcterms:W3CDTF">2018-05-15T13:47:00Z</dcterms:created>
  <dcterms:modified xsi:type="dcterms:W3CDTF">2018-05-16T09:55:00Z</dcterms:modified>
</cp:coreProperties>
</file>