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AD2264" w:rsidRDefault="00AD2264" w:rsidP="00076E70">
      <w:pPr>
        <w:rPr>
          <w:rFonts w:ascii="Gill Sans MT" w:hAnsi="Gill Sans MT"/>
          <w:b/>
          <w:sz w:val="52"/>
          <w:szCs w:val="52"/>
        </w:rPr>
      </w:pPr>
      <w:r w:rsidRPr="00AD2264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ED6B13" w:rsidRDefault="00ED6B13" w:rsidP="00ED6B13">
      <w:pPr>
        <w:tabs>
          <w:tab w:val="left" w:pos="2098"/>
          <w:tab w:val="left" w:pos="4933"/>
        </w:tabs>
        <w:ind w:right="-1"/>
        <w:rPr>
          <w:rFonts w:cs="Arial"/>
        </w:rPr>
      </w:pPr>
      <w:r w:rsidRPr="002D160C">
        <w:rPr>
          <w:rFonts w:cs="Arial"/>
          <w:b/>
          <w:sz w:val="32"/>
          <w:szCs w:val="32"/>
        </w:rPr>
        <w:t>7</w:t>
      </w:r>
      <w:r>
        <w:rPr>
          <w:rFonts w:cs="Arial"/>
          <w:b/>
          <w:sz w:val="32"/>
          <w:szCs w:val="32"/>
        </w:rPr>
        <w:t>245</w:t>
      </w:r>
      <w:r w:rsidRPr="002D160C">
        <w:rPr>
          <w:rFonts w:cs="Arial"/>
          <w:b/>
          <w:sz w:val="32"/>
          <w:szCs w:val="32"/>
        </w:rPr>
        <w:t xml:space="preserve"> R</w:t>
      </w:r>
      <w:r w:rsidRPr="002D160C">
        <w:rPr>
          <w:rFonts w:cs="Arial"/>
          <w:b/>
        </w:rPr>
        <w:tab/>
      </w:r>
      <w:r>
        <w:rPr>
          <w:rFonts w:cs="Arial"/>
          <w:sz w:val="28"/>
        </w:rPr>
        <w:t>7 giugno 2018</w:t>
      </w:r>
      <w:r w:rsidRPr="002D160C">
        <w:rPr>
          <w:rFonts w:cs="Arial"/>
          <w:sz w:val="28"/>
        </w:rPr>
        <w:t xml:space="preserve"> </w:t>
      </w:r>
      <w:r w:rsidRPr="002D160C">
        <w:rPr>
          <w:rFonts w:cs="Arial"/>
          <w:sz w:val="28"/>
        </w:rPr>
        <w:tab/>
      </w:r>
      <w:r>
        <w:rPr>
          <w:rFonts w:cs="Arial"/>
          <w:sz w:val="28"/>
        </w:rPr>
        <w:t>CONSIGLIO DI STATO</w:t>
      </w:r>
    </w:p>
    <w:p w:rsidR="00ED6B13" w:rsidRDefault="00ED6B13" w:rsidP="00ED6B13">
      <w:pPr>
        <w:rPr>
          <w:rFonts w:cs="Arial"/>
        </w:rPr>
      </w:pPr>
    </w:p>
    <w:p w:rsidR="00ED6B13" w:rsidRDefault="00ED6B13" w:rsidP="00ED6B13">
      <w:pPr>
        <w:rPr>
          <w:rFonts w:cs="Arial"/>
        </w:rPr>
      </w:pPr>
    </w:p>
    <w:p w:rsidR="00ED6B13" w:rsidRDefault="00ED6B13" w:rsidP="00ED6B13">
      <w:pPr>
        <w:rPr>
          <w:rFonts w:cs="Arial"/>
        </w:rPr>
      </w:pPr>
    </w:p>
    <w:p w:rsidR="00ED6B13" w:rsidRDefault="00ED6B13" w:rsidP="00ED6B13">
      <w:pPr>
        <w:ind w:right="-1"/>
        <w:rPr>
          <w:b/>
          <w:snapToGrid w:val="0"/>
          <w:sz w:val="28"/>
          <w:szCs w:val="28"/>
        </w:rPr>
      </w:pPr>
      <w:r w:rsidRPr="002D160C">
        <w:rPr>
          <w:b/>
          <w:snapToGrid w:val="0"/>
          <w:sz w:val="28"/>
          <w:szCs w:val="28"/>
        </w:rPr>
        <w:t xml:space="preserve">della Commissione </w:t>
      </w:r>
      <w:r>
        <w:rPr>
          <w:b/>
          <w:snapToGrid w:val="0"/>
          <w:sz w:val="28"/>
          <w:szCs w:val="28"/>
        </w:rPr>
        <w:t>speciale Costituzione e diritti politici</w:t>
      </w:r>
    </w:p>
    <w:p w:rsidR="00ED6B13" w:rsidRPr="00C77A3C" w:rsidRDefault="00ED6B13" w:rsidP="00ED6B13">
      <w:pPr>
        <w:spacing w:after="120"/>
      </w:pPr>
      <w:r>
        <w:rPr>
          <w:b/>
          <w:snapToGrid w:val="0"/>
          <w:sz w:val="28"/>
          <w:szCs w:val="28"/>
        </w:rPr>
        <w:t xml:space="preserve">sulla mozione 25 novembre 2013 </w:t>
      </w:r>
      <w:r w:rsidRPr="002D160C">
        <w:rPr>
          <w:b/>
          <w:snapToGrid w:val="0"/>
          <w:sz w:val="28"/>
          <w:szCs w:val="28"/>
        </w:rPr>
        <w:t xml:space="preserve">presentata da </w:t>
      </w:r>
      <w:r>
        <w:rPr>
          <w:b/>
          <w:snapToGrid w:val="0"/>
          <w:sz w:val="28"/>
          <w:szCs w:val="28"/>
        </w:rPr>
        <w:t>Giancarlo Seitz "Basta poltrone d'oro ai politici 'in pensione' dalla politica"</w:t>
      </w:r>
    </w:p>
    <w:p w:rsidR="00ED6B13" w:rsidRPr="00B752BE" w:rsidRDefault="00ED6B13" w:rsidP="00ED6B13">
      <w:pPr>
        <w:tabs>
          <w:tab w:val="left" w:pos="426"/>
        </w:tabs>
        <w:rPr>
          <w:b/>
          <w:sz w:val="26"/>
          <w:szCs w:val="26"/>
        </w:rPr>
      </w:pPr>
      <w:bookmarkStart w:id="1" w:name="OLE_LINK1"/>
      <w:bookmarkStart w:id="2" w:name="OLE_LINK2"/>
      <w:r w:rsidRPr="00B752BE">
        <w:rPr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9 novembre 2016 n. 7245</w:t>
      </w:r>
      <w:r w:rsidRPr="00B752BE">
        <w:rPr>
          <w:b/>
          <w:sz w:val="26"/>
          <w:szCs w:val="26"/>
        </w:rPr>
        <w:t>)</w:t>
      </w:r>
    </w:p>
    <w:bookmarkEnd w:id="1"/>
    <w:bookmarkEnd w:id="2"/>
    <w:p w:rsidR="00ED6B13" w:rsidRPr="00FD7962" w:rsidRDefault="00ED6B13" w:rsidP="00ED6B13">
      <w:pPr>
        <w:tabs>
          <w:tab w:val="left" w:pos="540"/>
          <w:tab w:val="left" w:pos="2410"/>
        </w:tabs>
        <w:rPr>
          <w:rFonts w:cs="Arial"/>
        </w:rPr>
      </w:pPr>
    </w:p>
    <w:p w:rsidR="00ED6B13" w:rsidRPr="00FD7962" w:rsidRDefault="00ED6B13" w:rsidP="00ED6B13">
      <w:pPr>
        <w:tabs>
          <w:tab w:val="left" w:pos="540"/>
          <w:tab w:val="left" w:pos="2410"/>
        </w:tabs>
        <w:rPr>
          <w:rFonts w:cs="Arial"/>
        </w:rPr>
      </w:pPr>
    </w:p>
    <w:p w:rsidR="00ED6B13" w:rsidRPr="00FD7962" w:rsidRDefault="00ED6B13" w:rsidP="00ED6B13">
      <w:pPr>
        <w:tabs>
          <w:tab w:val="left" w:pos="540"/>
          <w:tab w:val="left" w:pos="2410"/>
        </w:tabs>
        <w:rPr>
          <w:rFonts w:cs="Arial"/>
        </w:rPr>
      </w:pPr>
    </w:p>
    <w:p w:rsidR="00ED6B13" w:rsidRPr="00192553" w:rsidRDefault="00192553" w:rsidP="00192553">
      <w:pPr>
        <w:pStyle w:val="Titolo1"/>
      </w:pPr>
      <w:r w:rsidRPr="00192553">
        <w:t>RICHIESTA DELLA MOZIONE</w:t>
      </w:r>
    </w:p>
    <w:p w:rsidR="00ED6B13" w:rsidRPr="00FD7962" w:rsidRDefault="00ED6B13" w:rsidP="00ED6B13">
      <w:pPr>
        <w:pStyle w:val="Stile"/>
        <w:spacing w:before="120"/>
        <w:jc w:val="both"/>
      </w:pPr>
      <w:r w:rsidRPr="00004C59">
        <w:rPr>
          <w:lang w:val="it-CH"/>
        </w:rPr>
        <w:t xml:space="preserve">Con la </w:t>
      </w:r>
      <w:r w:rsidRPr="00B752BE">
        <w:rPr>
          <w:lang w:val="it-CH"/>
        </w:rPr>
        <w:t xml:space="preserve">sua mozione del 25 novembre 2013, il deputato Giancarlo Seitz ha chiesto al </w:t>
      </w:r>
      <w:r w:rsidRPr="00FD7962">
        <w:rPr>
          <w:lang w:val="it-CH"/>
        </w:rPr>
        <w:t>Consiglio di Stato di «</w:t>
      </w:r>
      <w:r w:rsidRPr="00FD7962">
        <w:rPr>
          <w:i/>
        </w:rPr>
        <w:t xml:space="preserve">studiare con urgenza le modifiche necessarie della legge per far sì che </w:t>
      </w:r>
      <w:r w:rsidRPr="00FD7962">
        <w:rPr>
          <w:b/>
          <w:i/>
        </w:rPr>
        <w:t>la somma cumulabile</w:t>
      </w:r>
      <w:r w:rsidRPr="00FD7962">
        <w:rPr>
          <w:i/>
        </w:rPr>
        <w:t xml:space="preserve"> degli stipendi comprensivi di b</w:t>
      </w:r>
      <w:r>
        <w:rPr>
          <w:i/>
        </w:rPr>
        <w:t xml:space="preserve">onus, gli incentivi, i premi, i </w:t>
      </w:r>
      <w:r w:rsidRPr="00FD7962">
        <w:rPr>
          <w:i/>
        </w:rPr>
        <w:t xml:space="preserve">contribuiti sotto qualsiasi forma, le agevolazioni, ecc. (sostanzialmente tutto quanto contribuisce ad un apporto economico) </w:t>
      </w:r>
      <w:r w:rsidRPr="00FD7962">
        <w:rPr>
          <w:b/>
          <w:i/>
        </w:rPr>
        <w:t xml:space="preserve">di qualsiasi persona, che occupi anche delle cariche, poltrone pubbliche, </w:t>
      </w:r>
      <w:proofErr w:type="spellStart"/>
      <w:r w:rsidRPr="00FD7962">
        <w:rPr>
          <w:b/>
          <w:i/>
        </w:rPr>
        <w:t>parapubbliche</w:t>
      </w:r>
      <w:proofErr w:type="spellEnd"/>
      <w:r w:rsidRPr="00FD7962">
        <w:rPr>
          <w:i/>
        </w:rPr>
        <w:t xml:space="preserve">, di qualsiasi genere, </w:t>
      </w:r>
      <w:r w:rsidRPr="00FD7962">
        <w:rPr>
          <w:b/>
          <w:i/>
        </w:rPr>
        <w:t>non eccedano lo stipendio del Consigliere di Stato</w:t>
      </w:r>
      <w:r w:rsidRPr="00873CC0">
        <w:rPr>
          <w:i/>
        </w:rPr>
        <w:t>.</w:t>
      </w:r>
      <w:r w:rsidRPr="00FD7962">
        <w:rPr>
          <w:i/>
        </w:rPr>
        <w:t xml:space="preserve"> Il plafond della somma di questi contribuiti che questa persona percepisce tra stipendio e incentivi professionali diretti e indiretti e tutto quanto l'ente pubblico e </w:t>
      </w:r>
      <w:proofErr w:type="spellStart"/>
      <w:r w:rsidRPr="00FD7962">
        <w:rPr>
          <w:i/>
        </w:rPr>
        <w:t>parapubblico</w:t>
      </w:r>
      <w:proofErr w:type="spellEnd"/>
      <w:r w:rsidRPr="00FD7962">
        <w:rPr>
          <w:i/>
        </w:rPr>
        <w:t xml:space="preserve"> gli apporta a livello di cariche retribuite, </w:t>
      </w:r>
      <w:r w:rsidRPr="00FD7962">
        <w:rPr>
          <w:b/>
          <w:i/>
        </w:rPr>
        <w:t>non deve essere superiore allo stipendio del Consigliere di Stato</w:t>
      </w:r>
      <w:r w:rsidRPr="00873CC0">
        <w:rPr>
          <w:i/>
        </w:rPr>
        <w:t>. Qualora</w:t>
      </w:r>
      <w:r w:rsidRPr="00FD7962">
        <w:rPr>
          <w:i/>
        </w:rPr>
        <w:t xml:space="preserve"> così fosse, deve rinunciare a una sua "poltrona d'oro" per rientrare nei limiti previsti</w:t>
      </w:r>
      <w:r w:rsidRPr="00FD7962">
        <w:t>».</w:t>
      </w:r>
    </w:p>
    <w:p w:rsidR="00ED6B13" w:rsidRPr="00FD7962" w:rsidRDefault="00ED6B13" w:rsidP="00ED6B13">
      <w:pPr>
        <w:tabs>
          <w:tab w:val="left" w:pos="360"/>
        </w:tabs>
        <w:spacing w:before="120"/>
        <w:rPr>
          <w:rFonts w:cs="Arial"/>
        </w:rPr>
      </w:pPr>
      <w:r w:rsidRPr="00FD7962">
        <w:rPr>
          <w:rFonts w:cs="Arial"/>
        </w:rPr>
        <w:t xml:space="preserve">Il </w:t>
      </w:r>
      <w:proofErr w:type="spellStart"/>
      <w:r w:rsidRPr="00FD7962">
        <w:rPr>
          <w:rFonts w:cs="Arial"/>
        </w:rPr>
        <w:t>mozionante</w:t>
      </w:r>
      <w:proofErr w:type="spellEnd"/>
      <w:r w:rsidRPr="00FD7962">
        <w:rPr>
          <w:rFonts w:cs="Arial"/>
        </w:rPr>
        <w:t xml:space="preserve"> chiede che le eventuali modifiche di legge entrino in vigore retroattivamente al 1° gennaio 2014.</w:t>
      </w:r>
    </w:p>
    <w:p w:rsidR="00ED6B13" w:rsidRPr="00B752BE" w:rsidRDefault="00ED6B13" w:rsidP="00ED6B13">
      <w:pPr>
        <w:tabs>
          <w:tab w:val="left" w:pos="360"/>
        </w:tabs>
        <w:spacing w:before="120"/>
        <w:rPr>
          <w:rFonts w:cs="Arial"/>
        </w:rPr>
      </w:pPr>
      <w:r w:rsidRPr="00FD7962">
        <w:rPr>
          <w:rFonts w:cs="Arial"/>
        </w:rPr>
        <w:t xml:space="preserve">Il </w:t>
      </w:r>
      <w:proofErr w:type="spellStart"/>
      <w:r w:rsidRPr="00FD7962">
        <w:rPr>
          <w:rFonts w:cs="Arial"/>
        </w:rPr>
        <w:t>mozionante</w:t>
      </w:r>
      <w:proofErr w:type="spellEnd"/>
      <w:r w:rsidRPr="00FD7962">
        <w:rPr>
          <w:rFonts w:cs="Arial"/>
        </w:rPr>
        <w:t xml:space="preserve"> motiva la propria mozione con l'opinione che «</w:t>
      </w:r>
      <w:r w:rsidRPr="00FD7962">
        <w:rPr>
          <w:rFonts w:cs="Arial"/>
          <w:i/>
        </w:rPr>
        <w:t>al politico, dopo vari anni di militanza e alla "vigilia del</w:t>
      </w:r>
      <w:r>
        <w:rPr>
          <w:rFonts w:cs="Arial"/>
          <w:i/>
        </w:rPr>
        <w:t xml:space="preserve"> pensionamento politico"</w:t>
      </w:r>
      <w:r w:rsidRPr="00B752BE">
        <w:rPr>
          <w:rFonts w:cs="Arial"/>
          <w:i/>
        </w:rPr>
        <w:t xml:space="preserve">, vengono attribuite cariche in Consigli di amministrazione o altri enti pubblici o </w:t>
      </w:r>
      <w:proofErr w:type="spellStart"/>
      <w:r w:rsidRPr="00B752BE">
        <w:rPr>
          <w:rFonts w:cs="Arial"/>
          <w:i/>
        </w:rPr>
        <w:t>parapubblici</w:t>
      </w:r>
      <w:proofErr w:type="spellEnd"/>
      <w:r w:rsidRPr="00B752BE">
        <w:rPr>
          <w:rFonts w:cs="Arial"/>
          <w:i/>
        </w:rPr>
        <w:t xml:space="preserve">, prestigiose ma molto gratificanti a livello economico e addirittura anche cumulative. Se poi consideriamo che, talvolta, </w:t>
      </w:r>
      <w:r>
        <w:rPr>
          <w:rFonts w:cs="Arial"/>
          <w:i/>
        </w:rPr>
        <w:t>queste persone hanno ancora un "</w:t>
      </w:r>
      <w:r w:rsidRPr="00B752BE">
        <w:rPr>
          <w:rFonts w:cs="Arial"/>
          <w:i/>
        </w:rPr>
        <w:t>normale alto reddito professionale</w:t>
      </w:r>
      <w:r>
        <w:rPr>
          <w:rFonts w:cs="Arial"/>
          <w:i/>
        </w:rPr>
        <w:t>"</w:t>
      </w:r>
      <w:r w:rsidRPr="00B752BE">
        <w:rPr>
          <w:rFonts w:cs="Arial"/>
          <w:i/>
        </w:rPr>
        <w:t xml:space="preserve">, la discrepanza è ancora maggiore. Questo accumulo di redditi porta a una sproporzione tra i redditi </w:t>
      </w:r>
      <w:r>
        <w:rPr>
          <w:rFonts w:cs="Arial"/>
          <w:i/>
        </w:rPr>
        <w:t>"</w:t>
      </w:r>
      <w:r w:rsidRPr="00B752BE">
        <w:rPr>
          <w:rFonts w:cs="Arial"/>
          <w:i/>
        </w:rPr>
        <w:t>professionali</w:t>
      </w:r>
      <w:r>
        <w:rPr>
          <w:rFonts w:cs="Arial"/>
          <w:i/>
        </w:rPr>
        <w:t>" (da un'</w:t>
      </w:r>
      <w:r w:rsidRPr="00B752BE">
        <w:rPr>
          <w:rFonts w:cs="Arial"/>
          <w:i/>
        </w:rPr>
        <w:t xml:space="preserve">unica attività economicamente retribuita) e certi redditi di questi </w:t>
      </w:r>
      <w:r>
        <w:rPr>
          <w:rFonts w:cs="Arial"/>
          <w:i/>
        </w:rPr>
        <w:t>"politici o ex politici"</w:t>
      </w:r>
      <w:r w:rsidRPr="00B752BE">
        <w:rPr>
          <w:rFonts w:cs="Arial"/>
          <w:i/>
        </w:rPr>
        <w:t>. Motivo per cui una certa regolamentazione si impone</w:t>
      </w:r>
      <w:r w:rsidRPr="006F7FE1">
        <w:rPr>
          <w:rFonts w:cs="Arial"/>
        </w:rPr>
        <w:t>».</w:t>
      </w:r>
    </w:p>
    <w:p w:rsidR="00ED6B13" w:rsidRDefault="00ED6B13" w:rsidP="00ED6B13">
      <w:pPr>
        <w:rPr>
          <w:rFonts w:cs="Arial"/>
        </w:rPr>
      </w:pPr>
    </w:p>
    <w:p w:rsidR="00ED6B13" w:rsidRPr="00B752BE" w:rsidRDefault="00ED6B13" w:rsidP="00ED6B13">
      <w:pPr>
        <w:rPr>
          <w:rFonts w:cs="Arial"/>
        </w:rPr>
      </w:pPr>
    </w:p>
    <w:p w:rsidR="00ED6B13" w:rsidRPr="00B752BE" w:rsidRDefault="00ED6B13" w:rsidP="00ED6B13">
      <w:pPr>
        <w:rPr>
          <w:rFonts w:cs="Arial"/>
        </w:rPr>
      </w:pPr>
    </w:p>
    <w:p w:rsidR="00ED6B13" w:rsidRPr="00FD7962" w:rsidRDefault="00192553" w:rsidP="00192553">
      <w:pPr>
        <w:pStyle w:val="Titolo1"/>
      </w:pPr>
      <w:r w:rsidRPr="00FD7962">
        <w:t>PARERE DEL CONSIGLIO DI STATO</w:t>
      </w:r>
    </w:p>
    <w:p w:rsidR="00ED6B13" w:rsidRPr="00CE5242" w:rsidRDefault="00ED6B13" w:rsidP="00ED6B13">
      <w:pPr>
        <w:pStyle w:val="Stile"/>
        <w:spacing w:before="120"/>
        <w:jc w:val="both"/>
      </w:pPr>
      <w:r w:rsidRPr="00B752BE">
        <w:t xml:space="preserve">Il </w:t>
      </w:r>
      <w:r w:rsidRPr="006F7FE1">
        <w:rPr>
          <w:lang w:val="it-CH"/>
        </w:rPr>
        <w:t>Consiglio</w:t>
      </w:r>
      <w:r w:rsidRPr="00B752BE">
        <w:t xml:space="preserve"> di Stato, con il suo </w:t>
      </w:r>
      <w:r>
        <w:t>r</w:t>
      </w:r>
      <w:r w:rsidRPr="00B752BE">
        <w:t xml:space="preserve">apporto </w:t>
      </w:r>
      <w:r>
        <w:t xml:space="preserve">del 9 novembre 2016, </w:t>
      </w:r>
      <w:r w:rsidRPr="00B752BE">
        <w:t xml:space="preserve">dopo aver rilevato che negli anni i criteri di accesso agli organi direttivi del parastato sono stati irrigiditi e che i membri di tali consensi sono stati ridotti anche in modo importante, ritiene che </w:t>
      </w:r>
      <w:r w:rsidRPr="006F7FE1">
        <w:t>«</w:t>
      </w:r>
      <w:r w:rsidRPr="00B752BE">
        <w:rPr>
          <w:i/>
        </w:rPr>
        <w:t>s</w:t>
      </w:r>
      <w:r>
        <w:rPr>
          <w:i/>
        </w:rPr>
        <w:t>eguendo il ragionamento dell'</w:t>
      </w:r>
      <w:r w:rsidRPr="00B752BE">
        <w:rPr>
          <w:i/>
        </w:rPr>
        <w:t>atto parlamentare, una carica può essere occupata solo da persone che non raggiungono un determinato reddito</w:t>
      </w:r>
      <w:r w:rsidRPr="00CE5242">
        <w:rPr>
          <w:i/>
        </w:rPr>
        <w:t>,</w:t>
      </w:r>
      <w:r>
        <w:rPr>
          <w:i/>
        </w:rPr>
        <w:t xml:space="preserve"> </w:t>
      </w:r>
      <w:r w:rsidRPr="00CE5242">
        <w:rPr>
          <w:i/>
        </w:rPr>
        <w:t xml:space="preserve">corrispondente a quello del membro del Consiglio di Stato a cui va sottratto quello previsto per la carica specifica. In particolare nei settori dove </w:t>
      </w:r>
      <w:r>
        <w:rPr>
          <w:i/>
        </w:rPr>
        <w:t>è necessaria una qualifica o un'</w:t>
      </w:r>
      <w:r w:rsidRPr="00CE5242">
        <w:rPr>
          <w:i/>
        </w:rPr>
        <w:t>esperienza particolari, questo limit</w:t>
      </w:r>
      <w:r>
        <w:rPr>
          <w:i/>
        </w:rPr>
        <w:t xml:space="preserve">a le </w:t>
      </w:r>
      <w:r>
        <w:rPr>
          <w:i/>
        </w:rPr>
        <w:lastRenderedPageBreak/>
        <w:t>possibilità di scelta dell'</w:t>
      </w:r>
      <w:r w:rsidRPr="00CE5242">
        <w:rPr>
          <w:i/>
        </w:rPr>
        <w:t>autorità di elezione o nomina</w:t>
      </w:r>
      <w:r w:rsidRPr="006F7FE1">
        <w:t>»</w:t>
      </w:r>
      <w:r>
        <w:t>.</w:t>
      </w:r>
    </w:p>
    <w:p w:rsidR="00ED6B13" w:rsidRDefault="00ED6B13" w:rsidP="00ED6B13">
      <w:pPr>
        <w:pStyle w:val="Stile"/>
        <w:spacing w:before="120"/>
        <w:jc w:val="both"/>
      </w:pPr>
      <w:r w:rsidRPr="00CE5242">
        <w:t xml:space="preserve">Il </w:t>
      </w:r>
      <w:r w:rsidRPr="006F7FE1">
        <w:t>Consiglio di Stato</w:t>
      </w:r>
      <w:r w:rsidRPr="00CE5242">
        <w:t xml:space="preserve"> rileva poi che – vuoi per moti</w:t>
      </w:r>
      <w:r>
        <w:t>vi legati alle qualifiche e all'</w:t>
      </w:r>
      <w:r w:rsidRPr="00CE5242">
        <w:t>onere richiesto, vuoi per motivi politici – è inimmaginabile che le autorità di nomina attribuiscano alla stessa persona più cariche nelle aziende cantonali importanti.</w:t>
      </w:r>
    </w:p>
    <w:p w:rsidR="00ED6B13" w:rsidRDefault="00ED6B13" w:rsidP="00ED6B1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ED6B13" w:rsidRDefault="00ED6B13" w:rsidP="00ED6B1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ED6B13" w:rsidRPr="006F7FE1" w:rsidRDefault="00ED6B13" w:rsidP="00ED6B1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ED6B13" w:rsidRPr="00FD7962" w:rsidRDefault="00192553" w:rsidP="00192553">
      <w:pPr>
        <w:pStyle w:val="Titolo1"/>
      </w:pPr>
      <w:r w:rsidRPr="00FD7962">
        <w:t>LAVORI E CONSIDERAZIONI DELLA COMMISSIONE</w:t>
      </w:r>
    </w:p>
    <w:p w:rsidR="00ED6B13" w:rsidRPr="00FD7962" w:rsidRDefault="00ED6B13" w:rsidP="00ED6B13">
      <w:pPr>
        <w:pStyle w:val="Stile"/>
        <w:spacing w:before="120"/>
        <w:jc w:val="both"/>
        <w:rPr>
          <w:lang w:val="it-CH"/>
        </w:rPr>
      </w:pPr>
      <w:r w:rsidRPr="007F07B1">
        <w:t xml:space="preserve">La Commissione ha sentito il </w:t>
      </w:r>
      <w:proofErr w:type="spellStart"/>
      <w:r w:rsidRPr="007F07B1">
        <w:t>mozionante</w:t>
      </w:r>
      <w:proofErr w:type="spellEnd"/>
      <w:r w:rsidRPr="007F07B1">
        <w:t xml:space="preserve"> nella sua seduta del 19 maggio 2016.</w:t>
      </w:r>
      <w:r>
        <w:t xml:space="preserve"> </w:t>
      </w:r>
      <w:r w:rsidRPr="00FD7962">
        <w:rPr>
          <w:lang w:val="it-CH"/>
        </w:rPr>
        <w:t xml:space="preserve">Il deputato Seitz ha innanzitutto precisato che la mozione </w:t>
      </w:r>
      <w:r>
        <w:rPr>
          <w:lang w:val="it-CH"/>
        </w:rPr>
        <w:t>«</w:t>
      </w:r>
      <w:r w:rsidRPr="00FD7962">
        <w:rPr>
          <w:i/>
          <w:lang w:val="it-CH"/>
        </w:rPr>
        <w:t xml:space="preserve">riguarda esclusivamente le cariche pubbliche e </w:t>
      </w:r>
      <w:proofErr w:type="spellStart"/>
      <w:r w:rsidRPr="00FD7962">
        <w:rPr>
          <w:i/>
          <w:lang w:val="it-CH"/>
        </w:rPr>
        <w:t>parapubbliche</w:t>
      </w:r>
      <w:proofErr w:type="spellEnd"/>
      <w:r w:rsidRPr="00FD7962">
        <w:rPr>
          <w:i/>
          <w:lang w:val="it-CH"/>
        </w:rPr>
        <w:t xml:space="preserve"> assunte da politici attivi o in pensione, nel senso di introdurre un limite salariale chiaro che non può essere superato</w:t>
      </w:r>
      <w:r>
        <w:rPr>
          <w:lang w:val="it-CH"/>
        </w:rPr>
        <w:t>»;</w:t>
      </w:r>
      <w:r w:rsidRPr="00FD7962">
        <w:rPr>
          <w:lang w:val="it-CH"/>
        </w:rPr>
        <w:t xml:space="preserve"> per contro l</w:t>
      </w:r>
      <w:r>
        <w:rPr>
          <w:lang w:val="it-CH"/>
        </w:rPr>
        <w:t>'</w:t>
      </w:r>
      <w:r w:rsidRPr="00FD7962">
        <w:rPr>
          <w:lang w:val="it-CH"/>
        </w:rPr>
        <w:t>ambito privato non deve essere considerato.</w:t>
      </w:r>
    </w:p>
    <w:p w:rsidR="00ED6B13" w:rsidRDefault="00ED6B13" w:rsidP="00ED6B13">
      <w:pPr>
        <w:pStyle w:val="Stile"/>
        <w:spacing w:before="120"/>
        <w:jc w:val="both"/>
        <w:rPr>
          <w:lang w:val="it-CH"/>
        </w:rPr>
      </w:pPr>
      <w:r w:rsidRPr="00FD7962">
        <w:rPr>
          <w:lang w:val="it-CH"/>
        </w:rPr>
        <w:t>Una diversa interpretazione – quantunque forse più aderente al tenore letterale della mozione – rischierebbe del resto di scontrarsi con problemi di natura costituzionale, poiché sancirebbe di fatto l</w:t>
      </w:r>
      <w:r>
        <w:rPr>
          <w:lang w:val="it-CH"/>
        </w:rPr>
        <w:t>'</w:t>
      </w:r>
      <w:r w:rsidRPr="00FD7962">
        <w:rPr>
          <w:lang w:val="it-CH"/>
        </w:rPr>
        <w:t xml:space="preserve">impossibilità, per una persona benestante, di essere eletta in un consesso pubblico o </w:t>
      </w:r>
      <w:proofErr w:type="spellStart"/>
      <w:r w:rsidRPr="00FD7962">
        <w:rPr>
          <w:lang w:val="it-CH"/>
        </w:rPr>
        <w:t>parapubblico</w:t>
      </w:r>
      <w:proofErr w:type="spellEnd"/>
      <w:r w:rsidRPr="00FD7962">
        <w:rPr>
          <w:lang w:val="it-CH"/>
        </w:rPr>
        <w:t>, ritenuto che già il suo reddito privato di partenza supererebbe lo stipendio di un Consigliere di Stato.</w:t>
      </w:r>
    </w:p>
    <w:p w:rsidR="00ED6B13" w:rsidRPr="00FD7962" w:rsidRDefault="00ED6B13" w:rsidP="00ED6B13">
      <w:pPr>
        <w:pStyle w:val="Stile"/>
        <w:jc w:val="both"/>
        <w:rPr>
          <w:lang w:val="it-CH"/>
        </w:rPr>
      </w:pPr>
    </w:p>
    <w:p w:rsidR="00ED6B13" w:rsidRDefault="00ED6B13" w:rsidP="00ED6B13">
      <w:pPr>
        <w:pStyle w:val="Stile"/>
        <w:jc w:val="both"/>
        <w:rPr>
          <w:lang w:val="it-CH"/>
        </w:rPr>
      </w:pPr>
      <w:r w:rsidRPr="00FD7962">
        <w:rPr>
          <w:lang w:val="it-CH"/>
        </w:rPr>
        <w:t>La mozione si applica quindi al cumulo</w:t>
      </w:r>
      <w:r>
        <w:rPr>
          <w:lang w:val="it-CH"/>
        </w:rPr>
        <w:t xml:space="preserve"> </w:t>
      </w:r>
      <w:r w:rsidRPr="00FD7962">
        <w:rPr>
          <w:lang w:val="it-CH"/>
        </w:rPr>
        <w:t>di</w:t>
      </w:r>
      <w:r>
        <w:rPr>
          <w:lang w:val="it-CH"/>
        </w:rPr>
        <w:t>:</w:t>
      </w:r>
    </w:p>
    <w:p w:rsidR="00ED6B13" w:rsidRDefault="00ED6B13" w:rsidP="00ED6B13">
      <w:pPr>
        <w:pStyle w:val="Stile"/>
        <w:tabs>
          <w:tab w:val="left" w:pos="426"/>
        </w:tabs>
        <w:spacing w:before="60"/>
        <w:jc w:val="both"/>
        <w:rPr>
          <w:lang w:val="it-CH"/>
        </w:rPr>
      </w:pPr>
      <w:r>
        <w:rPr>
          <w:lang w:val="it-CH"/>
        </w:rPr>
        <w:t>1)</w:t>
      </w:r>
      <w:r>
        <w:rPr>
          <w:lang w:val="it-CH"/>
        </w:rPr>
        <w:tab/>
      </w:r>
      <w:r w:rsidRPr="00FD7962">
        <w:rPr>
          <w:lang w:val="it-CH"/>
        </w:rPr>
        <w:t>più cariche pubbliche (federali e/o cantonali e/o comunali)</w:t>
      </w:r>
      <w:r>
        <w:rPr>
          <w:lang w:val="it-CH"/>
        </w:rPr>
        <w:t>;</w:t>
      </w:r>
    </w:p>
    <w:p w:rsidR="00ED6B13" w:rsidRDefault="00ED6B13" w:rsidP="00ED6B13">
      <w:pPr>
        <w:pStyle w:val="Stile"/>
        <w:tabs>
          <w:tab w:val="left" w:pos="426"/>
        </w:tabs>
        <w:spacing w:before="60"/>
        <w:jc w:val="both"/>
        <w:rPr>
          <w:lang w:val="it-CH"/>
        </w:rPr>
      </w:pPr>
      <w:r w:rsidRPr="00FD7962">
        <w:rPr>
          <w:lang w:val="it-CH"/>
        </w:rPr>
        <w:t>2)</w:t>
      </w:r>
      <w:r>
        <w:rPr>
          <w:lang w:val="it-CH"/>
        </w:rPr>
        <w:tab/>
      </w:r>
      <w:r w:rsidRPr="00FD7962">
        <w:rPr>
          <w:lang w:val="it-CH"/>
        </w:rPr>
        <w:t>cariche pub</w:t>
      </w:r>
      <w:r>
        <w:rPr>
          <w:lang w:val="it-CH"/>
        </w:rPr>
        <w:t xml:space="preserve">bliche e cariche </w:t>
      </w:r>
      <w:proofErr w:type="spellStart"/>
      <w:r>
        <w:rPr>
          <w:lang w:val="it-CH"/>
        </w:rPr>
        <w:t>parapubbliche</w:t>
      </w:r>
      <w:proofErr w:type="spellEnd"/>
      <w:r>
        <w:rPr>
          <w:lang w:val="it-CH"/>
        </w:rPr>
        <w:t>;</w:t>
      </w:r>
    </w:p>
    <w:p w:rsidR="00ED6B13" w:rsidRPr="00FD7962" w:rsidRDefault="00ED6B13" w:rsidP="00ED6B13">
      <w:pPr>
        <w:pStyle w:val="Stile"/>
        <w:tabs>
          <w:tab w:val="left" w:pos="426"/>
        </w:tabs>
        <w:spacing w:before="60"/>
        <w:jc w:val="both"/>
        <w:rPr>
          <w:lang w:val="it-CH"/>
        </w:rPr>
      </w:pPr>
      <w:r>
        <w:rPr>
          <w:lang w:val="it-CH"/>
        </w:rPr>
        <w:t>3)</w:t>
      </w:r>
      <w:r>
        <w:rPr>
          <w:lang w:val="it-CH"/>
        </w:rPr>
        <w:tab/>
      </w:r>
      <w:r w:rsidRPr="00FD7962">
        <w:rPr>
          <w:lang w:val="it-CH"/>
        </w:rPr>
        <w:t xml:space="preserve">più cariche </w:t>
      </w:r>
      <w:proofErr w:type="spellStart"/>
      <w:r w:rsidRPr="00FD7962">
        <w:rPr>
          <w:lang w:val="it-CH"/>
        </w:rPr>
        <w:t>parapubbliche</w:t>
      </w:r>
      <w:proofErr w:type="spellEnd"/>
      <w:r w:rsidRPr="00FD7962">
        <w:rPr>
          <w:lang w:val="it-CH"/>
        </w:rPr>
        <w:t>.</w:t>
      </w:r>
    </w:p>
    <w:p w:rsidR="00ED6B13" w:rsidRPr="00FD7962" w:rsidRDefault="00ED6B13" w:rsidP="00ED6B13">
      <w:pPr>
        <w:pStyle w:val="Stile"/>
        <w:spacing w:before="120"/>
        <w:jc w:val="both"/>
        <w:rPr>
          <w:lang w:val="it-CH"/>
        </w:rPr>
      </w:pPr>
      <w:r w:rsidRPr="00FD7962">
        <w:rPr>
          <w:lang w:val="it-CH"/>
        </w:rPr>
        <w:t>Per i politici in attività possono entrare in considerazione i casi di cumulo n. 1 e n. 2.</w:t>
      </w:r>
    </w:p>
    <w:p w:rsidR="00ED6B13" w:rsidRDefault="00ED6B13" w:rsidP="00ED6B13">
      <w:pPr>
        <w:pStyle w:val="Stile"/>
        <w:spacing w:before="120"/>
        <w:jc w:val="both"/>
        <w:rPr>
          <w:lang w:val="it-CH"/>
        </w:rPr>
      </w:pPr>
      <w:r w:rsidRPr="00FD7962">
        <w:rPr>
          <w:lang w:val="it-CH"/>
        </w:rPr>
        <w:t xml:space="preserve">Per gli ex-politici può entrare in considerazione unicamente il caso di cumulo n. 3. </w:t>
      </w:r>
    </w:p>
    <w:p w:rsidR="00ED6B13" w:rsidRPr="00FD7962" w:rsidRDefault="00ED6B13" w:rsidP="00ED6B13">
      <w:pPr>
        <w:pStyle w:val="Stile"/>
        <w:jc w:val="both"/>
        <w:rPr>
          <w:lang w:val="it-CH"/>
        </w:rPr>
      </w:pPr>
    </w:p>
    <w:p w:rsidR="00ED6B13" w:rsidRPr="00FD7962" w:rsidRDefault="00ED6B13" w:rsidP="00ED6B13">
      <w:pPr>
        <w:pStyle w:val="Stile"/>
        <w:jc w:val="both"/>
        <w:rPr>
          <w:lang w:val="it-CH"/>
        </w:rPr>
      </w:pPr>
      <w:r w:rsidRPr="00FD7962">
        <w:rPr>
          <w:lang w:val="it-CH"/>
        </w:rPr>
        <w:t xml:space="preserve">Per quanto riguarda il </w:t>
      </w:r>
      <w:r w:rsidRPr="00FD7962">
        <w:rPr>
          <w:u w:val="single"/>
          <w:lang w:val="it-CH"/>
        </w:rPr>
        <w:t>caso di cumulo n. 1</w:t>
      </w:r>
      <w:r>
        <w:rPr>
          <w:lang w:val="it-CH"/>
        </w:rPr>
        <w:t>,</w:t>
      </w:r>
      <w:r w:rsidRPr="00FD7962">
        <w:rPr>
          <w:lang w:val="it-CH"/>
        </w:rPr>
        <w:t xml:space="preserve"> è possibile che si verifichino casi limite in cui un politico, assommando cariche pubbliche su più livelli istituzionali, si avvicini o addirittura superi lo stipendio di un Consigliere di Stato.</w:t>
      </w:r>
    </w:p>
    <w:p w:rsidR="00ED6B13" w:rsidRPr="00FD7962" w:rsidRDefault="00ED6B13" w:rsidP="00ED6B13">
      <w:pPr>
        <w:pStyle w:val="Stile"/>
        <w:spacing w:before="120"/>
        <w:jc w:val="both"/>
        <w:rPr>
          <w:b/>
          <w:bCs/>
          <w:caps/>
          <w:lang w:val="it-CH"/>
        </w:rPr>
      </w:pPr>
      <w:r w:rsidRPr="00FD7962">
        <w:rPr>
          <w:lang w:val="it-CH"/>
        </w:rPr>
        <w:t xml:space="preserve">Va però detto che il cumulo è il risultato di una scelta dell'elettore, che va rispettata, e che gli emolumenti percepiti dal politico proverrebbero da </w:t>
      </w:r>
      <w:r>
        <w:rPr>
          <w:lang w:val="it-CH"/>
        </w:rPr>
        <w:t>"</w:t>
      </w:r>
      <w:r w:rsidRPr="00FD7962">
        <w:rPr>
          <w:lang w:val="it-CH"/>
        </w:rPr>
        <w:t>casse</w:t>
      </w:r>
      <w:r>
        <w:rPr>
          <w:lang w:val="it-CH"/>
        </w:rPr>
        <w:t>"</w:t>
      </w:r>
      <w:r w:rsidRPr="00FD7962">
        <w:rPr>
          <w:lang w:val="it-CH"/>
        </w:rPr>
        <w:t xml:space="preserve"> diverse (il Comune, il Cantone, </w:t>
      </w:r>
      <w:smartTag w:uri="urn:schemas-microsoft-com:office:smarttags" w:element="PersonName">
        <w:smartTagPr>
          <w:attr w:name="ProductID" w:val="la Confederazione"/>
        </w:smartTagPr>
        <w:r w:rsidRPr="00FD7962">
          <w:rPr>
            <w:lang w:val="it-CH"/>
          </w:rPr>
          <w:t>la Confederazione</w:t>
        </w:r>
      </w:smartTag>
      <w:r w:rsidRPr="00FD7962">
        <w:rPr>
          <w:lang w:val="it-CH"/>
        </w:rPr>
        <w:t xml:space="preserve">), per cui introdurre un limite sarebbe comunque inattuabile (quale degli </w:t>
      </w:r>
      <w:r>
        <w:rPr>
          <w:lang w:val="it-CH"/>
        </w:rPr>
        <w:t>"</w:t>
      </w:r>
      <w:r w:rsidRPr="00FD7962">
        <w:rPr>
          <w:lang w:val="it-CH"/>
        </w:rPr>
        <w:t>stipendi</w:t>
      </w:r>
      <w:r>
        <w:rPr>
          <w:lang w:val="it-CH"/>
        </w:rPr>
        <w:t>"</w:t>
      </w:r>
      <w:r w:rsidRPr="00FD7962">
        <w:rPr>
          <w:lang w:val="it-CH"/>
        </w:rPr>
        <w:t xml:space="preserve"> andrebbe decurtato?), oltre che costituire una disparità di trattamento con i colleghi di consesso, che percepirebbero uno </w:t>
      </w:r>
      <w:r>
        <w:rPr>
          <w:lang w:val="it-CH"/>
        </w:rPr>
        <w:t>"</w:t>
      </w:r>
      <w:r w:rsidRPr="00FD7962">
        <w:rPr>
          <w:lang w:val="it-CH"/>
        </w:rPr>
        <w:t>stipendio</w:t>
      </w:r>
      <w:r>
        <w:rPr>
          <w:lang w:val="it-CH"/>
        </w:rPr>
        <w:t>"</w:t>
      </w:r>
      <w:r w:rsidRPr="00FD7962">
        <w:rPr>
          <w:lang w:val="it-CH"/>
        </w:rPr>
        <w:t xml:space="preserve"> superiore per la stessa attività.</w:t>
      </w:r>
    </w:p>
    <w:p w:rsidR="00ED6B13" w:rsidRDefault="00ED6B13" w:rsidP="00ED6B13">
      <w:pPr>
        <w:pStyle w:val="Stile"/>
        <w:spacing w:before="120"/>
        <w:jc w:val="both"/>
        <w:rPr>
          <w:lang w:val="it-CH"/>
        </w:rPr>
      </w:pPr>
      <w:r w:rsidRPr="00FD7962">
        <w:rPr>
          <w:lang w:val="it-CH"/>
        </w:rPr>
        <w:t xml:space="preserve">Su questo punto </w:t>
      </w:r>
      <w:smartTag w:uri="urn:schemas-microsoft-com:office:smarttags" w:element="PersonName">
        <w:smartTagPr>
          <w:attr w:name="ProductID" w:val="la Commissione"/>
        </w:smartTagPr>
        <w:r w:rsidRPr="00FD7962">
          <w:rPr>
            <w:lang w:val="it-CH"/>
          </w:rPr>
          <w:t>la Commissione</w:t>
        </w:r>
      </w:smartTag>
      <w:r w:rsidRPr="00FD7962">
        <w:rPr>
          <w:lang w:val="it-CH"/>
        </w:rPr>
        <w:t xml:space="preserve"> ritiene che incomba innanzitutto al Sovrano decidere, con il voto, se consentire a un politico di cumulare più cariche pubbliche.</w:t>
      </w:r>
    </w:p>
    <w:p w:rsidR="00ED6B13" w:rsidRPr="00FD7962" w:rsidRDefault="00ED6B13" w:rsidP="00ED6B13">
      <w:pPr>
        <w:pStyle w:val="Stile"/>
        <w:jc w:val="both"/>
        <w:rPr>
          <w:lang w:val="it-CH"/>
        </w:rPr>
      </w:pPr>
    </w:p>
    <w:p w:rsidR="00ED6B13" w:rsidRPr="00FD7962" w:rsidRDefault="00ED6B13" w:rsidP="00ED6B13">
      <w:pPr>
        <w:pStyle w:val="Stile"/>
        <w:jc w:val="both"/>
        <w:rPr>
          <w:lang w:val="it-CH"/>
        </w:rPr>
      </w:pPr>
      <w:r>
        <w:rPr>
          <w:lang w:val="it-CH"/>
        </w:rPr>
        <w:t>Relativamente a</w:t>
      </w:r>
      <w:r w:rsidRPr="00FD7962">
        <w:rPr>
          <w:lang w:val="it-CH"/>
        </w:rPr>
        <w:t xml:space="preserve">l </w:t>
      </w:r>
      <w:r w:rsidRPr="00FD7962">
        <w:rPr>
          <w:u w:val="single"/>
          <w:lang w:val="it-CH"/>
        </w:rPr>
        <w:t>caso di cumulo n. 2</w:t>
      </w:r>
      <w:r>
        <w:rPr>
          <w:lang w:val="it-CH"/>
        </w:rPr>
        <w:t>,</w:t>
      </w:r>
      <w:r w:rsidRPr="00FD7962">
        <w:rPr>
          <w:lang w:val="it-CH"/>
        </w:rPr>
        <w:t xml:space="preserve"> va rilevato che, recentemente, il Gran Consiglio ha deciso di stabilire l'incompatibilità tra la carica di deputato e la carica di membro del consiglio di amministrazione di diverse aziende </w:t>
      </w:r>
      <w:proofErr w:type="spellStart"/>
      <w:r w:rsidRPr="00FD7962">
        <w:rPr>
          <w:lang w:val="it-CH"/>
        </w:rPr>
        <w:t>parapubbliche</w:t>
      </w:r>
      <w:proofErr w:type="spellEnd"/>
      <w:r w:rsidRPr="00FD7962">
        <w:rPr>
          <w:lang w:val="it-CH"/>
        </w:rPr>
        <w:t>.</w:t>
      </w:r>
    </w:p>
    <w:p w:rsidR="00ED6B13" w:rsidRDefault="00ED6B13" w:rsidP="00ED6B13">
      <w:pPr>
        <w:pStyle w:val="Stile"/>
        <w:spacing w:before="120"/>
        <w:jc w:val="both"/>
        <w:rPr>
          <w:lang w:val="it-CH"/>
        </w:rPr>
      </w:pPr>
      <w:r w:rsidRPr="00FD7962">
        <w:rPr>
          <w:lang w:val="it-CH"/>
        </w:rPr>
        <w:t>Fermo restando che, verosimilmente, l'indennità di deputato cantonale cumulat</w:t>
      </w:r>
      <w:r>
        <w:rPr>
          <w:lang w:val="it-CH"/>
        </w:rPr>
        <w:t>a</w:t>
      </w:r>
      <w:r w:rsidRPr="00FD7962">
        <w:rPr>
          <w:lang w:val="it-CH"/>
        </w:rPr>
        <w:t xml:space="preserve"> all'indennità di membro di un'</w:t>
      </w:r>
      <w:r>
        <w:rPr>
          <w:lang w:val="it-CH"/>
        </w:rPr>
        <w:t xml:space="preserve">azienda </w:t>
      </w:r>
      <w:proofErr w:type="spellStart"/>
      <w:r>
        <w:rPr>
          <w:lang w:val="it-CH"/>
        </w:rPr>
        <w:t>para</w:t>
      </w:r>
      <w:r w:rsidRPr="00FD7962">
        <w:rPr>
          <w:lang w:val="it-CH"/>
        </w:rPr>
        <w:t>pubblica</w:t>
      </w:r>
      <w:proofErr w:type="spellEnd"/>
      <w:r w:rsidRPr="00FD7962">
        <w:rPr>
          <w:lang w:val="it-CH"/>
        </w:rPr>
        <w:t xml:space="preserve"> non avrebbe comunque consentito di raggiungere lo stipendio di un Consigliere di Stato, si ritiene che – per questo caso di cumulo – la mozione sia stata evasa dal Gran Consiglio, almeno per quanto riguarda il livello cantonale. Non v</w:t>
      </w:r>
      <w:r>
        <w:rPr>
          <w:lang w:val="it-CH"/>
        </w:rPr>
        <w:t xml:space="preserve">i </w:t>
      </w:r>
      <w:r w:rsidRPr="00FD7962">
        <w:rPr>
          <w:lang w:val="it-CH"/>
        </w:rPr>
        <w:t>è comunque evidenza di politici comunali che, sommando la loro indennità a quella di m</w:t>
      </w:r>
      <w:r>
        <w:rPr>
          <w:lang w:val="it-CH"/>
        </w:rPr>
        <w:t xml:space="preserve">embri di eventuali aziende </w:t>
      </w:r>
      <w:proofErr w:type="spellStart"/>
      <w:r>
        <w:rPr>
          <w:lang w:val="it-CH"/>
        </w:rPr>
        <w:t>para</w:t>
      </w:r>
      <w:r w:rsidRPr="00FD7962">
        <w:rPr>
          <w:lang w:val="it-CH"/>
        </w:rPr>
        <w:t>pubbliche</w:t>
      </w:r>
      <w:proofErr w:type="spellEnd"/>
      <w:r w:rsidRPr="00FD7962">
        <w:rPr>
          <w:lang w:val="it-CH"/>
        </w:rPr>
        <w:t xml:space="preserve">, raggiungano lo stipendio </w:t>
      </w:r>
      <w:r w:rsidRPr="00FD7962">
        <w:rPr>
          <w:lang w:val="it-CH"/>
        </w:rPr>
        <w:lastRenderedPageBreak/>
        <w:t>di Consigliere di Stato, mentre per i politici federali (che, talora, ancorché raramente, hanno sedu</w:t>
      </w:r>
      <w:r>
        <w:rPr>
          <w:lang w:val="it-CH"/>
        </w:rPr>
        <w:t xml:space="preserve">to negli organi di aziende </w:t>
      </w:r>
      <w:proofErr w:type="spellStart"/>
      <w:r>
        <w:rPr>
          <w:lang w:val="it-CH"/>
        </w:rPr>
        <w:t>parapubbliche</w:t>
      </w:r>
      <w:proofErr w:type="spellEnd"/>
      <w:r>
        <w:rPr>
          <w:lang w:val="it-CH"/>
        </w:rPr>
        <w:t xml:space="preserve"> cantonali</w:t>
      </w:r>
      <w:r w:rsidRPr="00FD7962">
        <w:rPr>
          <w:lang w:val="it-CH"/>
        </w:rPr>
        <w:t>) tale aspetto deve essere eventualmente valutato dall'Assemblea federale.</w:t>
      </w:r>
    </w:p>
    <w:p w:rsidR="00ED6B13" w:rsidRPr="00FD7962" w:rsidRDefault="00ED6B13" w:rsidP="00ED6B13">
      <w:pPr>
        <w:pStyle w:val="Stile"/>
        <w:jc w:val="both"/>
        <w:rPr>
          <w:lang w:val="it-CH"/>
        </w:rPr>
      </w:pPr>
    </w:p>
    <w:p w:rsidR="00ED6B13" w:rsidRPr="00FD7962" w:rsidRDefault="00ED6B13" w:rsidP="00ED6B13">
      <w:pPr>
        <w:pStyle w:val="Stile"/>
        <w:jc w:val="both"/>
        <w:rPr>
          <w:lang w:val="it-CH"/>
        </w:rPr>
      </w:pPr>
      <w:r>
        <w:rPr>
          <w:lang w:val="it-CH"/>
        </w:rPr>
        <w:t>Circa</w:t>
      </w:r>
      <w:r w:rsidRPr="00FD7962">
        <w:rPr>
          <w:lang w:val="it-CH"/>
        </w:rPr>
        <w:t xml:space="preserve"> il </w:t>
      </w:r>
      <w:r w:rsidRPr="00873CC0">
        <w:rPr>
          <w:u w:val="single"/>
          <w:lang w:val="it-CH"/>
        </w:rPr>
        <w:t>caso di cumulo n. 3</w:t>
      </w:r>
      <w:r>
        <w:rPr>
          <w:lang w:val="it-CH"/>
        </w:rPr>
        <w:t>,</w:t>
      </w:r>
      <w:r w:rsidRPr="00FD7962">
        <w:rPr>
          <w:lang w:val="it-CH"/>
        </w:rPr>
        <w:t xml:space="preserve"> </w:t>
      </w:r>
      <w:smartTag w:uri="urn:schemas-microsoft-com:office:smarttags" w:element="PersonName">
        <w:smartTagPr>
          <w:attr w:name="ProductID" w:val="la Commissione"/>
        </w:smartTagPr>
        <w:r w:rsidRPr="00FD7962">
          <w:rPr>
            <w:lang w:val="it-CH"/>
          </w:rPr>
          <w:t>la Commissione</w:t>
        </w:r>
      </w:smartTag>
      <w:r w:rsidRPr="00FD7962">
        <w:rPr>
          <w:lang w:val="it-CH"/>
        </w:rPr>
        <w:t xml:space="preserve"> condivide quanto rilevato dal Consiglio di Stato, del resto confortato dall'esperienza, ovvero che è impensabile che la medesima persona sia eletta contemporaneamente in così tanti organi di aziende </w:t>
      </w:r>
      <w:proofErr w:type="spellStart"/>
      <w:r w:rsidRPr="00FD7962">
        <w:rPr>
          <w:lang w:val="it-CH"/>
        </w:rPr>
        <w:t>parapubbliche</w:t>
      </w:r>
      <w:proofErr w:type="spellEnd"/>
      <w:r w:rsidRPr="00FD7962">
        <w:rPr>
          <w:lang w:val="it-CH"/>
        </w:rPr>
        <w:t xml:space="preserve"> cantonali o comunali da superare lo stipendio di un Consigliere di Stato.</w:t>
      </w:r>
    </w:p>
    <w:p w:rsidR="00ED6B13" w:rsidRPr="00FD7962" w:rsidRDefault="00ED6B13" w:rsidP="00ED6B13">
      <w:pPr>
        <w:pStyle w:val="Stile"/>
        <w:spacing w:before="120"/>
        <w:jc w:val="both"/>
        <w:rPr>
          <w:lang w:val="it-CH"/>
        </w:rPr>
      </w:pPr>
      <w:r w:rsidRPr="00FD7962">
        <w:rPr>
          <w:lang w:val="it-CH"/>
        </w:rPr>
        <w:t>Fermo restando che, a parere della Commissione, sarebbe problematico, sia dal profilo dell'</w:t>
      </w:r>
      <w:r>
        <w:rPr>
          <w:lang w:val="it-CH"/>
        </w:rPr>
        <w:t>opportunità</w:t>
      </w:r>
      <w:r w:rsidRPr="00FD7962">
        <w:rPr>
          <w:lang w:val="it-CH"/>
        </w:rPr>
        <w:t xml:space="preserve"> </w:t>
      </w:r>
      <w:r>
        <w:rPr>
          <w:lang w:val="it-CH"/>
        </w:rPr>
        <w:t>sia</w:t>
      </w:r>
      <w:r w:rsidRPr="00FD7962">
        <w:rPr>
          <w:lang w:val="it-CH"/>
        </w:rPr>
        <w:t xml:space="preserve"> da quello del conflitto di interessi, se una medesima persona sedesse contemporaneamente nell'organo direttivo di svariate aziende </w:t>
      </w:r>
      <w:proofErr w:type="spellStart"/>
      <w:r w:rsidRPr="00FD7962">
        <w:rPr>
          <w:lang w:val="it-CH"/>
        </w:rPr>
        <w:t>parapubbliche</w:t>
      </w:r>
      <w:proofErr w:type="spellEnd"/>
      <w:r w:rsidRPr="00FD7962">
        <w:rPr>
          <w:lang w:val="it-CH"/>
        </w:rPr>
        <w:t>, non si intrav</w:t>
      </w:r>
      <w:r>
        <w:rPr>
          <w:lang w:val="it-CH"/>
        </w:rPr>
        <w:t>ve</w:t>
      </w:r>
      <w:r w:rsidRPr="00FD7962">
        <w:rPr>
          <w:lang w:val="it-CH"/>
        </w:rPr>
        <w:t>de per il momento la necessità di proposte legislative da parte del Consiglio di Stato, confidando che nell'ambito delle nomine di sua competenza esso terrà comunque conto degli auspici della mozione.</w:t>
      </w:r>
    </w:p>
    <w:p w:rsidR="00ED6B13" w:rsidRDefault="00ED6B13" w:rsidP="00ED6B13">
      <w:pPr>
        <w:tabs>
          <w:tab w:val="left" w:pos="1985"/>
          <w:tab w:val="left" w:pos="2410"/>
        </w:tabs>
        <w:rPr>
          <w:rFonts w:cs="Arial"/>
        </w:rPr>
      </w:pPr>
    </w:p>
    <w:p w:rsidR="00ED6B13" w:rsidRPr="00FD7962" w:rsidRDefault="00ED6B13" w:rsidP="00ED6B13">
      <w:pPr>
        <w:tabs>
          <w:tab w:val="left" w:pos="1985"/>
          <w:tab w:val="left" w:pos="2410"/>
        </w:tabs>
        <w:rPr>
          <w:rFonts w:cs="Arial"/>
        </w:rPr>
      </w:pPr>
    </w:p>
    <w:p w:rsidR="00ED6B13" w:rsidRPr="00FD7962" w:rsidRDefault="00ED6B13" w:rsidP="00ED6B13">
      <w:pPr>
        <w:tabs>
          <w:tab w:val="left" w:pos="1985"/>
          <w:tab w:val="left" w:pos="2410"/>
        </w:tabs>
        <w:rPr>
          <w:rFonts w:cs="Arial"/>
        </w:rPr>
      </w:pPr>
    </w:p>
    <w:p w:rsidR="00ED6B13" w:rsidRPr="00FD7962" w:rsidRDefault="00192553" w:rsidP="00192553">
      <w:pPr>
        <w:pStyle w:val="Titolo1"/>
      </w:pPr>
      <w:r w:rsidRPr="00FD7962">
        <w:t>CONCLUSIONI</w:t>
      </w:r>
    </w:p>
    <w:p w:rsidR="00ED6B13" w:rsidRPr="00C167B9" w:rsidRDefault="00ED6B13" w:rsidP="00192553">
      <w:pPr>
        <w:spacing w:before="120"/>
        <w:rPr>
          <w:rFonts w:cs="Arial"/>
        </w:rPr>
      </w:pPr>
      <w:r w:rsidRPr="00C167B9">
        <w:rPr>
          <w:rFonts w:cs="Arial"/>
        </w:rPr>
        <w:t xml:space="preserve">Per tutto quanto sopra riportato, la Commissione chiede al Gran Consiglio di considerare </w:t>
      </w:r>
      <w:r>
        <w:rPr>
          <w:rFonts w:cs="Arial"/>
        </w:rPr>
        <w:t xml:space="preserve">parzialmente </w:t>
      </w:r>
      <w:r w:rsidRPr="00C167B9">
        <w:rPr>
          <w:rFonts w:cs="Arial"/>
        </w:rPr>
        <w:t>evasa</w:t>
      </w:r>
      <w:r>
        <w:rPr>
          <w:rFonts w:cs="Arial"/>
        </w:rPr>
        <w:t xml:space="preserve"> e parzialmente respinta, ai sensi dei </w:t>
      </w:r>
      <w:proofErr w:type="spellStart"/>
      <w:r>
        <w:rPr>
          <w:rFonts w:cs="Arial"/>
        </w:rPr>
        <w:t>considerandi</w:t>
      </w:r>
      <w:proofErr w:type="spellEnd"/>
      <w:r>
        <w:rPr>
          <w:rFonts w:cs="Arial"/>
        </w:rPr>
        <w:t>,</w:t>
      </w:r>
      <w:r w:rsidRPr="00C167B9">
        <w:rPr>
          <w:rFonts w:cs="Arial"/>
        </w:rPr>
        <w:t xml:space="preserve"> la mozione presentata dal deputato Giancarlo Seitz </w:t>
      </w:r>
      <w:r>
        <w:rPr>
          <w:rFonts w:cs="Arial"/>
        </w:rPr>
        <w:t>"</w:t>
      </w:r>
      <w:r w:rsidRPr="00C167B9">
        <w:rPr>
          <w:rFonts w:cs="Arial"/>
        </w:rPr>
        <w:t>Basta poltrone d</w:t>
      </w:r>
      <w:r>
        <w:rPr>
          <w:rFonts w:cs="Arial"/>
        </w:rPr>
        <w:t>'</w:t>
      </w:r>
      <w:r w:rsidRPr="00C167B9">
        <w:rPr>
          <w:rFonts w:cs="Arial"/>
        </w:rPr>
        <w:t>oro ai politici ‘in pensione</w:t>
      </w:r>
      <w:r>
        <w:rPr>
          <w:rFonts w:cs="Arial"/>
        </w:rPr>
        <w:t>'</w:t>
      </w:r>
      <w:r w:rsidRPr="00C167B9">
        <w:rPr>
          <w:rFonts w:cs="Arial"/>
        </w:rPr>
        <w:t xml:space="preserve"> dalla politica</w:t>
      </w:r>
      <w:r>
        <w:rPr>
          <w:rFonts w:cs="Arial"/>
        </w:rPr>
        <w:t>"</w:t>
      </w:r>
      <w:r w:rsidRPr="00C167B9">
        <w:rPr>
          <w:rFonts w:cs="Arial"/>
        </w:rPr>
        <w:t>.</w:t>
      </w:r>
    </w:p>
    <w:p w:rsidR="00ED6B13" w:rsidRPr="00004C59" w:rsidRDefault="00ED6B13" w:rsidP="00ED6B13">
      <w:pPr>
        <w:tabs>
          <w:tab w:val="left" w:pos="1985"/>
          <w:tab w:val="left" w:pos="2410"/>
        </w:tabs>
        <w:rPr>
          <w:rFonts w:cs="Arial"/>
        </w:rPr>
      </w:pPr>
    </w:p>
    <w:p w:rsidR="00ED6B13" w:rsidRPr="00004C59" w:rsidRDefault="00ED6B13" w:rsidP="00ED6B13">
      <w:pPr>
        <w:tabs>
          <w:tab w:val="left" w:pos="1985"/>
          <w:tab w:val="left" w:pos="2410"/>
        </w:tabs>
        <w:rPr>
          <w:rFonts w:cs="Arial"/>
        </w:rPr>
      </w:pPr>
    </w:p>
    <w:p w:rsidR="00ED6B13" w:rsidRPr="00004C59" w:rsidRDefault="00ED6B13" w:rsidP="00ED6B13">
      <w:pPr>
        <w:tabs>
          <w:tab w:val="left" w:pos="1985"/>
          <w:tab w:val="left" w:pos="2410"/>
        </w:tabs>
        <w:rPr>
          <w:rFonts w:cs="Arial"/>
        </w:rPr>
      </w:pPr>
    </w:p>
    <w:p w:rsidR="00ED6B13" w:rsidRPr="00004C59" w:rsidRDefault="00ED6B13" w:rsidP="00ED6B13">
      <w:pPr>
        <w:tabs>
          <w:tab w:val="left" w:pos="1985"/>
          <w:tab w:val="left" w:pos="2410"/>
        </w:tabs>
        <w:rPr>
          <w:rFonts w:cs="Arial"/>
        </w:rPr>
      </w:pPr>
      <w:r w:rsidRPr="00004C59">
        <w:rPr>
          <w:rFonts w:cs="Arial"/>
        </w:rPr>
        <w:t xml:space="preserve">Per la Commissione speciale </w:t>
      </w:r>
      <w:r>
        <w:rPr>
          <w:rFonts w:cs="Arial"/>
        </w:rPr>
        <w:t>Co</w:t>
      </w:r>
      <w:r w:rsidRPr="00004C59">
        <w:rPr>
          <w:rFonts w:cs="Arial"/>
        </w:rPr>
        <w:t>stituzione e diritti politici:</w:t>
      </w:r>
    </w:p>
    <w:p w:rsidR="00ED6B13" w:rsidRPr="00004C59" w:rsidRDefault="00ED6B13" w:rsidP="00ED6B13">
      <w:pPr>
        <w:tabs>
          <w:tab w:val="left" w:pos="1985"/>
          <w:tab w:val="left" w:pos="2410"/>
        </w:tabs>
        <w:spacing w:before="120"/>
        <w:rPr>
          <w:rFonts w:cs="Arial"/>
        </w:rPr>
      </w:pPr>
      <w:r w:rsidRPr="00004C59">
        <w:rPr>
          <w:rFonts w:cs="Arial"/>
        </w:rPr>
        <w:t>Maurizio Agustoni, relatore</w:t>
      </w:r>
    </w:p>
    <w:p w:rsidR="00192553" w:rsidRDefault="00192553" w:rsidP="00192553">
      <w:pPr>
        <w:rPr>
          <w:rFonts w:cs="Arial"/>
        </w:rPr>
      </w:pPr>
      <w:r>
        <w:rPr>
          <w:rFonts w:cs="Arial"/>
        </w:rPr>
        <w:t xml:space="preserve">Aldi - Bacchetta-Cattori - Bignasca - </w:t>
      </w:r>
    </w:p>
    <w:p w:rsidR="00192553" w:rsidRDefault="00192553" w:rsidP="00192553">
      <w:pPr>
        <w:rPr>
          <w:rFonts w:cs="Arial"/>
        </w:rPr>
      </w:pPr>
      <w:r>
        <w:rPr>
          <w:rFonts w:cs="Arial"/>
        </w:rPr>
        <w:t xml:space="preserve">Celio - Censi - Ducry - Durisch - </w:t>
      </w:r>
    </w:p>
    <w:p w:rsidR="00192553" w:rsidRDefault="00192553" w:rsidP="00192553">
      <w:pPr>
        <w:rPr>
          <w:rFonts w:cs="Arial"/>
        </w:rPr>
      </w:pPr>
      <w:r>
        <w:rPr>
          <w:rFonts w:cs="Arial"/>
        </w:rPr>
        <w:t>Filippini - Gianella - Lepori - Merlo</w:t>
      </w:r>
    </w:p>
    <w:p w:rsidR="00076E70" w:rsidRDefault="00076E70" w:rsidP="00076E70">
      <w:pPr>
        <w:rPr>
          <w:rFonts w:cs="Arial"/>
          <w:szCs w:val="24"/>
        </w:rPr>
      </w:pPr>
    </w:p>
    <w:p w:rsidR="00E765A9" w:rsidRDefault="00E765A9" w:rsidP="00076E70">
      <w:pPr>
        <w:rPr>
          <w:rFonts w:cs="Arial"/>
          <w:szCs w:val="24"/>
        </w:rPr>
      </w:pPr>
    </w:p>
    <w:sectPr w:rsidR="00E765A9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AC" w:rsidRDefault="001D2AAC" w:rsidP="008E77C6">
      <w:r>
        <w:separator/>
      </w:r>
    </w:p>
  </w:endnote>
  <w:endnote w:type="continuationSeparator" w:id="0">
    <w:p w:rsidR="001D2AAC" w:rsidRDefault="001D2AAC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D2264" w:rsidRPr="00AD2264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AC" w:rsidRDefault="001D2AAC" w:rsidP="008E77C6">
      <w:r>
        <w:separator/>
      </w:r>
    </w:p>
  </w:footnote>
  <w:footnote w:type="continuationSeparator" w:id="0">
    <w:p w:rsidR="001D2AAC" w:rsidRDefault="001D2AAC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549C4C5A"/>
    <w:lvl w:ilvl="0" w:tplc="88968D5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192553"/>
    <w:rsid w:val="001D2AAC"/>
    <w:rsid w:val="00260C8C"/>
    <w:rsid w:val="002E5E40"/>
    <w:rsid w:val="0052425A"/>
    <w:rsid w:val="00586A8D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D2264"/>
    <w:rsid w:val="00BC4C95"/>
    <w:rsid w:val="00BD5944"/>
    <w:rsid w:val="00CF6858"/>
    <w:rsid w:val="00D377B5"/>
    <w:rsid w:val="00D93B31"/>
    <w:rsid w:val="00E505DB"/>
    <w:rsid w:val="00E765A9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192553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192553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rsid w:val="00ED6B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customStyle="1" w:styleId="Stile">
    <w:name w:val="Stile"/>
    <w:rsid w:val="00ED6B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192553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192553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rsid w:val="00ED6B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customStyle="1" w:styleId="Stile">
    <w:name w:val="Stile"/>
    <w:rsid w:val="00ED6B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830C-4638-446D-AAC3-907C561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2018-09-03T12:41:00Z</cp:lastPrinted>
  <dcterms:created xsi:type="dcterms:W3CDTF">2018-09-03T12:37:00Z</dcterms:created>
  <dcterms:modified xsi:type="dcterms:W3CDTF">2018-09-05T09:59:00Z</dcterms:modified>
</cp:coreProperties>
</file>