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597CA4" w:rsidP="00076E70">
      <w:r w:rsidRPr="00BC2E85">
        <w:rPr>
          <w:rFonts w:ascii="Gill Sans MT" w:hAnsi="Gill Sans MT"/>
          <w:b/>
          <w:sz w:val="52"/>
          <w:szCs w:val="52"/>
        </w:rPr>
        <w:t>Rapporto</w:t>
      </w:r>
      <w:bookmarkStart w:id="0" w:name="_GoBack"/>
      <w:bookmarkEnd w:id="0"/>
    </w:p>
    <w:p w:rsidR="0021084B" w:rsidRDefault="0021084B" w:rsidP="00076E70"/>
    <w:p w:rsidR="008B4137" w:rsidRDefault="008B4137">
      <w:pPr>
        <w:rPr>
          <w:rFonts w:cs="Arial"/>
          <w:szCs w:val="24"/>
        </w:rPr>
      </w:pPr>
    </w:p>
    <w:p w:rsidR="00076E70" w:rsidRDefault="00076E70">
      <w:pPr>
        <w:rPr>
          <w:rFonts w:cs="Arial"/>
          <w:szCs w:val="24"/>
        </w:rPr>
      </w:pPr>
    </w:p>
    <w:p w:rsidR="00260C8C" w:rsidRDefault="00EE2592" w:rsidP="00260C8C">
      <w:pPr>
        <w:tabs>
          <w:tab w:val="left" w:pos="2098"/>
          <w:tab w:val="left" w:pos="4933"/>
        </w:tabs>
        <w:rPr>
          <w:rFonts w:cs="Arial"/>
          <w:szCs w:val="24"/>
        </w:rPr>
      </w:pPr>
      <w:r>
        <w:rPr>
          <w:rFonts w:cs="Arial"/>
          <w:b/>
          <w:sz w:val="32"/>
          <w:szCs w:val="32"/>
        </w:rPr>
        <w:t>7555</w:t>
      </w:r>
      <w:r w:rsidR="00260C8C" w:rsidRPr="008B4137">
        <w:rPr>
          <w:rFonts w:cs="Arial"/>
          <w:b/>
          <w:sz w:val="32"/>
          <w:szCs w:val="32"/>
        </w:rPr>
        <w:t xml:space="preserve"> R</w:t>
      </w:r>
      <w:r w:rsidR="00260C8C" w:rsidRPr="008B4137">
        <w:rPr>
          <w:rFonts w:cs="Arial"/>
          <w:sz w:val="28"/>
          <w:szCs w:val="28"/>
        </w:rPr>
        <w:tab/>
      </w:r>
      <w:r>
        <w:rPr>
          <w:rFonts w:cs="Arial"/>
          <w:sz w:val="28"/>
          <w:szCs w:val="28"/>
        </w:rPr>
        <w:t>25 settembre 2018</w:t>
      </w:r>
      <w:r w:rsidR="00260C8C" w:rsidRPr="008B4137">
        <w:rPr>
          <w:rFonts w:cs="Arial"/>
          <w:sz w:val="28"/>
          <w:szCs w:val="28"/>
        </w:rPr>
        <w:tab/>
      </w:r>
      <w:r>
        <w:rPr>
          <w:sz w:val="28"/>
        </w:rPr>
        <w:t>SANITÀ E SOCIALITÀ</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8B2655" w:rsidRDefault="001574D7" w:rsidP="00E765A9">
      <w:pPr>
        <w:rPr>
          <w:rFonts w:cs="Arial"/>
          <w:b/>
          <w:sz w:val="26"/>
          <w:szCs w:val="26"/>
        </w:rPr>
      </w:pPr>
      <w:r w:rsidRPr="000D6BD0">
        <w:rPr>
          <w:rFonts w:cs="Arial"/>
          <w:b/>
          <w:sz w:val="28"/>
          <w:szCs w:val="28"/>
        </w:rPr>
        <w:t>sul</w:t>
      </w:r>
      <w:r w:rsidR="00E765A9">
        <w:rPr>
          <w:rFonts w:cs="Arial"/>
          <w:b/>
          <w:sz w:val="28"/>
          <w:szCs w:val="28"/>
        </w:rPr>
        <w:t xml:space="preserve"> messaggio</w:t>
      </w:r>
      <w:r w:rsidR="007352D3">
        <w:rPr>
          <w:rFonts w:cs="Arial"/>
          <w:b/>
          <w:sz w:val="26"/>
          <w:szCs w:val="26"/>
        </w:rPr>
        <w:t xml:space="preserve"> </w:t>
      </w:r>
      <w:r w:rsidR="00EE2592">
        <w:rPr>
          <w:rFonts w:cs="Arial"/>
          <w:b/>
          <w:sz w:val="28"/>
          <w:szCs w:val="28"/>
        </w:rPr>
        <w:t>4 luglio 2018 concernente la r</w:t>
      </w:r>
      <w:r w:rsidR="00EE2592" w:rsidRPr="00F246A0">
        <w:rPr>
          <w:rFonts w:cs="Arial"/>
          <w:b/>
          <w:sz w:val="28"/>
          <w:szCs w:val="28"/>
        </w:rPr>
        <w:t>ichiesta di autorizzazione alla sottoscrizione dei nuovi contratti di locazione per un onere complessivo di 191'483 franchi</w:t>
      </w:r>
      <w:r w:rsidR="00EE2592" w:rsidRPr="00F246A0">
        <w:rPr>
          <w:rFonts w:ascii="Gill Sans" w:hAnsi="Gill Sans" w:cs="Arial"/>
          <w:sz w:val="28"/>
          <w:szCs w:val="28"/>
        </w:rPr>
        <w:t xml:space="preserve"> </w:t>
      </w:r>
      <w:r w:rsidR="00EE2592" w:rsidRPr="00F246A0">
        <w:rPr>
          <w:rFonts w:cs="Arial"/>
          <w:b/>
          <w:sz w:val="28"/>
          <w:szCs w:val="28"/>
        </w:rPr>
        <w:t>annui e di un credito d’investimento di 474'000 franchi per la riorganizzazione logistica e unificazione delle sedi dell’Ufficio del medico e dell’Ufficio del veterinario cantonale</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E2600" w:rsidRPr="00816BF8" w:rsidRDefault="002E2600" w:rsidP="00EE2592">
      <w:pPr>
        <w:pStyle w:val="Titolo1"/>
      </w:pPr>
      <w:r>
        <w:t xml:space="preserve">Premessa </w:t>
      </w:r>
    </w:p>
    <w:p w:rsidR="002E2600" w:rsidRPr="00331A37" w:rsidRDefault="002E2600" w:rsidP="002E2600">
      <w:pPr>
        <w:rPr>
          <w:rFonts w:cs="Arial"/>
          <w:szCs w:val="24"/>
        </w:rPr>
      </w:pPr>
      <w:r>
        <w:rPr>
          <w:rFonts w:cs="Arial"/>
          <w:szCs w:val="24"/>
        </w:rPr>
        <w:t>A</w:t>
      </w:r>
      <w:r w:rsidRPr="00331A37">
        <w:rPr>
          <w:rFonts w:cs="Arial"/>
          <w:szCs w:val="24"/>
        </w:rPr>
        <w:t xml:space="preserve"> seguito del trasloco dell’Istituto di previdenza del Cantone Ticino dalla sua sede di via Dogana 16, si sono liberati spazi in uno stabile nel quale già oggi sono collocati l’Ufficio del medico cantonale (UMC) e l’Ufficio del veterinario cantonale (UVC). Si presenta così </w:t>
      </w:r>
      <w:r>
        <w:rPr>
          <w:rFonts w:cs="Arial"/>
          <w:szCs w:val="24"/>
        </w:rPr>
        <w:t>l</w:t>
      </w:r>
      <w:r w:rsidRPr="00331A37">
        <w:rPr>
          <w:rFonts w:cs="Arial"/>
          <w:szCs w:val="24"/>
        </w:rPr>
        <w:t xml:space="preserve">’occasione </w:t>
      </w:r>
      <w:r>
        <w:rPr>
          <w:rFonts w:cs="Arial"/>
          <w:szCs w:val="24"/>
        </w:rPr>
        <w:t>propizia</w:t>
      </w:r>
      <w:r w:rsidRPr="00331A37">
        <w:rPr>
          <w:rFonts w:cs="Arial"/>
          <w:szCs w:val="24"/>
        </w:rPr>
        <w:t xml:space="preserve"> per riunire in una sola sede collaboratori oggi suddivisi su più luoghi di lavoro. L’esigenza di una riunificazione è sorta negli ultimi anni in parte a causa di compiti nuovi attribuiti ai due uffici, ma soprattutto a seguito di accorpamenti di personale in precedenza collocato in altri contesti amministrativi.</w:t>
      </w:r>
    </w:p>
    <w:p w:rsidR="002E2600" w:rsidRDefault="002E2600" w:rsidP="002E2600">
      <w:pPr>
        <w:rPr>
          <w:rFonts w:cs="Arial"/>
          <w:szCs w:val="24"/>
        </w:rPr>
      </w:pPr>
    </w:p>
    <w:p w:rsidR="002E2600" w:rsidRPr="00A72E30" w:rsidRDefault="002E2600" w:rsidP="002E2600">
      <w:pPr>
        <w:rPr>
          <w:rFonts w:cs="Arial"/>
          <w:szCs w:val="24"/>
          <w:u w:val="single"/>
        </w:rPr>
      </w:pPr>
      <w:r w:rsidRPr="00A72E30">
        <w:rPr>
          <w:rFonts w:cs="Arial"/>
          <w:szCs w:val="24"/>
          <w:u w:val="single"/>
        </w:rPr>
        <w:t>In particolare:</w:t>
      </w:r>
    </w:p>
    <w:p w:rsidR="002E2600" w:rsidRPr="00326E52" w:rsidRDefault="002E2600" w:rsidP="002E2600">
      <w:pPr>
        <w:rPr>
          <w:rFonts w:cs="Arial"/>
          <w:sz w:val="12"/>
          <w:szCs w:val="12"/>
        </w:rPr>
      </w:pPr>
    </w:p>
    <w:p w:rsidR="002E2600" w:rsidRPr="00331A37" w:rsidRDefault="002E2600" w:rsidP="002E2600">
      <w:pPr>
        <w:rPr>
          <w:rFonts w:cs="Arial"/>
          <w:szCs w:val="24"/>
        </w:rPr>
      </w:pPr>
      <w:r w:rsidRPr="00A72E30">
        <w:rPr>
          <w:rFonts w:cs="Arial"/>
          <w:b/>
          <w:szCs w:val="24"/>
        </w:rPr>
        <w:t>1.1</w:t>
      </w:r>
      <w:r>
        <w:rPr>
          <w:rFonts w:cs="Arial"/>
          <w:szCs w:val="24"/>
        </w:rPr>
        <w:t xml:space="preserve"> </w:t>
      </w:r>
      <w:r>
        <w:rPr>
          <w:rFonts w:cs="Arial"/>
          <w:szCs w:val="24"/>
        </w:rPr>
        <w:tab/>
      </w:r>
      <w:r w:rsidRPr="00331A37">
        <w:rPr>
          <w:rFonts w:cs="Arial"/>
          <w:szCs w:val="24"/>
        </w:rPr>
        <w:t>Nel 2011, i compiti dell'Ufficio di promozione e di valutazione sanitaria (UPVS) sono stati attribuiti all'</w:t>
      </w:r>
      <w:r w:rsidRPr="00BF7087">
        <w:rPr>
          <w:rFonts w:cs="Arial"/>
          <w:szCs w:val="24"/>
          <w:u w:val="single"/>
        </w:rPr>
        <w:t xml:space="preserve">Ufficio del medico cantonale </w:t>
      </w:r>
      <w:r w:rsidRPr="00331A37">
        <w:rPr>
          <w:rFonts w:cs="Arial"/>
          <w:szCs w:val="24"/>
        </w:rPr>
        <w:t xml:space="preserve">(UMC), istituendo al suo interno il </w:t>
      </w:r>
      <w:r w:rsidRPr="00BF7087">
        <w:rPr>
          <w:rFonts w:cs="Arial"/>
          <w:szCs w:val="24"/>
          <w:u w:val="single"/>
        </w:rPr>
        <w:t xml:space="preserve">Servizio di promozione e di valutazione sanitaria </w:t>
      </w:r>
      <w:r w:rsidRPr="00331A37">
        <w:rPr>
          <w:rFonts w:cs="Arial"/>
          <w:szCs w:val="24"/>
        </w:rPr>
        <w:t>(SPVS). Quest’accorpamento</w:t>
      </w:r>
      <w:r>
        <w:rPr>
          <w:rFonts w:cs="Arial"/>
          <w:szCs w:val="24"/>
        </w:rPr>
        <w:t xml:space="preserve">, </w:t>
      </w:r>
      <w:r w:rsidRPr="00331A37">
        <w:rPr>
          <w:rFonts w:cs="Arial"/>
          <w:szCs w:val="24"/>
        </w:rPr>
        <w:t xml:space="preserve">deciso </w:t>
      </w:r>
      <w:r>
        <w:rPr>
          <w:rFonts w:cs="Arial"/>
          <w:szCs w:val="24"/>
        </w:rPr>
        <w:t xml:space="preserve">nel 2011, ha permesso </w:t>
      </w:r>
      <w:r w:rsidRPr="00331A37">
        <w:rPr>
          <w:rFonts w:cs="Arial"/>
          <w:szCs w:val="24"/>
        </w:rPr>
        <w:t xml:space="preserve">di creare </w:t>
      </w:r>
      <w:r w:rsidRPr="00BF7087">
        <w:rPr>
          <w:rFonts w:cs="Arial"/>
          <w:szCs w:val="24"/>
          <w:u w:val="single"/>
        </w:rPr>
        <w:t>sinergie con la medicina scolastica</w:t>
      </w:r>
      <w:r w:rsidRPr="00331A37">
        <w:rPr>
          <w:rFonts w:cs="Arial"/>
          <w:szCs w:val="24"/>
        </w:rPr>
        <w:t xml:space="preserve"> in un programma di promozione della salute anche a favore delle fasce di popolazione più giovani.</w:t>
      </w:r>
    </w:p>
    <w:p w:rsidR="002E2600" w:rsidRDefault="002E2600" w:rsidP="002E2600">
      <w:pPr>
        <w:rPr>
          <w:rFonts w:cs="Arial"/>
          <w:szCs w:val="24"/>
        </w:rPr>
      </w:pPr>
      <w:r w:rsidRPr="00331A37">
        <w:rPr>
          <w:rFonts w:cs="Arial"/>
          <w:szCs w:val="24"/>
        </w:rPr>
        <w:t xml:space="preserve">In seguito, </w:t>
      </w:r>
      <w:r>
        <w:rPr>
          <w:rFonts w:cs="Arial"/>
          <w:szCs w:val="24"/>
        </w:rPr>
        <w:t xml:space="preserve">è stato </w:t>
      </w:r>
      <w:r w:rsidRPr="00331A37">
        <w:rPr>
          <w:rFonts w:cs="Arial"/>
          <w:szCs w:val="24"/>
        </w:rPr>
        <w:t>affida</w:t>
      </w:r>
      <w:r>
        <w:rPr>
          <w:rFonts w:cs="Arial"/>
          <w:szCs w:val="24"/>
        </w:rPr>
        <w:t xml:space="preserve">to all’UMC </w:t>
      </w:r>
      <w:r w:rsidRPr="00331A37">
        <w:rPr>
          <w:rFonts w:cs="Arial"/>
          <w:szCs w:val="24"/>
        </w:rPr>
        <w:t xml:space="preserve">un ulteriore compito di vigilanza, inserendo in organico un </w:t>
      </w:r>
      <w:r w:rsidRPr="00BF7087">
        <w:rPr>
          <w:rFonts w:cs="Arial"/>
          <w:szCs w:val="24"/>
          <w:u w:val="single"/>
        </w:rPr>
        <w:t>infermiere cantonale</w:t>
      </w:r>
      <w:r w:rsidRPr="00331A37">
        <w:rPr>
          <w:rFonts w:cs="Arial"/>
          <w:szCs w:val="24"/>
        </w:rPr>
        <w:t xml:space="preserve"> aggiunto e un </w:t>
      </w:r>
      <w:r w:rsidRPr="00BF7087">
        <w:rPr>
          <w:rFonts w:cs="Arial"/>
          <w:szCs w:val="24"/>
          <w:u w:val="single"/>
        </w:rPr>
        <w:t>infermiere ispettore</w:t>
      </w:r>
      <w:r>
        <w:rPr>
          <w:rFonts w:cs="Arial"/>
          <w:szCs w:val="24"/>
        </w:rPr>
        <w:t xml:space="preserve"> (</w:t>
      </w:r>
      <w:r w:rsidRPr="00331A37">
        <w:rPr>
          <w:rFonts w:cs="Arial"/>
          <w:szCs w:val="24"/>
        </w:rPr>
        <w:t xml:space="preserve">in servizio </w:t>
      </w:r>
      <w:r>
        <w:rPr>
          <w:rFonts w:cs="Arial"/>
          <w:szCs w:val="24"/>
        </w:rPr>
        <w:t>dal</w:t>
      </w:r>
      <w:r w:rsidRPr="00331A37">
        <w:rPr>
          <w:rFonts w:cs="Arial"/>
          <w:szCs w:val="24"/>
        </w:rPr>
        <w:t>l’estate 2011</w:t>
      </w:r>
      <w:r>
        <w:rPr>
          <w:rFonts w:cs="Arial"/>
          <w:szCs w:val="24"/>
        </w:rPr>
        <w:t>)</w:t>
      </w:r>
      <w:r w:rsidRPr="00331A37">
        <w:rPr>
          <w:rFonts w:cs="Arial"/>
          <w:szCs w:val="24"/>
        </w:rPr>
        <w:t>.</w:t>
      </w:r>
    </w:p>
    <w:p w:rsidR="002E2600" w:rsidRPr="00D85A4F" w:rsidRDefault="002E2600" w:rsidP="002E2600">
      <w:pPr>
        <w:rPr>
          <w:rFonts w:cs="Arial"/>
          <w:szCs w:val="24"/>
        </w:rPr>
      </w:pPr>
      <w:r w:rsidRPr="00D85A4F">
        <w:rPr>
          <w:rFonts w:cs="Arial"/>
          <w:szCs w:val="24"/>
        </w:rPr>
        <w:t>A inizio 2013, si è proceduto a un’integrazione delle analisi microbiologiche di routine svolte presso l’Istituto cantonale di microbiologia (ICM) nell’EOC e con lo scioglimento dell’ex ICM vi è stato un trasferimento all’UMC di risorse (due collaboratori) dedicate a compiti pubblici.</w:t>
      </w:r>
    </w:p>
    <w:p w:rsidR="002E2600" w:rsidRPr="00D85A4F" w:rsidRDefault="002E2600" w:rsidP="002E2600">
      <w:pPr>
        <w:rPr>
          <w:rFonts w:cs="Arial"/>
          <w:szCs w:val="24"/>
        </w:rPr>
      </w:pPr>
      <w:r w:rsidRPr="00D85A4F">
        <w:rPr>
          <w:rFonts w:cs="Arial"/>
          <w:szCs w:val="24"/>
        </w:rPr>
        <w:t xml:space="preserve">Nel 2014, l’allora </w:t>
      </w:r>
      <w:r w:rsidRPr="00D85A4F">
        <w:rPr>
          <w:rFonts w:cs="Arial"/>
          <w:szCs w:val="24"/>
          <w:u w:val="single"/>
        </w:rPr>
        <w:t>Servizio ortottico</w:t>
      </w:r>
      <w:r w:rsidRPr="00D85A4F">
        <w:rPr>
          <w:rFonts w:cs="Arial"/>
          <w:szCs w:val="24"/>
        </w:rPr>
        <w:t xml:space="preserve"> (due collaboratori), istituito negli anni 1960, per eseguire un controllo della vista e all’udito per gli allievi che frequentavano la prima elementare, collocato prima sotto l’Ufficio di sanità, è pure stato accorpato all’Ufficio del medico cantonale, inserendolo nel Servizio di medicina scolastica ed estendendone i compiti ad altri controlli. Oltre a quanto sopra, le unioni hanno comportato riflessioni sulla strategia, il coordinamento e la razionalizzazione del lavoro all’interno della rinnovata unità amministrativa UMC. Pertanto, avere due sedi principali distinte (seppur vicine: via </w:t>
      </w:r>
      <w:proofErr w:type="spellStart"/>
      <w:r w:rsidRPr="00D85A4F">
        <w:rPr>
          <w:rFonts w:cs="Arial"/>
          <w:szCs w:val="24"/>
        </w:rPr>
        <w:t>Orico</w:t>
      </w:r>
      <w:proofErr w:type="spellEnd"/>
      <w:r w:rsidRPr="00D85A4F">
        <w:rPr>
          <w:rFonts w:cs="Arial"/>
          <w:szCs w:val="24"/>
        </w:rPr>
        <w:t xml:space="preserve"> per il SPVS rispettivamente via Dogana per il resto dell’UMC, Servizio di medicina scolastica compreso) costituisce un ostacolo a un lavoro razionale.</w:t>
      </w:r>
    </w:p>
    <w:p w:rsidR="002E2600" w:rsidRPr="00D85A4F" w:rsidRDefault="002E2600" w:rsidP="002E2600">
      <w:pPr>
        <w:rPr>
          <w:rFonts w:cs="Arial"/>
          <w:szCs w:val="24"/>
        </w:rPr>
      </w:pPr>
      <w:r w:rsidRPr="00D85A4F">
        <w:rPr>
          <w:rFonts w:cs="Arial"/>
          <w:szCs w:val="24"/>
        </w:rPr>
        <w:lastRenderedPageBreak/>
        <w:t xml:space="preserve">Infine, per le carenze di spazio nell’attuale sede, l’unità UMC attiva nel progetto </w:t>
      </w:r>
      <w:proofErr w:type="spellStart"/>
      <w:r w:rsidRPr="00D85A4F">
        <w:rPr>
          <w:rFonts w:cs="Arial"/>
          <w:szCs w:val="24"/>
        </w:rPr>
        <w:t>reTIsan</w:t>
      </w:r>
      <w:proofErr w:type="spellEnd"/>
      <w:r w:rsidRPr="00D85A4F">
        <w:rPr>
          <w:rFonts w:cs="Arial"/>
          <w:szCs w:val="24"/>
        </w:rPr>
        <w:t xml:space="preserve"> sinora era stata collocata altrove (Residenza amministrativa, in piazza Governo 7) e potrà pure esser riunita al resto dell’Ufficio.</w:t>
      </w:r>
    </w:p>
    <w:p w:rsidR="002E2600" w:rsidRPr="00A627D0" w:rsidRDefault="002E2600" w:rsidP="00326E52"/>
    <w:p w:rsidR="002E2600" w:rsidRPr="00D85A4F" w:rsidRDefault="00326E52" w:rsidP="002E2600">
      <w:pPr>
        <w:rPr>
          <w:rFonts w:cs="Arial"/>
          <w:szCs w:val="24"/>
        </w:rPr>
      </w:pPr>
      <w:r>
        <w:rPr>
          <w:rFonts w:cs="Arial"/>
          <w:b/>
          <w:szCs w:val="24"/>
        </w:rPr>
        <w:t>1.2</w:t>
      </w:r>
      <w:r w:rsidR="002E2600" w:rsidRPr="00D85A4F">
        <w:rPr>
          <w:rFonts w:cs="Arial"/>
          <w:szCs w:val="24"/>
        </w:rPr>
        <w:tab/>
        <w:t>Per l’</w:t>
      </w:r>
      <w:r w:rsidR="002E2600" w:rsidRPr="00D85A4F">
        <w:rPr>
          <w:rFonts w:cs="Arial"/>
          <w:szCs w:val="24"/>
          <w:u w:val="single"/>
        </w:rPr>
        <w:t xml:space="preserve">Ufficio del veterinario cantonale </w:t>
      </w:r>
      <w:r w:rsidR="002E2600" w:rsidRPr="00D85A4F">
        <w:rPr>
          <w:rFonts w:cs="Arial"/>
          <w:szCs w:val="24"/>
        </w:rPr>
        <w:t xml:space="preserve">(UVC), l’istituzione della Legge sui cani nel 2008 ha comportato la necessità di reperire per i collaboratori assunti in quest’ambito spazi provvisori altrove (Piazza Teatro), pur se nella vicinanza della sede principale. Con i nuovi spazi a disposizione, anche l’UVC potrà riunire in una sola sede di lavoro tutti i propri collaboratori. </w:t>
      </w:r>
    </w:p>
    <w:p w:rsidR="002E2600" w:rsidRDefault="002E2600" w:rsidP="002E2600">
      <w:pPr>
        <w:rPr>
          <w:rFonts w:cs="Arial"/>
          <w:szCs w:val="24"/>
        </w:rPr>
      </w:pPr>
    </w:p>
    <w:p w:rsidR="00EE2592" w:rsidRDefault="00EE2592" w:rsidP="002E2600">
      <w:pPr>
        <w:rPr>
          <w:rFonts w:cs="Arial"/>
          <w:szCs w:val="24"/>
        </w:rPr>
      </w:pPr>
    </w:p>
    <w:p w:rsidR="00EE2592" w:rsidRPr="00331A37" w:rsidRDefault="00EE2592" w:rsidP="002E2600">
      <w:pPr>
        <w:rPr>
          <w:rFonts w:cs="Arial"/>
          <w:szCs w:val="24"/>
        </w:rPr>
      </w:pPr>
    </w:p>
    <w:p w:rsidR="002E2600" w:rsidRPr="00816BF8" w:rsidRDefault="002E2600" w:rsidP="00EE2592">
      <w:pPr>
        <w:pStyle w:val="Titolo1"/>
      </w:pPr>
      <w:r>
        <w:t xml:space="preserve">il progetto </w:t>
      </w:r>
    </w:p>
    <w:p w:rsidR="002E2600" w:rsidRDefault="002E2600" w:rsidP="002E2600">
      <w:pPr>
        <w:spacing w:before="120"/>
        <w:rPr>
          <w:rFonts w:cs="Arial"/>
        </w:rPr>
      </w:pPr>
      <w:r>
        <w:rPr>
          <w:rFonts w:cs="Arial"/>
        </w:rPr>
        <w:t>Preso atto della disponibilità di nuovi spazi (secondo e terzo piano) nello stabile in via Dogana 16 a Bellinzona (</w:t>
      </w:r>
      <w:proofErr w:type="spellStart"/>
      <w:r>
        <w:rPr>
          <w:rFonts w:cs="Arial"/>
        </w:rPr>
        <w:t>mapp</w:t>
      </w:r>
      <w:proofErr w:type="spellEnd"/>
      <w:r>
        <w:rPr>
          <w:rFonts w:cs="Arial"/>
        </w:rPr>
        <w:t>. no. 966 RFD Bellinzona) , di proprietà dell’Istituto di previdenza del Cantone Ticino (IPCT), nel quale sono già locati spazi amministrativi al piano terreno (per l’UVC) e al primo piano (per l’UMC), la Sezione della Logistica, con gli uffici interessati, hanno valutato positivamente questa opportunità e la successiva proposta di attribuzione degli spazi. Del presente messaggio non fanno parte le sistemazioni logistiche delle attuali sedi dislocate, che saranno oggetto di altre procedure.</w:t>
      </w:r>
    </w:p>
    <w:p w:rsidR="002E2600" w:rsidRDefault="002E2600" w:rsidP="002E2600">
      <w:pPr>
        <w:rPr>
          <w:rFonts w:cs="Arial"/>
        </w:rPr>
      </w:pPr>
      <w:r>
        <w:rPr>
          <w:rFonts w:cs="Arial"/>
        </w:rPr>
        <w:t>C</w:t>
      </w:r>
      <w:r w:rsidRPr="00BF7087">
        <w:rPr>
          <w:rFonts w:cs="Arial"/>
        </w:rPr>
        <w:t>on il messaggio</w:t>
      </w:r>
      <w:r>
        <w:rPr>
          <w:rFonts w:cs="Arial"/>
        </w:rPr>
        <w:t>,</w:t>
      </w:r>
      <w:r w:rsidRPr="00BF7087">
        <w:rPr>
          <w:rFonts w:cs="Arial"/>
        </w:rPr>
        <w:t xml:space="preserve"> </w:t>
      </w:r>
      <w:r>
        <w:rPr>
          <w:rFonts w:cs="Arial"/>
        </w:rPr>
        <w:t>il governo chiede l’</w:t>
      </w:r>
      <w:r w:rsidRPr="00BF7087">
        <w:rPr>
          <w:rFonts w:cs="Arial"/>
        </w:rPr>
        <w:t xml:space="preserve">autorizzazione alla sottoscrizione dei nuovi contratti di locazione per un onere complessivo di CHF 191’483.00 annui, escluse spese accessorie e di gestione, e di un credito d’investimento di CHF 474’000.00 per la riorganizzazione logistica e unificazione </w:t>
      </w:r>
      <w:r>
        <w:rPr>
          <w:rFonts w:cs="Arial"/>
        </w:rPr>
        <w:t xml:space="preserve">completa </w:t>
      </w:r>
      <w:r w:rsidRPr="00BF7087">
        <w:rPr>
          <w:rFonts w:cs="Arial"/>
        </w:rPr>
        <w:t xml:space="preserve">delle </w:t>
      </w:r>
      <w:r>
        <w:rPr>
          <w:rFonts w:cs="Arial"/>
        </w:rPr>
        <w:t>due sedi.</w:t>
      </w:r>
    </w:p>
    <w:p w:rsidR="002E2600" w:rsidRDefault="002E2600" w:rsidP="002E2600">
      <w:pPr>
        <w:rPr>
          <w:rFonts w:cs="Arial"/>
        </w:rPr>
      </w:pPr>
    </w:p>
    <w:p w:rsidR="00EE2592" w:rsidRDefault="00EE2592" w:rsidP="002E2600">
      <w:pPr>
        <w:rPr>
          <w:rFonts w:cs="Arial"/>
        </w:rPr>
      </w:pPr>
    </w:p>
    <w:p w:rsidR="002E2600" w:rsidRPr="00361F41" w:rsidRDefault="002E2600" w:rsidP="002E2600">
      <w:pPr>
        <w:tabs>
          <w:tab w:val="left" w:pos="567"/>
        </w:tabs>
        <w:spacing w:after="120"/>
        <w:jc w:val="left"/>
        <w:rPr>
          <w:rFonts w:cs="Arial"/>
          <w:b/>
          <w:szCs w:val="24"/>
          <w:lang w:eastAsia="it-CH"/>
        </w:rPr>
      </w:pPr>
      <w:r w:rsidRPr="00361F41">
        <w:rPr>
          <w:rFonts w:cs="Arial"/>
          <w:b/>
          <w:szCs w:val="24"/>
          <w:lang w:eastAsia="it-CH"/>
        </w:rPr>
        <w:t>2.1</w:t>
      </w:r>
      <w:r w:rsidRPr="00361F41">
        <w:rPr>
          <w:rFonts w:cs="Arial"/>
          <w:b/>
          <w:szCs w:val="24"/>
          <w:lang w:eastAsia="it-CH"/>
        </w:rPr>
        <w:tab/>
        <w:t>Riorganizzazione logistica</w:t>
      </w:r>
    </w:p>
    <w:p w:rsidR="002E2600" w:rsidRPr="00361F41" w:rsidRDefault="002E2600" w:rsidP="002E2600">
      <w:pPr>
        <w:rPr>
          <w:rFonts w:cs="Arial"/>
          <w:szCs w:val="24"/>
          <w:lang w:eastAsia="it-CH"/>
        </w:rPr>
      </w:pPr>
      <w:r w:rsidRPr="00361F41">
        <w:rPr>
          <w:rFonts w:cs="Arial"/>
          <w:szCs w:val="24"/>
          <w:lang w:eastAsia="it-CH"/>
        </w:rPr>
        <w:t>La messa a disposizione di spazi supplementari ha permesso di dare avvio al progetto di riorganizzazione logistica e unificazione delle sedi senza particolari problemi.</w:t>
      </w:r>
    </w:p>
    <w:p w:rsidR="002E2600" w:rsidRPr="00361F41" w:rsidRDefault="002E2600" w:rsidP="002E2600">
      <w:pPr>
        <w:spacing w:after="120"/>
        <w:rPr>
          <w:rFonts w:cs="Arial"/>
          <w:szCs w:val="24"/>
          <w:lang w:eastAsia="it-CH"/>
        </w:rPr>
      </w:pPr>
      <w:r w:rsidRPr="00361F41">
        <w:rPr>
          <w:rFonts w:cs="Arial"/>
          <w:szCs w:val="24"/>
          <w:lang w:eastAsia="it-CH"/>
        </w:rPr>
        <w:t>L’analisi effettuata ha determinato un insediamento negli spazi, come segue:</w:t>
      </w:r>
    </w:p>
    <w:p w:rsidR="002E2600" w:rsidRPr="00361F41" w:rsidRDefault="002E2600" w:rsidP="002E2600">
      <w:pPr>
        <w:numPr>
          <w:ilvl w:val="2"/>
          <w:numId w:val="7"/>
        </w:numPr>
        <w:autoSpaceDE w:val="0"/>
        <w:autoSpaceDN w:val="0"/>
        <w:adjustRightInd w:val="0"/>
        <w:spacing w:after="80"/>
        <w:ind w:left="284" w:hanging="284"/>
        <w:rPr>
          <w:rFonts w:cs="Arial"/>
          <w:szCs w:val="24"/>
        </w:rPr>
      </w:pPr>
      <w:r w:rsidRPr="00361F41">
        <w:rPr>
          <w:rFonts w:cs="Arial"/>
          <w:szCs w:val="24"/>
          <w:lang w:eastAsia="it-CH"/>
        </w:rPr>
        <w:t xml:space="preserve">23 postazioni (UMC e UVC) già presenti e da ridistribuire nei piani </w:t>
      </w:r>
      <w:r w:rsidRPr="00361F41">
        <w:rPr>
          <w:rFonts w:cs="Arial"/>
          <w:szCs w:val="24"/>
        </w:rPr>
        <w:t>dello Stabile IPCT di via Dogana 16, Bellinzona - mapp.966 - proprietà terzi;</w:t>
      </w:r>
    </w:p>
    <w:p w:rsidR="002E2600" w:rsidRPr="00361F41" w:rsidRDefault="002E2600" w:rsidP="002E2600">
      <w:pPr>
        <w:numPr>
          <w:ilvl w:val="2"/>
          <w:numId w:val="7"/>
        </w:numPr>
        <w:autoSpaceDE w:val="0"/>
        <w:autoSpaceDN w:val="0"/>
        <w:adjustRightInd w:val="0"/>
        <w:spacing w:after="80"/>
        <w:ind w:left="284" w:hanging="284"/>
        <w:rPr>
          <w:rFonts w:cs="Arial"/>
          <w:szCs w:val="24"/>
        </w:rPr>
      </w:pPr>
      <w:r w:rsidRPr="00361F41">
        <w:rPr>
          <w:rFonts w:cs="Arial"/>
          <w:szCs w:val="24"/>
        </w:rPr>
        <w:t xml:space="preserve">12 </w:t>
      </w:r>
      <w:r w:rsidRPr="00361F41">
        <w:rPr>
          <w:rFonts w:cs="Arial"/>
          <w:szCs w:val="24"/>
          <w:lang w:eastAsia="it-CH"/>
        </w:rPr>
        <w:t xml:space="preserve">postazioni </w:t>
      </w:r>
      <w:r w:rsidRPr="00361F41">
        <w:rPr>
          <w:rFonts w:cs="Arial"/>
          <w:szCs w:val="24"/>
        </w:rPr>
        <w:t xml:space="preserve">(SPVS-UMC) provenienti dallo stabile </w:t>
      </w:r>
      <w:proofErr w:type="spellStart"/>
      <w:r w:rsidRPr="00361F41">
        <w:rPr>
          <w:rFonts w:cs="Arial"/>
          <w:szCs w:val="24"/>
        </w:rPr>
        <w:t>Ratazzi</w:t>
      </w:r>
      <w:proofErr w:type="spellEnd"/>
      <w:r w:rsidRPr="00361F41">
        <w:rPr>
          <w:rFonts w:cs="Arial"/>
          <w:szCs w:val="24"/>
        </w:rPr>
        <w:t xml:space="preserve"> (E4006)- Via </w:t>
      </w:r>
      <w:proofErr w:type="spellStart"/>
      <w:r w:rsidRPr="00361F41">
        <w:rPr>
          <w:rFonts w:cs="Arial"/>
          <w:szCs w:val="24"/>
        </w:rPr>
        <w:t>Orico</w:t>
      </w:r>
      <w:proofErr w:type="spellEnd"/>
      <w:r w:rsidRPr="00361F41">
        <w:rPr>
          <w:rFonts w:cs="Arial"/>
          <w:szCs w:val="24"/>
        </w:rPr>
        <w:t xml:space="preserve"> 5, Bellinzona - proprietà Stato;</w:t>
      </w:r>
    </w:p>
    <w:p w:rsidR="002E2600" w:rsidRPr="00361F41" w:rsidRDefault="002E2600" w:rsidP="002E2600">
      <w:pPr>
        <w:numPr>
          <w:ilvl w:val="2"/>
          <w:numId w:val="7"/>
        </w:numPr>
        <w:autoSpaceDE w:val="0"/>
        <w:autoSpaceDN w:val="0"/>
        <w:adjustRightInd w:val="0"/>
        <w:spacing w:after="80"/>
        <w:ind w:left="284" w:hanging="284"/>
        <w:rPr>
          <w:rFonts w:cs="Arial"/>
          <w:szCs w:val="24"/>
        </w:rPr>
      </w:pPr>
      <w:r w:rsidRPr="00361F41">
        <w:rPr>
          <w:rFonts w:cs="Arial"/>
          <w:szCs w:val="24"/>
        </w:rPr>
        <w:t xml:space="preserve">1 </w:t>
      </w:r>
      <w:r w:rsidRPr="00361F41">
        <w:rPr>
          <w:rFonts w:cs="Arial"/>
          <w:szCs w:val="24"/>
          <w:lang w:eastAsia="it-CH"/>
        </w:rPr>
        <w:t xml:space="preserve">postazioni </w:t>
      </w:r>
      <w:r w:rsidRPr="00361F41">
        <w:rPr>
          <w:rFonts w:cs="Arial"/>
          <w:szCs w:val="24"/>
        </w:rPr>
        <w:t xml:space="preserve">(progetto </w:t>
      </w:r>
      <w:proofErr w:type="spellStart"/>
      <w:r w:rsidRPr="00361F41">
        <w:rPr>
          <w:rFonts w:cs="Arial"/>
          <w:szCs w:val="24"/>
        </w:rPr>
        <w:t>reTIsan</w:t>
      </w:r>
      <w:proofErr w:type="spellEnd"/>
      <w:r w:rsidRPr="00361F41">
        <w:rPr>
          <w:rFonts w:cs="Arial"/>
          <w:szCs w:val="24"/>
        </w:rPr>
        <w:t xml:space="preserve">) proveniente da Palazzo Amministrativo (E4002) - Bellinzona - proprietà Stato; </w:t>
      </w:r>
    </w:p>
    <w:p w:rsidR="002E2600" w:rsidRPr="00361F41" w:rsidRDefault="002E2600" w:rsidP="002E2600">
      <w:pPr>
        <w:numPr>
          <w:ilvl w:val="2"/>
          <w:numId w:val="7"/>
        </w:numPr>
        <w:autoSpaceDE w:val="0"/>
        <w:autoSpaceDN w:val="0"/>
        <w:adjustRightInd w:val="0"/>
        <w:ind w:left="284" w:hanging="284"/>
        <w:rPr>
          <w:rFonts w:cs="Arial"/>
          <w:szCs w:val="24"/>
        </w:rPr>
      </w:pPr>
      <w:r w:rsidRPr="00361F41">
        <w:rPr>
          <w:rFonts w:cs="Arial"/>
          <w:szCs w:val="24"/>
        </w:rPr>
        <w:t xml:space="preserve">5 </w:t>
      </w:r>
      <w:r w:rsidRPr="00361F41">
        <w:rPr>
          <w:rFonts w:cs="Arial"/>
          <w:szCs w:val="24"/>
          <w:lang w:eastAsia="it-CH"/>
        </w:rPr>
        <w:t xml:space="preserve">postazioni </w:t>
      </w:r>
      <w:r w:rsidRPr="00361F41">
        <w:rPr>
          <w:rFonts w:cs="Arial"/>
          <w:szCs w:val="24"/>
        </w:rPr>
        <w:t xml:space="preserve">(UVC) proveniente dallo stabile </w:t>
      </w:r>
      <w:proofErr w:type="spellStart"/>
      <w:r w:rsidRPr="00361F41">
        <w:rPr>
          <w:rFonts w:cs="Arial"/>
          <w:szCs w:val="24"/>
        </w:rPr>
        <w:t>Boffa</w:t>
      </w:r>
      <w:proofErr w:type="spellEnd"/>
      <w:r w:rsidRPr="00361F41">
        <w:rPr>
          <w:rFonts w:cs="Arial"/>
          <w:szCs w:val="24"/>
        </w:rPr>
        <w:t xml:space="preserve"> (E4535) - Piazza Governo 2, Bellinzona - mapp.1365 - proprietà terzi.</w:t>
      </w:r>
    </w:p>
    <w:p w:rsidR="002E2600" w:rsidRPr="00361F41" w:rsidRDefault="002E2600" w:rsidP="00EE2592">
      <w:pPr>
        <w:autoSpaceDE w:val="0"/>
        <w:autoSpaceDN w:val="0"/>
        <w:adjustRightInd w:val="0"/>
        <w:spacing w:line="276" w:lineRule="auto"/>
        <w:contextualSpacing/>
        <w:rPr>
          <w:rFonts w:cs="Arial"/>
          <w:szCs w:val="24"/>
        </w:rPr>
      </w:pPr>
    </w:p>
    <w:p w:rsidR="002E2600" w:rsidRPr="00361F41" w:rsidRDefault="002E2600" w:rsidP="002E2600">
      <w:pPr>
        <w:rPr>
          <w:rFonts w:eastAsia="Calibri" w:cs="Arial"/>
          <w:szCs w:val="24"/>
        </w:rPr>
      </w:pPr>
      <w:r w:rsidRPr="00361F41">
        <w:rPr>
          <w:rFonts w:eastAsia="Calibri" w:cs="Arial"/>
          <w:szCs w:val="24"/>
        </w:rPr>
        <w:t xml:space="preserve">Con l’intervento di riunificazione proposto, si renderanno disponibili spazi in proprietà Stato da destinare ad altri servizi dell’Amministrazione cantonale. L’ufficio con una postazione di lavoro liberato presso Palazzo amministrativo, verrà riassegnato secondo le esigenze, mentre gli spazi liberati presso lo Stabile </w:t>
      </w:r>
      <w:proofErr w:type="spellStart"/>
      <w:r w:rsidRPr="00361F41">
        <w:rPr>
          <w:rFonts w:eastAsia="Calibri" w:cs="Arial"/>
          <w:szCs w:val="24"/>
        </w:rPr>
        <w:t>Ratazzi</w:t>
      </w:r>
      <w:proofErr w:type="spellEnd"/>
      <w:r w:rsidRPr="00361F41">
        <w:rPr>
          <w:rFonts w:eastAsia="Calibri" w:cs="Arial"/>
          <w:szCs w:val="24"/>
        </w:rPr>
        <w:t xml:space="preserve">  di circa complessivi mq 250.00, verranno, di principio, attribuiti all’Ufficio di sanità, già fruitore di alcuni spazi nello stabile, in modo di sopperire all’attuale insufficienza di spazi. Per gli spazi liberati presso lo Stabile </w:t>
      </w:r>
      <w:proofErr w:type="spellStart"/>
      <w:r w:rsidRPr="00361F41">
        <w:rPr>
          <w:rFonts w:eastAsia="Calibri" w:cs="Arial"/>
          <w:szCs w:val="24"/>
        </w:rPr>
        <w:t>Boffa</w:t>
      </w:r>
      <w:proofErr w:type="spellEnd"/>
      <w:r w:rsidRPr="00361F41">
        <w:rPr>
          <w:rFonts w:eastAsia="Calibri" w:cs="Arial"/>
          <w:szCs w:val="24"/>
        </w:rPr>
        <w:t xml:space="preserve"> di proprietà terzi, di circa mq 66.00, gli stessi verranno attribuiti per rispondere alle necessita di un’ottimizzazione logistica dell’Amministrazione cantonale.</w:t>
      </w:r>
    </w:p>
    <w:p w:rsidR="002E2600" w:rsidRPr="00D85A4F" w:rsidRDefault="002E2600" w:rsidP="002E2600">
      <w:pPr>
        <w:rPr>
          <w:rFonts w:eastAsia="Calibri" w:cs="Arial"/>
          <w:color w:val="FF0000"/>
          <w:szCs w:val="24"/>
        </w:rPr>
      </w:pPr>
    </w:p>
    <w:p w:rsidR="002E2600" w:rsidRPr="00D85A4F" w:rsidRDefault="002E2600" w:rsidP="002E2600">
      <w:pPr>
        <w:rPr>
          <w:rFonts w:eastAsia="Calibri" w:cs="Arial"/>
          <w:color w:val="FF0000"/>
          <w:szCs w:val="24"/>
        </w:rPr>
      </w:pPr>
    </w:p>
    <w:p w:rsidR="0021084B" w:rsidRDefault="0021084B">
      <w:pPr>
        <w:rPr>
          <w:rFonts w:cs="Arial"/>
          <w:b/>
          <w:szCs w:val="24"/>
          <w:lang w:eastAsia="it-CH"/>
        </w:rPr>
      </w:pPr>
      <w:r>
        <w:rPr>
          <w:rFonts w:cs="Arial"/>
          <w:b/>
          <w:szCs w:val="24"/>
          <w:lang w:eastAsia="it-CH"/>
        </w:rPr>
        <w:br w:type="page"/>
      </w:r>
    </w:p>
    <w:p w:rsidR="002E2600" w:rsidRPr="00D85A4F" w:rsidRDefault="00EE2592" w:rsidP="002E2600">
      <w:pPr>
        <w:tabs>
          <w:tab w:val="left" w:pos="567"/>
        </w:tabs>
        <w:spacing w:after="120"/>
        <w:jc w:val="left"/>
        <w:rPr>
          <w:rFonts w:cs="Arial"/>
          <w:b/>
          <w:szCs w:val="24"/>
          <w:lang w:eastAsia="it-CH"/>
        </w:rPr>
      </w:pPr>
      <w:r>
        <w:rPr>
          <w:rFonts w:cs="Arial"/>
          <w:b/>
          <w:szCs w:val="24"/>
          <w:lang w:eastAsia="it-CH"/>
        </w:rPr>
        <w:lastRenderedPageBreak/>
        <w:t>2.2</w:t>
      </w:r>
      <w:r w:rsidR="002E2600" w:rsidRPr="00D85A4F">
        <w:rPr>
          <w:rFonts w:cs="Arial"/>
          <w:b/>
          <w:szCs w:val="24"/>
          <w:lang w:eastAsia="it-CH"/>
        </w:rPr>
        <w:tab/>
        <w:t xml:space="preserve">Attribuzione spazi </w:t>
      </w:r>
    </w:p>
    <w:p w:rsidR="002E2600" w:rsidRPr="00D85A4F" w:rsidRDefault="002E2600" w:rsidP="002E2600">
      <w:pPr>
        <w:autoSpaceDE w:val="0"/>
        <w:autoSpaceDN w:val="0"/>
        <w:adjustRightInd w:val="0"/>
        <w:rPr>
          <w:rFonts w:cs="Arial"/>
          <w:szCs w:val="24"/>
        </w:rPr>
      </w:pPr>
      <w:r w:rsidRPr="00D85A4F">
        <w:rPr>
          <w:rFonts w:cs="Arial"/>
          <w:szCs w:val="24"/>
        </w:rPr>
        <w:t>È stata rivista integralmente l’attribuzione degli spazi su tutti i piani, e meglio come dalla sottostante tabella di riepilogo delle superfici locative (indici per la gestione immobiliare SIA D0165):</w:t>
      </w:r>
    </w:p>
    <w:p w:rsidR="002E2600" w:rsidRDefault="002E2600" w:rsidP="002E2600">
      <w:pPr>
        <w:jc w:val="left"/>
        <w:rPr>
          <w:rFonts w:cs="Arial"/>
          <w:sz w:val="22"/>
          <w:lang w:eastAsia="it-CH"/>
        </w:rPr>
      </w:pPr>
    </w:p>
    <w:p w:rsidR="0021084B" w:rsidRPr="004D133A" w:rsidRDefault="0021084B" w:rsidP="002E2600">
      <w:pPr>
        <w:jc w:val="left"/>
        <w:rPr>
          <w:rFonts w:cs="Arial"/>
          <w:sz w:val="22"/>
          <w:lang w:eastAsia="it-CH"/>
        </w:rPr>
      </w:pPr>
    </w:p>
    <w:tbl>
      <w:tblPr>
        <w:tblStyle w:val="Grigliatabella"/>
        <w:tblpPr w:leftFromText="141" w:rightFromText="141" w:vertAnchor="text" w:horzAnchor="margin" w:tblpXSpec="center" w:tblpY="16"/>
        <w:tblW w:w="8046" w:type="dxa"/>
        <w:tblLayout w:type="fixed"/>
        <w:tblLook w:val="04A0" w:firstRow="1" w:lastRow="0" w:firstColumn="1" w:lastColumn="0" w:noHBand="0" w:noVBand="1"/>
      </w:tblPr>
      <w:tblGrid>
        <w:gridCol w:w="1237"/>
        <w:gridCol w:w="1131"/>
        <w:gridCol w:w="995"/>
        <w:gridCol w:w="427"/>
        <w:gridCol w:w="1132"/>
        <w:gridCol w:w="286"/>
        <w:gridCol w:w="1136"/>
        <w:gridCol w:w="284"/>
        <w:gridCol w:w="1136"/>
        <w:gridCol w:w="282"/>
      </w:tblGrid>
      <w:tr w:rsidR="002E2600" w:rsidRPr="004D133A" w:rsidTr="008B721E">
        <w:tc>
          <w:tcPr>
            <w:tcW w:w="2368" w:type="dxa"/>
            <w:gridSpan w:val="2"/>
          </w:tcPr>
          <w:p w:rsidR="002E2600" w:rsidRPr="00F246A0" w:rsidRDefault="002E2600" w:rsidP="008B721E">
            <w:pPr>
              <w:spacing w:before="60"/>
              <w:jc w:val="center"/>
              <w:rPr>
                <w:rFonts w:cs="Arial"/>
                <w:b/>
                <w:sz w:val="18"/>
                <w:szCs w:val="18"/>
                <w:lang w:eastAsia="it-CH"/>
              </w:rPr>
            </w:pPr>
            <w:r w:rsidRPr="00F246A0">
              <w:rPr>
                <w:rFonts w:cs="Arial"/>
                <w:b/>
                <w:sz w:val="18"/>
                <w:szCs w:val="18"/>
                <w:lang w:eastAsia="it-CH"/>
              </w:rPr>
              <w:t>ATTRIBUZIONE SPAZI</w:t>
            </w:r>
          </w:p>
        </w:tc>
        <w:tc>
          <w:tcPr>
            <w:tcW w:w="2840" w:type="dxa"/>
            <w:gridSpan w:val="4"/>
          </w:tcPr>
          <w:p w:rsidR="002E2600" w:rsidRPr="00F246A0" w:rsidRDefault="002E2600" w:rsidP="008B721E">
            <w:pPr>
              <w:spacing w:before="60"/>
              <w:jc w:val="center"/>
              <w:rPr>
                <w:rFonts w:cs="Arial"/>
                <w:b/>
                <w:sz w:val="18"/>
                <w:szCs w:val="18"/>
                <w:lang w:eastAsia="it-CH"/>
              </w:rPr>
            </w:pPr>
            <w:r w:rsidRPr="00F246A0">
              <w:rPr>
                <w:rFonts w:cs="Arial"/>
                <w:b/>
                <w:sz w:val="18"/>
                <w:szCs w:val="18"/>
                <w:lang w:eastAsia="it-CH"/>
              </w:rPr>
              <w:t>SITUAZIONE ATTUALE</w:t>
            </w:r>
          </w:p>
          <w:p w:rsidR="002E2600" w:rsidRPr="00F246A0" w:rsidRDefault="002E2600" w:rsidP="008B721E">
            <w:pPr>
              <w:jc w:val="center"/>
              <w:rPr>
                <w:rFonts w:cs="Arial"/>
                <w:b/>
                <w:sz w:val="18"/>
                <w:szCs w:val="18"/>
                <w:lang w:eastAsia="it-CH"/>
              </w:rPr>
            </w:pPr>
          </w:p>
        </w:tc>
        <w:tc>
          <w:tcPr>
            <w:tcW w:w="2838" w:type="dxa"/>
            <w:gridSpan w:val="4"/>
          </w:tcPr>
          <w:p w:rsidR="002E2600" w:rsidRPr="00F246A0" w:rsidRDefault="002E2600" w:rsidP="008B721E">
            <w:pPr>
              <w:spacing w:before="60" w:after="60"/>
              <w:jc w:val="center"/>
              <w:rPr>
                <w:rFonts w:cs="Arial"/>
                <w:b/>
                <w:sz w:val="18"/>
                <w:szCs w:val="18"/>
                <w:lang w:eastAsia="it-CH"/>
              </w:rPr>
            </w:pPr>
            <w:r w:rsidRPr="00F246A0">
              <w:rPr>
                <w:rFonts w:cs="Arial"/>
                <w:b/>
                <w:sz w:val="18"/>
                <w:szCs w:val="18"/>
                <w:lang w:eastAsia="it-CH"/>
              </w:rPr>
              <w:t>*SITUAZIONE FUTURA (metrature aggiornate nette)</w:t>
            </w:r>
          </w:p>
        </w:tc>
      </w:tr>
      <w:tr w:rsidR="002E2600" w:rsidRPr="004D133A" w:rsidTr="008B721E">
        <w:trPr>
          <w:trHeight w:val="358"/>
        </w:trPr>
        <w:tc>
          <w:tcPr>
            <w:tcW w:w="1237" w:type="dxa"/>
            <w:vMerge w:val="restart"/>
          </w:tcPr>
          <w:p w:rsidR="002E2600" w:rsidRPr="00F246A0" w:rsidRDefault="002E2600" w:rsidP="008B721E">
            <w:pPr>
              <w:spacing w:before="240"/>
              <w:jc w:val="center"/>
              <w:rPr>
                <w:rFonts w:cs="Arial"/>
                <w:b/>
                <w:sz w:val="18"/>
                <w:szCs w:val="18"/>
                <w:lang w:eastAsia="it-CH"/>
              </w:rPr>
            </w:pPr>
            <w:r w:rsidRPr="00F246A0">
              <w:rPr>
                <w:rFonts w:cs="Arial"/>
                <w:b/>
                <w:sz w:val="18"/>
                <w:szCs w:val="18"/>
                <w:lang w:eastAsia="it-CH"/>
              </w:rPr>
              <w:t>Piano</w:t>
            </w:r>
          </w:p>
        </w:tc>
        <w:tc>
          <w:tcPr>
            <w:tcW w:w="1131" w:type="dxa"/>
            <w:vMerge w:val="restart"/>
          </w:tcPr>
          <w:p w:rsidR="002E2600" w:rsidRPr="00F246A0" w:rsidRDefault="002E2600" w:rsidP="008B721E">
            <w:pPr>
              <w:spacing w:before="240"/>
              <w:jc w:val="center"/>
              <w:rPr>
                <w:rFonts w:cs="Arial"/>
                <w:b/>
                <w:sz w:val="18"/>
                <w:szCs w:val="18"/>
                <w:lang w:eastAsia="it-CH"/>
              </w:rPr>
            </w:pPr>
            <w:r w:rsidRPr="00F246A0">
              <w:rPr>
                <w:rFonts w:cs="Arial"/>
                <w:b/>
                <w:sz w:val="18"/>
                <w:szCs w:val="18"/>
                <w:lang w:eastAsia="it-CH"/>
              </w:rPr>
              <w:t>Tipologia</w:t>
            </w:r>
          </w:p>
          <w:p w:rsidR="002E2600" w:rsidRPr="00F246A0" w:rsidRDefault="002E2600" w:rsidP="008B721E">
            <w:pPr>
              <w:jc w:val="center"/>
              <w:rPr>
                <w:rFonts w:cs="Arial"/>
                <w:b/>
                <w:sz w:val="18"/>
                <w:szCs w:val="18"/>
                <w:lang w:eastAsia="it-CH"/>
              </w:rPr>
            </w:pPr>
            <w:r w:rsidRPr="00F246A0">
              <w:rPr>
                <w:rFonts w:cs="Arial"/>
                <w:b/>
                <w:sz w:val="18"/>
                <w:szCs w:val="18"/>
                <w:lang w:eastAsia="it-CH"/>
              </w:rPr>
              <w:t>Spazi</w:t>
            </w:r>
          </w:p>
        </w:tc>
        <w:tc>
          <w:tcPr>
            <w:tcW w:w="1422" w:type="dxa"/>
            <w:gridSpan w:val="2"/>
            <w:tcBorders>
              <w:bottom w:val="single" w:sz="4" w:space="0" w:color="auto"/>
            </w:tcBorders>
          </w:tcPr>
          <w:p w:rsidR="002E2600" w:rsidRPr="00F246A0" w:rsidRDefault="002E2600" w:rsidP="008B721E">
            <w:pPr>
              <w:jc w:val="center"/>
              <w:rPr>
                <w:rFonts w:cs="Arial"/>
                <w:b/>
                <w:sz w:val="18"/>
                <w:szCs w:val="18"/>
                <w:lang w:eastAsia="it-CH"/>
              </w:rPr>
            </w:pPr>
            <w:r w:rsidRPr="00F246A0">
              <w:rPr>
                <w:rFonts w:cs="Arial"/>
                <w:b/>
                <w:sz w:val="18"/>
                <w:szCs w:val="18"/>
                <w:lang w:eastAsia="it-CH"/>
              </w:rPr>
              <w:t>Ufficio del medico cantonale</w:t>
            </w:r>
          </w:p>
        </w:tc>
        <w:tc>
          <w:tcPr>
            <w:tcW w:w="1418" w:type="dxa"/>
            <w:gridSpan w:val="2"/>
            <w:tcBorders>
              <w:bottom w:val="single" w:sz="4" w:space="0" w:color="auto"/>
            </w:tcBorders>
          </w:tcPr>
          <w:p w:rsidR="002E2600" w:rsidRPr="00F246A0" w:rsidRDefault="002E2600" w:rsidP="008B721E">
            <w:pPr>
              <w:jc w:val="center"/>
              <w:rPr>
                <w:rFonts w:cs="Arial"/>
                <w:b/>
                <w:sz w:val="18"/>
                <w:szCs w:val="18"/>
                <w:lang w:eastAsia="it-CH"/>
              </w:rPr>
            </w:pPr>
            <w:r w:rsidRPr="00F246A0">
              <w:rPr>
                <w:rFonts w:cs="Arial"/>
                <w:b/>
                <w:sz w:val="18"/>
                <w:szCs w:val="18"/>
                <w:lang w:eastAsia="it-CH"/>
              </w:rPr>
              <w:t>Ufficio del veterinario cantonale</w:t>
            </w:r>
          </w:p>
        </w:tc>
        <w:tc>
          <w:tcPr>
            <w:tcW w:w="1420" w:type="dxa"/>
            <w:gridSpan w:val="2"/>
            <w:tcBorders>
              <w:bottom w:val="single" w:sz="4" w:space="0" w:color="auto"/>
            </w:tcBorders>
          </w:tcPr>
          <w:p w:rsidR="002E2600" w:rsidRPr="00F246A0" w:rsidRDefault="002E2600" w:rsidP="008B721E">
            <w:pPr>
              <w:jc w:val="center"/>
              <w:rPr>
                <w:rFonts w:cs="Arial"/>
                <w:b/>
                <w:sz w:val="18"/>
                <w:szCs w:val="18"/>
                <w:lang w:eastAsia="it-CH"/>
              </w:rPr>
            </w:pPr>
            <w:r w:rsidRPr="00F246A0">
              <w:rPr>
                <w:rFonts w:cs="Arial"/>
                <w:b/>
                <w:sz w:val="18"/>
                <w:szCs w:val="18"/>
                <w:lang w:eastAsia="it-CH"/>
              </w:rPr>
              <w:t>Ufficio del medico cantonale</w:t>
            </w:r>
          </w:p>
        </w:tc>
        <w:tc>
          <w:tcPr>
            <w:tcW w:w="1418" w:type="dxa"/>
            <w:gridSpan w:val="2"/>
            <w:tcBorders>
              <w:bottom w:val="single" w:sz="4" w:space="0" w:color="auto"/>
            </w:tcBorders>
          </w:tcPr>
          <w:p w:rsidR="002E2600" w:rsidRPr="00F246A0" w:rsidRDefault="002E2600" w:rsidP="008B721E">
            <w:pPr>
              <w:jc w:val="center"/>
              <w:rPr>
                <w:rFonts w:cs="Arial"/>
                <w:b/>
                <w:sz w:val="18"/>
                <w:szCs w:val="18"/>
                <w:lang w:eastAsia="it-CH"/>
              </w:rPr>
            </w:pPr>
            <w:r w:rsidRPr="00F246A0">
              <w:rPr>
                <w:rFonts w:cs="Arial"/>
                <w:b/>
                <w:sz w:val="18"/>
                <w:szCs w:val="18"/>
                <w:lang w:eastAsia="it-CH"/>
              </w:rPr>
              <w:t>Ufficio del veterinario cantonale</w:t>
            </w:r>
          </w:p>
        </w:tc>
      </w:tr>
      <w:tr w:rsidR="002E2600" w:rsidRPr="004D133A" w:rsidTr="008B721E">
        <w:tc>
          <w:tcPr>
            <w:tcW w:w="1237" w:type="dxa"/>
            <w:vMerge/>
          </w:tcPr>
          <w:p w:rsidR="002E2600" w:rsidRPr="00F246A0" w:rsidRDefault="002E2600" w:rsidP="008B721E">
            <w:pPr>
              <w:jc w:val="center"/>
              <w:rPr>
                <w:rFonts w:cs="Arial"/>
                <w:b/>
                <w:sz w:val="18"/>
                <w:szCs w:val="18"/>
                <w:lang w:eastAsia="it-CH"/>
              </w:rPr>
            </w:pPr>
          </w:p>
        </w:tc>
        <w:tc>
          <w:tcPr>
            <w:tcW w:w="1131" w:type="dxa"/>
            <w:vMerge/>
          </w:tcPr>
          <w:p w:rsidR="002E2600" w:rsidRPr="00F246A0" w:rsidRDefault="002E2600" w:rsidP="008B721E">
            <w:pPr>
              <w:jc w:val="center"/>
              <w:rPr>
                <w:rFonts w:cs="Arial"/>
                <w:b/>
                <w:sz w:val="18"/>
                <w:szCs w:val="18"/>
                <w:lang w:eastAsia="it-CH"/>
              </w:rPr>
            </w:pPr>
          </w:p>
        </w:tc>
        <w:tc>
          <w:tcPr>
            <w:tcW w:w="995" w:type="dxa"/>
            <w:tcBorders>
              <w:bottom w:val="single" w:sz="4" w:space="0" w:color="auto"/>
              <w:right w:val="nil"/>
            </w:tcBorders>
          </w:tcPr>
          <w:p w:rsidR="002E2600" w:rsidRPr="00F246A0" w:rsidRDefault="002E2600" w:rsidP="008B721E">
            <w:pPr>
              <w:ind w:right="-396"/>
              <w:jc w:val="center"/>
              <w:rPr>
                <w:rFonts w:cs="Arial"/>
                <w:b/>
                <w:sz w:val="18"/>
                <w:szCs w:val="18"/>
                <w:lang w:eastAsia="it-CH"/>
              </w:rPr>
            </w:pPr>
            <w:r w:rsidRPr="00F246A0">
              <w:rPr>
                <w:rFonts w:cs="Arial"/>
                <w:b/>
                <w:sz w:val="18"/>
                <w:szCs w:val="18"/>
                <w:lang w:eastAsia="it-CH"/>
              </w:rPr>
              <w:t>mq</w:t>
            </w:r>
          </w:p>
        </w:tc>
        <w:tc>
          <w:tcPr>
            <w:tcW w:w="427" w:type="dxa"/>
            <w:tcBorders>
              <w:left w:val="nil"/>
              <w:bottom w:val="single" w:sz="4" w:space="0" w:color="auto"/>
            </w:tcBorders>
          </w:tcPr>
          <w:p w:rsidR="002E2600" w:rsidRPr="00F246A0" w:rsidRDefault="002E2600" w:rsidP="008B721E">
            <w:pPr>
              <w:ind w:left="175" w:right="-396" w:hanging="175"/>
              <w:jc w:val="center"/>
              <w:rPr>
                <w:rFonts w:cs="Arial"/>
                <w:b/>
                <w:sz w:val="18"/>
                <w:szCs w:val="18"/>
                <w:lang w:eastAsia="it-CH"/>
              </w:rPr>
            </w:pPr>
          </w:p>
        </w:tc>
        <w:tc>
          <w:tcPr>
            <w:tcW w:w="1132" w:type="dxa"/>
            <w:tcBorders>
              <w:right w:val="nil"/>
            </w:tcBorders>
          </w:tcPr>
          <w:p w:rsidR="002E2600" w:rsidRPr="00F246A0" w:rsidRDefault="002E2600" w:rsidP="008B721E">
            <w:pPr>
              <w:ind w:right="-113"/>
              <w:jc w:val="center"/>
              <w:rPr>
                <w:rFonts w:cs="Arial"/>
                <w:b/>
                <w:sz w:val="18"/>
                <w:szCs w:val="18"/>
                <w:lang w:eastAsia="it-CH"/>
              </w:rPr>
            </w:pPr>
            <w:r w:rsidRPr="00F246A0">
              <w:rPr>
                <w:rFonts w:cs="Arial"/>
                <w:b/>
                <w:sz w:val="18"/>
                <w:szCs w:val="18"/>
                <w:lang w:eastAsia="it-CH"/>
              </w:rPr>
              <w:t>mq</w:t>
            </w:r>
          </w:p>
        </w:tc>
        <w:tc>
          <w:tcPr>
            <w:tcW w:w="286" w:type="dxa"/>
            <w:tcBorders>
              <w:left w:val="nil"/>
            </w:tcBorders>
          </w:tcPr>
          <w:p w:rsidR="002E2600" w:rsidRPr="00F246A0" w:rsidRDefault="002E2600" w:rsidP="008B721E">
            <w:pPr>
              <w:ind w:right="-113"/>
              <w:jc w:val="center"/>
              <w:rPr>
                <w:rFonts w:cs="Arial"/>
                <w:b/>
                <w:sz w:val="18"/>
                <w:szCs w:val="18"/>
                <w:lang w:eastAsia="it-CH"/>
              </w:rPr>
            </w:pPr>
          </w:p>
        </w:tc>
        <w:tc>
          <w:tcPr>
            <w:tcW w:w="1136" w:type="dxa"/>
            <w:tcBorders>
              <w:right w:val="nil"/>
            </w:tcBorders>
          </w:tcPr>
          <w:p w:rsidR="002E2600" w:rsidRPr="00F246A0" w:rsidRDefault="002E2600" w:rsidP="008B721E">
            <w:pPr>
              <w:ind w:right="-109"/>
              <w:jc w:val="center"/>
              <w:rPr>
                <w:rFonts w:cs="Arial"/>
                <w:b/>
                <w:sz w:val="18"/>
                <w:szCs w:val="18"/>
                <w:lang w:eastAsia="it-CH"/>
              </w:rPr>
            </w:pPr>
            <w:r w:rsidRPr="00F246A0">
              <w:rPr>
                <w:rFonts w:cs="Arial"/>
                <w:b/>
                <w:sz w:val="18"/>
                <w:szCs w:val="18"/>
                <w:lang w:eastAsia="it-CH"/>
              </w:rPr>
              <w:t>mq</w:t>
            </w:r>
          </w:p>
        </w:tc>
        <w:tc>
          <w:tcPr>
            <w:tcW w:w="284" w:type="dxa"/>
            <w:tcBorders>
              <w:left w:val="nil"/>
            </w:tcBorders>
          </w:tcPr>
          <w:p w:rsidR="002E2600" w:rsidRPr="00F246A0" w:rsidRDefault="002E2600" w:rsidP="008B721E">
            <w:pPr>
              <w:ind w:left="-250" w:firstLine="250"/>
              <w:jc w:val="center"/>
              <w:rPr>
                <w:rFonts w:cs="Arial"/>
                <w:b/>
                <w:sz w:val="18"/>
                <w:szCs w:val="18"/>
                <w:lang w:eastAsia="it-CH"/>
              </w:rPr>
            </w:pPr>
          </w:p>
        </w:tc>
        <w:tc>
          <w:tcPr>
            <w:tcW w:w="1136" w:type="dxa"/>
            <w:tcBorders>
              <w:right w:val="nil"/>
            </w:tcBorders>
          </w:tcPr>
          <w:p w:rsidR="002E2600" w:rsidRPr="00F246A0" w:rsidRDefault="002E2600" w:rsidP="008B721E">
            <w:pPr>
              <w:ind w:left="81" w:right="-107"/>
              <w:jc w:val="center"/>
              <w:rPr>
                <w:rFonts w:cs="Arial"/>
                <w:b/>
                <w:sz w:val="18"/>
                <w:szCs w:val="18"/>
                <w:lang w:eastAsia="it-CH"/>
              </w:rPr>
            </w:pPr>
            <w:r w:rsidRPr="00F246A0">
              <w:rPr>
                <w:rFonts w:cs="Arial"/>
                <w:b/>
                <w:sz w:val="18"/>
                <w:szCs w:val="18"/>
                <w:lang w:eastAsia="it-CH"/>
              </w:rPr>
              <w:t>mq</w:t>
            </w:r>
          </w:p>
        </w:tc>
        <w:tc>
          <w:tcPr>
            <w:tcW w:w="282" w:type="dxa"/>
            <w:tcBorders>
              <w:left w:val="nil"/>
            </w:tcBorders>
          </w:tcPr>
          <w:p w:rsidR="002E2600" w:rsidRPr="004D133A" w:rsidRDefault="002E2600" w:rsidP="008B721E">
            <w:pPr>
              <w:ind w:left="81" w:right="-107"/>
              <w:jc w:val="center"/>
              <w:rPr>
                <w:rFonts w:cs="Arial"/>
                <w:b/>
                <w:sz w:val="20"/>
                <w:lang w:eastAsia="it-CH"/>
              </w:rPr>
            </w:pPr>
          </w:p>
        </w:tc>
      </w:tr>
      <w:tr w:rsidR="002E2600" w:rsidRPr="004D133A" w:rsidTr="008B721E">
        <w:tc>
          <w:tcPr>
            <w:tcW w:w="1237" w:type="dxa"/>
          </w:tcPr>
          <w:p w:rsidR="002E2600" w:rsidRPr="004D133A" w:rsidRDefault="002E2600" w:rsidP="008B721E">
            <w:pPr>
              <w:rPr>
                <w:rFonts w:cs="Arial"/>
                <w:sz w:val="20"/>
                <w:lang w:eastAsia="it-CH"/>
              </w:rPr>
            </w:pPr>
            <w:r w:rsidRPr="004D133A">
              <w:rPr>
                <w:rFonts w:cs="Arial"/>
                <w:sz w:val="20"/>
                <w:lang w:eastAsia="it-CH"/>
              </w:rPr>
              <w:t>Terreno</w:t>
            </w:r>
          </w:p>
        </w:tc>
        <w:tc>
          <w:tcPr>
            <w:tcW w:w="1131" w:type="dxa"/>
          </w:tcPr>
          <w:p w:rsidR="002E2600" w:rsidRPr="004D133A" w:rsidRDefault="002E2600" w:rsidP="008B721E">
            <w:pPr>
              <w:jc w:val="center"/>
              <w:rPr>
                <w:rFonts w:cs="Arial"/>
                <w:sz w:val="20"/>
                <w:lang w:eastAsia="it-CH"/>
              </w:rPr>
            </w:pPr>
            <w:r w:rsidRPr="004D133A">
              <w:rPr>
                <w:rFonts w:cs="Arial"/>
                <w:sz w:val="20"/>
                <w:lang w:eastAsia="it-CH"/>
              </w:rPr>
              <w:t>Archivi</w:t>
            </w:r>
          </w:p>
        </w:tc>
        <w:tc>
          <w:tcPr>
            <w:tcW w:w="995" w:type="dxa"/>
            <w:tcBorders>
              <w:top w:val="single" w:sz="4" w:space="0" w:color="auto"/>
              <w:bottom w:val="single" w:sz="4" w:space="0" w:color="auto"/>
              <w:right w:val="nil"/>
            </w:tcBorders>
          </w:tcPr>
          <w:p w:rsidR="002E2600" w:rsidRPr="004D133A" w:rsidRDefault="002E2600" w:rsidP="008B721E">
            <w:pPr>
              <w:ind w:right="-396"/>
              <w:jc w:val="center"/>
              <w:rPr>
                <w:rFonts w:cs="Arial"/>
                <w:sz w:val="20"/>
                <w:lang w:eastAsia="it-CH"/>
              </w:rPr>
            </w:pPr>
            <w:r w:rsidRPr="004D133A">
              <w:rPr>
                <w:rFonts w:cs="Arial"/>
                <w:sz w:val="20"/>
                <w:lang w:eastAsia="it-CH"/>
              </w:rPr>
              <w:t xml:space="preserve">  33.00</w:t>
            </w:r>
          </w:p>
        </w:tc>
        <w:tc>
          <w:tcPr>
            <w:tcW w:w="427" w:type="dxa"/>
            <w:tcBorders>
              <w:top w:val="single" w:sz="4" w:space="0" w:color="auto"/>
              <w:left w:val="nil"/>
              <w:bottom w:val="single" w:sz="4" w:space="0" w:color="auto"/>
            </w:tcBorders>
          </w:tcPr>
          <w:p w:rsidR="002E2600" w:rsidRPr="004D133A" w:rsidRDefault="002E2600" w:rsidP="008B721E">
            <w:pPr>
              <w:ind w:right="-396"/>
              <w:jc w:val="center"/>
              <w:rPr>
                <w:rFonts w:cs="Arial"/>
                <w:sz w:val="20"/>
                <w:lang w:eastAsia="it-CH"/>
              </w:rPr>
            </w:pPr>
          </w:p>
        </w:tc>
        <w:tc>
          <w:tcPr>
            <w:tcW w:w="1132" w:type="dxa"/>
            <w:tcBorders>
              <w:right w:val="nil"/>
            </w:tcBorders>
          </w:tcPr>
          <w:p w:rsidR="002E2600" w:rsidRPr="004D133A" w:rsidRDefault="002E2600" w:rsidP="008B721E">
            <w:pPr>
              <w:ind w:right="-113"/>
              <w:jc w:val="center"/>
              <w:rPr>
                <w:rFonts w:cs="Arial"/>
                <w:sz w:val="20"/>
                <w:lang w:eastAsia="it-CH"/>
              </w:rPr>
            </w:pPr>
            <w:r w:rsidRPr="004D133A">
              <w:rPr>
                <w:rFonts w:cs="Arial"/>
                <w:sz w:val="20"/>
                <w:lang w:eastAsia="it-CH"/>
              </w:rPr>
              <w:t xml:space="preserve">  55.00</w:t>
            </w:r>
          </w:p>
        </w:tc>
        <w:tc>
          <w:tcPr>
            <w:tcW w:w="286" w:type="dxa"/>
            <w:tcBorders>
              <w:left w:val="nil"/>
            </w:tcBorders>
          </w:tcPr>
          <w:p w:rsidR="002E2600" w:rsidRPr="004D133A" w:rsidRDefault="002E2600" w:rsidP="008B721E">
            <w:pPr>
              <w:ind w:right="-113"/>
              <w:jc w:val="center"/>
              <w:rPr>
                <w:rFonts w:cs="Arial"/>
                <w:sz w:val="20"/>
                <w:lang w:eastAsia="it-CH"/>
              </w:rPr>
            </w:pPr>
          </w:p>
        </w:tc>
        <w:tc>
          <w:tcPr>
            <w:tcW w:w="1136" w:type="dxa"/>
            <w:tcBorders>
              <w:right w:val="nil"/>
            </w:tcBorders>
          </w:tcPr>
          <w:p w:rsidR="002E2600" w:rsidRPr="004D133A" w:rsidRDefault="002E2600" w:rsidP="008B721E">
            <w:pPr>
              <w:ind w:right="-109"/>
              <w:jc w:val="center"/>
              <w:rPr>
                <w:rFonts w:cs="Arial"/>
                <w:sz w:val="20"/>
                <w:lang w:eastAsia="it-CH"/>
              </w:rPr>
            </w:pPr>
            <w:r w:rsidRPr="004D133A">
              <w:rPr>
                <w:rFonts w:cs="Arial"/>
                <w:sz w:val="20"/>
                <w:lang w:eastAsia="it-CH"/>
              </w:rPr>
              <w:t xml:space="preserve"> 31.00</w:t>
            </w:r>
          </w:p>
        </w:tc>
        <w:tc>
          <w:tcPr>
            <w:tcW w:w="284" w:type="dxa"/>
            <w:tcBorders>
              <w:left w:val="nil"/>
            </w:tcBorders>
          </w:tcPr>
          <w:p w:rsidR="002E2600" w:rsidRPr="004D133A" w:rsidRDefault="002E2600" w:rsidP="008B721E">
            <w:pPr>
              <w:jc w:val="center"/>
              <w:rPr>
                <w:rFonts w:cs="Arial"/>
                <w:sz w:val="20"/>
                <w:lang w:eastAsia="it-CH"/>
              </w:rPr>
            </w:pPr>
          </w:p>
        </w:tc>
        <w:tc>
          <w:tcPr>
            <w:tcW w:w="1136" w:type="dxa"/>
            <w:tcBorders>
              <w:right w:val="nil"/>
            </w:tcBorders>
          </w:tcPr>
          <w:p w:rsidR="002E2600" w:rsidRPr="004D133A" w:rsidRDefault="002E2600" w:rsidP="008B721E">
            <w:pPr>
              <w:ind w:right="-107"/>
              <w:jc w:val="center"/>
              <w:rPr>
                <w:rFonts w:cs="Arial"/>
                <w:sz w:val="20"/>
                <w:lang w:eastAsia="it-CH"/>
              </w:rPr>
            </w:pPr>
            <w:r w:rsidRPr="004D133A">
              <w:rPr>
                <w:rFonts w:cs="Arial"/>
                <w:sz w:val="20"/>
                <w:lang w:eastAsia="it-CH"/>
              </w:rPr>
              <w:t xml:space="preserve"> 57.00</w:t>
            </w:r>
          </w:p>
        </w:tc>
        <w:tc>
          <w:tcPr>
            <w:tcW w:w="282" w:type="dxa"/>
            <w:tcBorders>
              <w:left w:val="nil"/>
            </w:tcBorders>
          </w:tcPr>
          <w:p w:rsidR="002E2600" w:rsidRPr="004D133A" w:rsidRDefault="002E2600" w:rsidP="008B721E">
            <w:pPr>
              <w:ind w:right="-107"/>
              <w:jc w:val="right"/>
              <w:rPr>
                <w:rFonts w:cs="Arial"/>
                <w:sz w:val="20"/>
                <w:lang w:eastAsia="it-CH"/>
              </w:rPr>
            </w:pPr>
          </w:p>
        </w:tc>
      </w:tr>
      <w:tr w:rsidR="002E2600" w:rsidRPr="004D133A" w:rsidTr="008B721E">
        <w:tc>
          <w:tcPr>
            <w:tcW w:w="1237" w:type="dxa"/>
          </w:tcPr>
          <w:p w:rsidR="002E2600" w:rsidRPr="004D133A" w:rsidRDefault="002E2600" w:rsidP="008B721E">
            <w:pPr>
              <w:rPr>
                <w:rFonts w:cs="Arial"/>
                <w:sz w:val="20"/>
                <w:lang w:eastAsia="it-CH"/>
              </w:rPr>
            </w:pPr>
            <w:r w:rsidRPr="004D133A">
              <w:rPr>
                <w:rFonts w:cs="Arial"/>
                <w:sz w:val="20"/>
                <w:lang w:eastAsia="it-CH"/>
              </w:rPr>
              <w:t>Terreno</w:t>
            </w:r>
          </w:p>
        </w:tc>
        <w:tc>
          <w:tcPr>
            <w:tcW w:w="1131" w:type="dxa"/>
          </w:tcPr>
          <w:p w:rsidR="002E2600" w:rsidRPr="004D133A" w:rsidRDefault="002E2600" w:rsidP="008B721E">
            <w:pPr>
              <w:jc w:val="center"/>
              <w:rPr>
                <w:rFonts w:cs="Arial"/>
                <w:sz w:val="20"/>
                <w:lang w:eastAsia="it-CH"/>
              </w:rPr>
            </w:pPr>
            <w:r w:rsidRPr="004D133A">
              <w:rPr>
                <w:rFonts w:cs="Arial"/>
                <w:sz w:val="20"/>
                <w:lang w:eastAsia="it-CH"/>
              </w:rPr>
              <w:t>Uffici</w:t>
            </w:r>
          </w:p>
        </w:tc>
        <w:tc>
          <w:tcPr>
            <w:tcW w:w="995" w:type="dxa"/>
            <w:tcBorders>
              <w:top w:val="single" w:sz="4" w:space="0" w:color="auto"/>
              <w:bottom w:val="single" w:sz="4" w:space="0" w:color="auto"/>
              <w:right w:val="nil"/>
            </w:tcBorders>
          </w:tcPr>
          <w:p w:rsidR="002E2600" w:rsidRPr="004D133A" w:rsidRDefault="002E2600" w:rsidP="008B721E">
            <w:pPr>
              <w:ind w:right="-396"/>
              <w:jc w:val="center"/>
              <w:rPr>
                <w:rFonts w:cs="Arial"/>
                <w:sz w:val="20"/>
                <w:lang w:eastAsia="it-CH"/>
              </w:rPr>
            </w:pPr>
            <w:r w:rsidRPr="004D133A">
              <w:rPr>
                <w:rFonts w:cs="Arial"/>
                <w:sz w:val="20"/>
                <w:lang w:eastAsia="it-CH"/>
              </w:rPr>
              <w:t>-</w:t>
            </w:r>
          </w:p>
        </w:tc>
        <w:tc>
          <w:tcPr>
            <w:tcW w:w="427" w:type="dxa"/>
            <w:tcBorders>
              <w:top w:val="single" w:sz="4" w:space="0" w:color="auto"/>
              <w:left w:val="nil"/>
              <w:bottom w:val="single" w:sz="4" w:space="0" w:color="auto"/>
            </w:tcBorders>
          </w:tcPr>
          <w:p w:rsidR="002E2600" w:rsidRPr="004D133A" w:rsidRDefault="002E2600" w:rsidP="008B721E">
            <w:pPr>
              <w:ind w:right="-396"/>
              <w:jc w:val="center"/>
              <w:rPr>
                <w:rFonts w:cs="Arial"/>
                <w:sz w:val="20"/>
                <w:lang w:eastAsia="it-CH"/>
              </w:rPr>
            </w:pPr>
          </w:p>
        </w:tc>
        <w:tc>
          <w:tcPr>
            <w:tcW w:w="1132" w:type="dxa"/>
            <w:tcBorders>
              <w:right w:val="nil"/>
            </w:tcBorders>
          </w:tcPr>
          <w:p w:rsidR="002E2600" w:rsidRPr="004D133A" w:rsidRDefault="002E2600" w:rsidP="008B721E">
            <w:pPr>
              <w:ind w:right="-113"/>
              <w:jc w:val="center"/>
              <w:rPr>
                <w:rFonts w:cs="Arial"/>
                <w:sz w:val="20"/>
                <w:lang w:eastAsia="it-CH"/>
              </w:rPr>
            </w:pPr>
            <w:r w:rsidRPr="004D133A">
              <w:rPr>
                <w:rFonts w:cs="Arial"/>
                <w:sz w:val="20"/>
                <w:lang w:eastAsia="it-CH"/>
              </w:rPr>
              <w:t>139.00</w:t>
            </w:r>
          </w:p>
        </w:tc>
        <w:tc>
          <w:tcPr>
            <w:tcW w:w="286" w:type="dxa"/>
            <w:tcBorders>
              <w:left w:val="nil"/>
            </w:tcBorders>
          </w:tcPr>
          <w:p w:rsidR="002E2600" w:rsidRPr="004D133A" w:rsidRDefault="002E2600" w:rsidP="008B721E">
            <w:pPr>
              <w:ind w:right="-113"/>
              <w:jc w:val="center"/>
              <w:rPr>
                <w:rFonts w:cs="Arial"/>
                <w:sz w:val="20"/>
                <w:lang w:eastAsia="it-CH"/>
              </w:rPr>
            </w:pPr>
          </w:p>
        </w:tc>
        <w:tc>
          <w:tcPr>
            <w:tcW w:w="1136" w:type="dxa"/>
            <w:tcBorders>
              <w:right w:val="nil"/>
            </w:tcBorders>
          </w:tcPr>
          <w:p w:rsidR="002E2600" w:rsidRPr="004D133A" w:rsidRDefault="002E2600" w:rsidP="008B721E">
            <w:pPr>
              <w:ind w:right="-109"/>
              <w:jc w:val="center"/>
              <w:rPr>
                <w:rFonts w:cs="Arial"/>
                <w:sz w:val="20"/>
                <w:lang w:eastAsia="it-CH"/>
              </w:rPr>
            </w:pPr>
            <w:r w:rsidRPr="004D133A">
              <w:rPr>
                <w:rFonts w:cs="Arial"/>
                <w:sz w:val="20"/>
                <w:lang w:eastAsia="it-CH"/>
              </w:rPr>
              <w:t>128.00</w:t>
            </w:r>
          </w:p>
        </w:tc>
        <w:tc>
          <w:tcPr>
            <w:tcW w:w="284" w:type="dxa"/>
            <w:tcBorders>
              <w:left w:val="nil"/>
            </w:tcBorders>
          </w:tcPr>
          <w:p w:rsidR="002E2600" w:rsidRPr="004D133A" w:rsidRDefault="002E2600" w:rsidP="008B721E">
            <w:pPr>
              <w:jc w:val="center"/>
              <w:rPr>
                <w:rFonts w:cs="Arial"/>
                <w:sz w:val="20"/>
                <w:lang w:eastAsia="it-CH"/>
              </w:rPr>
            </w:pPr>
          </w:p>
        </w:tc>
        <w:tc>
          <w:tcPr>
            <w:tcW w:w="1136" w:type="dxa"/>
            <w:tcBorders>
              <w:right w:val="nil"/>
            </w:tcBorders>
          </w:tcPr>
          <w:p w:rsidR="002E2600" w:rsidRPr="004D133A" w:rsidRDefault="002E2600" w:rsidP="008B721E">
            <w:pPr>
              <w:ind w:right="-107"/>
              <w:jc w:val="center"/>
              <w:rPr>
                <w:rFonts w:cs="Arial"/>
                <w:sz w:val="20"/>
                <w:lang w:eastAsia="it-CH"/>
              </w:rPr>
            </w:pPr>
            <w:r w:rsidRPr="004D133A">
              <w:rPr>
                <w:rFonts w:cs="Arial"/>
                <w:sz w:val="20"/>
                <w:lang w:eastAsia="it-CH"/>
              </w:rPr>
              <w:t>-</w:t>
            </w:r>
          </w:p>
        </w:tc>
        <w:tc>
          <w:tcPr>
            <w:tcW w:w="282" w:type="dxa"/>
            <w:tcBorders>
              <w:left w:val="nil"/>
            </w:tcBorders>
          </w:tcPr>
          <w:p w:rsidR="002E2600" w:rsidRPr="004D133A" w:rsidRDefault="002E2600" w:rsidP="008B721E">
            <w:pPr>
              <w:ind w:right="-107"/>
              <w:jc w:val="right"/>
              <w:rPr>
                <w:rFonts w:cs="Arial"/>
                <w:sz w:val="20"/>
                <w:lang w:eastAsia="it-CH"/>
              </w:rPr>
            </w:pPr>
          </w:p>
        </w:tc>
      </w:tr>
      <w:tr w:rsidR="002E2600" w:rsidRPr="004D133A" w:rsidTr="008B721E">
        <w:tc>
          <w:tcPr>
            <w:tcW w:w="1237" w:type="dxa"/>
          </w:tcPr>
          <w:p w:rsidR="002E2600" w:rsidRPr="004D133A" w:rsidRDefault="002E2600" w:rsidP="008B721E">
            <w:pPr>
              <w:rPr>
                <w:rFonts w:cs="Arial"/>
                <w:sz w:val="20"/>
                <w:lang w:eastAsia="it-CH"/>
              </w:rPr>
            </w:pPr>
            <w:r w:rsidRPr="004D133A">
              <w:rPr>
                <w:rFonts w:cs="Arial"/>
                <w:sz w:val="20"/>
                <w:lang w:eastAsia="it-CH"/>
              </w:rPr>
              <w:t>Primo</w:t>
            </w:r>
          </w:p>
        </w:tc>
        <w:tc>
          <w:tcPr>
            <w:tcW w:w="1131" w:type="dxa"/>
          </w:tcPr>
          <w:p w:rsidR="002E2600" w:rsidRPr="004D133A" w:rsidRDefault="002E2600" w:rsidP="008B721E">
            <w:pPr>
              <w:jc w:val="center"/>
              <w:rPr>
                <w:rFonts w:cs="Arial"/>
                <w:sz w:val="20"/>
                <w:lang w:eastAsia="it-CH"/>
              </w:rPr>
            </w:pPr>
            <w:r w:rsidRPr="004D133A">
              <w:rPr>
                <w:rFonts w:cs="Arial"/>
                <w:sz w:val="20"/>
                <w:lang w:eastAsia="it-CH"/>
              </w:rPr>
              <w:t>Uffici</w:t>
            </w:r>
          </w:p>
        </w:tc>
        <w:tc>
          <w:tcPr>
            <w:tcW w:w="995" w:type="dxa"/>
            <w:tcBorders>
              <w:top w:val="single" w:sz="4" w:space="0" w:color="auto"/>
              <w:bottom w:val="single" w:sz="4" w:space="0" w:color="auto"/>
              <w:right w:val="nil"/>
            </w:tcBorders>
          </w:tcPr>
          <w:p w:rsidR="002E2600" w:rsidRPr="004D133A" w:rsidRDefault="002E2600" w:rsidP="008B721E">
            <w:pPr>
              <w:ind w:right="-396"/>
              <w:jc w:val="center"/>
              <w:rPr>
                <w:rFonts w:cs="Arial"/>
                <w:sz w:val="20"/>
                <w:lang w:eastAsia="it-CH"/>
              </w:rPr>
            </w:pPr>
            <w:r w:rsidRPr="004D133A">
              <w:rPr>
                <w:rFonts w:cs="Arial"/>
                <w:sz w:val="20"/>
                <w:lang w:eastAsia="it-CH"/>
              </w:rPr>
              <w:t>271.00</w:t>
            </w:r>
          </w:p>
        </w:tc>
        <w:tc>
          <w:tcPr>
            <w:tcW w:w="427" w:type="dxa"/>
            <w:tcBorders>
              <w:top w:val="single" w:sz="4" w:space="0" w:color="auto"/>
              <w:left w:val="nil"/>
              <w:bottom w:val="single" w:sz="4" w:space="0" w:color="auto"/>
            </w:tcBorders>
          </w:tcPr>
          <w:p w:rsidR="002E2600" w:rsidRPr="004D133A" w:rsidRDefault="002E2600" w:rsidP="008B721E">
            <w:pPr>
              <w:ind w:right="-396"/>
              <w:jc w:val="center"/>
              <w:rPr>
                <w:rFonts w:cs="Arial"/>
                <w:sz w:val="20"/>
                <w:lang w:eastAsia="it-CH"/>
              </w:rPr>
            </w:pPr>
          </w:p>
        </w:tc>
        <w:tc>
          <w:tcPr>
            <w:tcW w:w="1132" w:type="dxa"/>
            <w:tcBorders>
              <w:right w:val="nil"/>
            </w:tcBorders>
          </w:tcPr>
          <w:p w:rsidR="002E2600" w:rsidRPr="004D133A" w:rsidRDefault="002E2600" w:rsidP="008B721E">
            <w:pPr>
              <w:ind w:right="-113"/>
              <w:jc w:val="center"/>
              <w:rPr>
                <w:rFonts w:cs="Arial"/>
                <w:sz w:val="20"/>
                <w:lang w:eastAsia="it-CH"/>
              </w:rPr>
            </w:pPr>
            <w:r w:rsidRPr="004D133A">
              <w:rPr>
                <w:rFonts w:cs="Arial"/>
                <w:sz w:val="20"/>
                <w:lang w:eastAsia="it-CH"/>
              </w:rPr>
              <w:t>-</w:t>
            </w:r>
          </w:p>
        </w:tc>
        <w:tc>
          <w:tcPr>
            <w:tcW w:w="286" w:type="dxa"/>
            <w:tcBorders>
              <w:left w:val="nil"/>
            </w:tcBorders>
          </w:tcPr>
          <w:p w:rsidR="002E2600" w:rsidRPr="004D133A" w:rsidRDefault="002E2600" w:rsidP="008B721E">
            <w:pPr>
              <w:ind w:right="-113"/>
              <w:jc w:val="center"/>
              <w:rPr>
                <w:rFonts w:cs="Arial"/>
                <w:sz w:val="20"/>
                <w:lang w:eastAsia="it-CH"/>
              </w:rPr>
            </w:pPr>
          </w:p>
        </w:tc>
        <w:tc>
          <w:tcPr>
            <w:tcW w:w="1136" w:type="dxa"/>
            <w:tcBorders>
              <w:right w:val="nil"/>
            </w:tcBorders>
          </w:tcPr>
          <w:p w:rsidR="002E2600" w:rsidRPr="004D133A" w:rsidRDefault="002E2600" w:rsidP="008B721E">
            <w:pPr>
              <w:ind w:right="-109"/>
              <w:jc w:val="center"/>
              <w:rPr>
                <w:rFonts w:cs="Arial"/>
                <w:sz w:val="20"/>
                <w:lang w:eastAsia="it-CH"/>
              </w:rPr>
            </w:pPr>
            <w:r w:rsidRPr="004D133A">
              <w:rPr>
                <w:rFonts w:cs="Arial"/>
                <w:sz w:val="20"/>
                <w:lang w:eastAsia="it-CH"/>
              </w:rPr>
              <w:t>-</w:t>
            </w:r>
          </w:p>
        </w:tc>
        <w:tc>
          <w:tcPr>
            <w:tcW w:w="284" w:type="dxa"/>
            <w:tcBorders>
              <w:left w:val="nil"/>
            </w:tcBorders>
          </w:tcPr>
          <w:p w:rsidR="002E2600" w:rsidRPr="004D133A" w:rsidRDefault="002E2600" w:rsidP="008B721E">
            <w:pPr>
              <w:jc w:val="center"/>
              <w:rPr>
                <w:rFonts w:cs="Arial"/>
                <w:sz w:val="20"/>
                <w:lang w:eastAsia="it-CH"/>
              </w:rPr>
            </w:pPr>
          </w:p>
        </w:tc>
        <w:tc>
          <w:tcPr>
            <w:tcW w:w="1136" w:type="dxa"/>
            <w:tcBorders>
              <w:right w:val="nil"/>
            </w:tcBorders>
          </w:tcPr>
          <w:p w:rsidR="002E2600" w:rsidRPr="004D133A" w:rsidRDefault="002E2600" w:rsidP="008B721E">
            <w:pPr>
              <w:ind w:right="-107"/>
              <w:jc w:val="center"/>
              <w:rPr>
                <w:rFonts w:cs="Arial"/>
                <w:sz w:val="20"/>
                <w:lang w:eastAsia="it-CH"/>
              </w:rPr>
            </w:pPr>
            <w:r w:rsidRPr="004D133A">
              <w:rPr>
                <w:rFonts w:cs="Arial"/>
                <w:sz w:val="20"/>
                <w:lang w:eastAsia="it-CH"/>
              </w:rPr>
              <w:t>290.00</w:t>
            </w:r>
          </w:p>
        </w:tc>
        <w:tc>
          <w:tcPr>
            <w:tcW w:w="282" w:type="dxa"/>
            <w:tcBorders>
              <w:left w:val="nil"/>
            </w:tcBorders>
          </w:tcPr>
          <w:p w:rsidR="002E2600" w:rsidRPr="004D133A" w:rsidRDefault="002E2600" w:rsidP="008B721E">
            <w:pPr>
              <w:ind w:right="-107"/>
              <w:jc w:val="right"/>
              <w:rPr>
                <w:rFonts w:cs="Arial"/>
                <w:sz w:val="20"/>
                <w:lang w:eastAsia="it-CH"/>
              </w:rPr>
            </w:pPr>
          </w:p>
        </w:tc>
      </w:tr>
      <w:tr w:rsidR="002E2600" w:rsidRPr="004D133A" w:rsidTr="008B721E">
        <w:tc>
          <w:tcPr>
            <w:tcW w:w="1237" w:type="dxa"/>
          </w:tcPr>
          <w:p w:rsidR="002E2600" w:rsidRPr="004D133A" w:rsidRDefault="002E2600" w:rsidP="008B721E">
            <w:pPr>
              <w:rPr>
                <w:rFonts w:cs="Arial"/>
                <w:sz w:val="20"/>
                <w:lang w:eastAsia="it-CH"/>
              </w:rPr>
            </w:pPr>
            <w:r w:rsidRPr="004D133A">
              <w:rPr>
                <w:rFonts w:cs="Arial"/>
                <w:sz w:val="20"/>
                <w:lang w:eastAsia="it-CH"/>
              </w:rPr>
              <w:t>Secondo</w:t>
            </w:r>
          </w:p>
        </w:tc>
        <w:tc>
          <w:tcPr>
            <w:tcW w:w="1131" w:type="dxa"/>
          </w:tcPr>
          <w:p w:rsidR="002E2600" w:rsidRPr="004D133A" w:rsidRDefault="002E2600" w:rsidP="008B721E">
            <w:pPr>
              <w:jc w:val="center"/>
              <w:rPr>
                <w:rFonts w:cs="Arial"/>
                <w:sz w:val="20"/>
                <w:lang w:eastAsia="it-CH"/>
              </w:rPr>
            </w:pPr>
            <w:r w:rsidRPr="004D133A">
              <w:rPr>
                <w:rFonts w:cs="Arial"/>
                <w:sz w:val="20"/>
                <w:lang w:eastAsia="it-CH"/>
              </w:rPr>
              <w:t>Uffici</w:t>
            </w:r>
          </w:p>
        </w:tc>
        <w:tc>
          <w:tcPr>
            <w:tcW w:w="995" w:type="dxa"/>
            <w:tcBorders>
              <w:top w:val="single" w:sz="4" w:space="0" w:color="auto"/>
              <w:bottom w:val="single" w:sz="4" w:space="0" w:color="auto"/>
              <w:right w:val="nil"/>
            </w:tcBorders>
          </w:tcPr>
          <w:p w:rsidR="002E2600" w:rsidRPr="004D133A" w:rsidRDefault="002E2600" w:rsidP="008B721E">
            <w:pPr>
              <w:ind w:right="-396"/>
              <w:jc w:val="center"/>
              <w:rPr>
                <w:rFonts w:cs="Arial"/>
                <w:sz w:val="20"/>
                <w:lang w:eastAsia="it-CH"/>
              </w:rPr>
            </w:pPr>
            <w:r w:rsidRPr="004D133A">
              <w:rPr>
                <w:rFonts w:cs="Arial"/>
                <w:sz w:val="20"/>
                <w:lang w:eastAsia="it-CH"/>
              </w:rPr>
              <w:t>-</w:t>
            </w:r>
          </w:p>
        </w:tc>
        <w:tc>
          <w:tcPr>
            <w:tcW w:w="427" w:type="dxa"/>
            <w:tcBorders>
              <w:top w:val="single" w:sz="4" w:space="0" w:color="auto"/>
              <w:left w:val="nil"/>
              <w:bottom w:val="single" w:sz="4" w:space="0" w:color="auto"/>
            </w:tcBorders>
          </w:tcPr>
          <w:p w:rsidR="002E2600" w:rsidRPr="004D133A" w:rsidRDefault="002E2600" w:rsidP="008B721E">
            <w:pPr>
              <w:ind w:right="-396"/>
              <w:jc w:val="center"/>
              <w:rPr>
                <w:rFonts w:cs="Arial"/>
                <w:sz w:val="20"/>
                <w:lang w:eastAsia="it-CH"/>
              </w:rPr>
            </w:pPr>
          </w:p>
        </w:tc>
        <w:tc>
          <w:tcPr>
            <w:tcW w:w="1132" w:type="dxa"/>
            <w:tcBorders>
              <w:right w:val="nil"/>
            </w:tcBorders>
          </w:tcPr>
          <w:p w:rsidR="002E2600" w:rsidRPr="004D133A" w:rsidRDefault="002E2600" w:rsidP="008B721E">
            <w:pPr>
              <w:ind w:right="-113"/>
              <w:jc w:val="center"/>
              <w:rPr>
                <w:rFonts w:cs="Arial"/>
                <w:sz w:val="20"/>
                <w:lang w:eastAsia="it-CH"/>
              </w:rPr>
            </w:pPr>
            <w:r w:rsidRPr="004D133A">
              <w:rPr>
                <w:rFonts w:cs="Arial"/>
                <w:sz w:val="20"/>
                <w:lang w:eastAsia="it-CH"/>
              </w:rPr>
              <w:t>-</w:t>
            </w:r>
          </w:p>
        </w:tc>
        <w:tc>
          <w:tcPr>
            <w:tcW w:w="286" w:type="dxa"/>
            <w:tcBorders>
              <w:left w:val="nil"/>
            </w:tcBorders>
          </w:tcPr>
          <w:p w:rsidR="002E2600" w:rsidRPr="004D133A" w:rsidRDefault="002E2600" w:rsidP="008B721E">
            <w:pPr>
              <w:ind w:right="-113"/>
              <w:jc w:val="center"/>
              <w:rPr>
                <w:rFonts w:cs="Arial"/>
                <w:sz w:val="20"/>
                <w:lang w:eastAsia="it-CH"/>
              </w:rPr>
            </w:pPr>
          </w:p>
        </w:tc>
        <w:tc>
          <w:tcPr>
            <w:tcW w:w="1136" w:type="dxa"/>
            <w:tcBorders>
              <w:right w:val="nil"/>
            </w:tcBorders>
          </w:tcPr>
          <w:p w:rsidR="002E2600" w:rsidRPr="004D133A" w:rsidRDefault="002E2600" w:rsidP="008B721E">
            <w:pPr>
              <w:ind w:right="-109"/>
              <w:jc w:val="center"/>
              <w:rPr>
                <w:rFonts w:cs="Arial"/>
                <w:sz w:val="20"/>
                <w:lang w:eastAsia="it-CH"/>
              </w:rPr>
            </w:pPr>
            <w:r w:rsidRPr="004D133A">
              <w:rPr>
                <w:rFonts w:cs="Arial"/>
                <w:sz w:val="20"/>
                <w:lang w:eastAsia="it-CH"/>
              </w:rPr>
              <w:t>303.00</w:t>
            </w:r>
          </w:p>
        </w:tc>
        <w:tc>
          <w:tcPr>
            <w:tcW w:w="284" w:type="dxa"/>
            <w:tcBorders>
              <w:left w:val="nil"/>
            </w:tcBorders>
          </w:tcPr>
          <w:p w:rsidR="002E2600" w:rsidRPr="004D133A" w:rsidRDefault="002E2600" w:rsidP="008B721E">
            <w:pPr>
              <w:jc w:val="center"/>
              <w:rPr>
                <w:rFonts w:cs="Arial"/>
                <w:sz w:val="20"/>
                <w:lang w:eastAsia="it-CH"/>
              </w:rPr>
            </w:pPr>
          </w:p>
        </w:tc>
        <w:tc>
          <w:tcPr>
            <w:tcW w:w="1136" w:type="dxa"/>
            <w:tcBorders>
              <w:right w:val="nil"/>
            </w:tcBorders>
          </w:tcPr>
          <w:p w:rsidR="002E2600" w:rsidRPr="004D133A" w:rsidRDefault="002E2600" w:rsidP="008B721E">
            <w:pPr>
              <w:ind w:right="-107"/>
              <w:jc w:val="center"/>
              <w:rPr>
                <w:rFonts w:cs="Arial"/>
                <w:sz w:val="20"/>
                <w:lang w:eastAsia="it-CH"/>
              </w:rPr>
            </w:pPr>
            <w:r w:rsidRPr="004D133A">
              <w:rPr>
                <w:rFonts w:cs="Arial"/>
                <w:sz w:val="20"/>
                <w:lang w:eastAsia="it-CH"/>
              </w:rPr>
              <w:t>-</w:t>
            </w:r>
          </w:p>
        </w:tc>
        <w:tc>
          <w:tcPr>
            <w:tcW w:w="282" w:type="dxa"/>
            <w:tcBorders>
              <w:left w:val="nil"/>
            </w:tcBorders>
          </w:tcPr>
          <w:p w:rsidR="002E2600" w:rsidRPr="004D133A" w:rsidRDefault="002E2600" w:rsidP="008B721E">
            <w:pPr>
              <w:ind w:right="-107"/>
              <w:jc w:val="right"/>
              <w:rPr>
                <w:rFonts w:cs="Arial"/>
                <w:sz w:val="20"/>
                <w:lang w:eastAsia="it-CH"/>
              </w:rPr>
            </w:pPr>
          </w:p>
        </w:tc>
      </w:tr>
      <w:tr w:rsidR="002E2600" w:rsidRPr="004D133A" w:rsidTr="008B721E">
        <w:tc>
          <w:tcPr>
            <w:tcW w:w="1237" w:type="dxa"/>
          </w:tcPr>
          <w:p w:rsidR="002E2600" w:rsidRPr="004D133A" w:rsidRDefault="002E2600" w:rsidP="008B721E">
            <w:pPr>
              <w:rPr>
                <w:rFonts w:cs="Arial"/>
                <w:sz w:val="20"/>
                <w:lang w:eastAsia="it-CH"/>
              </w:rPr>
            </w:pPr>
            <w:r w:rsidRPr="004D133A">
              <w:rPr>
                <w:rFonts w:cs="Arial"/>
                <w:sz w:val="20"/>
                <w:lang w:eastAsia="it-CH"/>
              </w:rPr>
              <w:t>Terzo (Sottotetto)</w:t>
            </w:r>
          </w:p>
        </w:tc>
        <w:tc>
          <w:tcPr>
            <w:tcW w:w="1131" w:type="dxa"/>
          </w:tcPr>
          <w:p w:rsidR="002E2600" w:rsidRPr="004D133A" w:rsidRDefault="002E2600" w:rsidP="008B721E">
            <w:pPr>
              <w:jc w:val="center"/>
              <w:rPr>
                <w:rFonts w:cs="Arial"/>
                <w:sz w:val="20"/>
                <w:lang w:eastAsia="it-CH"/>
              </w:rPr>
            </w:pPr>
            <w:r w:rsidRPr="004D133A">
              <w:rPr>
                <w:rFonts w:cs="Arial"/>
                <w:sz w:val="20"/>
                <w:lang w:eastAsia="it-CH"/>
              </w:rPr>
              <w:t>Archivio</w:t>
            </w:r>
          </w:p>
        </w:tc>
        <w:tc>
          <w:tcPr>
            <w:tcW w:w="995" w:type="dxa"/>
            <w:tcBorders>
              <w:top w:val="single" w:sz="4" w:space="0" w:color="auto"/>
              <w:bottom w:val="single" w:sz="4" w:space="0" w:color="auto"/>
              <w:right w:val="nil"/>
            </w:tcBorders>
          </w:tcPr>
          <w:p w:rsidR="002E2600" w:rsidRPr="004D133A" w:rsidRDefault="002E2600" w:rsidP="008B721E">
            <w:pPr>
              <w:ind w:right="-396"/>
              <w:jc w:val="center"/>
              <w:rPr>
                <w:rFonts w:cs="Arial"/>
                <w:sz w:val="20"/>
                <w:lang w:eastAsia="it-CH"/>
              </w:rPr>
            </w:pPr>
            <w:r w:rsidRPr="004D133A">
              <w:rPr>
                <w:rFonts w:cs="Arial"/>
                <w:sz w:val="20"/>
                <w:lang w:eastAsia="it-CH"/>
              </w:rPr>
              <w:t>-</w:t>
            </w:r>
          </w:p>
        </w:tc>
        <w:tc>
          <w:tcPr>
            <w:tcW w:w="427" w:type="dxa"/>
            <w:tcBorders>
              <w:top w:val="single" w:sz="4" w:space="0" w:color="auto"/>
              <w:left w:val="nil"/>
              <w:bottom w:val="single" w:sz="4" w:space="0" w:color="auto"/>
            </w:tcBorders>
          </w:tcPr>
          <w:p w:rsidR="002E2600" w:rsidRPr="004D133A" w:rsidRDefault="002E2600" w:rsidP="008B721E">
            <w:pPr>
              <w:ind w:right="-396"/>
              <w:jc w:val="center"/>
              <w:rPr>
                <w:rFonts w:cs="Arial"/>
                <w:sz w:val="20"/>
                <w:lang w:eastAsia="it-CH"/>
              </w:rPr>
            </w:pPr>
          </w:p>
        </w:tc>
        <w:tc>
          <w:tcPr>
            <w:tcW w:w="1132" w:type="dxa"/>
            <w:tcBorders>
              <w:right w:val="nil"/>
            </w:tcBorders>
          </w:tcPr>
          <w:p w:rsidR="002E2600" w:rsidRPr="004D133A" w:rsidRDefault="002E2600" w:rsidP="008B721E">
            <w:pPr>
              <w:ind w:right="-113"/>
              <w:jc w:val="center"/>
              <w:rPr>
                <w:rFonts w:cs="Arial"/>
                <w:sz w:val="20"/>
                <w:lang w:eastAsia="it-CH"/>
              </w:rPr>
            </w:pPr>
            <w:r w:rsidRPr="004D133A">
              <w:rPr>
                <w:rFonts w:cs="Arial"/>
                <w:sz w:val="20"/>
                <w:lang w:eastAsia="it-CH"/>
              </w:rPr>
              <w:t>-</w:t>
            </w:r>
          </w:p>
        </w:tc>
        <w:tc>
          <w:tcPr>
            <w:tcW w:w="286" w:type="dxa"/>
            <w:tcBorders>
              <w:left w:val="nil"/>
            </w:tcBorders>
          </w:tcPr>
          <w:p w:rsidR="002E2600" w:rsidRPr="004D133A" w:rsidRDefault="002E2600" w:rsidP="008B721E">
            <w:pPr>
              <w:ind w:right="-113"/>
              <w:jc w:val="center"/>
              <w:rPr>
                <w:rFonts w:cs="Arial"/>
                <w:sz w:val="20"/>
                <w:lang w:eastAsia="it-CH"/>
              </w:rPr>
            </w:pPr>
          </w:p>
        </w:tc>
        <w:tc>
          <w:tcPr>
            <w:tcW w:w="1136" w:type="dxa"/>
            <w:tcBorders>
              <w:right w:val="nil"/>
            </w:tcBorders>
          </w:tcPr>
          <w:p w:rsidR="002E2600" w:rsidRPr="004D133A" w:rsidRDefault="002E2600" w:rsidP="008B721E">
            <w:pPr>
              <w:ind w:right="-109"/>
              <w:jc w:val="center"/>
              <w:rPr>
                <w:rFonts w:cs="Arial"/>
                <w:sz w:val="20"/>
                <w:lang w:eastAsia="it-CH"/>
              </w:rPr>
            </w:pPr>
            <w:r w:rsidRPr="004D133A">
              <w:rPr>
                <w:rFonts w:cs="Arial"/>
                <w:sz w:val="20"/>
                <w:lang w:eastAsia="it-CH"/>
              </w:rPr>
              <w:t>114.00</w:t>
            </w:r>
          </w:p>
        </w:tc>
        <w:tc>
          <w:tcPr>
            <w:tcW w:w="284" w:type="dxa"/>
            <w:tcBorders>
              <w:left w:val="nil"/>
            </w:tcBorders>
          </w:tcPr>
          <w:p w:rsidR="002E2600" w:rsidRPr="004D133A" w:rsidRDefault="002E2600" w:rsidP="008B721E">
            <w:pPr>
              <w:jc w:val="center"/>
              <w:rPr>
                <w:rFonts w:cs="Arial"/>
                <w:sz w:val="20"/>
                <w:lang w:eastAsia="it-CH"/>
              </w:rPr>
            </w:pPr>
          </w:p>
        </w:tc>
        <w:tc>
          <w:tcPr>
            <w:tcW w:w="1136" w:type="dxa"/>
            <w:tcBorders>
              <w:right w:val="nil"/>
            </w:tcBorders>
          </w:tcPr>
          <w:p w:rsidR="002E2600" w:rsidRPr="004D133A" w:rsidRDefault="002E2600" w:rsidP="008B721E">
            <w:pPr>
              <w:ind w:right="-107"/>
              <w:jc w:val="center"/>
              <w:rPr>
                <w:rFonts w:cs="Arial"/>
                <w:sz w:val="20"/>
                <w:lang w:eastAsia="it-CH"/>
              </w:rPr>
            </w:pPr>
            <w:r w:rsidRPr="004D133A">
              <w:rPr>
                <w:rFonts w:cs="Arial"/>
                <w:sz w:val="20"/>
                <w:lang w:eastAsia="it-CH"/>
              </w:rPr>
              <w:t>-</w:t>
            </w:r>
          </w:p>
        </w:tc>
        <w:tc>
          <w:tcPr>
            <w:tcW w:w="282" w:type="dxa"/>
            <w:tcBorders>
              <w:left w:val="nil"/>
            </w:tcBorders>
          </w:tcPr>
          <w:p w:rsidR="002E2600" w:rsidRPr="004D133A" w:rsidRDefault="002E2600" w:rsidP="008B721E">
            <w:pPr>
              <w:ind w:right="-107"/>
              <w:jc w:val="right"/>
              <w:rPr>
                <w:rFonts w:cs="Arial"/>
                <w:sz w:val="20"/>
                <w:lang w:eastAsia="it-CH"/>
              </w:rPr>
            </w:pPr>
          </w:p>
        </w:tc>
      </w:tr>
      <w:tr w:rsidR="002E2600" w:rsidRPr="004D133A" w:rsidTr="008B721E">
        <w:tc>
          <w:tcPr>
            <w:tcW w:w="1237" w:type="dxa"/>
          </w:tcPr>
          <w:p w:rsidR="002E2600" w:rsidRPr="004D133A" w:rsidRDefault="002E2600" w:rsidP="008B721E">
            <w:pPr>
              <w:rPr>
                <w:rFonts w:cs="Arial"/>
                <w:sz w:val="20"/>
                <w:highlight w:val="cyan"/>
                <w:lang w:eastAsia="it-CH"/>
              </w:rPr>
            </w:pPr>
            <w:r w:rsidRPr="004D133A">
              <w:rPr>
                <w:rFonts w:cs="Arial"/>
                <w:sz w:val="20"/>
                <w:lang w:eastAsia="it-CH"/>
              </w:rPr>
              <w:t>Terzo (Sottotetto)</w:t>
            </w:r>
          </w:p>
        </w:tc>
        <w:tc>
          <w:tcPr>
            <w:tcW w:w="1131" w:type="dxa"/>
          </w:tcPr>
          <w:p w:rsidR="002E2600" w:rsidRPr="004D133A" w:rsidRDefault="002E2600" w:rsidP="008B721E">
            <w:pPr>
              <w:jc w:val="center"/>
              <w:rPr>
                <w:rFonts w:cs="Arial"/>
                <w:sz w:val="20"/>
                <w:lang w:eastAsia="it-CH"/>
              </w:rPr>
            </w:pPr>
            <w:r w:rsidRPr="004D133A">
              <w:rPr>
                <w:rFonts w:cs="Arial"/>
                <w:sz w:val="20"/>
                <w:lang w:eastAsia="it-CH"/>
              </w:rPr>
              <w:t>Uffici</w:t>
            </w:r>
          </w:p>
        </w:tc>
        <w:tc>
          <w:tcPr>
            <w:tcW w:w="995" w:type="dxa"/>
            <w:tcBorders>
              <w:top w:val="single" w:sz="4" w:space="0" w:color="auto"/>
              <w:bottom w:val="single" w:sz="4" w:space="0" w:color="auto"/>
              <w:right w:val="nil"/>
            </w:tcBorders>
          </w:tcPr>
          <w:p w:rsidR="002E2600" w:rsidRPr="004D133A" w:rsidRDefault="002E2600" w:rsidP="008B721E">
            <w:pPr>
              <w:ind w:right="-396"/>
              <w:jc w:val="center"/>
              <w:rPr>
                <w:rFonts w:cs="Arial"/>
                <w:sz w:val="20"/>
                <w:lang w:eastAsia="it-CH"/>
              </w:rPr>
            </w:pPr>
            <w:r w:rsidRPr="004D133A">
              <w:rPr>
                <w:rFonts w:cs="Arial"/>
                <w:sz w:val="20"/>
                <w:lang w:eastAsia="it-CH"/>
              </w:rPr>
              <w:t>-</w:t>
            </w:r>
          </w:p>
        </w:tc>
        <w:tc>
          <w:tcPr>
            <w:tcW w:w="427" w:type="dxa"/>
            <w:tcBorders>
              <w:top w:val="single" w:sz="4" w:space="0" w:color="auto"/>
              <w:left w:val="nil"/>
              <w:bottom w:val="single" w:sz="4" w:space="0" w:color="auto"/>
            </w:tcBorders>
          </w:tcPr>
          <w:p w:rsidR="002E2600" w:rsidRPr="004D133A" w:rsidRDefault="002E2600" w:rsidP="008B721E">
            <w:pPr>
              <w:ind w:right="-396"/>
              <w:jc w:val="center"/>
              <w:rPr>
                <w:rFonts w:cs="Arial"/>
                <w:sz w:val="20"/>
                <w:lang w:eastAsia="it-CH"/>
              </w:rPr>
            </w:pPr>
          </w:p>
        </w:tc>
        <w:tc>
          <w:tcPr>
            <w:tcW w:w="1132" w:type="dxa"/>
            <w:tcBorders>
              <w:right w:val="nil"/>
            </w:tcBorders>
          </w:tcPr>
          <w:p w:rsidR="002E2600" w:rsidRPr="004D133A" w:rsidRDefault="002E2600" w:rsidP="008B721E">
            <w:pPr>
              <w:ind w:right="-113"/>
              <w:jc w:val="center"/>
              <w:rPr>
                <w:rFonts w:cs="Arial"/>
                <w:sz w:val="20"/>
                <w:lang w:eastAsia="it-CH"/>
              </w:rPr>
            </w:pPr>
            <w:r w:rsidRPr="004D133A">
              <w:rPr>
                <w:rFonts w:cs="Arial"/>
                <w:sz w:val="20"/>
                <w:lang w:eastAsia="it-CH"/>
              </w:rPr>
              <w:t>-</w:t>
            </w:r>
          </w:p>
        </w:tc>
        <w:tc>
          <w:tcPr>
            <w:tcW w:w="286" w:type="dxa"/>
            <w:tcBorders>
              <w:left w:val="nil"/>
            </w:tcBorders>
          </w:tcPr>
          <w:p w:rsidR="002E2600" w:rsidRPr="004D133A" w:rsidRDefault="002E2600" w:rsidP="008B721E">
            <w:pPr>
              <w:ind w:right="-113"/>
              <w:jc w:val="center"/>
              <w:rPr>
                <w:rFonts w:cs="Arial"/>
                <w:sz w:val="20"/>
                <w:lang w:eastAsia="it-CH"/>
              </w:rPr>
            </w:pPr>
          </w:p>
        </w:tc>
        <w:tc>
          <w:tcPr>
            <w:tcW w:w="1136" w:type="dxa"/>
            <w:tcBorders>
              <w:right w:val="nil"/>
            </w:tcBorders>
          </w:tcPr>
          <w:p w:rsidR="002E2600" w:rsidRPr="004D133A" w:rsidRDefault="002E2600" w:rsidP="008B721E">
            <w:pPr>
              <w:ind w:right="-109"/>
              <w:jc w:val="center"/>
              <w:rPr>
                <w:rFonts w:cs="Arial"/>
                <w:sz w:val="20"/>
                <w:lang w:eastAsia="it-CH"/>
              </w:rPr>
            </w:pPr>
            <w:r w:rsidRPr="004D133A">
              <w:rPr>
                <w:rFonts w:cs="Arial"/>
                <w:sz w:val="20"/>
                <w:lang w:eastAsia="it-CH"/>
              </w:rPr>
              <w:t>162.00</w:t>
            </w:r>
          </w:p>
        </w:tc>
        <w:tc>
          <w:tcPr>
            <w:tcW w:w="284" w:type="dxa"/>
            <w:tcBorders>
              <w:left w:val="nil"/>
            </w:tcBorders>
          </w:tcPr>
          <w:p w:rsidR="002E2600" w:rsidRPr="004D133A" w:rsidRDefault="002E2600" w:rsidP="008B721E">
            <w:pPr>
              <w:jc w:val="center"/>
              <w:rPr>
                <w:rFonts w:cs="Arial"/>
                <w:sz w:val="20"/>
                <w:lang w:eastAsia="it-CH"/>
              </w:rPr>
            </w:pPr>
          </w:p>
        </w:tc>
        <w:tc>
          <w:tcPr>
            <w:tcW w:w="1136" w:type="dxa"/>
            <w:tcBorders>
              <w:right w:val="nil"/>
            </w:tcBorders>
          </w:tcPr>
          <w:p w:rsidR="002E2600" w:rsidRPr="004D133A" w:rsidRDefault="002E2600" w:rsidP="008B721E">
            <w:pPr>
              <w:ind w:right="-107"/>
              <w:jc w:val="center"/>
              <w:rPr>
                <w:rFonts w:cs="Arial"/>
                <w:sz w:val="20"/>
                <w:lang w:eastAsia="it-CH"/>
              </w:rPr>
            </w:pPr>
            <w:r w:rsidRPr="004D133A">
              <w:rPr>
                <w:rFonts w:cs="Arial"/>
                <w:sz w:val="20"/>
                <w:lang w:eastAsia="it-CH"/>
              </w:rPr>
              <w:t>-</w:t>
            </w:r>
          </w:p>
        </w:tc>
        <w:tc>
          <w:tcPr>
            <w:tcW w:w="282" w:type="dxa"/>
            <w:tcBorders>
              <w:left w:val="nil"/>
            </w:tcBorders>
          </w:tcPr>
          <w:p w:rsidR="002E2600" w:rsidRPr="004D133A" w:rsidRDefault="002E2600" w:rsidP="008B721E">
            <w:pPr>
              <w:ind w:right="-107"/>
              <w:jc w:val="right"/>
              <w:rPr>
                <w:rFonts w:cs="Arial"/>
                <w:sz w:val="20"/>
                <w:lang w:eastAsia="it-CH"/>
              </w:rPr>
            </w:pPr>
          </w:p>
        </w:tc>
      </w:tr>
      <w:tr w:rsidR="002E2600" w:rsidRPr="004D133A" w:rsidTr="008B721E">
        <w:tc>
          <w:tcPr>
            <w:tcW w:w="1237" w:type="dxa"/>
          </w:tcPr>
          <w:p w:rsidR="002E2600" w:rsidRPr="004D133A" w:rsidRDefault="002E2600" w:rsidP="008B721E">
            <w:pPr>
              <w:rPr>
                <w:rFonts w:cs="Arial"/>
                <w:b/>
                <w:sz w:val="20"/>
                <w:lang w:eastAsia="it-CH"/>
              </w:rPr>
            </w:pPr>
            <w:r w:rsidRPr="004D133A">
              <w:rPr>
                <w:rFonts w:cs="Arial"/>
                <w:b/>
                <w:sz w:val="20"/>
                <w:lang w:eastAsia="it-CH"/>
              </w:rPr>
              <w:t>Totale</w:t>
            </w:r>
          </w:p>
        </w:tc>
        <w:tc>
          <w:tcPr>
            <w:tcW w:w="1131" w:type="dxa"/>
          </w:tcPr>
          <w:p w:rsidR="002E2600" w:rsidRPr="004D133A" w:rsidRDefault="002E2600" w:rsidP="008B721E">
            <w:pPr>
              <w:jc w:val="center"/>
              <w:rPr>
                <w:rFonts w:cs="Arial"/>
                <w:b/>
                <w:sz w:val="20"/>
                <w:lang w:eastAsia="it-CH"/>
              </w:rPr>
            </w:pPr>
          </w:p>
        </w:tc>
        <w:tc>
          <w:tcPr>
            <w:tcW w:w="995" w:type="dxa"/>
            <w:tcBorders>
              <w:top w:val="single" w:sz="4" w:space="0" w:color="auto"/>
              <w:right w:val="nil"/>
            </w:tcBorders>
          </w:tcPr>
          <w:p w:rsidR="002E2600" w:rsidRPr="004D133A" w:rsidRDefault="002E2600" w:rsidP="008B721E">
            <w:pPr>
              <w:ind w:right="-396"/>
              <w:jc w:val="center"/>
              <w:rPr>
                <w:rFonts w:cs="Arial"/>
                <w:b/>
                <w:sz w:val="20"/>
                <w:lang w:eastAsia="it-CH"/>
              </w:rPr>
            </w:pPr>
            <w:r w:rsidRPr="004D133A">
              <w:rPr>
                <w:rFonts w:cs="Arial"/>
                <w:b/>
                <w:sz w:val="20"/>
                <w:lang w:eastAsia="it-CH"/>
              </w:rPr>
              <w:t>304.00</w:t>
            </w:r>
          </w:p>
        </w:tc>
        <w:tc>
          <w:tcPr>
            <w:tcW w:w="427" w:type="dxa"/>
            <w:tcBorders>
              <w:top w:val="single" w:sz="4" w:space="0" w:color="auto"/>
              <w:left w:val="nil"/>
            </w:tcBorders>
          </w:tcPr>
          <w:p w:rsidR="002E2600" w:rsidRPr="004D133A" w:rsidRDefault="002E2600" w:rsidP="008B721E">
            <w:pPr>
              <w:ind w:right="-396"/>
              <w:jc w:val="center"/>
              <w:rPr>
                <w:rFonts w:cs="Arial"/>
                <w:b/>
                <w:sz w:val="20"/>
                <w:lang w:eastAsia="it-CH"/>
              </w:rPr>
            </w:pPr>
          </w:p>
        </w:tc>
        <w:tc>
          <w:tcPr>
            <w:tcW w:w="1132" w:type="dxa"/>
            <w:tcBorders>
              <w:right w:val="nil"/>
            </w:tcBorders>
          </w:tcPr>
          <w:p w:rsidR="002E2600" w:rsidRPr="004D133A" w:rsidRDefault="002E2600" w:rsidP="008B721E">
            <w:pPr>
              <w:ind w:right="-113"/>
              <w:jc w:val="center"/>
              <w:rPr>
                <w:rFonts w:cs="Arial"/>
                <w:b/>
                <w:sz w:val="20"/>
                <w:lang w:eastAsia="it-CH"/>
              </w:rPr>
            </w:pPr>
            <w:r w:rsidRPr="004D133A">
              <w:rPr>
                <w:rFonts w:cs="Arial"/>
                <w:b/>
                <w:sz w:val="20"/>
                <w:lang w:eastAsia="it-CH"/>
              </w:rPr>
              <w:t>194.00</w:t>
            </w:r>
          </w:p>
        </w:tc>
        <w:tc>
          <w:tcPr>
            <w:tcW w:w="286" w:type="dxa"/>
            <w:tcBorders>
              <w:left w:val="nil"/>
            </w:tcBorders>
          </w:tcPr>
          <w:p w:rsidR="002E2600" w:rsidRPr="004D133A" w:rsidRDefault="002E2600" w:rsidP="008B721E">
            <w:pPr>
              <w:ind w:right="-113"/>
              <w:jc w:val="center"/>
              <w:rPr>
                <w:rFonts w:cs="Arial"/>
                <w:b/>
                <w:sz w:val="20"/>
                <w:lang w:eastAsia="it-CH"/>
              </w:rPr>
            </w:pPr>
          </w:p>
        </w:tc>
        <w:tc>
          <w:tcPr>
            <w:tcW w:w="1136" w:type="dxa"/>
            <w:tcBorders>
              <w:right w:val="nil"/>
            </w:tcBorders>
          </w:tcPr>
          <w:p w:rsidR="002E2600" w:rsidRPr="004D133A" w:rsidRDefault="002E2600" w:rsidP="008B721E">
            <w:pPr>
              <w:ind w:right="-109"/>
              <w:jc w:val="center"/>
              <w:rPr>
                <w:rFonts w:cs="Arial"/>
                <w:b/>
                <w:sz w:val="20"/>
                <w:lang w:eastAsia="it-CH"/>
              </w:rPr>
            </w:pPr>
            <w:r w:rsidRPr="004D133A">
              <w:rPr>
                <w:rFonts w:cs="Arial"/>
                <w:b/>
                <w:sz w:val="20"/>
                <w:lang w:eastAsia="it-CH"/>
              </w:rPr>
              <w:t>738.00</w:t>
            </w:r>
          </w:p>
        </w:tc>
        <w:tc>
          <w:tcPr>
            <w:tcW w:w="284" w:type="dxa"/>
            <w:tcBorders>
              <w:left w:val="nil"/>
            </w:tcBorders>
          </w:tcPr>
          <w:p w:rsidR="002E2600" w:rsidRPr="004D133A" w:rsidRDefault="002E2600" w:rsidP="008B721E">
            <w:pPr>
              <w:jc w:val="center"/>
              <w:rPr>
                <w:rFonts w:cs="Arial"/>
                <w:b/>
                <w:sz w:val="20"/>
                <w:lang w:eastAsia="it-CH"/>
              </w:rPr>
            </w:pPr>
          </w:p>
        </w:tc>
        <w:tc>
          <w:tcPr>
            <w:tcW w:w="1136" w:type="dxa"/>
            <w:tcBorders>
              <w:right w:val="nil"/>
            </w:tcBorders>
          </w:tcPr>
          <w:p w:rsidR="002E2600" w:rsidRPr="004D133A" w:rsidRDefault="002E2600" w:rsidP="008B721E">
            <w:pPr>
              <w:ind w:right="-107"/>
              <w:jc w:val="center"/>
              <w:rPr>
                <w:rFonts w:cs="Arial"/>
                <w:b/>
                <w:sz w:val="20"/>
                <w:lang w:eastAsia="it-CH"/>
              </w:rPr>
            </w:pPr>
            <w:r w:rsidRPr="004D133A">
              <w:rPr>
                <w:rFonts w:cs="Arial"/>
                <w:b/>
                <w:sz w:val="20"/>
                <w:lang w:eastAsia="it-CH"/>
              </w:rPr>
              <w:t>347.00</w:t>
            </w:r>
          </w:p>
        </w:tc>
        <w:tc>
          <w:tcPr>
            <w:tcW w:w="282" w:type="dxa"/>
            <w:tcBorders>
              <w:left w:val="nil"/>
            </w:tcBorders>
          </w:tcPr>
          <w:p w:rsidR="002E2600" w:rsidRPr="004D133A" w:rsidRDefault="002E2600" w:rsidP="008B721E">
            <w:pPr>
              <w:ind w:right="-107"/>
              <w:jc w:val="right"/>
              <w:rPr>
                <w:rFonts w:cs="Arial"/>
                <w:b/>
                <w:sz w:val="20"/>
                <w:lang w:eastAsia="it-CH"/>
              </w:rPr>
            </w:pPr>
          </w:p>
        </w:tc>
      </w:tr>
    </w:tbl>
    <w:p w:rsidR="002E2600" w:rsidRPr="00F246A0" w:rsidRDefault="002E2600" w:rsidP="002E2600">
      <w:pPr>
        <w:spacing w:after="60"/>
        <w:ind w:left="709"/>
        <w:jc w:val="left"/>
        <w:rPr>
          <w:rFonts w:cs="Arial"/>
          <w:sz w:val="19"/>
          <w:szCs w:val="19"/>
          <w:lang w:eastAsia="it-CH"/>
        </w:rPr>
      </w:pPr>
      <w:r w:rsidRPr="004D133A">
        <w:rPr>
          <w:rFonts w:cs="Arial"/>
          <w:sz w:val="20"/>
          <w:lang w:eastAsia="it-CH"/>
        </w:rPr>
        <w:t xml:space="preserve"> </w:t>
      </w:r>
      <w:r w:rsidRPr="00F246A0">
        <w:rPr>
          <w:rFonts w:cs="Arial"/>
          <w:sz w:val="18"/>
          <w:szCs w:val="18"/>
          <w:lang w:eastAsia="it-CH"/>
        </w:rPr>
        <w:t>*</w:t>
      </w:r>
      <w:r w:rsidRPr="00F246A0">
        <w:rPr>
          <w:rFonts w:cs="Arial"/>
          <w:sz w:val="19"/>
          <w:szCs w:val="19"/>
          <w:lang w:eastAsia="it-CH"/>
        </w:rPr>
        <w:t xml:space="preserve">Situazione futura - Criteri e base di calcolo per la superfice delle postazioni di lavoro: </w:t>
      </w:r>
    </w:p>
    <w:p w:rsidR="002E2600" w:rsidRPr="00F246A0" w:rsidRDefault="002E2600" w:rsidP="002E2600">
      <w:pPr>
        <w:ind w:firstLine="284"/>
        <w:jc w:val="left"/>
        <w:rPr>
          <w:rFonts w:cs="Arial"/>
          <w:sz w:val="19"/>
          <w:szCs w:val="19"/>
          <w:lang w:eastAsia="it-CH"/>
        </w:rPr>
      </w:pPr>
      <w:r w:rsidRPr="00F246A0">
        <w:rPr>
          <w:rFonts w:cs="Arial"/>
          <w:sz w:val="19"/>
          <w:szCs w:val="19"/>
          <w:lang w:eastAsia="it-CH"/>
        </w:rPr>
        <w:tab/>
        <w:t xml:space="preserve">- Basi legali, subordinate a vincoli strutturali dell’edificio esistente </w:t>
      </w:r>
    </w:p>
    <w:p w:rsidR="002E2600" w:rsidRPr="00F246A0" w:rsidRDefault="002E2600" w:rsidP="002E2600">
      <w:pPr>
        <w:ind w:firstLine="709"/>
        <w:jc w:val="left"/>
        <w:rPr>
          <w:rFonts w:cs="Arial"/>
          <w:sz w:val="19"/>
          <w:szCs w:val="19"/>
          <w:lang w:eastAsia="it-CH"/>
        </w:rPr>
      </w:pPr>
      <w:r w:rsidRPr="00F246A0">
        <w:rPr>
          <w:rFonts w:cs="Arial"/>
          <w:sz w:val="19"/>
          <w:szCs w:val="19"/>
          <w:lang w:eastAsia="it-CH"/>
        </w:rPr>
        <w:t>- RG n.1928 dell’11 maggio 2004</w:t>
      </w:r>
    </w:p>
    <w:p w:rsidR="002E2600" w:rsidRPr="00F246A0" w:rsidRDefault="002E2600" w:rsidP="002E2600">
      <w:pPr>
        <w:ind w:firstLine="284"/>
        <w:jc w:val="left"/>
        <w:rPr>
          <w:rFonts w:cs="Arial"/>
          <w:sz w:val="19"/>
          <w:szCs w:val="19"/>
          <w:lang w:eastAsia="it-CH"/>
        </w:rPr>
      </w:pPr>
      <w:r w:rsidRPr="00F246A0">
        <w:rPr>
          <w:rFonts w:cs="Arial"/>
          <w:sz w:val="19"/>
          <w:szCs w:val="19"/>
          <w:lang w:eastAsia="it-CH"/>
        </w:rPr>
        <w:tab/>
        <w:t>- art.</w:t>
      </w:r>
      <w:r>
        <w:rPr>
          <w:rFonts w:cs="Arial"/>
          <w:sz w:val="19"/>
          <w:szCs w:val="19"/>
          <w:lang w:eastAsia="it-CH"/>
        </w:rPr>
        <w:t xml:space="preserve"> </w:t>
      </w:r>
      <w:r w:rsidRPr="00F246A0">
        <w:rPr>
          <w:rFonts w:cs="Arial"/>
          <w:sz w:val="19"/>
          <w:szCs w:val="19"/>
          <w:lang w:eastAsia="it-CH"/>
        </w:rPr>
        <w:t xml:space="preserve">24 - Ordinanza 3, Legge sul lavoro (OLL) </w:t>
      </w:r>
    </w:p>
    <w:p w:rsidR="002E2600" w:rsidRDefault="002E2600" w:rsidP="00EE2592">
      <w:pPr>
        <w:rPr>
          <w:lang w:eastAsia="it-CH"/>
        </w:rPr>
      </w:pPr>
    </w:p>
    <w:p w:rsidR="00EE2592" w:rsidRDefault="00EE2592" w:rsidP="00EE2592">
      <w:pPr>
        <w:rPr>
          <w:lang w:eastAsia="it-CH"/>
        </w:rPr>
      </w:pPr>
    </w:p>
    <w:p w:rsidR="002E2600" w:rsidRPr="00031793" w:rsidRDefault="002E2600" w:rsidP="002E2600">
      <w:pPr>
        <w:tabs>
          <w:tab w:val="left" w:pos="567"/>
        </w:tabs>
        <w:spacing w:after="120"/>
        <w:jc w:val="left"/>
        <w:rPr>
          <w:rFonts w:cs="Arial"/>
          <w:b/>
          <w:szCs w:val="24"/>
          <w:lang w:eastAsia="it-CH"/>
        </w:rPr>
      </w:pPr>
      <w:r>
        <w:rPr>
          <w:rFonts w:cs="Arial"/>
          <w:b/>
          <w:szCs w:val="24"/>
          <w:lang w:eastAsia="it-CH"/>
        </w:rPr>
        <w:t>2.3</w:t>
      </w:r>
      <w:r>
        <w:rPr>
          <w:rFonts w:cs="Arial"/>
          <w:b/>
          <w:szCs w:val="24"/>
          <w:lang w:eastAsia="it-CH"/>
        </w:rPr>
        <w:tab/>
      </w:r>
      <w:r w:rsidRPr="00031793">
        <w:rPr>
          <w:rFonts w:cs="Arial"/>
          <w:b/>
          <w:szCs w:val="24"/>
          <w:lang w:eastAsia="it-CH"/>
        </w:rPr>
        <w:t xml:space="preserve">Interventi previsti </w:t>
      </w:r>
    </w:p>
    <w:p w:rsidR="002E2600" w:rsidRPr="00031793" w:rsidRDefault="002E2600" w:rsidP="002E2600">
      <w:pPr>
        <w:tabs>
          <w:tab w:val="left" w:pos="3420"/>
        </w:tabs>
        <w:spacing w:after="120"/>
        <w:rPr>
          <w:rFonts w:cs="Arial"/>
          <w:szCs w:val="24"/>
          <w:lang w:eastAsia="it-CH"/>
        </w:rPr>
      </w:pPr>
      <w:r w:rsidRPr="00031793">
        <w:rPr>
          <w:rFonts w:cs="Arial"/>
          <w:szCs w:val="24"/>
          <w:lang w:eastAsia="it-CH"/>
        </w:rPr>
        <w:t>Gli ulteriori spazi messi a disposizione al secondo e al terzo piano (sottotetto) sono nel complesso in buono stato e pertanto richiedono unicamente interventi di adattamento tecnico-edili agli standard cantonali e alle esigenze dei servizi che verranno insediati, che riepiloghiamo di seguito conformemente ai piani allegati:</w:t>
      </w:r>
    </w:p>
    <w:p w:rsidR="002E2600" w:rsidRPr="00031793" w:rsidRDefault="002E2600" w:rsidP="002E2600">
      <w:pPr>
        <w:numPr>
          <w:ilvl w:val="0"/>
          <w:numId w:val="6"/>
        </w:numPr>
        <w:spacing w:after="120"/>
        <w:ind w:left="425" w:hanging="425"/>
        <w:rPr>
          <w:rFonts w:cs="Arial"/>
          <w:szCs w:val="24"/>
          <w:lang w:eastAsia="it-CH"/>
        </w:rPr>
      </w:pPr>
      <w:r>
        <w:rPr>
          <w:rFonts w:cs="Arial"/>
          <w:szCs w:val="24"/>
          <w:lang w:eastAsia="it-CH"/>
        </w:rPr>
        <w:t>r</w:t>
      </w:r>
      <w:r w:rsidRPr="00031793">
        <w:rPr>
          <w:rFonts w:cs="Arial"/>
          <w:szCs w:val="24"/>
          <w:lang w:eastAsia="it-CH"/>
        </w:rPr>
        <w:t xml:space="preserve">imozione e/o demolizione di arredo fisso esistente; </w:t>
      </w:r>
    </w:p>
    <w:p w:rsidR="002E2600" w:rsidRPr="00031793" w:rsidRDefault="002E2600" w:rsidP="002E2600">
      <w:pPr>
        <w:numPr>
          <w:ilvl w:val="0"/>
          <w:numId w:val="6"/>
        </w:numPr>
        <w:spacing w:after="120"/>
        <w:ind w:left="425" w:hanging="425"/>
        <w:rPr>
          <w:rFonts w:cs="Arial"/>
          <w:szCs w:val="24"/>
          <w:lang w:eastAsia="it-CH"/>
        </w:rPr>
      </w:pPr>
      <w:r>
        <w:rPr>
          <w:rFonts w:cs="Arial"/>
          <w:szCs w:val="24"/>
          <w:lang w:eastAsia="it-CH"/>
        </w:rPr>
        <w:t>e</w:t>
      </w:r>
      <w:r w:rsidRPr="00031793">
        <w:rPr>
          <w:rFonts w:cs="Arial"/>
          <w:szCs w:val="24"/>
          <w:lang w:eastAsia="it-CH"/>
        </w:rPr>
        <w:t xml:space="preserve">secuzione di </w:t>
      </w:r>
      <w:r>
        <w:rPr>
          <w:rFonts w:cs="Arial"/>
          <w:szCs w:val="24"/>
          <w:lang w:eastAsia="it-CH"/>
        </w:rPr>
        <w:t xml:space="preserve">una </w:t>
      </w:r>
      <w:r w:rsidRPr="00031793">
        <w:rPr>
          <w:rFonts w:cs="Arial"/>
          <w:szCs w:val="24"/>
          <w:lang w:eastAsia="it-CH"/>
        </w:rPr>
        <w:t xml:space="preserve">parete divisoria e nuova porta per la formazione di un nuovo ufficio; </w:t>
      </w:r>
    </w:p>
    <w:p w:rsidR="002E2600" w:rsidRPr="00031793" w:rsidRDefault="002E2600" w:rsidP="002E2600">
      <w:pPr>
        <w:numPr>
          <w:ilvl w:val="0"/>
          <w:numId w:val="6"/>
        </w:numPr>
        <w:spacing w:after="120"/>
        <w:ind w:left="425" w:hanging="425"/>
        <w:rPr>
          <w:rFonts w:cs="Arial"/>
          <w:szCs w:val="24"/>
          <w:lang w:eastAsia="it-CH"/>
        </w:rPr>
      </w:pPr>
      <w:r>
        <w:rPr>
          <w:rFonts w:cs="Arial"/>
          <w:szCs w:val="24"/>
          <w:lang w:eastAsia="it-CH"/>
        </w:rPr>
        <w:t>l</w:t>
      </w:r>
      <w:r w:rsidRPr="00031793">
        <w:rPr>
          <w:rFonts w:cs="Arial"/>
          <w:szCs w:val="24"/>
          <w:lang w:eastAsia="it-CH"/>
        </w:rPr>
        <w:t>avori di adattamento e implementazione impianto elettrico, di illuminazione e cablaggi CSI;</w:t>
      </w:r>
    </w:p>
    <w:p w:rsidR="002E2600" w:rsidRPr="00031793" w:rsidRDefault="002E2600" w:rsidP="002E2600">
      <w:pPr>
        <w:numPr>
          <w:ilvl w:val="0"/>
          <w:numId w:val="6"/>
        </w:numPr>
        <w:spacing w:after="120"/>
        <w:ind w:left="425" w:hanging="425"/>
        <w:rPr>
          <w:rFonts w:cs="Arial"/>
          <w:szCs w:val="24"/>
          <w:lang w:eastAsia="it-CH"/>
        </w:rPr>
      </w:pPr>
      <w:r>
        <w:rPr>
          <w:rFonts w:cs="Arial"/>
          <w:szCs w:val="24"/>
          <w:lang w:eastAsia="it-CH"/>
        </w:rPr>
        <w:t>l</w:t>
      </w:r>
      <w:r w:rsidRPr="00031793">
        <w:rPr>
          <w:rFonts w:cs="Arial"/>
          <w:szCs w:val="24"/>
          <w:lang w:eastAsia="it-CH"/>
        </w:rPr>
        <w:t>avori di tinteggio;</w:t>
      </w:r>
    </w:p>
    <w:p w:rsidR="002E2600" w:rsidRPr="00031793" w:rsidRDefault="002E2600" w:rsidP="002E2600">
      <w:pPr>
        <w:numPr>
          <w:ilvl w:val="0"/>
          <w:numId w:val="6"/>
        </w:numPr>
        <w:spacing w:after="120"/>
        <w:ind w:left="425" w:hanging="425"/>
        <w:rPr>
          <w:rFonts w:cs="Arial"/>
          <w:szCs w:val="24"/>
          <w:lang w:eastAsia="it-CH"/>
        </w:rPr>
      </w:pPr>
      <w:r>
        <w:rPr>
          <w:rFonts w:cs="Arial"/>
          <w:szCs w:val="24"/>
          <w:lang w:eastAsia="it-CH"/>
        </w:rPr>
        <w:t>f</w:t>
      </w:r>
      <w:r w:rsidRPr="00031793">
        <w:rPr>
          <w:rFonts w:cs="Arial"/>
          <w:szCs w:val="24"/>
          <w:lang w:eastAsia="it-CH"/>
        </w:rPr>
        <w:t>ornitura nuovo mobilio e lampade a stelo;</w:t>
      </w:r>
    </w:p>
    <w:p w:rsidR="002E2600" w:rsidRDefault="002E2600" w:rsidP="002E2600">
      <w:pPr>
        <w:numPr>
          <w:ilvl w:val="0"/>
          <w:numId w:val="6"/>
        </w:numPr>
        <w:ind w:left="426" w:hanging="426"/>
        <w:contextualSpacing/>
        <w:rPr>
          <w:rFonts w:cs="Arial"/>
          <w:szCs w:val="24"/>
          <w:lang w:eastAsia="it-CH"/>
        </w:rPr>
      </w:pPr>
      <w:r>
        <w:rPr>
          <w:rFonts w:cs="Arial"/>
          <w:szCs w:val="24"/>
          <w:lang w:eastAsia="it-CH"/>
        </w:rPr>
        <w:t>l</w:t>
      </w:r>
      <w:r w:rsidRPr="00031793">
        <w:rPr>
          <w:rFonts w:cs="Arial"/>
          <w:szCs w:val="24"/>
          <w:lang w:eastAsia="it-CH"/>
        </w:rPr>
        <w:t>avori di ampliamento piano chiavi esistente.</w:t>
      </w:r>
    </w:p>
    <w:p w:rsidR="002E2600" w:rsidRDefault="002E2600" w:rsidP="002E2600">
      <w:pPr>
        <w:contextualSpacing/>
        <w:jc w:val="left"/>
        <w:rPr>
          <w:rFonts w:cs="Arial"/>
          <w:szCs w:val="24"/>
          <w:lang w:eastAsia="it-CH"/>
        </w:rPr>
      </w:pPr>
    </w:p>
    <w:p w:rsidR="002E2600" w:rsidRDefault="002E2600" w:rsidP="002E2600">
      <w:pPr>
        <w:contextualSpacing/>
        <w:jc w:val="left"/>
        <w:rPr>
          <w:rFonts w:cs="Arial"/>
          <w:szCs w:val="24"/>
          <w:lang w:eastAsia="it-CH"/>
        </w:rPr>
      </w:pPr>
    </w:p>
    <w:p w:rsidR="002E2600" w:rsidRPr="00031793" w:rsidRDefault="002E2600" w:rsidP="002E2600">
      <w:pPr>
        <w:contextualSpacing/>
        <w:jc w:val="left"/>
        <w:rPr>
          <w:rFonts w:cs="Arial"/>
          <w:szCs w:val="24"/>
          <w:lang w:eastAsia="it-CH"/>
        </w:rPr>
      </w:pPr>
    </w:p>
    <w:p w:rsidR="00326E52" w:rsidRDefault="00326E52">
      <w:pPr>
        <w:rPr>
          <w:b/>
          <w:caps/>
          <w:szCs w:val="24"/>
          <w:lang w:val="it-IT" w:eastAsia="it-IT"/>
        </w:rPr>
      </w:pPr>
      <w:r>
        <w:br w:type="page"/>
      </w:r>
    </w:p>
    <w:p w:rsidR="002E2600" w:rsidRPr="00361F41" w:rsidRDefault="002E2600" w:rsidP="00EE2592">
      <w:pPr>
        <w:pStyle w:val="Titolo1"/>
      </w:pPr>
      <w:r w:rsidRPr="00361F41">
        <w:lastRenderedPageBreak/>
        <w:t>CONSEGUENZE FINANZIARIE</w:t>
      </w:r>
    </w:p>
    <w:p w:rsidR="002E2600" w:rsidRPr="00DB0D5B" w:rsidRDefault="002E2600" w:rsidP="002E2600">
      <w:pPr>
        <w:pStyle w:val="Titolo2"/>
        <w:spacing w:before="120"/>
      </w:pPr>
      <w:r>
        <w:t>3.1</w:t>
      </w:r>
      <w:r>
        <w:tab/>
        <w:t>Investimento</w:t>
      </w:r>
    </w:p>
    <w:p w:rsidR="002E2600" w:rsidRPr="00267454" w:rsidRDefault="002E2600" w:rsidP="002E2600">
      <w:pPr>
        <w:spacing w:before="120" w:after="160"/>
        <w:rPr>
          <w:rFonts w:cs="Arial"/>
        </w:rPr>
      </w:pPr>
      <w:r w:rsidRPr="00267454">
        <w:rPr>
          <w:rFonts w:cs="Arial"/>
        </w:rPr>
        <w:t>Costi totali di progetto e realizzazione:</w:t>
      </w:r>
    </w:p>
    <w:p w:rsidR="002E2600" w:rsidRPr="00267454" w:rsidRDefault="002E2600" w:rsidP="002E2600">
      <w:pPr>
        <w:spacing w:before="120" w:after="360"/>
        <w:rPr>
          <w:rFonts w:cs="Arial"/>
        </w:rPr>
      </w:pPr>
      <w:r w:rsidRPr="00267454">
        <w:rPr>
          <w:rFonts w:cs="Arial"/>
        </w:rPr>
        <w:t xml:space="preserve">Base: codice dei costi di costruzioni </w:t>
      </w:r>
      <w:proofErr w:type="spellStart"/>
      <w:r w:rsidRPr="00267454">
        <w:rPr>
          <w:rFonts w:cs="Arial"/>
        </w:rPr>
        <w:t>eCCC</w:t>
      </w:r>
      <w:proofErr w:type="spellEnd"/>
      <w:r w:rsidRPr="00267454">
        <w:rPr>
          <w:rFonts w:cs="Arial"/>
        </w:rPr>
        <w:t>-E SN 506511</w:t>
      </w:r>
    </w:p>
    <w:bookmarkStart w:id="1" w:name="_MON_1534072734"/>
    <w:bookmarkEnd w:id="1"/>
    <w:p w:rsidR="002E2600" w:rsidRPr="007313DF" w:rsidRDefault="0021084B" w:rsidP="00EE2592">
      <w:r w:rsidRPr="007313DF">
        <w:object w:dxaOrig="8217" w:dyaOrig="8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2pt;height:387.6pt" o:ole="">
            <v:imagedata r:id="rId9" o:title=""/>
          </v:shape>
          <o:OLEObject Type="Embed" ProgID="Excel.Sheet.12" ShapeID="_x0000_i1025" DrawAspect="Content" ObjectID="_1600074045" r:id="rId10"/>
        </w:object>
      </w:r>
    </w:p>
    <w:p w:rsidR="002E2600" w:rsidRPr="007313DF" w:rsidRDefault="002E2600" w:rsidP="00EE2592"/>
    <w:p w:rsidR="002E2600" w:rsidRPr="00267454" w:rsidRDefault="002E2600" w:rsidP="00EE2592">
      <w:pPr>
        <w:pStyle w:val="Titolo2"/>
        <w:tabs>
          <w:tab w:val="clear" w:pos="567"/>
          <w:tab w:val="left" w:pos="709"/>
        </w:tabs>
        <w:rPr>
          <w:szCs w:val="24"/>
        </w:rPr>
      </w:pPr>
      <w:r w:rsidRPr="00267454">
        <w:rPr>
          <w:szCs w:val="24"/>
        </w:rPr>
        <w:t>3.2</w:t>
      </w:r>
      <w:r w:rsidRPr="00267454">
        <w:rPr>
          <w:szCs w:val="24"/>
        </w:rPr>
        <w:tab/>
        <w:t>Spese di gestione corrente</w:t>
      </w:r>
    </w:p>
    <w:p w:rsidR="002E2600" w:rsidRPr="00EE2592" w:rsidRDefault="002E2600" w:rsidP="00EE2592">
      <w:pPr>
        <w:pStyle w:val="Titolo4"/>
        <w:tabs>
          <w:tab w:val="left" w:pos="709"/>
        </w:tabs>
        <w:rPr>
          <w:i/>
          <w:sz w:val="23"/>
          <w:szCs w:val="23"/>
        </w:rPr>
      </w:pPr>
      <w:r w:rsidRPr="00EE2592">
        <w:rPr>
          <w:i/>
          <w:sz w:val="23"/>
          <w:szCs w:val="23"/>
        </w:rPr>
        <w:t>3.2.1</w:t>
      </w:r>
      <w:r w:rsidR="00EE2592" w:rsidRPr="00EE2592">
        <w:rPr>
          <w:i/>
          <w:sz w:val="23"/>
          <w:szCs w:val="23"/>
        </w:rPr>
        <w:tab/>
      </w:r>
      <w:r w:rsidRPr="00EE2592">
        <w:rPr>
          <w:i/>
          <w:sz w:val="23"/>
          <w:szCs w:val="23"/>
        </w:rPr>
        <w:t>Contratti di locazione in essere</w:t>
      </w:r>
    </w:p>
    <w:p w:rsidR="002E2600" w:rsidRPr="00267454" w:rsidRDefault="002E2600" w:rsidP="002E2600">
      <w:pPr>
        <w:jc w:val="left"/>
        <w:rPr>
          <w:rFonts w:cs="Arial"/>
          <w:szCs w:val="24"/>
          <w:lang w:eastAsia="it-CH"/>
        </w:rPr>
      </w:pPr>
      <w:r w:rsidRPr="00267454">
        <w:rPr>
          <w:rFonts w:cs="Arial"/>
          <w:szCs w:val="24"/>
          <w:lang w:eastAsia="it-CH"/>
        </w:rPr>
        <w:t>Per gli attuali spazi amministrativi attribuiti ai due Uffici in discussione, i contratti di locazione vigenti sono:</w:t>
      </w:r>
    </w:p>
    <w:p w:rsidR="002E2600" w:rsidRPr="00267454" w:rsidRDefault="002E2600" w:rsidP="002E2600">
      <w:pPr>
        <w:jc w:val="left"/>
        <w:rPr>
          <w:rFonts w:cs="Arial"/>
          <w:szCs w:val="24"/>
          <w:lang w:eastAsia="it-CH"/>
        </w:rPr>
      </w:pPr>
    </w:p>
    <w:p w:rsidR="002E2600" w:rsidRPr="00267454" w:rsidRDefault="002E2600" w:rsidP="002E2600">
      <w:pPr>
        <w:jc w:val="left"/>
        <w:rPr>
          <w:rFonts w:cs="Arial"/>
          <w:szCs w:val="24"/>
          <w:lang w:eastAsia="it-CH"/>
        </w:rPr>
      </w:pPr>
      <w:r w:rsidRPr="00267454">
        <w:rPr>
          <w:rFonts w:cs="Arial"/>
          <w:b/>
          <w:szCs w:val="24"/>
          <w:lang w:eastAsia="it-CH"/>
        </w:rPr>
        <w:t>Tabella delle attuali spese di gestione corrente annuali:</w:t>
      </w:r>
    </w:p>
    <w:p w:rsidR="002E2600" w:rsidRPr="00267454" w:rsidRDefault="002E2600" w:rsidP="002E2600">
      <w:pPr>
        <w:jc w:val="left"/>
        <w:rPr>
          <w:rFonts w:cs="Arial"/>
          <w:szCs w:val="24"/>
          <w:lang w:eastAsia="it-CH"/>
        </w:rPr>
      </w:pPr>
    </w:p>
    <w:tbl>
      <w:tblPr>
        <w:tblStyle w:val="Grigliatabella"/>
        <w:tblpPr w:leftFromText="141" w:rightFromText="141" w:vertAnchor="text" w:horzAnchor="margin" w:tblpXSpec="center" w:tblpY="16"/>
        <w:tblW w:w="9637" w:type="dxa"/>
        <w:tblLook w:val="04A0" w:firstRow="1" w:lastRow="0" w:firstColumn="1" w:lastColumn="0" w:noHBand="0" w:noVBand="1"/>
      </w:tblPr>
      <w:tblGrid>
        <w:gridCol w:w="2865"/>
        <w:gridCol w:w="1693"/>
        <w:gridCol w:w="1693"/>
        <w:gridCol w:w="1693"/>
        <w:gridCol w:w="1693"/>
      </w:tblGrid>
      <w:tr w:rsidR="002E2600" w:rsidRPr="00267454" w:rsidTr="008B721E">
        <w:tc>
          <w:tcPr>
            <w:tcW w:w="2865" w:type="dxa"/>
          </w:tcPr>
          <w:p w:rsidR="002E2600" w:rsidRPr="0021084B" w:rsidRDefault="002E2600" w:rsidP="008B721E">
            <w:pPr>
              <w:rPr>
                <w:rFonts w:cs="Arial"/>
                <w:b/>
                <w:sz w:val="22"/>
                <w:lang w:eastAsia="it-CH"/>
              </w:rPr>
            </w:pPr>
            <w:r w:rsidRPr="0021084B">
              <w:rPr>
                <w:rFonts w:cs="Arial"/>
                <w:b/>
                <w:sz w:val="22"/>
                <w:lang w:eastAsia="it-CH"/>
              </w:rPr>
              <w:t>E4589 Attribuzione</w:t>
            </w:r>
          </w:p>
        </w:tc>
        <w:tc>
          <w:tcPr>
            <w:tcW w:w="1693"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 xml:space="preserve">Superfice </w:t>
            </w:r>
          </w:p>
        </w:tc>
        <w:tc>
          <w:tcPr>
            <w:tcW w:w="1693"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Costi di locazione annui</w:t>
            </w:r>
          </w:p>
        </w:tc>
        <w:tc>
          <w:tcPr>
            <w:tcW w:w="1693"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Spese accessorie</w:t>
            </w:r>
          </w:p>
        </w:tc>
        <w:tc>
          <w:tcPr>
            <w:tcW w:w="1693"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Costi di pulizia</w:t>
            </w:r>
          </w:p>
        </w:tc>
      </w:tr>
      <w:tr w:rsidR="002E2600" w:rsidRPr="00267454" w:rsidTr="008B721E">
        <w:tc>
          <w:tcPr>
            <w:tcW w:w="2865" w:type="dxa"/>
          </w:tcPr>
          <w:p w:rsidR="002E2600" w:rsidRPr="0021084B" w:rsidRDefault="002E2600" w:rsidP="008B721E">
            <w:pPr>
              <w:spacing w:before="40" w:after="40"/>
              <w:rPr>
                <w:rFonts w:cs="Arial"/>
                <w:sz w:val="22"/>
                <w:lang w:eastAsia="it-CH"/>
              </w:rPr>
            </w:pPr>
            <w:r w:rsidRPr="0021084B">
              <w:rPr>
                <w:rFonts w:cs="Arial"/>
                <w:sz w:val="22"/>
                <w:lang w:eastAsia="it-CH"/>
              </w:rPr>
              <w:t>Archivio PT  UVC - UMC</w:t>
            </w:r>
          </w:p>
        </w:tc>
        <w:tc>
          <w:tcPr>
            <w:tcW w:w="1693" w:type="dxa"/>
          </w:tcPr>
          <w:p w:rsidR="002E2600" w:rsidRPr="0021084B" w:rsidRDefault="002E2600" w:rsidP="008B721E">
            <w:pPr>
              <w:spacing w:before="40" w:after="40"/>
              <w:jc w:val="right"/>
              <w:rPr>
                <w:rFonts w:cs="Arial"/>
                <w:sz w:val="22"/>
                <w:lang w:eastAsia="it-CH"/>
              </w:rPr>
            </w:pPr>
            <w:r w:rsidRPr="0021084B">
              <w:rPr>
                <w:rFonts w:cs="Arial"/>
                <w:sz w:val="22"/>
                <w:lang w:eastAsia="it-CH"/>
              </w:rPr>
              <w:t>mq   88</w:t>
            </w:r>
          </w:p>
        </w:tc>
        <w:tc>
          <w:tcPr>
            <w:tcW w:w="1693" w:type="dxa"/>
          </w:tcPr>
          <w:p w:rsidR="002E2600" w:rsidRPr="0021084B" w:rsidRDefault="002E2600" w:rsidP="008B721E">
            <w:pPr>
              <w:spacing w:before="40" w:after="40"/>
              <w:jc w:val="right"/>
              <w:rPr>
                <w:rFonts w:cs="Arial"/>
                <w:sz w:val="22"/>
                <w:lang w:eastAsia="it-CH"/>
              </w:rPr>
            </w:pPr>
            <w:r w:rsidRPr="0021084B">
              <w:rPr>
                <w:rFonts w:cs="Arial"/>
                <w:sz w:val="22"/>
                <w:lang w:eastAsia="it-CH"/>
              </w:rPr>
              <w:t>5'840.-</w:t>
            </w:r>
          </w:p>
        </w:tc>
        <w:tc>
          <w:tcPr>
            <w:tcW w:w="1693" w:type="dxa"/>
          </w:tcPr>
          <w:p w:rsidR="002E2600" w:rsidRPr="0021084B" w:rsidRDefault="002E2600" w:rsidP="008B721E">
            <w:pPr>
              <w:spacing w:before="40" w:after="40"/>
              <w:jc w:val="right"/>
              <w:rPr>
                <w:rFonts w:cs="Arial"/>
                <w:sz w:val="22"/>
                <w:lang w:eastAsia="it-CH"/>
              </w:rPr>
            </w:pPr>
            <w:r w:rsidRPr="0021084B">
              <w:rPr>
                <w:rFonts w:cs="Arial"/>
                <w:sz w:val="22"/>
                <w:lang w:eastAsia="it-CH"/>
              </w:rPr>
              <w:t>0.-</w:t>
            </w:r>
          </w:p>
        </w:tc>
        <w:tc>
          <w:tcPr>
            <w:tcW w:w="1693" w:type="dxa"/>
          </w:tcPr>
          <w:p w:rsidR="002E2600" w:rsidRPr="0021084B" w:rsidRDefault="002E2600" w:rsidP="008B721E">
            <w:pPr>
              <w:spacing w:before="40" w:after="40"/>
              <w:jc w:val="right"/>
              <w:rPr>
                <w:rFonts w:cs="Arial"/>
                <w:sz w:val="22"/>
                <w:lang w:eastAsia="it-CH"/>
              </w:rPr>
            </w:pPr>
            <w:r w:rsidRPr="0021084B">
              <w:rPr>
                <w:rFonts w:cs="Arial"/>
                <w:sz w:val="22"/>
                <w:lang w:eastAsia="it-CH"/>
              </w:rPr>
              <w:t>0.-</w:t>
            </w:r>
          </w:p>
        </w:tc>
      </w:tr>
      <w:tr w:rsidR="002E2600" w:rsidRPr="00267454" w:rsidTr="008B721E">
        <w:tc>
          <w:tcPr>
            <w:tcW w:w="2865" w:type="dxa"/>
          </w:tcPr>
          <w:p w:rsidR="002E2600" w:rsidRPr="0021084B" w:rsidRDefault="002E2600" w:rsidP="008B721E">
            <w:pPr>
              <w:spacing w:before="40" w:after="40"/>
              <w:rPr>
                <w:rFonts w:cs="Arial"/>
                <w:sz w:val="22"/>
                <w:lang w:eastAsia="it-CH"/>
              </w:rPr>
            </w:pPr>
            <w:r w:rsidRPr="0021084B">
              <w:rPr>
                <w:rFonts w:cs="Arial"/>
                <w:sz w:val="22"/>
                <w:lang w:eastAsia="it-CH"/>
              </w:rPr>
              <w:t>Uffici PT       UVC</w:t>
            </w:r>
          </w:p>
        </w:tc>
        <w:tc>
          <w:tcPr>
            <w:tcW w:w="1693" w:type="dxa"/>
          </w:tcPr>
          <w:p w:rsidR="002E2600" w:rsidRPr="0021084B" w:rsidRDefault="002E2600" w:rsidP="008B721E">
            <w:pPr>
              <w:spacing w:before="40" w:after="40"/>
              <w:jc w:val="right"/>
              <w:rPr>
                <w:rFonts w:cs="Arial"/>
                <w:sz w:val="22"/>
                <w:lang w:eastAsia="it-CH"/>
              </w:rPr>
            </w:pPr>
            <w:r w:rsidRPr="0021084B">
              <w:rPr>
                <w:rFonts w:cs="Arial"/>
                <w:sz w:val="22"/>
                <w:lang w:eastAsia="it-CH"/>
              </w:rPr>
              <w:t>mq 139</w:t>
            </w:r>
          </w:p>
        </w:tc>
        <w:tc>
          <w:tcPr>
            <w:tcW w:w="1693" w:type="dxa"/>
          </w:tcPr>
          <w:p w:rsidR="002E2600" w:rsidRPr="0021084B" w:rsidRDefault="002E2600" w:rsidP="008B721E">
            <w:pPr>
              <w:spacing w:before="40" w:after="40"/>
              <w:jc w:val="right"/>
              <w:rPr>
                <w:rFonts w:cs="Arial"/>
                <w:sz w:val="22"/>
                <w:lang w:eastAsia="it-CH"/>
              </w:rPr>
            </w:pPr>
            <w:r w:rsidRPr="0021084B">
              <w:rPr>
                <w:rFonts w:cs="Arial"/>
                <w:sz w:val="22"/>
                <w:lang w:eastAsia="it-CH"/>
              </w:rPr>
              <w:t>28'368.-</w:t>
            </w:r>
          </w:p>
        </w:tc>
        <w:tc>
          <w:tcPr>
            <w:tcW w:w="1693" w:type="dxa"/>
          </w:tcPr>
          <w:p w:rsidR="002E2600" w:rsidRPr="0021084B" w:rsidRDefault="002E2600" w:rsidP="008B721E">
            <w:pPr>
              <w:spacing w:before="40" w:after="40"/>
              <w:jc w:val="right"/>
              <w:rPr>
                <w:rFonts w:cs="Arial"/>
                <w:sz w:val="22"/>
                <w:lang w:eastAsia="it-CH"/>
              </w:rPr>
            </w:pPr>
            <w:r w:rsidRPr="0021084B">
              <w:rPr>
                <w:rFonts w:cs="Arial"/>
                <w:sz w:val="22"/>
                <w:lang w:eastAsia="it-CH"/>
              </w:rPr>
              <w:t>5760.-</w:t>
            </w:r>
          </w:p>
        </w:tc>
        <w:tc>
          <w:tcPr>
            <w:tcW w:w="1693" w:type="dxa"/>
          </w:tcPr>
          <w:p w:rsidR="002E2600" w:rsidRPr="0021084B" w:rsidRDefault="002E2600" w:rsidP="008B721E">
            <w:pPr>
              <w:spacing w:before="40" w:after="40"/>
              <w:jc w:val="right"/>
              <w:rPr>
                <w:rFonts w:cs="Arial"/>
                <w:sz w:val="22"/>
                <w:lang w:eastAsia="it-CH"/>
              </w:rPr>
            </w:pPr>
            <w:r w:rsidRPr="0021084B">
              <w:rPr>
                <w:rFonts w:cs="Arial"/>
                <w:sz w:val="22"/>
                <w:lang w:eastAsia="it-CH"/>
              </w:rPr>
              <w:t>4’200.-</w:t>
            </w:r>
          </w:p>
        </w:tc>
      </w:tr>
      <w:tr w:rsidR="002E2600" w:rsidRPr="00267454" w:rsidTr="008B721E">
        <w:tc>
          <w:tcPr>
            <w:tcW w:w="2865" w:type="dxa"/>
          </w:tcPr>
          <w:p w:rsidR="002E2600" w:rsidRPr="0021084B" w:rsidRDefault="002E2600" w:rsidP="008B721E">
            <w:pPr>
              <w:spacing w:before="40" w:after="40"/>
              <w:rPr>
                <w:rFonts w:cs="Arial"/>
                <w:sz w:val="22"/>
                <w:lang w:eastAsia="it-CH"/>
              </w:rPr>
            </w:pPr>
            <w:r w:rsidRPr="0021084B">
              <w:rPr>
                <w:rFonts w:cs="Arial"/>
                <w:sz w:val="22"/>
                <w:lang w:eastAsia="it-CH"/>
              </w:rPr>
              <w:t>Uffici 1°P      UMC</w:t>
            </w:r>
          </w:p>
        </w:tc>
        <w:tc>
          <w:tcPr>
            <w:tcW w:w="1693" w:type="dxa"/>
          </w:tcPr>
          <w:p w:rsidR="002E2600" w:rsidRPr="0021084B" w:rsidRDefault="002E2600" w:rsidP="008B721E">
            <w:pPr>
              <w:spacing w:before="40" w:after="40"/>
              <w:jc w:val="right"/>
              <w:rPr>
                <w:rFonts w:cs="Arial"/>
                <w:sz w:val="22"/>
                <w:lang w:eastAsia="it-CH"/>
              </w:rPr>
            </w:pPr>
            <w:r w:rsidRPr="0021084B">
              <w:rPr>
                <w:rFonts w:cs="Arial"/>
                <w:sz w:val="22"/>
                <w:lang w:eastAsia="it-CH"/>
              </w:rPr>
              <w:t>mq 271</w:t>
            </w:r>
          </w:p>
        </w:tc>
        <w:tc>
          <w:tcPr>
            <w:tcW w:w="1693" w:type="dxa"/>
          </w:tcPr>
          <w:p w:rsidR="002E2600" w:rsidRPr="0021084B" w:rsidRDefault="002E2600" w:rsidP="008B721E">
            <w:pPr>
              <w:spacing w:before="40" w:after="40"/>
              <w:jc w:val="right"/>
              <w:rPr>
                <w:rFonts w:cs="Arial"/>
                <w:sz w:val="22"/>
                <w:lang w:eastAsia="it-CH"/>
              </w:rPr>
            </w:pPr>
            <w:r w:rsidRPr="0021084B">
              <w:rPr>
                <w:rFonts w:cs="Arial"/>
                <w:sz w:val="22"/>
                <w:lang w:eastAsia="it-CH"/>
              </w:rPr>
              <w:t>50'852.-</w:t>
            </w:r>
          </w:p>
        </w:tc>
        <w:tc>
          <w:tcPr>
            <w:tcW w:w="1693" w:type="dxa"/>
          </w:tcPr>
          <w:p w:rsidR="002E2600" w:rsidRPr="0021084B" w:rsidRDefault="002E2600" w:rsidP="008B721E">
            <w:pPr>
              <w:spacing w:before="40" w:after="40"/>
              <w:jc w:val="right"/>
              <w:rPr>
                <w:rFonts w:cs="Arial"/>
                <w:sz w:val="22"/>
                <w:lang w:eastAsia="it-CH"/>
              </w:rPr>
            </w:pPr>
            <w:r w:rsidRPr="0021084B">
              <w:rPr>
                <w:rFonts w:cs="Arial"/>
                <w:sz w:val="22"/>
                <w:lang w:eastAsia="it-CH"/>
              </w:rPr>
              <w:t>11'230.-</w:t>
            </w:r>
          </w:p>
        </w:tc>
        <w:tc>
          <w:tcPr>
            <w:tcW w:w="1693" w:type="dxa"/>
          </w:tcPr>
          <w:p w:rsidR="002E2600" w:rsidRPr="0021084B" w:rsidRDefault="002E2600" w:rsidP="008B721E">
            <w:pPr>
              <w:spacing w:before="40" w:after="40"/>
              <w:jc w:val="right"/>
              <w:rPr>
                <w:rFonts w:cs="Arial"/>
                <w:sz w:val="22"/>
                <w:lang w:eastAsia="it-CH"/>
              </w:rPr>
            </w:pPr>
            <w:r w:rsidRPr="0021084B">
              <w:rPr>
                <w:rFonts w:cs="Arial"/>
                <w:sz w:val="22"/>
                <w:lang w:eastAsia="it-CH"/>
              </w:rPr>
              <w:t>6’700.-</w:t>
            </w:r>
          </w:p>
        </w:tc>
      </w:tr>
      <w:tr w:rsidR="002E2600" w:rsidRPr="00267454" w:rsidTr="008B721E">
        <w:tc>
          <w:tcPr>
            <w:tcW w:w="2865" w:type="dxa"/>
          </w:tcPr>
          <w:p w:rsidR="002E2600" w:rsidRPr="0021084B" w:rsidRDefault="002E2600" w:rsidP="008B721E">
            <w:pPr>
              <w:spacing w:before="40" w:after="40"/>
              <w:rPr>
                <w:rFonts w:cs="Arial"/>
                <w:b/>
                <w:sz w:val="22"/>
                <w:lang w:eastAsia="it-CH"/>
              </w:rPr>
            </w:pPr>
            <w:r w:rsidRPr="0021084B">
              <w:rPr>
                <w:rFonts w:cs="Arial"/>
                <w:b/>
                <w:sz w:val="22"/>
                <w:lang w:eastAsia="it-CH"/>
              </w:rPr>
              <w:t>Totale attuali locazioni</w:t>
            </w:r>
          </w:p>
        </w:tc>
        <w:tc>
          <w:tcPr>
            <w:tcW w:w="1693"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mq 498</w:t>
            </w:r>
          </w:p>
        </w:tc>
        <w:tc>
          <w:tcPr>
            <w:tcW w:w="1693"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85'060.-</w:t>
            </w:r>
          </w:p>
        </w:tc>
        <w:tc>
          <w:tcPr>
            <w:tcW w:w="1693"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16'990.-</w:t>
            </w:r>
          </w:p>
        </w:tc>
        <w:tc>
          <w:tcPr>
            <w:tcW w:w="1693"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10'900.-</w:t>
            </w:r>
          </w:p>
        </w:tc>
      </w:tr>
    </w:tbl>
    <w:p w:rsidR="002E2600" w:rsidRPr="00267454" w:rsidRDefault="002E2600" w:rsidP="002E2600">
      <w:pPr>
        <w:contextualSpacing/>
        <w:jc w:val="left"/>
        <w:rPr>
          <w:rFonts w:cs="Arial"/>
          <w:szCs w:val="24"/>
          <w:lang w:eastAsia="it-CH"/>
        </w:rPr>
      </w:pPr>
    </w:p>
    <w:p w:rsidR="002E2600" w:rsidRPr="00EE2592" w:rsidRDefault="002E2600" w:rsidP="002E2600">
      <w:pPr>
        <w:spacing w:after="120"/>
        <w:jc w:val="left"/>
        <w:rPr>
          <w:rFonts w:cs="Arial"/>
          <w:b/>
          <w:i/>
          <w:sz w:val="23"/>
          <w:szCs w:val="23"/>
          <w:lang w:eastAsia="it-CH"/>
        </w:rPr>
      </w:pPr>
      <w:r w:rsidRPr="00EE2592">
        <w:rPr>
          <w:rFonts w:cs="Arial"/>
          <w:b/>
          <w:i/>
          <w:sz w:val="23"/>
          <w:szCs w:val="23"/>
          <w:lang w:eastAsia="it-CH"/>
        </w:rPr>
        <w:lastRenderedPageBreak/>
        <w:t>3</w:t>
      </w:r>
      <w:r w:rsidR="00EE2592" w:rsidRPr="00EE2592">
        <w:rPr>
          <w:rFonts w:cs="Arial"/>
          <w:b/>
          <w:i/>
          <w:sz w:val="23"/>
          <w:szCs w:val="23"/>
          <w:lang w:eastAsia="it-CH"/>
        </w:rPr>
        <w:t>.2.2</w:t>
      </w:r>
      <w:r w:rsidR="00EE2592" w:rsidRPr="00EE2592">
        <w:rPr>
          <w:rFonts w:cs="Arial"/>
          <w:b/>
          <w:i/>
          <w:sz w:val="23"/>
          <w:szCs w:val="23"/>
          <w:lang w:eastAsia="it-CH"/>
        </w:rPr>
        <w:tab/>
      </w:r>
      <w:r w:rsidRPr="00EE2592">
        <w:rPr>
          <w:rFonts w:cs="Arial"/>
          <w:b/>
          <w:i/>
          <w:sz w:val="23"/>
          <w:szCs w:val="23"/>
          <w:lang w:eastAsia="it-CH"/>
        </w:rPr>
        <w:t>Nuovi contratti di locazione</w:t>
      </w:r>
    </w:p>
    <w:p w:rsidR="002E2600" w:rsidRPr="00267454" w:rsidRDefault="002E2600" w:rsidP="002E2600">
      <w:pPr>
        <w:rPr>
          <w:rFonts w:cs="Arial"/>
          <w:szCs w:val="24"/>
          <w:lang w:eastAsia="it-CH"/>
        </w:rPr>
      </w:pPr>
      <w:r w:rsidRPr="00267454">
        <w:rPr>
          <w:rFonts w:cs="Arial"/>
          <w:szCs w:val="24"/>
          <w:lang w:eastAsia="it-CH"/>
        </w:rPr>
        <w:t>Visto quanto sopra, i tre contratti in vigore vengono aggiornati e sostituiti con due nuovi contratti suddivisi per UMC e UVC. L’impegno finanziario per i nuovi costi di locazione, spese accessorie e costi di pulizia sono descritti nelle seguenti tabelle:</w:t>
      </w:r>
    </w:p>
    <w:p w:rsidR="002E2600" w:rsidRDefault="002E2600" w:rsidP="002E2600">
      <w:pPr>
        <w:jc w:val="left"/>
        <w:rPr>
          <w:rFonts w:cs="Arial"/>
          <w:sz w:val="22"/>
          <w:lang w:eastAsia="it-CH"/>
        </w:rPr>
      </w:pPr>
    </w:p>
    <w:p w:rsidR="0021084B" w:rsidRPr="00267454" w:rsidRDefault="0021084B" w:rsidP="002E2600">
      <w:pPr>
        <w:jc w:val="left"/>
        <w:rPr>
          <w:rFonts w:cs="Arial"/>
          <w:sz w:val="22"/>
          <w:lang w:eastAsia="it-CH"/>
        </w:rPr>
      </w:pPr>
    </w:p>
    <w:p w:rsidR="002E2600" w:rsidRPr="0021084B" w:rsidRDefault="002E2600" w:rsidP="002E2600">
      <w:pPr>
        <w:jc w:val="left"/>
        <w:rPr>
          <w:rFonts w:cs="Arial"/>
          <w:b/>
          <w:sz w:val="22"/>
          <w:lang w:eastAsia="it-CH"/>
        </w:rPr>
      </w:pPr>
      <w:r w:rsidRPr="0021084B">
        <w:rPr>
          <w:rFonts w:cs="Arial"/>
          <w:b/>
          <w:sz w:val="22"/>
          <w:lang w:eastAsia="it-CH"/>
        </w:rPr>
        <w:t>Tabella delle future spese di gestione corrente dell’UMC:</w:t>
      </w:r>
    </w:p>
    <w:p w:rsidR="002E2600" w:rsidRPr="0021084B" w:rsidRDefault="002E2600" w:rsidP="002E2600">
      <w:pPr>
        <w:jc w:val="left"/>
        <w:rPr>
          <w:rFonts w:cs="Arial"/>
          <w:b/>
          <w:sz w:val="20"/>
          <w:szCs w:val="20"/>
          <w:lang w:eastAsia="it-CH"/>
        </w:rPr>
      </w:pPr>
    </w:p>
    <w:tbl>
      <w:tblPr>
        <w:tblStyle w:val="Grigliatabella"/>
        <w:tblpPr w:leftFromText="141" w:rightFromText="141" w:vertAnchor="text" w:horzAnchor="margin" w:tblpXSpec="center" w:tblpY="16"/>
        <w:tblW w:w="9390" w:type="dxa"/>
        <w:tblLook w:val="04A0" w:firstRow="1" w:lastRow="0" w:firstColumn="1" w:lastColumn="0" w:noHBand="0" w:noVBand="1"/>
      </w:tblPr>
      <w:tblGrid>
        <w:gridCol w:w="2802"/>
        <w:gridCol w:w="1647"/>
        <w:gridCol w:w="1647"/>
        <w:gridCol w:w="1647"/>
        <w:gridCol w:w="1647"/>
      </w:tblGrid>
      <w:tr w:rsidR="002E2600" w:rsidRPr="00267454" w:rsidTr="008B721E">
        <w:tc>
          <w:tcPr>
            <w:tcW w:w="2802" w:type="dxa"/>
          </w:tcPr>
          <w:p w:rsidR="002E2600" w:rsidRPr="0021084B" w:rsidRDefault="002E2600" w:rsidP="008B721E">
            <w:pPr>
              <w:rPr>
                <w:rFonts w:cs="Arial"/>
                <w:b/>
                <w:sz w:val="22"/>
                <w:lang w:eastAsia="it-CH"/>
              </w:rPr>
            </w:pPr>
            <w:r w:rsidRPr="0021084B">
              <w:rPr>
                <w:rFonts w:cs="Arial"/>
                <w:b/>
                <w:sz w:val="22"/>
                <w:lang w:eastAsia="it-CH"/>
              </w:rPr>
              <w:t>Attribuzioni</w:t>
            </w:r>
          </w:p>
        </w:tc>
        <w:tc>
          <w:tcPr>
            <w:tcW w:w="1647"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Superfice effettiva</w:t>
            </w:r>
          </w:p>
        </w:tc>
        <w:tc>
          <w:tcPr>
            <w:tcW w:w="1647"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Costi di locazione annui</w:t>
            </w:r>
          </w:p>
        </w:tc>
        <w:tc>
          <w:tcPr>
            <w:tcW w:w="1647"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Spese accessorie</w:t>
            </w:r>
          </w:p>
        </w:tc>
        <w:tc>
          <w:tcPr>
            <w:tcW w:w="1647"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Costi di pulizia</w:t>
            </w:r>
          </w:p>
        </w:tc>
      </w:tr>
      <w:tr w:rsidR="002E2600" w:rsidRPr="00267454" w:rsidTr="008B721E">
        <w:tc>
          <w:tcPr>
            <w:tcW w:w="2802" w:type="dxa"/>
          </w:tcPr>
          <w:p w:rsidR="002E2600" w:rsidRPr="0021084B" w:rsidRDefault="002E2600" w:rsidP="008B721E">
            <w:pPr>
              <w:spacing w:before="40" w:after="40"/>
              <w:rPr>
                <w:rFonts w:cs="Arial"/>
                <w:b/>
                <w:sz w:val="22"/>
                <w:lang w:eastAsia="it-CH"/>
              </w:rPr>
            </w:pPr>
            <w:r w:rsidRPr="0021084B">
              <w:rPr>
                <w:rFonts w:cs="Arial"/>
                <w:b/>
                <w:sz w:val="22"/>
                <w:lang w:eastAsia="it-CH"/>
              </w:rPr>
              <w:t>Totale locazioni</w:t>
            </w:r>
          </w:p>
        </w:tc>
        <w:tc>
          <w:tcPr>
            <w:tcW w:w="1647"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mq   738</w:t>
            </w:r>
          </w:p>
        </w:tc>
        <w:tc>
          <w:tcPr>
            <w:tcW w:w="1647"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129'223.-</w:t>
            </w:r>
          </w:p>
        </w:tc>
        <w:tc>
          <w:tcPr>
            <w:tcW w:w="1647"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15'760.-</w:t>
            </w:r>
          </w:p>
        </w:tc>
        <w:tc>
          <w:tcPr>
            <w:tcW w:w="1647"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16'200.-</w:t>
            </w:r>
          </w:p>
        </w:tc>
      </w:tr>
    </w:tbl>
    <w:p w:rsidR="002E2600" w:rsidRPr="00267454" w:rsidRDefault="002E2600" w:rsidP="002E2600">
      <w:pPr>
        <w:jc w:val="left"/>
        <w:rPr>
          <w:rFonts w:cs="Arial"/>
          <w:sz w:val="20"/>
          <w:lang w:eastAsia="it-CH"/>
        </w:rPr>
      </w:pPr>
    </w:p>
    <w:p w:rsidR="002E2600" w:rsidRPr="00267454" w:rsidRDefault="002E2600" w:rsidP="002E2600">
      <w:pPr>
        <w:jc w:val="left"/>
        <w:rPr>
          <w:rFonts w:cs="Arial"/>
          <w:sz w:val="20"/>
          <w:lang w:eastAsia="it-CH"/>
        </w:rPr>
      </w:pPr>
    </w:p>
    <w:p w:rsidR="002E2600" w:rsidRPr="0021084B" w:rsidRDefault="002E2600" w:rsidP="002E2600">
      <w:pPr>
        <w:jc w:val="left"/>
        <w:rPr>
          <w:rFonts w:cs="Arial"/>
          <w:b/>
          <w:sz w:val="22"/>
          <w:lang w:eastAsia="it-CH"/>
        </w:rPr>
      </w:pPr>
      <w:r w:rsidRPr="0021084B">
        <w:rPr>
          <w:rFonts w:cs="Arial"/>
          <w:b/>
          <w:sz w:val="22"/>
          <w:lang w:eastAsia="it-CH"/>
        </w:rPr>
        <w:t>Tabella delle future spese di gestione corrente dell’UVC:</w:t>
      </w:r>
    </w:p>
    <w:p w:rsidR="002E2600" w:rsidRPr="0021084B" w:rsidRDefault="002E2600" w:rsidP="002E2600">
      <w:pPr>
        <w:jc w:val="left"/>
        <w:rPr>
          <w:rFonts w:cs="Arial"/>
          <w:b/>
          <w:sz w:val="20"/>
          <w:szCs w:val="20"/>
          <w:lang w:eastAsia="it-CH"/>
        </w:rPr>
      </w:pPr>
    </w:p>
    <w:tbl>
      <w:tblPr>
        <w:tblStyle w:val="Grigliatabella"/>
        <w:tblpPr w:leftFromText="141" w:rightFromText="141" w:vertAnchor="text" w:horzAnchor="margin" w:tblpXSpec="center" w:tblpY="16"/>
        <w:tblW w:w="9390" w:type="dxa"/>
        <w:tblLook w:val="04A0" w:firstRow="1" w:lastRow="0" w:firstColumn="1" w:lastColumn="0" w:noHBand="0" w:noVBand="1"/>
      </w:tblPr>
      <w:tblGrid>
        <w:gridCol w:w="2802"/>
        <w:gridCol w:w="1647"/>
        <w:gridCol w:w="1647"/>
        <w:gridCol w:w="1647"/>
        <w:gridCol w:w="1647"/>
      </w:tblGrid>
      <w:tr w:rsidR="002E2600" w:rsidRPr="00267454" w:rsidTr="008B721E">
        <w:tc>
          <w:tcPr>
            <w:tcW w:w="2802" w:type="dxa"/>
          </w:tcPr>
          <w:p w:rsidR="002E2600" w:rsidRPr="0021084B" w:rsidRDefault="002E2600" w:rsidP="008B721E">
            <w:pPr>
              <w:rPr>
                <w:rFonts w:cs="Arial"/>
                <w:b/>
                <w:sz w:val="22"/>
                <w:lang w:eastAsia="it-CH"/>
              </w:rPr>
            </w:pPr>
            <w:r w:rsidRPr="0021084B">
              <w:rPr>
                <w:rFonts w:cs="Arial"/>
                <w:b/>
                <w:sz w:val="22"/>
                <w:lang w:eastAsia="it-CH"/>
              </w:rPr>
              <w:t xml:space="preserve">Attribuzioni </w:t>
            </w:r>
          </w:p>
        </w:tc>
        <w:tc>
          <w:tcPr>
            <w:tcW w:w="1647"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 xml:space="preserve">Superfice effettiva </w:t>
            </w:r>
          </w:p>
        </w:tc>
        <w:tc>
          <w:tcPr>
            <w:tcW w:w="1647"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Costi di locazione annui</w:t>
            </w:r>
          </w:p>
        </w:tc>
        <w:tc>
          <w:tcPr>
            <w:tcW w:w="1647"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Spese accessorie</w:t>
            </w:r>
          </w:p>
        </w:tc>
        <w:tc>
          <w:tcPr>
            <w:tcW w:w="1647"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Costi di pulizia</w:t>
            </w:r>
          </w:p>
        </w:tc>
      </w:tr>
      <w:tr w:rsidR="002E2600" w:rsidRPr="00267454" w:rsidTr="008B721E">
        <w:tc>
          <w:tcPr>
            <w:tcW w:w="2802" w:type="dxa"/>
          </w:tcPr>
          <w:p w:rsidR="002E2600" w:rsidRPr="0021084B" w:rsidRDefault="002E2600" w:rsidP="008B721E">
            <w:pPr>
              <w:spacing w:before="40" w:after="40"/>
              <w:rPr>
                <w:rFonts w:cs="Arial"/>
                <w:b/>
                <w:sz w:val="22"/>
                <w:lang w:eastAsia="it-CH"/>
              </w:rPr>
            </w:pPr>
            <w:r w:rsidRPr="0021084B">
              <w:rPr>
                <w:rFonts w:cs="Arial"/>
                <w:b/>
                <w:sz w:val="22"/>
                <w:lang w:eastAsia="it-CH"/>
              </w:rPr>
              <w:t>Totale locazioni</w:t>
            </w:r>
          </w:p>
        </w:tc>
        <w:tc>
          <w:tcPr>
            <w:tcW w:w="1647"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mq   347</w:t>
            </w:r>
          </w:p>
        </w:tc>
        <w:tc>
          <w:tcPr>
            <w:tcW w:w="1647"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62'260.-</w:t>
            </w:r>
          </w:p>
        </w:tc>
        <w:tc>
          <w:tcPr>
            <w:tcW w:w="1647"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7'800.-</w:t>
            </w:r>
          </w:p>
        </w:tc>
        <w:tc>
          <w:tcPr>
            <w:tcW w:w="1647"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6'700.-</w:t>
            </w:r>
          </w:p>
        </w:tc>
      </w:tr>
    </w:tbl>
    <w:p w:rsidR="002E2600" w:rsidRPr="00267454" w:rsidRDefault="002E2600" w:rsidP="002E2600">
      <w:pPr>
        <w:jc w:val="left"/>
        <w:rPr>
          <w:rFonts w:cs="Arial"/>
          <w:sz w:val="22"/>
          <w:lang w:eastAsia="it-CH"/>
        </w:rPr>
      </w:pPr>
    </w:p>
    <w:p w:rsidR="002E2600" w:rsidRPr="00267454" w:rsidRDefault="002E2600" w:rsidP="002E2600">
      <w:pPr>
        <w:jc w:val="left"/>
        <w:rPr>
          <w:rFonts w:cs="Arial"/>
          <w:sz w:val="22"/>
          <w:lang w:eastAsia="it-CH"/>
        </w:rPr>
      </w:pPr>
    </w:p>
    <w:p w:rsidR="002E2600" w:rsidRPr="0021084B" w:rsidRDefault="002E2600" w:rsidP="002E2600">
      <w:pPr>
        <w:jc w:val="left"/>
        <w:rPr>
          <w:rFonts w:cs="Arial"/>
          <w:b/>
          <w:i/>
          <w:sz w:val="22"/>
          <w:lang w:eastAsia="it-CH"/>
        </w:rPr>
      </w:pPr>
      <w:r w:rsidRPr="0021084B">
        <w:rPr>
          <w:rFonts w:cs="Arial"/>
          <w:b/>
          <w:i/>
          <w:sz w:val="22"/>
          <w:lang w:eastAsia="it-CH"/>
        </w:rPr>
        <w:t xml:space="preserve">Differenza derivante tra la situazione contrattuale esistente e quella nuova è quindi: </w:t>
      </w:r>
    </w:p>
    <w:p w:rsidR="002E2600" w:rsidRPr="0021084B" w:rsidRDefault="002E2600" w:rsidP="002E2600">
      <w:pPr>
        <w:jc w:val="left"/>
        <w:rPr>
          <w:rFonts w:cs="Arial"/>
          <w:b/>
          <w:sz w:val="20"/>
          <w:szCs w:val="20"/>
          <w:lang w:eastAsia="it-CH"/>
        </w:rPr>
      </w:pPr>
    </w:p>
    <w:tbl>
      <w:tblPr>
        <w:tblStyle w:val="Grigliatabella"/>
        <w:tblpPr w:leftFromText="141" w:rightFromText="141" w:vertAnchor="text" w:horzAnchor="margin" w:tblpXSpec="center" w:tblpY="16"/>
        <w:tblW w:w="9415" w:type="dxa"/>
        <w:tblLook w:val="04A0" w:firstRow="1" w:lastRow="0" w:firstColumn="1" w:lastColumn="0" w:noHBand="0" w:noVBand="1"/>
      </w:tblPr>
      <w:tblGrid>
        <w:gridCol w:w="2802"/>
        <w:gridCol w:w="1653"/>
        <w:gridCol w:w="1653"/>
        <w:gridCol w:w="1653"/>
        <w:gridCol w:w="1654"/>
      </w:tblGrid>
      <w:tr w:rsidR="002E2600" w:rsidRPr="00267454" w:rsidTr="008B721E">
        <w:tc>
          <w:tcPr>
            <w:tcW w:w="2802" w:type="dxa"/>
          </w:tcPr>
          <w:p w:rsidR="002E2600" w:rsidRPr="0021084B" w:rsidRDefault="002E2600" w:rsidP="008B721E">
            <w:pPr>
              <w:rPr>
                <w:rFonts w:cs="Arial"/>
                <w:b/>
                <w:sz w:val="22"/>
                <w:lang w:eastAsia="it-CH"/>
              </w:rPr>
            </w:pPr>
            <w:r w:rsidRPr="0021084B">
              <w:rPr>
                <w:rFonts w:cs="Arial"/>
                <w:b/>
                <w:sz w:val="22"/>
                <w:lang w:eastAsia="it-CH"/>
              </w:rPr>
              <w:t>E4589 - IPCT</w:t>
            </w:r>
          </w:p>
        </w:tc>
        <w:tc>
          <w:tcPr>
            <w:tcW w:w="1653"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 xml:space="preserve">Superfice </w:t>
            </w:r>
          </w:p>
        </w:tc>
        <w:tc>
          <w:tcPr>
            <w:tcW w:w="1653"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Costi di locazione annui CHF/anno</w:t>
            </w:r>
          </w:p>
        </w:tc>
        <w:tc>
          <w:tcPr>
            <w:tcW w:w="1653"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Spese accessorie CHF/anno</w:t>
            </w:r>
          </w:p>
        </w:tc>
        <w:tc>
          <w:tcPr>
            <w:tcW w:w="1654" w:type="dxa"/>
          </w:tcPr>
          <w:p w:rsidR="002E2600" w:rsidRPr="00267454" w:rsidRDefault="002E2600" w:rsidP="008B721E">
            <w:pPr>
              <w:jc w:val="right"/>
              <w:rPr>
                <w:rFonts w:cs="Arial"/>
                <w:b/>
                <w:sz w:val="18"/>
                <w:szCs w:val="18"/>
                <w:lang w:eastAsia="it-CH"/>
              </w:rPr>
            </w:pPr>
            <w:r w:rsidRPr="00267454">
              <w:rPr>
                <w:rFonts w:cs="Arial"/>
                <w:b/>
                <w:sz w:val="18"/>
                <w:szCs w:val="18"/>
                <w:lang w:eastAsia="it-CH"/>
              </w:rPr>
              <w:t>Costi di pulizia CHF/anno</w:t>
            </w:r>
          </w:p>
        </w:tc>
      </w:tr>
      <w:tr w:rsidR="002E2600" w:rsidRPr="0021084B" w:rsidTr="008B721E">
        <w:tc>
          <w:tcPr>
            <w:tcW w:w="2802" w:type="dxa"/>
          </w:tcPr>
          <w:p w:rsidR="002E2600" w:rsidRPr="0021084B" w:rsidRDefault="002E2600" w:rsidP="008B721E">
            <w:pPr>
              <w:spacing w:before="40" w:after="40"/>
              <w:rPr>
                <w:rFonts w:cs="Arial"/>
                <w:sz w:val="22"/>
                <w:lang w:eastAsia="it-CH"/>
              </w:rPr>
            </w:pPr>
            <w:r w:rsidRPr="0021084B">
              <w:rPr>
                <w:rFonts w:cs="Arial"/>
                <w:sz w:val="22"/>
                <w:lang w:eastAsia="it-CH"/>
              </w:rPr>
              <w:t>Totale attuali locazioni</w:t>
            </w:r>
          </w:p>
        </w:tc>
        <w:tc>
          <w:tcPr>
            <w:tcW w:w="1653" w:type="dxa"/>
          </w:tcPr>
          <w:p w:rsidR="002E2600" w:rsidRPr="0021084B" w:rsidRDefault="002E2600" w:rsidP="008B721E">
            <w:pPr>
              <w:spacing w:before="40" w:after="40"/>
              <w:jc w:val="right"/>
              <w:rPr>
                <w:rFonts w:cs="Arial"/>
                <w:sz w:val="22"/>
                <w:lang w:eastAsia="it-CH"/>
              </w:rPr>
            </w:pPr>
            <w:r w:rsidRPr="0021084B">
              <w:rPr>
                <w:rFonts w:cs="Arial"/>
                <w:sz w:val="22"/>
                <w:lang w:eastAsia="it-CH"/>
              </w:rPr>
              <w:t>mq      498</w:t>
            </w:r>
          </w:p>
        </w:tc>
        <w:tc>
          <w:tcPr>
            <w:tcW w:w="1653" w:type="dxa"/>
          </w:tcPr>
          <w:p w:rsidR="002E2600" w:rsidRPr="0021084B" w:rsidRDefault="002E2600" w:rsidP="008B721E">
            <w:pPr>
              <w:spacing w:before="40" w:after="40"/>
              <w:jc w:val="right"/>
              <w:rPr>
                <w:rFonts w:cs="Arial"/>
                <w:sz w:val="22"/>
                <w:lang w:eastAsia="it-CH"/>
              </w:rPr>
            </w:pPr>
            <w:r w:rsidRPr="0021084B">
              <w:rPr>
                <w:rFonts w:cs="Arial"/>
                <w:sz w:val="22"/>
                <w:lang w:eastAsia="it-CH"/>
              </w:rPr>
              <w:t>85'060.-</w:t>
            </w:r>
          </w:p>
        </w:tc>
        <w:tc>
          <w:tcPr>
            <w:tcW w:w="1653" w:type="dxa"/>
          </w:tcPr>
          <w:p w:rsidR="002E2600" w:rsidRPr="0021084B" w:rsidRDefault="002E2600" w:rsidP="008B721E">
            <w:pPr>
              <w:spacing w:before="40" w:after="40"/>
              <w:jc w:val="right"/>
              <w:rPr>
                <w:rFonts w:cs="Arial"/>
                <w:sz w:val="22"/>
                <w:lang w:eastAsia="it-CH"/>
              </w:rPr>
            </w:pPr>
            <w:r w:rsidRPr="0021084B">
              <w:rPr>
                <w:rFonts w:cs="Arial"/>
                <w:sz w:val="22"/>
                <w:lang w:eastAsia="it-CH"/>
              </w:rPr>
              <w:t>16'990.-</w:t>
            </w:r>
          </w:p>
        </w:tc>
        <w:tc>
          <w:tcPr>
            <w:tcW w:w="1654" w:type="dxa"/>
          </w:tcPr>
          <w:p w:rsidR="002E2600" w:rsidRPr="0021084B" w:rsidRDefault="002E2600" w:rsidP="008B721E">
            <w:pPr>
              <w:spacing w:before="40" w:after="40"/>
              <w:jc w:val="right"/>
              <w:rPr>
                <w:rFonts w:cs="Arial"/>
                <w:sz w:val="22"/>
                <w:lang w:eastAsia="it-CH"/>
              </w:rPr>
            </w:pPr>
            <w:r w:rsidRPr="0021084B">
              <w:rPr>
                <w:rFonts w:cs="Arial"/>
                <w:sz w:val="22"/>
                <w:lang w:eastAsia="it-CH"/>
              </w:rPr>
              <w:t>10'900.-</w:t>
            </w:r>
          </w:p>
        </w:tc>
      </w:tr>
      <w:tr w:rsidR="002E2600" w:rsidRPr="0021084B" w:rsidTr="008B721E">
        <w:tc>
          <w:tcPr>
            <w:tcW w:w="2802" w:type="dxa"/>
          </w:tcPr>
          <w:p w:rsidR="002E2600" w:rsidRPr="0021084B" w:rsidRDefault="002E2600" w:rsidP="008B721E">
            <w:pPr>
              <w:spacing w:before="40" w:after="40"/>
              <w:rPr>
                <w:rFonts w:cs="Arial"/>
                <w:b/>
                <w:sz w:val="22"/>
                <w:lang w:eastAsia="it-CH"/>
              </w:rPr>
            </w:pPr>
            <w:r w:rsidRPr="0021084B">
              <w:rPr>
                <w:rFonts w:cs="Arial"/>
                <w:b/>
                <w:sz w:val="22"/>
                <w:lang w:eastAsia="it-CH"/>
              </w:rPr>
              <w:t xml:space="preserve">Totale future locazioni                 </w:t>
            </w:r>
          </w:p>
        </w:tc>
        <w:tc>
          <w:tcPr>
            <w:tcW w:w="1653"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 xml:space="preserve">mq   1’085   </w:t>
            </w:r>
          </w:p>
        </w:tc>
        <w:tc>
          <w:tcPr>
            <w:tcW w:w="1653"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191'483.-</w:t>
            </w:r>
          </w:p>
        </w:tc>
        <w:tc>
          <w:tcPr>
            <w:tcW w:w="1653"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23'560.-</w:t>
            </w:r>
          </w:p>
        </w:tc>
        <w:tc>
          <w:tcPr>
            <w:tcW w:w="1654" w:type="dxa"/>
          </w:tcPr>
          <w:p w:rsidR="002E2600" w:rsidRPr="0021084B" w:rsidRDefault="002E2600" w:rsidP="008B721E">
            <w:pPr>
              <w:spacing w:before="40" w:after="40"/>
              <w:jc w:val="right"/>
              <w:rPr>
                <w:rFonts w:cs="Arial"/>
                <w:b/>
                <w:sz w:val="22"/>
                <w:lang w:eastAsia="it-CH"/>
              </w:rPr>
            </w:pPr>
            <w:r w:rsidRPr="0021084B">
              <w:rPr>
                <w:rFonts w:cs="Arial"/>
                <w:b/>
                <w:sz w:val="22"/>
                <w:lang w:eastAsia="it-CH"/>
              </w:rPr>
              <w:t>22’900.-</w:t>
            </w:r>
          </w:p>
        </w:tc>
      </w:tr>
      <w:tr w:rsidR="002E2600" w:rsidRPr="0021084B" w:rsidTr="008B721E">
        <w:tc>
          <w:tcPr>
            <w:tcW w:w="2802" w:type="dxa"/>
          </w:tcPr>
          <w:p w:rsidR="002E2600" w:rsidRPr="0021084B" w:rsidRDefault="002E2600" w:rsidP="008B721E">
            <w:pPr>
              <w:rPr>
                <w:rFonts w:cs="Arial"/>
                <w:sz w:val="22"/>
                <w:lang w:eastAsia="it-CH"/>
              </w:rPr>
            </w:pPr>
            <w:r w:rsidRPr="0021084B">
              <w:rPr>
                <w:rFonts w:cs="Arial"/>
                <w:sz w:val="22"/>
                <w:lang w:eastAsia="it-CH"/>
              </w:rPr>
              <w:t>Totale maggiori spese</w:t>
            </w:r>
          </w:p>
        </w:tc>
        <w:tc>
          <w:tcPr>
            <w:tcW w:w="1653" w:type="dxa"/>
          </w:tcPr>
          <w:p w:rsidR="002E2600" w:rsidRPr="0021084B" w:rsidRDefault="002E2600" w:rsidP="008B721E">
            <w:pPr>
              <w:jc w:val="right"/>
              <w:rPr>
                <w:rFonts w:cs="Arial"/>
                <w:sz w:val="22"/>
                <w:lang w:eastAsia="it-CH"/>
              </w:rPr>
            </w:pPr>
          </w:p>
        </w:tc>
        <w:tc>
          <w:tcPr>
            <w:tcW w:w="1653" w:type="dxa"/>
          </w:tcPr>
          <w:p w:rsidR="002E2600" w:rsidRPr="0021084B" w:rsidRDefault="002E2600" w:rsidP="008B721E">
            <w:pPr>
              <w:jc w:val="right"/>
              <w:rPr>
                <w:rFonts w:cs="Arial"/>
                <w:sz w:val="22"/>
                <w:lang w:eastAsia="it-CH"/>
              </w:rPr>
            </w:pPr>
            <w:r w:rsidRPr="0021084B">
              <w:rPr>
                <w:rFonts w:cs="Arial"/>
                <w:sz w:val="22"/>
                <w:lang w:eastAsia="it-CH"/>
              </w:rPr>
              <w:t>+ 106'423.-</w:t>
            </w:r>
          </w:p>
        </w:tc>
        <w:tc>
          <w:tcPr>
            <w:tcW w:w="1653" w:type="dxa"/>
          </w:tcPr>
          <w:p w:rsidR="002E2600" w:rsidRPr="0021084B" w:rsidRDefault="002E2600" w:rsidP="008B721E">
            <w:pPr>
              <w:jc w:val="right"/>
              <w:rPr>
                <w:rFonts w:cs="Arial"/>
                <w:sz w:val="22"/>
                <w:lang w:eastAsia="it-CH"/>
              </w:rPr>
            </w:pPr>
            <w:r w:rsidRPr="0021084B">
              <w:rPr>
                <w:rFonts w:cs="Arial"/>
                <w:sz w:val="22"/>
                <w:lang w:eastAsia="it-CH"/>
              </w:rPr>
              <w:t>+ 6'570.-</w:t>
            </w:r>
          </w:p>
        </w:tc>
        <w:tc>
          <w:tcPr>
            <w:tcW w:w="1654" w:type="dxa"/>
          </w:tcPr>
          <w:p w:rsidR="002E2600" w:rsidRPr="0021084B" w:rsidRDefault="002E2600" w:rsidP="008B721E">
            <w:pPr>
              <w:jc w:val="right"/>
              <w:rPr>
                <w:rFonts w:cs="Arial"/>
                <w:sz w:val="22"/>
                <w:lang w:eastAsia="it-CH"/>
              </w:rPr>
            </w:pPr>
            <w:r w:rsidRPr="0021084B">
              <w:rPr>
                <w:rFonts w:cs="Arial"/>
                <w:sz w:val="22"/>
                <w:lang w:eastAsia="it-CH"/>
              </w:rPr>
              <w:t>+ 12’000.-</w:t>
            </w:r>
          </w:p>
        </w:tc>
      </w:tr>
    </w:tbl>
    <w:p w:rsidR="002E2600" w:rsidRPr="0021084B" w:rsidRDefault="002E2600" w:rsidP="00EE2592">
      <w:pPr>
        <w:rPr>
          <w:sz w:val="22"/>
        </w:rPr>
      </w:pPr>
    </w:p>
    <w:p w:rsidR="00EE2592" w:rsidRPr="007313DF" w:rsidRDefault="00EE2592" w:rsidP="00EE2592"/>
    <w:p w:rsidR="002E2600" w:rsidRPr="007313DF" w:rsidRDefault="002E2600" w:rsidP="00EE2592"/>
    <w:p w:rsidR="002E2600" w:rsidRPr="00267454" w:rsidRDefault="002E2600" w:rsidP="00EE2592">
      <w:pPr>
        <w:pStyle w:val="Titolo1"/>
      </w:pPr>
      <w:r w:rsidRPr="00267454">
        <w:t>CONCLUSIONI</w:t>
      </w:r>
    </w:p>
    <w:p w:rsidR="002E2600" w:rsidRPr="00267454" w:rsidRDefault="002E2600" w:rsidP="002E2600">
      <w:pPr>
        <w:tabs>
          <w:tab w:val="right" w:pos="3969"/>
          <w:tab w:val="right" w:pos="8460"/>
          <w:tab w:val="right" w:pos="9540"/>
        </w:tabs>
        <w:rPr>
          <w:rFonts w:cs="Arial"/>
          <w:szCs w:val="24"/>
          <w:lang w:eastAsia="it-CH"/>
        </w:rPr>
      </w:pPr>
      <w:r w:rsidRPr="00267454">
        <w:rPr>
          <w:rFonts w:cs="Arial"/>
          <w:szCs w:val="24"/>
          <w:lang w:eastAsia="it-CH"/>
        </w:rPr>
        <w:t>Per la sistemazione logistica in oggetto, il governo prevede e chiede un investimento di CHF 474'000.- e di un onere complessivo per spese a gestione corrente (incluso contratti in essere) di CHF 237'943.- annui.</w:t>
      </w:r>
    </w:p>
    <w:p w:rsidR="002E2600" w:rsidRDefault="002E2600" w:rsidP="002E2600">
      <w:pPr>
        <w:tabs>
          <w:tab w:val="right" w:pos="3969"/>
          <w:tab w:val="right" w:pos="8460"/>
          <w:tab w:val="right" w:pos="9540"/>
        </w:tabs>
        <w:jc w:val="left"/>
        <w:rPr>
          <w:rFonts w:cs="Arial"/>
          <w:szCs w:val="24"/>
          <w:lang w:eastAsia="it-CH"/>
        </w:rPr>
      </w:pPr>
    </w:p>
    <w:p w:rsidR="0021084B" w:rsidRPr="00BA3E7F" w:rsidRDefault="0021084B" w:rsidP="002E2600">
      <w:pPr>
        <w:tabs>
          <w:tab w:val="right" w:pos="3969"/>
          <w:tab w:val="right" w:pos="8460"/>
          <w:tab w:val="right" w:pos="9540"/>
        </w:tabs>
        <w:jc w:val="left"/>
        <w:rPr>
          <w:rFonts w:cs="Arial"/>
          <w:szCs w:val="24"/>
          <w:lang w:eastAsia="it-CH"/>
        </w:rPr>
      </w:pPr>
    </w:p>
    <w:p w:rsidR="002E2600" w:rsidRPr="00BA3E7F" w:rsidRDefault="002E2600" w:rsidP="002E2600">
      <w:pPr>
        <w:tabs>
          <w:tab w:val="left" w:pos="567"/>
        </w:tabs>
        <w:spacing w:after="120"/>
        <w:jc w:val="left"/>
        <w:rPr>
          <w:rFonts w:cs="Arial"/>
          <w:b/>
          <w:szCs w:val="24"/>
          <w:lang w:eastAsia="it-CH"/>
        </w:rPr>
      </w:pPr>
      <w:r w:rsidRPr="00BA3E7F">
        <w:rPr>
          <w:rFonts w:cs="Arial"/>
          <w:b/>
          <w:szCs w:val="24"/>
          <w:lang w:eastAsia="it-CH"/>
        </w:rPr>
        <w:t xml:space="preserve">Onere per spese a gestione corrente 2018 </w:t>
      </w:r>
    </w:p>
    <w:p w:rsidR="002E2600" w:rsidRPr="00BA3E7F" w:rsidRDefault="002E2600" w:rsidP="002E2600">
      <w:pPr>
        <w:spacing w:after="120"/>
        <w:rPr>
          <w:rFonts w:cs="Arial"/>
          <w:szCs w:val="24"/>
          <w:lang w:eastAsia="it-CH"/>
        </w:rPr>
      </w:pPr>
      <w:r w:rsidRPr="00BA3E7F">
        <w:rPr>
          <w:rFonts w:cs="Arial"/>
          <w:szCs w:val="24"/>
          <w:lang w:eastAsia="it-CH"/>
        </w:rPr>
        <w:t>Con la decorrenza dei nuovi contratti, che avverrà il primo giorno del mese successivo alla crescita in giudicato del Decreto legislativo del relativo messaggio governativo, si chiede l’adeguamento del preventivo del corrente anno con lo stanziamento di un credito supplementare pari alle effettive maggiori spese:</w:t>
      </w:r>
    </w:p>
    <w:p w:rsidR="002E2600" w:rsidRPr="00BA3E7F" w:rsidRDefault="002E2600" w:rsidP="002E2600">
      <w:pPr>
        <w:numPr>
          <w:ilvl w:val="0"/>
          <w:numId w:val="5"/>
        </w:numPr>
        <w:tabs>
          <w:tab w:val="left" w:pos="284"/>
        </w:tabs>
        <w:spacing w:after="120"/>
        <w:ind w:left="284" w:hanging="284"/>
        <w:rPr>
          <w:rFonts w:cs="Arial"/>
          <w:szCs w:val="24"/>
          <w:lang w:eastAsia="it-CH"/>
        </w:rPr>
      </w:pPr>
      <w:r w:rsidRPr="00BA3E7F">
        <w:rPr>
          <w:rFonts w:cs="Arial"/>
          <w:szCs w:val="24"/>
          <w:lang w:eastAsia="it-CH"/>
        </w:rPr>
        <w:t xml:space="preserve">locazioni supplementari di CHF 106'423.- </w:t>
      </w:r>
    </w:p>
    <w:p w:rsidR="002E2600" w:rsidRPr="00BA3E7F" w:rsidRDefault="002E2600" w:rsidP="002E2600">
      <w:pPr>
        <w:numPr>
          <w:ilvl w:val="0"/>
          <w:numId w:val="5"/>
        </w:numPr>
        <w:tabs>
          <w:tab w:val="left" w:pos="284"/>
        </w:tabs>
        <w:spacing w:after="120"/>
        <w:ind w:left="284" w:hanging="284"/>
        <w:rPr>
          <w:rFonts w:cs="Arial"/>
          <w:szCs w:val="24"/>
          <w:lang w:eastAsia="it-CH"/>
        </w:rPr>
      </w:pPr>
      <w:r w:rsidRPr="00BA3E7F">
        <w:rPr>
          <w:rFonts w:cs="Arial"/>
          <w:szCs w:val="24"/>
          <w:lang w:eastAsia="it-CH"/>
        </w:rPr>
        <w:t>spese accessorie supplementari di CHF 6'570.-</w:t>
      </w:r>
    </w:p>
    <w:p w:rsidR="002E2600" w:rsidRPr="00BA3E7F" w:rsidRDefault="002E2600" w:rsidP="002E2600">
      <w:pPr>
        <w:numPr>
          <w:ilvl w:val="0"/>
          <w:numId w:val="5"/>
        </w:numPr>
        <w:tabs>
          <w:tab w:val="left" w:pos="284"/>
        </w:tabs>
        <w:ind w:left="284" w:hanging="284"/>
        <w:contextualSpacing/>
        <w:rPr>
          <w:rFonts w:cs="Arial"/>
          <w:szCs w:val="24"/>
          <w:lang w:eastAsia="it-CH"/>
        </w:rPr>
      </w:pPr>
      <w:r w:rsidRPr="00BA3E7F">
        <w:rPr>
          <w:rFonts w:cs="Arial"/>
          <w:szCs w:val="24"/>
          <w:lang w:eastAsia="it-CH"/>
        </w:rPr>
        <w:t>spese accessorie per pulizia supplementari di CHF 12'000.-.</w:t>
      </w:r>
    </w:p>
    <w:p w:rsidR="002E2600" w:rsidRDefault="002E2600" w:rsidP="002E2600">
      <w:pPr>
        <w:jc w:val="left"/>
        <w:rPr>
          <w:rFonts w:cs="Arial"/>
          <w:szCs w:val="24"/>
          <w:lang w:eastAsia="it-CH"/>
        </w:rPr>
      </w:pPr>
    </w:p>
    <w:p w:rsidR="00EE2592" w:rsidRPr="00BA3E7F" w:rsidRDefault="00EE2592" w:rsidP="002E2600">
      <w:pPr>
        <w:jc w:val="left"/>
        <w:rPr>
          <w:rFonts w:cs="Arial"/>
          <w:szCs w:val="24"/>
          <w:lang w:eastAsia="it-CH"/>
        </w:rPr>
      </w:pPr>
    </w:p>
    <w:p w:rsidR="002E2600" w:rsidRPr="00BA3E7F" w:rsidRDefault="002E2600" w:rsidP="002E2600">
      <w:pPr>
        <w:jc w:val="left"/>
        <w:rPr>
          <w:rFonts w:cs="Arial"/>
          <w:szCs w:val="24"/>
          <w:lang w:eastAsia="it-CH"/>
        </w:rPr>
      </w:pPr>
    </w:p>
    <w:p w:rsidR="0021084B" w:rsidRDefault="0021084B">
      <w:pPr>
        <w:rPr>
          <w:b/>
          <w:caps/>
          <w:szCs w:val="24"/>
          <w:lang w:val="it-IT" w:eastAsia="it-IT"/>
        </w:rPr>
      </w:pPr>
      <w:r>
        <w:br w:type="page"/>
      </w:r>
    </w:p>
    <w:p w:rsidR="002E2600" w:rsidRPr="00BA3E7F" w:rsidRDefault="002E2600" w:rsidP="00EE2592">
      <w:pPr>
        <w:pStyle w:val="Titolo1"/>
      </w:pPr>
      <w:r w:rsidRPr="00BA3E7F">
        <w:lastRenderedPageBreak/>
        <w:t>Tempistica</w:t>
      </w:r>
    </w:p>
    <w:tbl>
      <w:tblPr>
        <w:tblStyle w:val="Grigliatabella"/>
        <w:tblpPr w:leftFromText="141" w:rightFromText="141" w:vertAnchor="text" w:horzAnchor="margin" w:tblpXSpec="center" w:tblpY="16"/>
        <w:tblW w:w="5000" w:type="pct"/>
        <w:tblLook w:val="04A0" w:firstRow="1" w:lastRow="0" w:firstColumn="1" w:lastColumn="0" w:noHBand="0" w:noVBand="1"/>
      </w:tblPr>
      <w:tblGrid>
        <w:gridCol w:w="1636"/>
        <w:gridCol w:w="2300"/>
        <w:gridCol w:w="5918"/>
      </w:tblGrid>
      <w:tr w:rsidR="002E2600" w:rsidRPr="00BA3E7F" w:rsidTr="008B721E">
        <w:tc>
          <w:tcPr>
            <w:tcW w:w="830" w:type="pct"/>
          </w:tcPr>
          <w:p w:rsidR="002E2600" w:rsidRPr="00BA3E7F" w:rsidRDefault="002E2600" w:rsidP="008B721E">
            <w:pPr>
              <w:spacing w:before="120"/>
              <w:rPr>
                <w:rFonts w:cs="Arial"/>
                <w:b/>
                <w:sz w:val="22"/>
              </w:rPr>
            </w:pPr>
            <w:r w:rsidRPr="00BA3E7F">
              <w:rPr>
                <w:rFonts w:cs="Arial"/>
                <w:b/>
                <w:sz w:val="22"/>
              </w:rPr>
              <w:t>Anno</w:t>
            </w:r>
          </w:p>
        </w:tc>
        <w:tc>
          <w:tcPr>
            <w:tcW w:w="1167" w:type="pct"/>
          </w:tcPr>
          <w:p w:rsidR="002E2600" w:rsidRPr="00BA3E7F" w:rsidRDefault="002E2600" w:rsidP="008B721E">
            <w:pPr>
              <w:spacing w:before="120"/>
              <w:rPr>
                <w:rFonts w:cs="Arial"/>
                <w:b/>
                <w:sz w:val="22"/>
              </w:rPr>
            </w:pPr>
            <w:r w:rsidRPr="00BA3E7F">
              <w:rPr>
                <w:rFonts w:cs="Arial"/>
                <w:b/>
                <w:sz w:val="22"/>
              </w:rPr>
              <w:t>Mese</w:t>
            </w:r>
          </w:p>
        </w:tc>
        <w:tc>
          <w:tcPr>
            <w:tcW w:w="3003" w:type="pct"/>
          </w:tcPr>
          <w:p w:rsidR="002E2600" w:rsidRPr="00BA3E7F" w:rsidRDefault="002E2600" w:rsidP="008B721E">
            <w:pPr>
              <w:spacing w:before="120"/>
              <w:ind w:right="-1"/>
              <w:rPr>
                <w:rFonts w:cs="Arial"/>
                <w:b/>
                <w:sz w:val="22"/>
              </w:rPr>
            </w:pPr>
            <w:r w:rsidRPr="00BA3E7F">
              <w:rPr>
                <w:rFonts w:cs="Arial"/>
                <w:b/>
                <w:sz w:val="22"/>
              </w:rPr>
              <w:t>Oggetto</w:t>
            </w:r>
          </w:p>
        </w:tc>
      </w:tr>
      <w:tr w:rsidR="002E2600" w:rsidRPr="00BA3E7F" w:rsidTr="008B721E">
        <w:tc>
          <w:tcPr>
            <w:tcW w:w="830" w:type="pct"/>
          </w:tcPr>
          <w:p w:rsidR="002E2600" w:rsidRPr="00BA3E7F" w:rsidRDefault="002E2600" w:rsidP="008B721E">
            <w:pPr>
              <w:spacing w:before="120"/>
              <w:rPr>
                <w:rFonts w:cs="Arial"/>
                <w:sz w:val="22"/>
              </w:rPr>
            </w:pPr>
            <w:r w:rsidRPr="00BA3E7F">
              <w:rPr>
                <w:rFonts w:cs="Arial"/>
                <w:sz w:val="22"/>
              </w:rPr>
              <w:t>2018</w:t>
            </w:r>
          </w:p>
        </w:tc>
        <w:tc>
          <w:tcPr>
            <w:tcW w:w="1167" w:type="pct"/>
          </w:tcPr>
          <w:p w:rsidR="002E2600" w:rsidRPr="00BA3E7F" w:rsidRDefault="002E2600" w:rsidP="008B721E">
            <w:pPr>
              <w:spacing w:before="120"/>
              <w:rPr>
                <w:rFonts w:cs="Arial"/>
                <w:sz w:val="22"/>
              </w:rPr>
            </w:pPr>
            <w:r w:rsidRPr="00BA3E7F">
              <w:rPr>
                <w:rFonts w:cs="Arial"/>
                <w:sz w:val="22"/>
              </w:rPr>
              <w:t>Ottobre</w:t>
            </w:r>
          </w:p>
        </w:tc>
        <w:tc>
          <w:tcPr>
            <w:tcW w:w="3003" w:type="pct"/>
          </w:tcPr>
          <w:p w:rsidR="002E2600" w:rsidRPr="00BA3E7F" w:rsidRDefault="002E2600" w:rsidP="008B721E">
            <w:pPr>
              <w:spacing w:before="120"/>
              <w:ind w:right="-1"/>
              <w:rPr>
                <w:rFonts w:cs="Arial"/>
                <w:sz w:val="22"/>
              </w:rPr>
            </w:pPr>
            <w:r w:rsidRPr="00BA3E7F">
              <w:rPr>
                <w:rFonts w:cs="Arial"/>
                <w:sz w:val="22"/>
              </w:rPr>
              <w:t>Approvazione del decreto legge del MG di costruzione</w:t>
            </w:r>
          </w:p>
        </w:tc>
      </w:tr>
      <w:tr w:rsidR="002E2600" w:rsidRPr="00BA3E7F" w:rsidTr="008B721E">
        <w:tc>
          <w:tcPr>
            <w:tcW w:w="830" w:type="pct"/>
          </w:tcPr>
          <w:p w:rsidR="002E2600" w:rsidRPr="00BA3E7F" w:rsidRDefault="002E2600" w:rsidP="008B721E">
            <w:pPr>
              <w:spacing w:before="120"/>
              <w:rPr>
                <w:rFonts w:cs="Arial"/>
                <w:sz w:val="22"/>
              </w:rPr>
            </w:pPr>
            <w:r w:rsidRPr="00BA3E7F">
              <w:rPr>
                <w:rFonts w:cs="Arial"/>
                <w:sz w:val="22"/>
              </w:rPr>
              <w:t>2018</w:t>
            </w:r>
          </w:p>
        </w:tc>
        <w:tc>
          <w:tcPr>
            <w:tcW w:w="1167" w:type="pct"/>
          </w:tcPr>
          <w:p w:rsidR="002E2600" w:rsidRPr="00BA3E7F" w:rsidRDefault="002E2600" w:rsidP="008B721E">
            <w:pPr>
              <w:spacing w:before="120"/>
              <w:rPr>
                <w:rFonts w:cs="Arial"/>
                <w:sz w:val="22"/>
              </w:rPr>
            </w:pPr>
            <w:r w:rsidRPr="00BA3E7F">
              <w:rPr>
                <w:rFonts w:cs="Arial"/>
                <w:sz w:val="22"/>
              </w:rPr>
              <w:t>Novembre</w:t>
            </w:r>
          </w:p>
        </w:tc>
        <w:tc>
          <w:tcPr>
            <w:tcW w:w="3003" w:type="pct"/>
          </w:tcPr>
          <w:p w:rsidR="002E2600" w:rsidRPr="00BA3E7F" w:rsidRDefault="002E2600" w:rsidP="008B721E">
            <w:pPr>
              <w:spacing w:before="120"/>
              <w:rPr>
                <w:rFonts w:cs="Arial"/>
                <w:sz w:val="22"/>
              </w:rPr>
            </w:pPr>
            <w:r w:rsidRPr="00BA3E7F">
              <w:rPr>
                <w:rFonts w:cs="Arial"/>
                <w:sz w:val="22"/>
              </w:rPr>
              <w:t>Inizio cantiere</w:t>
            </w:r>
          </w:p>
        </w:tc>
      </w:tr>
      <w:tr w:rsidR="002E2600" w:rsidRPr="00BA3E7F" w:rsidTr="008B721E">
        <w:tc>
          <w:tcPr>
            <w:tcW w:w="830" w:type="pct"/>
          </w:tcPr>
          <w:p w:rsidR="002E2600" w:rsidRPr="00BA3E7F" w:rsidRDefault="002E2600" w:rsidP="008B721E">
            <w:pPr>
              <w:spacing w:before="120"/>
              <w:rPr>
                <w:rFonts w:cs="Arial"/>
                <w:sz w:val="22"/>
              </w:rPr>
            </w:pPr>
            <w:r w:rsidRPr="00BA3E7F">
              <w:rPr>
                <w:rFonts w:cs="Arial"/>
                <w:sz w:val="22"/>
              </w:rPr>
              <w:t>2019</w:t>
            </w:r>
          </w:p>
        </w:tc>
        <w:tc>
          <w:tcPr>
            <w:tcW w:w="1167" w:type="pct"/>
          </w:tcPr>
          <w:p w:rsidR="002E2600" w:rsidRPr="00BA3E7F" w:rsidRDefault="002E2600" w:rsidP="008B721E">
            <w:pPr>
              <w:spacing w:before="120"/>
              <w:rPr>
                <w:rFonts w:cs="Arial"/>
                <w:sz w:val="22"/>
              </w:rPr>
            </w:pPr>
            <w:r w:rsidRPr="00BA3E7F">
              <w:rPr>
                <w:rFonts w:cs="Arial"/>
                <w:sz w:val="22"/>
              </w:rPr>
              <w:t>Gennaio</w:t>
            </w:r>
          </w:p>
        </w:tc>
        <w:tc>
          <w:tcPr>
            <w:tcW w:w="3003" w:type="pct"/>
          </w:tcPr>
          <w:p w:rsidR="002E2600" w:rsidRPr="00BA3E7F" w:rsidRDefault="002E2600" w:rsidP="008B721E">
            <w:pPr>
              <w:spacing w:before="120"/>
              <w:rPr>
                <w:rFonts w:cs="Arial"/>
                <w:sz w:val="22"/>
              </w:rPr>
            </w:pPr>
            <w:r w:rsidRPr="00BA3E7F">
              <w:rPr>
                <w:rFonts w:cs="Arial"/>
                <w:sz w:val="22"/>
              </w:rPr>
              <w:t>Consegna spazi</w:t>
            </w:r>
          </w:p>
        </w:tc>
      </w:tr>
    </w:tbl>
    <w:p w:rsidR="002E2600" w:rsidRDefault="002E2600" w:rsidP="00EE2592"/>
    <w:p w:rsidR="00EE2592" w:rsidRPr="007313DF" w:rsidRDefault="00EE2592" w:rsidP="00EE2592"/>
    <w:p w:rsidR="002E2600" w:rsidRPr="007313DF" w:rsidRDefault="002E2600" w:rsidP="00EE2592"/>
    <w:p w:rsidR="002E2600" w:rsidRDefault="002E2600" w:rsidP="00EE2592">
      <w:pPr>
        <w:pStyle w:val="Titolo1"/>
      </w:pPr>
      <w:r w:rsidRPr="00BA3E7F">
        <w:t>Relazione con le Linee direttive e il Piano finanziario</w:t>
      </w:r>
    </w:p>
    <w:p w:rsidR="002E2600" w:rsidRPr="00BA3E7F" w:rsidRDefault="002E2600" w:rsidP="002E2600">
      <w:pPr>
        <w:tabs>
          <w:tab w:val="left" w:pos="851"/>
        </w:tabs>
      </w:pPr>
      <w:r w:rsidRPr="00BA3E7F">
        <w:rPr>
          <w:rFonts w:cs="Arial"/>
        </w:rPr>
        <w:t>Non ci sono relazioni con le Linee direttive della legislatura corrente 2015/2019, mentre la spesa di CHF 474'000.- è iscritta</w:t>
      </w:r>
      <w:r w:rsidRPr="00BA3E7F">
        <w:t xml:space="preserve"> nel Piano Finanziario degli investimenti, settore 31 “Ospedali e altre istituzioni sanitarie”.</w:t>
      </w:r>
    </w:p>
    <w:p w:rsidR="002E2600" w:rsidRPr="00BA3E7F" w:rsidRDefault="002E2600" w:rsidP="002E2600">
      <w:pPr>
        <w:tabs>
          <w:tab w:val="left" w:pos="851"/>
        </w:tabs>
        <w:rPr>
          <w:rFonts w:cs="Arial"/>
        </w:rPr>
      </w:pPr>
    </w:p>
    <w:p w:rsidR="002E2600" w:rsidRPr="00BA3E7F" w:rsidRDefault="002E2600" w:rsidP="002E2600">
      <w:pPr>
        <w:spacing w:after="120"/>
      </w:pPr>
      <w:r w:rsidRPr="00BA3E7F">
        <w:t xml:space="preserve">Il progetto determina, quali conseguenze sulla gestione corrente, una </w:t>
      </w:r>
      <w:r w:rsidRPr="00BA3E7F">
        <w:rPr>
          <w:rFonts w:cs="Arial"/>
        </w:rPr>
        <w:t>nuova locazione per effetto dell’incremento degli spazi rispetto alla situazione in essere. Ne consegue un onere complessivo di CHF 191'483.- escluse spese accessorie e di gestione per un maggiore onere effettivo di CHF 106'423.- rispetti all’attuale situazione.</w:t>
      </w:r>
    </w:p>
    <w:p w:rsidR="002E2600" w:rsidRDefault="002E2600" w:rsidP="002E2600">
      <w:pPr>
        <w:rPr>
          <w:rFonts w:cs="Arial"/>
          <w:szCs w:val="24"/>
          <w:lang w:eastAsia="it-CH"/>
        </w:rPr>
      </w:pPr>
      <w:r w:rsidRPr="00BA3E7F">
        <w:t xml:space="preserve">L’onere supplementare a preventivo 2018 per i costi di gestione corrente, relativi a locazione, spese accessorie e pulizia </w:t>
      </w:r>
      <w:r w:rsidRPr="00BA3E7F">
        <w:rPr>
          <w:rFonts w:cs="Arial"/>
          <w:szCs w:val="24"/>
          <w:lang w:eastAsia="it-CH"/>
        </w:rPr>
        <w:t>ammonta a CHF 31'248.25 qualora i nuovi contrati entrassero in vigore dal 01.10.2018.</w:t>
      </w:r>
    </w:p>
    <w:p w:rsidR="002E2600" w:rsidRDefault="002E2600" w:rsidP="002E2600">
      <w:pPr>
        <w:rPr>
          <w:rFonts w:cs="Arial"/>
          <w:szCs w:val="24"/>
          <w:lang w:eastAsia="it-CH"/>
        </w:rPr>
      </w:pPr>
    </w:p>
    <w:p w:rsidR="00EE2592" w:rsidRDefault="00EE2592" w:rsidP="002E2600">
      <w:pPr>
        <w:rPr>
          <w:rFonts w:cs="Arial"/>
          <w:szCs w:val="24"/>
          <w:lang w:eastAsia="it-CH"/>
        </w:rPr>
      </w:pPr>
    </w:p>
    <w:p w:rsidR="00EE2592" w:rsidRDefault="00EE2592" w:rsidP="002E2600">
      <w:pPr>
        <w:rPr>
          <w:rFonts w:cs="Arial"/>
          <w:szCs w:val="24"/>
          <w:lang w:eastAsia="it-CH"/>
        </w:rPr>
      </w:pPr>
    </w:p>
    <w:p w:rsidR="002E2600" w:rsidRPr="00BA3E7F" w:rsidRDefault="002E2600" w:rsidP="00EE2592">
      <w:pPr>
        <w:spacing w:after="120"/>
        <w:rPr>
          <w:rFonts w:cs="Arial"/>
          <w:b/>
          <w:szCs w:val="24"/>
          <w:lang w:eastAsia="it-CH"/>
        </w:rPr>
      </w:pPr>
      <w:r w:rsidRPr="00BA3E7F">
        <w:rPr>
          <w:rFonts w:cs="Arial"/>
          <w:b/>
          <w:szCs w:val="24"/>
          <w:lang w:eastAsia="it-CH"/>
        </w:rPr>
        <w:t>7</w:t>
      </w:r>
      <w:r w:rsidR="00EE2592">
        <w:rPr>
          <w:rFonts w:cs="Arial"/>
          <w:b/>
          <w:szCs w:val="24"/>
          <w:lang w:eastAsia="it-CH"/>
        </w:rPr>
        <w:t>.</w:t>
      </w:r>
      <w:r w:rsidRPr="00BA3E7F">
        <w:rPr>
          <w:rFonts w:cs="Arial"/>
          <w:b/>
          <w:szCs w:val="24"/>
          <w:lang w:eastAsia="it-CH"/>
        </w:rPr>
        <w:tab/>
        <w:t>DISCUSSIONE COMMISSIONALE E CONCLUSIONI</w:t>
      </w:r>
    </w:p>
    <w:p w:rsidR="00DC6F19" w:rsidRDefault="002E2600" w:rsidP="002E2600">
      <w:pPr>
        <w:rPr>
          <w:rFonts w:cs="Arial"/>
          <w:szCs w:val="24"/>
        </w:rPr>
      </w:pPr>
      <w:r>
        <w:rPr>
          <w:rFonts w:cs="Arial"/>
          <w:szCs w:val="24"/>
        </w:rPr>
        <w:t>Il messaggio, con i relativi allegati (a cui si rinvia), non ha suscit</w:t>
      </w:r>
      <w:r w:rsidR="00DC6F19">
        <w:rPr>
          <w:rFonts w:cs="Arial"/>
          <w:szCs w:val="24"/>
        </w:rPr>
        <w:t>ato particolari perplessità in C</w:t>
      </w:r>
      <w:r>
        <w:rPr>
          <w:rFonts w:cs="Arial"/>
          <w:szCs w:val="24"/>
        </w:rPr>
        <w:t>ommissione. Appare comprensibile e condivisibile l’opportunità di cogliere l’occasione di porre completamente sotto lo stesso tetto dei servizi affini e sfruttare le sinergie e le possibili razionalizzazioni sopra indicate. I progetti sono stati condivisi co</w:t>
      </w:r>
      <w:r w:rsidR="00DC6F19">
        <w:rPr>
          <w:rFonts w:cs="Arial"/>
          <w:szCs w:val="24"/>
        </w:rPr>
        <w:t>n</w:t>
      </w:r>
      <w:r>
        <w:rPr>
          <w:rFonts w:cs="Arial"/>
          <w:szCs w:val="24"/>
        </w:rPr>
        <w:t xml:space="preserve"> gli uffici e i servizi interessati. I maggiori costi d’investimento e di gestione derivanti dalle maggiori superfici lo</w:t>
      </w:r>
      <w:r w:rsidR="00DC6F19">
        <w:rPr>
          <w:rFonts w:cs="Arial"/>
          <w:szCs w:val="24"/>
        </w:rPr>
        <w:t>cate sono considerati adeguati.</w:t>
      </w:r>
    </w:p>
    <w:p w:rsidR="00DC6F19" w:rsidRDefault="00DC6F19" w:rsidP="002E2600">
      <w:pPr>
        <w:rPr>
          <w:rFonts w:cs="Arial"/>
          <w:szCs w:val="24"/>
        </w:rPr>
      </w:pPr>
    </w:p>
    <w:p w:rsidR="002E2600" w:rsidRDefault="002E2600" w:rsidP="002E2600">
      <w:pPr>
        <w:rPr>
          <w:rFonts w:cs="Arial"/>
          <w:szCs w:val="24"/>
        </w:rPr>
      </w:pPr>
      <w:r>
        <w:rPr>
          <w:rFonts w:cs="Arial"/>
          <w:szCs w:val="24"/>
        </w:rPr>
        <w:t>Pertanto la Commissione vi invita ad approvare il Messaggio e segnatamente</w:t>
      </w:r>
      <w:r w:rsidRPr="00BA3E7F">
        <w:rPr>
          <w:rFonts w:cs="Arial"/>
          <w:szCs w:val="24"/>
        </w:rPr>
        <w:t xml:space="preserve"> ad approvare il disegno di Decreto legislativo </w:t>
      </w:r>
      <w:r>
        <w:rPr>
          <w:rFonts w:cs="Arial"/>
          <w:szCs w:val="24"/>
        </w:rPr>
        <w:t xml:space="preserve">ad esso </w:t>
      </w:r>
      <w:r w:rsidRPr="00BA3E7F">
        <w:rPr>
          <w:rFonts w:cs="Arial"/>
          <w:szCs w:val="24"/>
        </w:rPr>
        <w:t>allegat</w:t>
      </w:r>
      <w:r>
        <w:rPr>
          <w:rFonts w:cs="Arial"/>
          <w:szCs w:val="24"/>
        </w:rPr>
        <w:t>o.</w:t>
      </w:r>
    </w:p>
    <w:p w:rsidR="002E2600" w:rsidRPr="00C27445" w:rsidRDefault="002E2600" w:rsidP="002E2600">
      <w:pPr>
        <w:rPr>
          <w:rFonts w:cs="Arial"/>
          <w:szCs w:val="24"/>
        </w:rPr>
      </w:pPr>
    </w:p>
    <w:p w:rsidR="002E2600" w:rsidRPr="0060351B" w:rsidRDefault="002E2600" w:rsidP="002E2600">
      <w:pPr>
        <w:rPr>
          <w:szCs w:val="24"/>
        </w:rPr>
      </w:pPr>
    </w:p>
    <w:p w:rsidR="002E2600" w:rsidRPr="0060351B" w:rsidRDefault="002E2600" w:rsidP="002E2600">
      <w:pPr>
        <w:rPr>
          <w:szCs w:val="24"/>
        </w:rPr>
      </w:pPr>
    </w:p>
    <w:p w:rsidR="002E2600" w:rsidRDefault="002E2600" w:rsidP="002E2600">
      <w:pPr>
        <w:spacing w:after="120"/>
      </w:pPr>
      <w:r>
        <w:t>Per la Commissione gestione e finanze</w:t>
      </w:r>
      <w:r w:rsidR="00DC6F19">
        <w:t>:</w:t>
      </w:r>
    </w:p>
    <w:p w:rsidR="002E2600" w:rsidRDefault="002E2600" w:rsidP="00EE2592">
      <w:r>
        <w:t>Matteo Quadranti</w:t>
      </w:r>
      <w:r w:rsidR="00EE2592">
        <w:t>, relatore</w:t>
      </w:r>
    </w:p>
    <w:p w:rsidR="00326E52" w:rsidRPr="00AE0B23" w:rsidRDefault="00326E52" w:rsidP="00326E52">
      <w:pPr>
        <w:rPr>
          <w:rFonts w:cs="Arial"/>
        </w:rPr>
      </w:pPr>
      <w:bookmarkStart w:id="2" w:name="OLE_LINK1"/>
      <w:bookmarkStart w:id="3" w:name="OLE_LINK2"/>
      <w:r w:rsidRPr="00AE0B23">
        <w:rPr>
          <w:rFonts w:cs="Arial"/>
        </w:rPr>
        <w:t xml:space="preserve">Bacchetta-Cattori - Badasci - Bang - </w:t>
      </w:r>
    </w:p>
    <w:p w:rsidR="00AE0B23" w:rsidRPr="00AE0B23" w:rsidRDefault="00326E52" w:rsidP="00326E52">
      <w:pPr>
        <w:rPr>
          <w:rFonts w:cs="Arial"/>
        </w:rPr>
      </w:pPr>
      <w:r w:rsidRPr="00AE0B23">
        <w:rPr>
          <w:rFonts w:cs="Arial"/>
        </w:rPr>
        <w:t xml:space="preserve">Caprara - Dadò - Durisch - Farinelli - </w:t>
      </w:r>
    </w:p>
    <w:p w:rsidR="00326E52" w:rsidRPr="00AE0B23" w:rsidRDefault="00326E52" w:rsidP="00326E52">
      <w:pPr>
        <w:rPr>
          <w:rFonts w:cs="Arial"/>
        </w:rPr>
      </w:pPr>
      <w:r w:rsidRPr="00AE0B23">
        <w:rPr>
          <w:rFonts w:cs="Arial"/>
        </w:rPr>
        <w:t xml:space="preserve">Garobbio - </w:t>
      </w:r>
      <w:r w:rsidR="00AE0B23" w:rsidRPr="00AE0B23">
        <w:rPr>
          <w:rFonts w:cs="Arial"/>
        </w:rPr>
        <w:t>Garzoli - Guerra - Pini</w:t>
      </w:r>
    </w:p>
    <w:bookmarkEnd w:id="2"/>
    <w:bookmarkEnd w:id="3"/>
    <w:p w:rsidR="002E2600" w:rsidRDefault="002E2600" w:rsidP="00EE2592"/>
    <w:sectPr w:rsidR="002E2600" w:rsidSect="0021084B">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B8" w:rsidRDefault="00B01AB8" w:rsidP="008E77C6">
      <w:r>
        <w:separator/>
      </w:r>
    </w:p>
  </w:endnote>
  <w:endnote w:type="continuationSeparator" w:id="0">
    <w:p w:rsidR="00B01AB8" w:rsidRDefault="00B01AB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97CA4" w:rsidRPr="00597CA4">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B8" w:rsidRDefault="00B01AB8" w:rsidP="008E77C6">
      <w:r>
        <w:separator/>
      </w:r>
    </w:p>
  </w:footnote>
  <w:footnote w:type="continuationSeparator" w:id="0">
    <w:p w:rsidR="00B01AB8" w:rsidRDefault="00B01AB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53E"/>
    <w:multiLevelType w:val="hybridMultilevel"/>
    <w:tmpl w:val="83F6EFC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1">
      <w:start w:val="1"/>
      <w:numFmt w:val="bullet"/>
      <w:lvlText w:val=""/>
      <w:lvlJc w:val="left"/>
      <w:pPr>
        <w:ind w:left="2160" w:hanging="360"/>
      </w:pPr>
      <w:rPr>
        <w:rFonts w:ascii="Symbol" w:hAnsi="Symbol"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D355C0C"/>
    <w:multiLevelType w:val="hybridMultilevel"/>
    <w:tmpl w:val="7F30B886"/>
    <w:lvl w:ilvl="0" w:tplc="5C50C462">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44DB4ADC"/>
    <w:multiLevelType w:val="hybridMultilevel"/>
    <w:tmpl w:val="3ED014C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534A791C"/>
    <w:multiLevelType w:val="hybridMultilevel"/>
    <w:tmpl w:val="5AB8A29E"/>
    <w:lvl w:ilvl="0" w:tplc="907C6D78">
      <w:numFmt w:val="bullet"/>
      <w:lvlText w:val="-"/>
      <w:lvlJc w:val="left"/>
      <w:pPr>
        <w:ind w:left="1572" w:hanging="360"/>
      </w:pPr>
      <w:rPr>
        <w:rFonts w:ascii="Arial" w:eastAsia="Times New Roman" w:hAnsi="Arial" w:cs="Arial" w:hint="default"/>
      </w:rPr>
    </w:lvl>
    <w:lvl w:ilvl="1" w:tplc="08100003" w:tentative="1">
      <w:start w:val="1"/>
      <w:numFmt w:val="bullet"/>
      <w:lvlText w:val="o"/>
      <w:lvlJc w:val="left"/>
      <w:pPr>
        <w:ind w:left="2292" w:hanging="360"/>
      </w:pPr>
      <w:rPr>
        <w:rFonts w:ascii="Courier New" w:hAnsi="Courier New" w:cs="Courier New" w:hint="default"/>
      </w:rPr>
    </w:lvl>
    <w:lvl w:ilvl="2" w:tplc="08100005" w:tentative="1">
      <w:start w:val="1"/>
      <w:numFmt w:val="bullet"/>
      <w:lvlText w:val=""/>
      <w:lvlJc w:val="left"/>
      <w:pPr>
        <w:ind w:left="3012" w:hanging="360"/>
      </w:pPr>
      <w:rPr>
        <w:rFonts w:ascii="Wingdings" w:hAnsi="Wingdings" w:hint="default"/>
      </w:rPr>
    </w:lvl>
    <w:lvl w:ilvl="3" w:tplc="08100001" w:tentative="1">
      <w:start w:val="1"/>
      <w:numFmt w:val="bullet"/>
      <w:lvlText w:val=""/>
      <w:lvlJc w:val="left"/>
      <w:pPr>
        <w:ind w:left="3732" w:hanging="360"/>
      </w:pPr>
      <w:rPr>
        <w:rFonts w:ascii="Symbol" w:hAnsi="Symbol" w:hint="default"/>
      </w:rPr>
    </w:lvl>
    <w:lvl w:ilvl="4" w:tplc="08100003" w:tentative="1">
      <w:start w:val="1"/>
      <w:numFmt w:val="bullet"/>
      <w:lvlText w:val="o"/>
      <w:lvlJc w:val="left"/>
      <w:pPr>
        <w:ind w:left="4452" w:hanging="360"/>
      </w:pPr>
      <w:rPr>
        <w:rFonts w:ascii="Courier New" w:hAnsi="Courier New" w:cs="Courier New" w:hint="default"/>
      </w:rPr>
    </w:lvl>
    <w:lvl w:ilvl="5" w:tplc="08100005" w:tentative="1">
      <w:start w:val="1"/>
      <w:numFmt w:val="bullet"/>
      <w:lvlText w:val=""/>
      <w:lvlJc w:val="left"/>
      <w:pPr>
        <w:ind w:left="5172" w:hanging="360"/>
      </w:pPr>
      <w:rPr>
        <w:rFonts w:ascii="Wingdings" w:hAnsi="Wingdings" w:hint="default"/>
      </w:rPr>
    </w:lvl>
    <w:lvl w:ilvl="6" w:tplc="08100001" w:tentative="1">
      <w:start w:val="1"/>
      <w:numFmt w:val="bullet"/>
      <w:lvlText w:val=""/>
      <w:lvlJc w:val="left"/>
      <w:pPr>
        <w:ind w:left="5892" w:hanging="360"/>
      </w:pPr>
      <w:rPr>
        <w:rFonts w:ascii="Symbol" w:hAnsi="Symbol" w:hint="default"/>
      </w:rPr>
    </w:lvl>
    <w:lvl w:ilvl="7" w:tplc="08100003" w:tentative="1">
      <w:start w:val="1"/>
      <w:numFmt w:val="bullet"/>
      <w:lvlText w:val="o"/>
      <w:lvlJc w:val="left"/>
      <w:pPr>
        <w:ind w:left="6612" w:hanging="360"/>
      </w:pPr>
      <w:rPr>
        <w:rFonts w:ascii="Courier New" w:hAnsi="Courier New" w:cs="Courier New" w:hint="default"/>
      </w:rPr>
    </w:lvl>
    <w:lvl w:ilvl="8" w:tplc="08100005" w:tentative="1">
      <w:start w:val="1"/>
      <w:numFmt w:val="bullet"/>
      <w:lvlText w:val=""/>
      <w:lvlJc w:val="left"/>
      <w:pPr>
        <w:ind w:left="7332" w:hanging="360"/>
      </w:pPr>
      <w:rPr>
        <w:rFonts w:ascii="Wingdings" w:hAnsi="Wingdings" w:hint="default"/>
      </w:r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1084B"/>
    <w:rsid w:val="00260C8C"/>
    <w:rsid w:val="002E2600"/>
    <w:rsid w:val="002E5E40"/>
    <w:rsid w:val="00326E52"/>
    <w:rsid w:val="0052425A"/>
    <w:rsid w:val="00586A8D"/>
    <w:rsid w:val="00597CA4"/>
    <w:rsid w:val="006D7A3B"/>
    <w:rsid w:val="007352D3"/>
    <w:rsid w:val="007B5462"/>
    <w:rsid w:val="008034BD"/>
    <w:rsid w:val="00876352"/>
    <w:rsid w:val="008B2655"/>
    <w:rsid w:val="008B4137"/>
    <w:rsid w:val="008C767A"/>
    <w:rsid w:val="008E77C6"/>
    <w:rsid w:val="009770BB"/>
    <w:rsid w:val="009E008D"/>
    <w:rsid w:val="00A5465F"/>
    <w:rsid w:val="00A77678"/>
    <w:rsid w:val="00AE0B23"/>
    <w:rsid w:val="00B01AB8"/>
    <w:rsid w:val="00BC4C95"/>
    <w:rsid w:val="00BD5944"/>
    <w:rsid w:val="00CF6858"/>
    <w:rsid w:val="00D377B5"/>
    <w:rsid w:val="00D93B31"/>
    <w:rsid w:val="00DC6F19"/>
    <w:rsid w:val="00E505DB"/>
    <w:rsid w:val="00E765A9"/>
    <w:rsid w:val="00EE259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EE2592"/>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EE2592"/>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AE0B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0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EE2592"/>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EE2592"/>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AE0B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0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1D78-0AA7-43A6-A36A-B68CB63E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1793</Words>
  <Characters>10222</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8</cp:revision>
  <cp:lastPrinted>2018-09-27T08:49:00Z</cp:lastPrinted>
  <dcterms:created xsi:type="dcterms:W3CDTF">2018-09-25T14:06:00Z</dcterms:created>
  <dcterms:modified xsi:type="dcterms:W3CDTF">2018-10-03T10:13:00Z</dcterms:modified>
</cp:coreProperties>
</file>