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655E24" w:rsidP="00F242E5">
      <w:pPr>
        <w:tabs>
          <w:tab w:val="left" w:pos="2495"/>
        </w:tabs>
        <w:spacing w:before="80" w:after="40"/>
        <w:rPr>
          <w:rFonts w:ascii="Gill Sans MT" w:hAnsi="Gill Sans MT"/>
          <w:b/>
          <w:sz w:val="56"/>
          <w:szCs w:val="56"/>
        </w:rPr>
      </w:pPr>
      <w:r w:rsidRPr="00655E24">
        <w:rPr>
          <w:rFonts w:ascii="Gill Sans MT" w:hAnsi="Gill Sans MT"/>
          <w:b/>
          <w:sz w:val="56"/>
          <w:szCs w:val="56"/>
        </w:rPr>
        <w:t>Rapporto</w:t>
      </w:r>
      <w:r w:rsidRPr="005C669B">
        <w:rPr>
          <w:rFonts w:ascii="Gill Sans MT" w:hAnsi="Gill Sans MT"/>
          <w:b/>
          <w:sz w:val="56"/>
          <w:szCs w:val="56"/>
        </w:rPr>
        <w:t xml:space="preserve"> </w:t>
      </w:r>
      <w:r w:rsidR="00F242E5"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AC7B6C" w:rsidRPr="004443A2" w:rsidRDefault="00AC7B6C" w:rsidP="00AC7B6C">
      <w:pPr>
        <w:tabs>
          <w:tab w:val="left" w:pos="2098"/>
          <w:tab w:val="left" w:pos="4962"/>
        </w:tabs>
        <w:rPr>
          <w:rFonts w:cs="Arial"/>
          <w:sz w:val="22"/>
        </w:rPr>
      </w:pPr>
      <w:r w:rsidRPr="00031F4C">
        <w:rPr>
          <w:rFonts w:cs="Arial"/>
          <w:position w:val="4"/>
          <w:sz w:val="28"/>
        </w:rPr>
        <w:tab/>
      </w:r>
      <w:bookmarkStart w:id="0" w:name="_GoBack"/>
      <w:bookmarkEnd w:id="0"/>
      <w:r>
        <w:rPr>
          <w:rFonts w:cs="Arial"/>
          <w:position w:val="4"/>
          <w:sz w:val="28"/>
        </w:rPr>
        <w:t>20 settembre 2</w:t>
      </w:r>
      <w:r w:rsidRPr="00031F4C">
        <w:rPr>
          <w:rFonts w:cs="Arial"/>
          <w:position w:val="4"/>
          <w:sz w:val="28"/>
        </w:rPr>
        <w:t>01</w:t>
      </w:r>
      <w:r>
        <w:rPr>
          <w:rFonts w:cs="Arial"/>
          <w:position w:val="4"/>
          <w:sz w:val="28"/>
        </w:rPr>
        <w:t>8</w:t>
      </w:r>
      <w:r w:rsidRPr="00031F4C">
        <w:rPr>
          <w:rFonts w:cs="Arial"/>
          <w:position w:val="4"/>
          <w:sz w:val="28"/>
        </w:rPr>
        <w:tab/>
      </w:r>
      <w:r w:rsidRPr="00A8590C">
        <w:rPr>
          <w:rFonts w:cs="Arial"/>
          <w:position w:val="4"/>
          <w:sz w:val="28"/>
          <w:szCs w:val="28"/>
        </w:rPr>
        <w:t>CANCELLERIA DELLO STATO</w:t>
      </w:r>
    </w:p>
    <w:p w:rsidR="00AC7B6C" w:rsidRDefault="00AC7B6C" w:rsidP="00AC7B6C">
      <w:pPr>
        <w:widowControl w:val="0"/>
        <w:autoSpaceDE w:val="0"/>
        <w:autoSpaceDN w:val="0"/>
        <w:adjustRightInd w:val="0"/>
        <w:rPr>
          <w:rFonts w:cs="Arial"/>
          <w:lang w:val="it-IT"/>
        </w:rPr>
      </w:pPr>
    </w:p>
    <w:p w:rsidR="00AC7B6C" w:rsidRDefault="00AC7B6C" w:rsidP="00AC7B6C">
      <w:pPr>
        <w:widowControl w:val="0"/>
        <w:autoSpaceDE w:val="0"/>
        <w:autoSpaceDN w:val="0"/>
        <w:adjustRightInd w:val="0"/>
        <w:rPr>
          <w:rFonts w:cs="Arial"/>
          <w:lang w:val="it-IT"/>
        </w:rPr>
      </w:pPr>
    </w:p>
    <w:p w:rsidR="00AC7B6C" w:rsidRPr="00064778" w:rsidRDefault="00AC7B6C" w:rsidP="00AC7B6C">
      <w:pPr>
        <w:widowControl w:val="0"/>
        <w:autoSpaceDE w:val="0"/>
        <w:autoSpaceDN w:val="0"/>
        <w:adjustRightInd w:val="0"/>
        <w:rPr>
          <w:rFonts w:cs="Arial"/>
          <w:lang w:val="it-IT"/>
        </w:rPr>
      </w:pPr>
    </w:p>
    <w:p w:rsidR="00AC7B6C" w:rsidRPr="00064778" w:rsidRDefault="00AC7B6C" w:rsidP="00AC7B6C">
      <w:pPr>
        <w:widowControl w:val="0"/>
        <w:autoSpaceDE w:val="0"/>
        <w:autoSpaceDN w:val="0"/>
        <w:adjustRightInd w:val="0"/>
        <w:rPr>
          <w:rFonts w:cs="Arial"/>
          <w:b/>
          <w:sz w:val="28"/>
          <w:szCs w:val="28"/>
          <w:lang w:val="it-IT"/>
        </w:rPr>
      </w:pPr>
      <w:r w:rsidRPr="00064778">
        <w:rPr>
          <w:rFonts w:cs="Arial"/>
          <w:b/>
          <w:sz w:val="28"/>
          <w:szCs w:val="28"/>
          <w:lang w:val="it-IT"/>
        </w:rPr>
        <w:t xml:space="preserve">della Commissione speciale Costituzione e diritti politici </w:t>
      </w:r>
    </w:p>
    <w:p w:rsidR="00AC7B6C" w:rsidRPr="00064778" w:rsidRDefault="00AC7B6C" w:rsidP="00AC7B6C">
      <w:pPr>
        <w:widowControl w:val="0"/>
        <w:autoSpaceDE w:val="0"/>
        <w:autoSpaceDN w:val="0"/>
        <w:adjustRightInd w:val="0"/>
        <w:rPr>
          <w:rFonts w:cs="Arial"/>
          <w:b/>
          <w:sz w:val="28"/>
          <w:szCs w:val="28"/>
          <w:lang w:val="it-IT"/>
        </w:rPr>
      </w:pPr>
      <w:r w:rsidRPr="00064778">
        <w:rPr>
          <w:rFonts w:cs="Arial"/>
          <w:b/>
          <w:sz w:val="28"/>
          <w:szCs w:val="28"/>
          <w:lang w:val="it-IT"/>
        </w:rPr>
        <w:t>sull</w:t>
      </w:r>
      <w:r>
        <w:rPr>
          <w:rFonts w:cs="Arial"/>
          <w:b/>
          <w:sz w:val="28"/>
          <w:szCs w:val="28"/>
          <w:lang w:val="it-IT"/>
        </w:rPr>
        <w:t>'</w:t>
      </w:r>
      <w:r w:rsidRPr="00064778">
        <w:rPr>
          <w:rFonts w:cs="Arial"/>
          <w:b/>
          <w:sz w:val="28"/>
          <w:szCs w:val="28"/>
          <w:lang w:val="it-IT"/>
        </w:rPr>
        <w:t>iniziativ</w:t>
      </w:r>
      <w:r>
        <w:rPr>
          <w:rFonts w:cs="Arial"/>
          <w:b/>
          <w:sz w:val="28"/>
          <w:szCs w:val="28"/>
          <w:lang w:val="it-IT"/>
        </w:rPr>
        <w:t>a parlamentare 1</w:t>
      </w:r>
      <w:r w:rsidR="00A8590C">
        <w:rPr>
          <w:rFonts w:cs="Arial"/>
          <w:b/>
          <w:sz w:val="28"/>
          <w:szCs w:val="28"/>
          <w:lang w:val="it-IT"/>
        </w:rPr>
        <w:t>7</w:t>
      </w:r>
      <w:r>
        <w:rPr>
          <w:rFonts w:cs="Arial"/>
          <w:b/>
          <w:sz w:val="28"/>
          <w:szCs w:val="28"/>
          <w:lang w:val="it-IT"/>
        </w:rPr>
        <w:t xml:space="preserve"> ottobre 2017 presentata nella forma g</w:t>
      </w:r>
      <w:r w:rsidRPr="00064778">
        <w:rPr>
          <w:rFonts w:cs="Arial"/>
          <w:b/>
          <w:sz w:val="28"/>
          <w:szCs w:val="28"/>
          <w:lang w:val="it-IT"/>
        </w:rPr>
        <w:t xml:space="preserve">enerica </w:t>
      </w:r>
      <w:r>
        <w:rPr>
          <w:rFonts w:cs="Arial"/>
          <w:b/>
          <w:sz w:val="28"/>
          <w:szCs w:val="28"/>
          <w:lang w:val="it-IT"/>
        </w:rPr>
        <w:t>da Luigina La Mantia e cofirmatari "</w:t>
      </w:r>
      <w:r w:rsidRPr="00C60B0E">
        <w:rPr>
          <w:rFonts w:cs="Arial"/>
          <w:b/>
          <w:sz w:val="28"/>
          <w:szCs w:val="28"/>
          <w:lang w:val="it-IT"/>
        </w:rPr>
        <w:t>Creare una chiara base legale che regoli il secondo conteggio delle schede di vot</w:t>
      </w:r>
      <w:r>
        <w:rPr>
          <w:rFonts w:cs="Arial"/>
          <w:b/>
          <w:sz w:val="28"/>
          <w:szCs w:val="28"/>
          <w:lang w:val="it-IT"/>
        </w:rPr>
        <w:t>o</w:t>
      </w:r>
      <w:r w:rsidRPr="00064778">
        <w:rPr>
          <w:rFonts w:cs="Arial"/>
          <w:b/>
          <w:sz w:val="28"/>
          <w:szCs w:val="28"/>
          <w:lang w:val="it-IT"/>
        </w:rPr>
        <w:t>"</w:t>
      </w:r>
    </w:p>
    <w:p w:rsidR="00AC7B6C" w:rsidRPr="00DB16B1" w:rsidRDefault="00AC7B6C" w:rsidP="00AC7B6C">
      <w:pPr>
        <w:tabs>
          <w:tab w:val="left" w:pos="426"/>
        </w:tabs>
        <w:spacing w:before="120"/>
        <w:rPr>
          <w:rFonts w:cs="Arial"/>
          <w:b/>
          <w:sz w:val="26"/>
          <w:szCs w:val="26"/>
        </w:rPr>
      </w:pPr>
      <w:r w:rsidRPr="00DB16B1">
        <w:rPr>
          <w:rFonts w:cs="Arial"/>
          <w:b/>
          <w:sz w:val="26"/>
          <w:szCs w:val="26"/>
        </w:rPr>
        <w:t xml:space="preserve">(v. </w:t>
      </w:r>
      <w:r>
        <w:rPr>
          <w:rFonts w:cs="Arial"/>
          <w:b/>
          <w:sz w:val="26"/>
          <w:szCs w:val="26"/>
        </w:rPr>
        <w:t>risoluzione governativa n. 5718 del 20 dicembre 2017</w:t>
      </w:r>
      <w:r w:rsidRPr="00DB16B1">
        <w:rPr>
          <w:rFonts w:cs="Arial"/>
          <w:b/>
          <w:sz w:val="26"/>
          <w:szCs w:val="26"/>
        </w:rPr>
        <w:t>)</w:t>
      </w:r>
    </w:p>
    <w:p w:rsidR="00AC7B6C" w:rsidRDefault="00AC7B6C" w:rsidP="00AC7B6C">
      <w:pPr>
        <w:widowControl w:val="0"/>
        <w:autoSpaceDE w:val="0"/>
        <w:autoSpaceDN w:val="0"/>
        <w:adjustRightInd w:val="0"/>
        <w:rPr>
          <w:rFonts w:cs="Arial"/>
          <w:lang w:val="it-IT"/>
        </w:rPr>
      </w:pPr>
    </w:p>
    <w:p w:rsidR="00AC7B6C" w:rsidRDefault="00AC7B6C" w:rsidP="00AC7B6C">
      <w:pPr>
        <w:widowControl w:val="0"/>
        <w:autoSpaceDE w:val="0"/>
        <w:autoSpaceDN w:val="0"/>
        <w:adjustRightInd w:val="0"/>
        <w:rPr>
          <w:rFonts w:cs="Arial"/>
          <w:lang w:val="it-IT"/>
        </w:rPr>
      </w:pPr>
    </w:p>
    <w:p w:rsidR="00AC7B6C" w:rsidRDefault="00AC7B6C" w:rsidP="00AC7B6C">
      <w:pPr>
        <w:widowControl w:val="0"/>
        <w:autoSpaceDE w:val="0"/>
        <w:autoSpaceDN w:val="0"/>
        <w:adjustRightInd w:val="0"/>
        <w:rPr>
          <w:rFonts w:cs="Arial"/>
          <w:lang w:val="it-IT"/>
        </w:rPr>
      </w:pPr>
    </w:p>
    <w:p w:rsidR="00AC7B6C" w:rsidRPr="006F63C2" w:rsidRDefault="00AC7B6C" w:rsidP="00AC7B6C">
      <w:pPr>
        <w:pStyle w:val="Titolo1"/>
        <w:numPr>
          <w:ilvl w:val="0"/>
          <w:numId w:val="0"/>
        </w:numPr>
        <w:ind w:left="567" w:hanging="567"/>
      </w:pPr>
      <w:r>
        <w:t>1.</w:t>
      </w:r>
      <w:r>
        <w:tab/>
      </w:r>
      <w:r w:rsidRPr="006F63C2">
        <w:t>LA RIC</w:t>
      </w:r>
      <w:r>
        <w:t>HIESTA DELL'INIZIATIVA</w:t>
      </w:r>
    </w:p>
    <w:p w:rsidR="00AC7B6C" w:rsidRPr="00D015E7" w:rsidRDefault="00AC7B6C" w:rsidP="00965841">
      <w:pPr>
        <w:rPr>
          <w:lang w:val="it-IT"/>
        </w:rPr>
      </w:pPr>
      <w:r w:rsidRPr="00287C78">
        <w:rPr>
          <w:lang w:val="it-IT"/>
        </w:rPr>
        <w:t xml:space="preserve">L'iniziativa </w:t>
      </w:r>
      <w:r>
        <w:rPr>
          <w:lang w:val="it-IT"/>
        </w:rPr>
        <w:t xml:space="preserve">parlamentare generica è stata presentata </w:t>
      </w:r>
      <w:r w:rsidRPr="00824C63">
        <w:rPr>
          <w:lang w:val="it-IT"/>
        </w:rPr>
        <w:t>subit</w:t>
      </w:r>
      <w:r>
        <w:rPr>
          <w:lang w:val="it-IT"/>
        </w:rPr>
        <w:t xml:space="preserve">o dopo il dibattito in aula sul </w:t>
      </w:r>
      <w:r w:rsidRPr="00824C63">
        <w:rPr>
          <w:lang w:val="it-IT"/>
        </w:rPr>
        <w:t>ricorso di Tamara Merlo contro la pr</w:t>
      </w:r>
      <w:r>
        <w:rPr>
          <w:lang w:val="it-IT"/>
        </w:rPr>
        <w:t xml:space="preserve">oclamazione dei risultati della </w:t>
      </w:r>
      <w:r w:rsidRPr="00824C63">
        <w:rPr>
          <w:lang w:val="it-IT"/>
        </w:rPr>
        <w:t>votazione cantonale del 12</w:t>
      </w:r>
      <w:r>
        <w:rPr>
          <w:lang w:val="it-IT"/>
        </w:rPr>
        <w:t xml:space="preserve"> febbraio </w:t>
      </w:r>
      <w:r w:rsidRPr="00824C63">
        <w:rPr>
          <w:lang w:val="it-IT"/>
        </w:rPr>
        <w:t>2017 concernente la modifica</w:t>
      </w:r>
      <w:r>
        <w:rPr>
          <w:lang w:val="it-IT"/>
        </w:rPr>
        <w:t xml:space="preserve"> </w:t>
      </w:r>
      <w:r w:rsidRPr="00824C63">
        <w:rPr>
          <w:lang w:val="it-IT"/>
        </w:rPr>
        <w:t>costituzionale "Per una maggiore protezione giuridica degli</w:t>
      </w:r>
      <w:r>
        <w:rPr>
          <w:lang w:val="it-IT"/>
        </w:rPr>
        <w:t xml:space="preserve"> </w:t>
      </w:r>
      <w:r w:rsidRPr="00824C63">
        <w:rPr>
          <w:lang w:val="it-IT"/>
        </w:rPr>
        <w:t>animali"</w:t>
      </w:r>
      <w:r>
        <w:rPr>
          <w:rStyle w:val="Rimandonotaapidipagina"/>
          <w:rFonts w:cs="Arial"/>
          <w:lang w:val="it-IT"/>
        </w:rPr>
        <w:footnoteReference w:id="1"/>
      </w:r>
      <w:r w:rsidRPr="00824C63">
        <w:rPr>
          <w:lang w:val="it-IT"/>
        </w:rPr>
        <w:t>, il cui scarto tra i "sì" e i</w:t>
      </w:r>
      <w:r>
        <w:rPr>
          <w:lang w:val="it-IT"/>
        </w:rPr>
        <w:t xml:space="preserve"> "no" è stato di sole 35 schede (</w:t>
      </w:r>
      <w:r w:rsidRPr="00824C63">
        <w:rPr>
          <w:lang w:val="it-IT"/>
        </w:rPr>
        <w:t>pari allo 0.036% su un totale di 95'951 schede computabili</w:t>
      </w:r>
      <w:r>
        <w:rPr>
          <w:lang w:val="it-IT"/>
        </w:rPr>
        <w:t xml:space="preserve">); essa chiede sostanzialmente </w:t>
      </w:r>
      <w:r w:rsidRPr="00E11844">
        <w:rPr>
          <w:lang w:val="it-IT"/>
        </w:rPr>
        <w:t>al Consiglio di Sta</w:t>
      </w:r>
      <w:r>
        <w:rPr>
          <w:lang w:val="it-IT"/>
        </w:rPr>
        <w:t>to di inserire nella Legge sull'</w:t>
      </w:r>
      <w:r w:rsidRPr="00E11844">
        <w:rPr>
          <w:lang w:val="it-IT"/>
        </w:rPr>
        <w:t>esercizio dei diritti</w:t>
      </w:r>
      <w:r>
        <w:rPr>
          <w:lang w:val="it-IT"/>
        </w:rPr>
        <w:t xml:space="preserve"> </w:t>
      </w:r>
      <w:r w:rsidRPr="00E11844">
        <w:rPr>
          <w:lang w:val="it-IT"/>
        </w:rPr>
        <w:t>pol</w:t>
      </w:r>
      <w:r>
        <w:rPr>
          <w:lang w:val="it-IT"/>
        </w:rPr>
        <w:t>itici (LEDP), «</w:t>
      </w:r>
      <w:r w:rsidRPr="00824C63">
        <w:rPr>
          <w:i/>
          <w:lang w:val="it-IT"/>
        </w:rPr>
        <w:t>sull'esempio dei Cantoni Grigioni e Sciaffusa</w:t>
      </w:r>
      <w:r>
        <w:rPr>
          <w:lang w:val="it-IT"/>
        </w:rPr>
        <w:t>»</w:t>
      </w:r>
      <w:r w:rsidRPr="00E11844">
        <w:rPr>
          <w:lang w:val="it-IT"/>
        </w:rPr>
        <w:t xml:space="preserve">, </w:t>
      </w:r>
      <w:r>
        <w:rPr>
          <w:lang w:val="it-IT"/>
        </w:rPr>
        <w:t>una norma</w:t>
      </w:r>
      <w:r w:rsidRPr="00E11844">
        <w:rPr>
          <w:lang w:val="it-IT"/>
        </w:rPr>
        <w:t xml:space="preserve"> </w:t>
      </w:r>
      <w:r>
        <w:rPr>
          <w:lang w:val="it-IT"/>
        </w:rPr>
        <w:t>«</w:t>
      </w:r>
      <w:r w:rsidRPr="00824C63">
        <w:rPr>
          <w:i/>
          <w:lang w:val="it-IT"/>
        </w:rPr>
        <w:t>che regoli in modo chiaro le circostanze nelle quali bisogna procedere al nuovo conteggio delle schede di voto</w:t>
      </w:r>
      <w:r>
        <w:rPr>
          <w:lang w:val="it-IT"/>
        </w:rPr>
        <w:t>»</w:t>
      </w:r>
      <w:r w:rsidRPr="00E11844">
        <w:rPr>
          <w:lang w:val="it-IT"/>
        </w:rPr>
        <w:t>.</w:t>
      </w:r>
    </w:p>
    <w:p w:rsidR="00965841" w:rsidRDefault="00965841" w:rsidP="00965841">
      <w:pPr>
        <w:rPr>
          <w:lang w:val="it-IT"/>
        </w:rPr>
      </w:pPr>
    </w:p>
    <w:p w:rsidR="00AC7B6C" w:rsidRPr="00E11844" w:rsidRDefault="00AC7B6C" w:rsidP="00965841">
      <w:pPr>
        <w:rPr>
          <w:lang w:val="it-IT"/>
        </w:rPr>
      </w:pPr>
      <w:r>
        <w:rPr>
          <w:lang w:val="it-IT"/>
        </w:rPr>
        <w:t>A detta dell'</w:t>
      </w:r>
      <w:proofErr w:type="spellStart"/>
      <w:r>
        <w:rPr>
          <w:lang w:val="it-IT"/>
        </w:rPr>
        <w:t>iniziativista</w:t>
      </w:r>
      <w:proofErr w:type="spellEnd"/>
      <w:r>
        <w:rPr>
          <w:lang w:val="it-IT"/>
        </w:rPr>
        <w:t xml:space="preserve"> esiste </w:t>
      </w:r>
      <w:r w:rsidRPr="00824C63">
        <w:rPr>
          <w:lang w:val="it-IT"/>
        </w:rPr>
        <w:t>un problema insito nel sistema (vuoto</w:t>
      </w:r>
      <w:r>
        <w:rPr>
          <w:lang w:val="it-IT"/>
        </w:rPr>
        <w:t xml:space="preserve"> </w:t>
      </w:r>
      <w:r w:rsidRPr="00824C63">
        <w:rPr>
          <w:lang w:val="it-IT"/>
        </w:rPr>
        <w:t xml:space="preserve">legislativo), che </w:t>
      </w:r>
      <w:r>
        <w:rPr>
          <w:lang w:val="it-IT"/>
        </w:rPr>
        <w:t>occorre</w:t>
      </w:r>
      <w:r w:rsidRPr="00824C63">
        <w:rPr>
          <w:lang w:val="it-IT"/>
        </w:rPr>
        <w:t xml:space="preserve"> correggere attraverso l'introduzione di</w:t>
      </w:r>
      <w:r>
        <w:rPr>
          <w:lang w:val="it-IT"/>
        </w:rPr>
        <w:t xml:space="preserve"> </w:t>
      </w:r>
      <w:r w:rsidRPr="00824C63">
        <w:rPr>
          <w:lang w:val="it-IT"/>
        </w:rPr>
        <w:t>un secondo conteggio nel caso di un risultato molto risicato, da</w:t>
      </w:r>
      <w:r>
        <w:rPr>
          <w:lang w:val="it-IT"/>
        </w:rPr>
        <w:t xml:space="preserve"> </w:t>
      </w:r>
      <w:r w:rsidRPr="00824C63">
        <w:rPr>
          <w:lang w:val="it-IT"/>
        </w:rPr>
        <w:t>eseguire d'ufficio, quindi senza la necessità di dimostrare</w:t>
      </w:r>
      <w:r>
        <w:rPr>
          <w:lang w:val="it-IT"/>
        </w:rPr>
        <w:t xml:space="preserve"> </w:t>
      </w:r>
      <w:r w:rsidRPr="00824C63">
        <w:rPr>
          <w:lang w:val="it-IT"/>
        </w:rPr>
        <w:t>irregolarità o di avere indizi concreti di un conteggio errato o di un</w:t>
      </w:r>
      <w:r>
        <w:rPr>
          <w:lang w:val="it-IT"/>
        </w:rPr>
        <w:t xml:space="preserve"> </w:t>
      </w:r>
      <w:r w:rsidRPr="00824C63">
        <w:rPr>
          <w:lang w:val="it-IT"/>
        </w:rPr>
        <w:t xml:space="preserve">comportamento illegale da parte degli organi competenti. </w:t>
      </w:r>
      <w:r>
        <w:rPr>
          <w:lang w:val="it-IT"/>
        </w:rPr>
        <w:t>A detta dell'</w:t>
      </w:r>
      <w:proofErr w:type="spellStart"/>
      <w:r>
        <w:rPr>
          <w:lang w:val="it-IT"/>
        </w:rPr>
        <w:t>iniziativista</w:t>
      </w:r>
      <w:proofErr w:type="spellEnd"/>
      <w:r>
        <w:rPr>
          <w:lang w:val="it-IT"/>
        </w:rPr>
        <w:t>, s</w:t>
      </w:r>
      <w:r w:rsidRPr="00824C63">
        <w:rPr>
          <w:lang w:val="it-IT"/>
        </w:rPr>
        <w:t>i tratta</w:t>
      </w:r>
      <w:r>
        <w:rPr>
          <w:lang w:val="it-IT"/>
        </w:rPr>
        <w:t xml:space="preserve"> </w:t>
      </w:r>
      <w:r w:rsidRPr="00824C63">
        <w:rPr>
          <w:lang w:val="it-IT"/>
        </w:rPr>
        <w:t>di una soluzione</w:t>
      </w:r>
      <w:r>
        <w:rPr>
          <w:lang w:val="it-IT"/>
        </w:rPr>
        <w:t xml:space="preserve"> </w:t>
      </w:r>
      <w:r w:rsidRPr="00824C63">
        <w:rPr>
          <w:lang w:val="it-IT"/>
        </w:rPr>
        <w:t xml:space="preserve">di buon senso, poiché </w:t>
      </w:r>
      <w:r>
        <w:rPr>
          <w:lang w:val="it-IT"/>
        </w:rPr>
        <w:t>considera</w:t>
      </w:r>
      <w:r w:rsidRPr="00824C63">
        <w:rPr>
          <w:lang w:val="it-IT"/>
        </w:rPr>
        <w:t xml:space="preserve"> che degli errori</w:t>
      </w:r>
      <w:r>
        <w:rPr>
          <w:lang w:val="it-IT"/>
        </w:rPr>
        <w:t xml:space="preserve"> </w:t>
      </w:r>
      <w:r w:rsidRPr="00824C63">
        <w:rPr>
          <w:lang w:val="it-IT"/>
        </w:rPr>
        <w:t>si possono sempre compiere e nel contempo non costituisce in</w:t>
      </w:r>
      <w:r>
        <w:rPr>
          <w:lang w:val="it-IT"/>
        </w:rPr>
        <w:t xml:space="preserve"> </w:t>
      </w:r>
      <w:r w:rsidRPr="00824C63">
        <w:rPr>
          <w:lang w:val="it-IT"/>
        </w:rPr>
        <w:t xml:space="preserve">alcun modo, essendo appunto un </w:t>
      </w:r>
      <w:proofErr w:type="spellStart"/>
      <w:r w:rsidRPr="00824C63">
        <w:rPr>
          <w:lang w:val="it-IT"/>
        </w:rPr>
        <w:t>riconteggio</w:t>
      </w:r>
      <w:proofErr w:type="spellEnd"/>
      <w:r>
        <w:rPr>
          <w:lang w:val="it-IT"/>
        </w:rPr>
        <w:t xml:space="preserve"> (secondo conteggio)</w:t>
      </w:r>
      <w:r w:rsidRPr="00824C63">
        <w:rPr>
          <w:lang w:val="it-IT"/>
        </w:rPr>
        <w:t xml:space="preserve"> d'ufficio, un atto di</w:t>
      </w:r>
      <w:r>
        <w:rPr>
          <w:lang w:val="it-IT"/>
        </w:rPr>
        <w:t xml:space="preserve"> </w:t>
      </w:r>
      <w:r w:rsidRPr="00824C63">
        <w:rPr>
          <w:lang w:val="it-IT"/>
        </w:rPr>
        <w:t>sfiducia nei co</w:t>
      </w:r>
      <w:r>
        <w:rPr>
          <w:lang w:val="it-IT"/>
        </w:rPr>
        <w:t>nfronti degli uffici elettorali.</w:t>
      </w:r>
    </w:p>
    <w:p w:rsidR="00965841" w:rsidRDefault="00965841" w:rsidP="00965841">
      <w:pPr>
        <w:rPr>
          <w:lang w:val="it-IT"/>
        </w:rPr>
      </w:pPr>
    </w:p>
    <w:p w:rsidR="00AC7B6C" w:rsidRDefault="00AC7B6C" w:rsidP="00965841">
      <w:pPr>
        <w:rPr>
          <w:lang w:val="it-IT"/>
        </w:rPr>
      </w:pPr>
      <w:r>
        <w:rPr>
          <w:lang w:val="it-IT"/>
        </w:rPr>
        <w:t xml:space="preserve">I promotori dell'atto parlamentare sono dell'idea che un </w:t>
      </w:r>
      <w:proofErr w:type="spellStart"/>
      <w:r>
        <w:rPr>
          <w:lang w:val="it-IT"/>
        </w:rPr>
        <w:t>riconteggio</w:t>
      </w:r>
      <w:proofErr w:type="spellEnd"/>
      <w:r>
        <w:rPr>
          <w:lang w:val="it-IT"/>
        </w:rPr>
        <w:t xml:space="preserve"> –</w:t>
      </w:r>
      <w:r w:rsidRPr="00E11844">
        <w:rPr>
          <w:lang w:val="it-IT"/>
        </w:rPr>
        <w:t xml:space="preserve"> nel caso di un </w:t>
      </w:r>
      <w:r>
        <w:rPr>
          <w:lang w:val="it-IT"/>
        </w:rPr>
        <w:t>«</w:t>
      </w:r>
      <w:r w:rsidRPr="008A680C">
        <w:rPr>
          <w:i/>
          <w:lang w:val="it-IT"/>
        </w:rPr>
        <w:t xml:space="preserve">esito di voto molto risicato (nei Cantoni Grigioni e Sciaffusa, ad esempio, indicano la soglia dello 0.3% di scarto come discriminante per procedere al </w:t>
      </w:r>
      <w:proofErr w:type="spellStart"/>
      <w:r w:rsidRPr="008A680C">
        <w:rPr>
          <w:i/>
          <w:lang w:val="it-IT"/>
        </w:rPr>
        <w:t>riconteggio</w:t>
      </w:r>
      <w:proofErr w:type="spellEnd"/>
      <w:r w:rsidRPr="008A680C">
        <w:rPr>
          <w:i/>
          <w:lang w:val="it-IT"/>
        </w:rPr>
        <w:t>)</w:t>
      </w:r>
      <w:r>
        <w:rPr>
          <w:lang w:val="it-IT"/>
        </w:rPr>
        <w:t>» – dovrebbe avvenire d'</w:t>
      </w:r>
      <w:r w:rsidRPr="00E11844">
        <w:rPr>
          <w:lang w:val="it-IT"/>
        </w:rPr>
        <w:t xml:space="preserve">ufficio, evitando qualsiasi ambiguità </w:t>
      </w:r>
      <w:r>
        <w:rPr>
          <w:lang w:val="it-IT"/>
        </w:rPr>
        <w:t xml:space="preserve">verso le </w:t>
      </w:r>
      <w:r w:rsidRPr="008A680C">
        <w:rPr>
          <w:lang w:val="it-IT"/>
        </w:rPr>
        <w:t>varie autorità preposte alle operazioni di</w:t>
      </w:r>
      <w:r>
        <w:rPr>
          <w:lang w:val="it-IT"/>
        </w:rPr>
        <w:t xml:space="preserve"> </w:t>
      </w:r>
      <w:r w:rsidRPr="008A680C">
        <w:rPr>
          <w:lang w:val="it-IT"/>
        </w:rPr>
        <w:t>spoglio</w:t>
      </w:r>
      <w:r>
        <w:rPr>
          <w:lang w:val="it-IT"/>
        </w:rPr>
        <w:t>.</w:t>
      </w:r>
    </w:p>
    <w:p w:rsidR="00AC7B6C" w:rsidRDefault="00AC7B6C" w:rsidP="00965841">
      <w:pPr>
        <w:rPr>
          <w:lang w:val="it-IT"/>
        </w:rPr>
      </w:pPr>
    </w:p>
    <w:p w:rsidR="00AC7B6C" w:rsidRDefault="00AC7B6C" w:rsidP="00AC7B6C">
      <w:pPr>
        <w:rPr>
          <w:rFonts w:cs="Arial"/>
          <w:lang w:val="it-IT"/>
        </w:rPr>
      </w:pPr>
      <w:r>
        <w:rPr>
          <w:rFonts w:cs="Arial"/>
          <w:lang w:val="it-IT"/>
        </w:rPr>
        <w:br w:type="page"/>
      </w:r>
    </w:p>
    <w:p w:rsidR="00AC7B6C" w:rsidRPr="00D015E7" w:rsidRDefault="00AC7B6C" w:rsidP="00AC7B6C">
      <w:pPr>
        <w:pStyle w:val="Titolo1"/>
        <w:numPr>
          <w:ilvl w:val="0"/>
          <w:numId w:val="0"/>
        </w:numPr>
        <w:ind w:left="567" w:hanging="567"/>
      </w:pPr>
      <w:r>
        <w:lastRenderedPageBreak/>
        <w:t>2.</w:t>
      </w:r>
      <w:r>
        <w:tab/>
      </w:r>
      <w:r w:rsidRPr="00D015E7">
        <w:t>L</w:t>
      </w:r>
      <w:r>
        <w:t>'EVOLUZIONE RECENTE DELLA SITUAZIONE POLITICO-GIURIDICA</w:t>
      </w:r>
    </w:p>
    <w:p w:rsidR="00AC7B6C" w:rsidRDefault="00AC7B6C" w:rsidP="00965841">
      <w:r>
        <w:t>Si ripercorrono qui di seguito</w:t>
      </w:r>
      <w:r w:rsidRPr="00410FB4">
        <w:t xml:space="preserve"> le principali tappe giuridiche della</w:t>
      </w:r>
      <w:r>
        <w:t xml:space="preserve"> </w:t>
      </w:r>
      <w:r w:rsidRPr="00410FB4">
        <w:t>questione del s</w:t>
      </w:r>
      <w:r>
        <w:t xml:space="preserve">econdo conteggio o </w:t>
      </w:r>
      <w:proofErr w:type="spellStart"/>
      <w:r>
        <w:t>riconteggio</w:t>
      </w:r>
      <w:proofErr w:type="spellEnd"/>
      <w:r>
        <w:t>.</w:t>
      </w:r>
    </w:p>
    <w:p w:rsidR="00965841" w:rsidRPr="00965841" w:rsidRDefault="00965841" w:rsidP="00965841">
      <w:pPr>
        <w:rPr>
          <w:sz w:val="20"/>
          <w:szCs w:val="20"/>
        </w:rPr>
      </w:pPr>
    </w:p>
    <w:p w:rsidR="00AC7B6C" w:rsidRPr="00410FB4" w:rsidRDefault="00AC7B6C" w:rsidP="00965841">
      <w:r w:rsidRPr="00410FB4">
        <w:t>Una sentenza del T</w:t>
      </w:r>
      <w:r>
        <w:t>ribunale federale</w:t>
      </w:r>
      <w:r w:rsidRPr="00410FB4">
        <w:t xml:space="preserve"> del 2009 (</w:t>
      </w:r>
      <w:hyperlink r:id="rId9" w:history="1">
        <w:r w:rsidRPr="00410FB4">
          <w:rPr>
            <w:rStyle w:val="Collegamentoipertestuale"/>
            <w:rFonts w:cs="Arial"/>
          </w:rPr>
          <w:t>DTF 136 II 132</w:t>
        </w:r>
      </w:hyperlink>
      <w:r w:rsidRPr="00410FB4">
        <w:t>) ha decretato che</w:t>
      </w:r>
      <w:r>
        <w:t xml:space="preserve"> </w:t>
      </w:r>
      <w:r>
        <w:br/>
      </w:r>
      <w:r w:rsidRPr="00410FB4">
        <w:t>l'elettore ha il diritto di ricorrere e di esigere, a livello nazionale, un</w:t>
      </w:r>
      <w:r>
        <w:t xml:space="preserve"> </w:t>
      </w:r>
      <w:proofErr w:type="spellStart"/>
      <w:r w:rsidRPr="00410FB4">
        <w:t>riconteggio</w:t>
      </w:r>
      <w:proofErr w:type="spellEnd"/>
      <w:r w:rsidRPr="00410FB4">
        <w:t xml:space="preserve"> dei </w:t>
      </w:r>
      <w:r>
        <w:br/>
      </w:r>
      <w:r w:rsidRPr="00410FB4">
        <w:t>voti quando lo scarto tra i "sì" e i no risulta "molto</w:t>
      </w:r>
      <w:r>
        <w:t xml:space="preserve"> </w:t>
      </w:r>
      <w:r w:rsidRPr="00410FB4">
        <w:t>ristretto"; secondo tale sentenza, un risultato "molto stretto" di una</w:t>
      </w:r>
      <w:r>
        <w:t xml:space="preserve"> </w:t>
      </w:r>
      <w:r w:rsidRPr="00410FB4">
        <w:t>votazione deve essere trattato come una "irregolarità" ai sensi</w:t>
      </w:r>
      <w:r>
        <w:t xml:space="preserve"> </w:t>
      </w:r>
      <w:r w:rsidRPr="00410FB4">
        <w:t xml:space="preserve">dell'art. 77 cpv. 1 </w:t>
      </w:r>
      <w:proofErr w:type="spellStart"/>
      <w:r w:rsidRPr="00410FB4">
        <w:t>lett</w:t>
      </w:r>
      <w:proofErr w:type="spellEnd"/>
      <w:r w:rsidRPr="00410FB4">
        <w:t xml:space="preserve">. </w:t>
      </w:r>
      <w:r>
        <w:t>b)</w:t>
      </w:r>
      <w:r w:rsidRPr="00410FB4">
        <w:t xml:space="preserve"> </w:t>
      </w:r>
      <w:hyperlink r:id="rId10" w:history="1">
        <w:r w:rsidRPr="00410FB4">
          <w:rPr>
            <w:rStyle w:val="Collegamentoipertestuale"/>
            <w:rFonts w:cs="Arial"/>
          </w:rPr>
          <w:t>Legge federale sui diritti politici</w:t>
        </w:r>
      </w:hyperlink>
      <w:r>
        <w:t xml:space="preserve"> (LDP) </w:t>
      </w:r>
      <w:r w:rsidRPr="00410FB4">
        <w:t xml:space="preserve">concernente i ricorsi </w:t>
      </w:r>
      <w:r>
        <w:br/>
      </w:r>
      <w:r w:rsidRPr="00410FB4">
        <w:t>(«</w:t>
      </w:r>
      <w:r w:rsidRPr="00410FB4">
        <w:rPr>
          <w:i/>
        </w:rPr>
        <w:t>Il ricorso al governo cantonale è ammissibile per: […] irregolarità riguardanti le votazioni</w:t>
      </w:r>
      <w:r w:rsidRPr="00410FB4">
        <w:t>»).</w:t>
      </w:r>
    </w:p>
    <w:p w:rsidR="00965841" w:rsidRPr="00965841" w:rsidRDefault="00965841" w:rsidP="00965841">
      <w:pPr>
        <w:rPr>
          <w:sz w:val="20"/>
          <w:szCs w:val="20"/>
        </w:rPr>
      </w:pPr>
    </w:p>
    <w:p w:rsidR="00AC7B6C" w:rsidRPr="00410FB4" w:rsidRDefault="00AC7B6C" w:rsidP="00965841">
      <w:r w:rsidRPr="00410FB4">
        <w:t>Nel settembre 2014 l'Assemblea federale ha approvato una</w:t>
      </w:r>
      <w:r>
        <w:t xml:space="preserve"> </w:t>
      </w:r>
      <w:r w:rsidRPr="00410FB4">
        <w:t>sostanziale modifica della LDP, stabilendo tra l'altro, all'art. 13</w:t>
      </w:r>
      <w:r>
        <w:t xml:space="preserve"> </w:t>
      </w:r>
      <w:r w:rsidRPr="00410FB4">
        <w:t>cpv. 3, che «</w:t>
      </w:r>
      <w:r w:rsidRPr="00410FB4">
        <w:rPr>
          <w:i/>
        </w:rPr>
        <w:t xml:space="preserve">in caso di risultato molto risicato si procede a un </w:t>
      </w:r>
      <w:proofErr w:type="spellStart"/>
      <w:r w:rsidRPr="00410FB4">
        <w:rPr>
          <w:i/>
        </w:rPr>
        <w:t>riconteggio</w:t>
      </w:r>
      <w:proofErr w:type="spellEnd"/>
      <w:r w:rsidRPr="00410FB4">
        <w:rPr>
          <w:i/>
        </w:rPr>
        <w:t xml:space="preserve"> dei voti soltanto se sono state rese verosimili irregolarità che, per genere ed entità, sono state in grado di influire essenzialmente sull'esito a livello federale</w:t>
      </w:r>
      <w:r w:rsidRPr="00410FB4">
        <w:t>».</w:t>
      </w:r>
    </w:p>
    <w:p w:rsidR="00965841" w:rsidRPr="00965841" w:rsidRDefault="00965841" w:rsidP="00965841">
      <w:pPr>
        <w:rPr>
          <w:sz w:val="20"/>
          <w:szCs w:val="20"/>
        </w:rPr>
      </w:pPr>
    </w:p>
    <w:p w:rsidR="00AC7B6C" w:rsidRDefault="00AC7B6C" w:rsidP="00965841">
      <w:r w:rsidRPr="00410FB4">
        <w:t>Infine, il 19</w:t>
      </w:r>
      <w:r>
        <w:t xml:space="preserve"> agosto </w:t>
      </w:r>
      <w:r w:rsidRPr="00410FB4">
        <w:t>2015 il T</w:t>
      </w:r>
      <w:r>
        <w:t xml:space="preserve">ribunale federale, esprimendosi </w:t>
      </w:r>
      <w:r w:rsidRPr="00410FB4">
        <w:t>su un ricorso contro il</w:t>
      </w:r>
      <w:r>
        <w:t xml:space="preserve"> </w:t>
      </w:r>
      <w:r w:rsidRPr="00410FB4">
        <w:t>risultato di una votazione popolare federale,</w:t>
      </w:r>
      <w:r>
        <w:t xml:space="preserve"> si è per così dire adeguato alla volontà delle Camere federali, </w:t>
      </w:r>
      <w:r w:rsidRPr="00410FB4">
        <w:t>statuendo che un</w:t>
      </w:r>
      <w:r>
        <w:t xml:space="preserve"> </w:t>
      </w:r>
      <w:r w:rsidRPr="00410FB4">
        <w:t>risultato "molto stretto" di una votazione federale non dà di per sé</w:t>
      </w:r>
      <w:r>
        <w:t xml:space="preserve"> </w:t>
      </w:r>
      <w:r w:rsidRPr="00410FB4">
        <w:t xml:space="preserve">diritto a un </w:t>
      </w:r>
      <w:proofErr w:type="spellStart"/>
      <w:r w:rsidRPr="00410FB4">
        <w:t>riconteggio</w:t>
      </w:r>
      <w:proofErr w:type="spellEnd"/>
      <w:r w:rsidRPr="00410FB4">
        <w:t>. In base a questa nuova sentenza (</w:t>
      </w:r>
      <w:hyperlink r:id="rId11" w:history="1">
        <w:r w:rsidRPr="00A97CD4">
          <w:rPr>
            <w:rStyle w:val="Collegamentoipertestuale"/>
            <w:rFonts w:cs="Arial"/>
          </w:rPr>
          <w:t>DTF 141 II 297</w:t>
        </w:r>
      </w:hyperlink>
      <w:r w:rsidRPr="00410FB4">
        <w:t xml:space="preserve">), un obbligo di </w:t>
      </w:r>
      <w:proofErr w:type="spellStart"/>
      <w:r w:rsidRPr="00410FB4">
        <w:t>riconteggio</w:t>
      </w:r>
      <w:proofErr w:type="spellEnd"/>
      <w:r w:rsidRPr="00410FB4">
        <w:t xml:space="preserve"> di risultati molto stretti di</w:t>
      </w:r>
      <w:r>
        <w:t xml:space="preserve"> </w:t>
      </w:r>
      <w:r w:rsidRPr="00410FB4">
        <w:t xml:space="preserve">elezioni e votazioni deducibile direttamente dall'art. 34 cpv. 2 </w:t>
      </w:r>
      <w:hyperlink r:id="rId12" w:history="1">
        <w:proofErr w:type="spellStart"/>
        <w:r w:rsidRPr="00A97CD4">
          <w:rPr>
            <w:rStyle w:val="Collegamentoipertestuale"/>
            <w:rFonts w:cs="Arial"/>
          </w:rPr>
          <w:t>Cost</w:t>
        </w:r>
        <w:proofErr w:type="spellEnd"/>
        <w:r w:rsidRPr="00A97CD4">
          <w:rPr>
            <w:rStyle w:val="Collegamentoipertestuale"/>
            <w:rFonts w:cs="Arial"/>
          </w:rPr>
          <w:t>.</w:t>
        </w:r>
      </w:hyperlink>
      <w:r>
        <w:t xml:space="preserve"> </w:t>
      </w:r>
      <w:r w:rsidRPr="00410FB4">
        <w:t>(«</w:t>
      </w:r>
      <w:r w:rsidRPr="00A97CD4">
        <w:rPr>
          <w:i/>
        </w:rPr>
        <w:t>La garanzia dei diritti politici protegge la libera formazione della volontà e l'espressione fedele del voto</w:t>
      </w:r>
      <w:r w:rsidRPr="00410FB4">
        <w:t>») sussiste soltanto nei casi</w:t>
      </w:r>
      <w:r>
        <w:t xml:space="preserve"> </w:t>
      </w:r>
      <w:r w:rsidRPr="00410FB4">
        <w:t>in cui il cittadino può inoltre segnalare indizi concreti di un</w:t>
      </w:r>
      <w:r>
        <w:t xml:space="preserve"> </w:t>
      </w:r>
      <w:r w:rsidRPr="00410FB4">
        <w:t>conteggio errato o di un comportamento illegale degli organi</w:t>
      </w:r>
      <w:r>
        <w:t xml:space="preserve"> </w:t>
      </w:r>
      <w:r w:rsidRPr="00410FB4">
        <w:t xml:space="preserve">competenti. L'art. 77 cpv. 1 </w:t>
      </w:r>
      <w:proofErr w:type="spellStart"/>
      <w:r w:rsidRPr="00410FB4">
        <w:t>lett</w:t>
      </w:r>
      <w:proofErr w:type="spellEnd"/>
      <w:r w:rsidRPr="00410FB4">
        <w:t>. b LDP deve pertanto essere</w:t>
      </w:r>
      <w:r>
        <w:t xml:space="preserve"> </w:t>
      </w:r>
      <w:r w:rsidRPr="00410FB4">
        <w:t>interpretato nel senso che un diritto generale e incondizionato al</w:t>
      </w:r>
      <w:r>
        <w:t xml:space="preserve"> </w:t>
      </w:r>
      <w:proofErr w:type="spellStart"/>
      <w:r w:rsidRPr="00410FB4">
        <w:t>riconteggio</w:t>
      </w:r>
      <w:proofErr w:type="spellEnd"/>
      <w:r w:rsidRPr="00410FB4">
        <w:t xml:space="preserve"> di un risultato molto stretto di una votazione federale</w:t>
      </w:r>
      <w:r>
        <w:t xml:space="preserve"> </w:t>
      </w:r>
      <w:r w:rsidRPr="00410FB4">
        <w:t>sussiste soltanto qualora ulteriori e seri indizi mostrino che lo</w:t>
      </w:r>
      <w:r>
        <w:t xml:space="preserve"> </w:t>
      </w:r>
      <w:r w:rsidRPr="00410FB4">
        <w:t>spoglio non è avvenuto in maniera corretta.</w:t>
      </w:r>
    </w:p>
    <w:p w:rsidR="00AC7B6C" w:rsidRPr="00965841" w:rsidRDefault="00AC7B6C" w:rsidP="00AC7B6C">
      <w:pPr>
        <w:widowControl w:val="0"/>
        <w:autoSpaceDE w:val="0"/>
        <w:autoSpaceDN w:val="0"/>
        <w:adjustRightInd w:val="0"/>
        <w:rPr>
          <w:rFonts w:cs="Arial"/>
          <w:sz w:val="20"/>
          <w:szCs w:val="20"/>
        </w:rPr>
      </w:pPr>
    </w:p>
    <w:p w:rsidR="00AC7B6C" w:rsidRPr="00965841" w:rsidRDefault="00AC7B6C" w:rsidP="00AC7B6C">
      <w:pPr>
        <w:widowControl w:val="0"/>
        <w:autoSpaceDE w:val="0"/>
        <w:autoSpaceDN w:val="0"/>
        <w:adjustRightInd w:val="0"/>
        <w:rPr>
          <w:rFonts w:cs="Arial"/>
          <w:sz w:val="20"/>
          <w:szCs w:val="20"/>
        </w:rPr>
      </w:pPr>
    </w:p>
    <w:p w:rsidR="00AC7B6C" w:rsidRPr="00965841" w:rsidRDefault="00AC7B6C" w:rsidP="00AC7B6C">
      <w:pPr>
        <w:widowControl w:val="0"/>
        <w:autoSpaceDE w:val="0"/>
        <w:autoSpaceDN w:val="0"/>
        <w:adjustRightInd w:val="0"/>
        <w:rPr>
          <w:rFonts w:cs="Arial"/>
          <w:sz w:val="20"/>
          <w:szCs w:val="20"/>
          <w:lang w:val="it-IT"/>
        </w:rPr>
      </w:pPr>
    </w:p>
    <w:p w:rsidR="00AC7B6C" w:rsidRPr="00D015E7" w:rsidRDefault="00AC7B6C" w:rsidP="00AC7B6C">
      <w:pPr>
        <w:pStyle w:val="Titolo1"/>
        <w:numPr>
          <w:ilvl w:val="0"/>
          <w:numId w:val="0"/>
        </w:numPr>
        <w:ind w:left="567" w:hanging="567"/>
      </w:pPr>
      <w:bookmarkStart w:id="1" w:name="_Toc469954783"/>
      <w:bookmarkStart w:id="2" w:name="_Toc491360046"/>
      <w:r>
        <w:t>3.</w:t>
      </w:r>
      <w:r>
        <w:tab/>
      </w:r>
      <w:r w:rsidRPr="00D015E7">
        <w:t>L</w:t>
      </w:r>
      <w:r>
        <w:t>A POSIZIONE DEL CONSIGLIO DI STATO</w:t>
      </w:r>
      <w:bookmarkEnd w:id="1"/>
      <w:bookmarkEnd w:id="2"/>
    </w:p>
    <w:p w:rsidR="00AC7B6C" w:rsidRDefault="00AC7B6C" w:rsidP="00965841">
      <w:r>
        <w:t>Il Consiglio di Stato, ai sensi dell'art. 103 cpv. 2 LGC, ha preso posizione sull'atto parlamentare con la risoluzione governativa n. 5718 del 20 dicembre 2017.</w:t>
      </w:r>
    </w:p>
    <w:p w:rsidR="00965841" w:rsidRPr="00965841" w:rsidRDefault="00965841" w:rsidP="00965841">
      <w:pPr>
        <w:rPr>
          <w:sz w:val="20"/>
          <w:szCs w:val="20"/>
        </w:rPr>
      </w:pPr>
    </w:p>
    <w:p w:rsidR="00AC7B6C" w:rsidRDefault="00AC7B6C" w:rsidP="00965841">
      <w:r>
        <w:t xml:space="preserve">Il Governo precisa innanzitutto che </w:t>
      </w:r>
      <w:r w:rsidRPr="003F07CC">
        <w:t>la</w:t>
      </w:r>
      <w:r>
        <w:t xml:space="preserve"> più recente</w:t>
      </w:r>
      <w:r w:rsidRPr="003F07CC">
        <w:t xml:space="preserve"> giurisprudenza del Tribunale federale</w:t>
      </w:r>
      <w:r>
        <w:t xml:space="preserve"> non</w:t>
      </w:r>
      <w:r w:rsidRPr="003F07CC">
        <w:t xml:space="preserve"> impone di effettuare un secondo conteggio delle schede</w:t>
      </w:r>
      <w:r>
        <w:t xml:space="preserve">, a meno che vi siano </w:t>
      </w:r>
      <w:r>
        <w:br/>
      </w:r>
      <w:r w:rsidRPr="003F07CC">
        <w:t>«</w:t>
      </w:r>
      <w:r w:rsidRPr="007D7892">
        <w:rPr>
          <w:i/>
        </w:rPr>
        <w:t>seri indizi</w:t>
      </w:r>
      <w:r w:rsidRPr="003F07CC">
        <w:t>» di irregolarità o errori non corretti d'ufficio (</w:t>
      </w:r>
      <w:r w:rsidRPr="007D7892">
        <w:t>sentenza del 19 agosto 2015</w:t>
      </w:r>
      <w:r>
        <w:t xml:space="preserve">, </w:t>
      </w:r>
      <w:r>
        <w:br/>
      </w:r>
      <w:r w:rsidRPr="003F07CC">
        <w:t xml:space="preserve">DTF 141 II 297). </w:t>
      </w:r>
      <w:r>
        <w:t>Questo approccio è stato del resto stabilito dopo che l'Assemblea federale – mediante l'intro</w:t>
      </w:r>
      <w:r w:rsidRPr="007D7892">
        <w:t xml:space="preserve">duzione, il </w:t>
      </w:r>
      <w:r>
        <w:t>26 settembre 2014, dell'art.</w:t>
      </w:r>
      <w:r w:rsidRPr="007D7892">
        <w:t xml:space="preserve"> 13 cpv</w:t>
      </w:r>
      <w:r>
        <w:t>.</w:t>
      </w:r>
      <w:r w:rsidRPr="007D7892">
        <w:t xml:space="preserve"> 3 </w:t>
      </w:r>
      <w:r>
        <w:t xml:space="preserve">LDP – ha formulato in modo esplicito la sua volontà di non ammettere </w:t>
      </w:r>
      <w:r w:rsidRPr="003F07CC">
        <w:t>il secondo conteggio qualora non siano rese verosimili irregolarità.</w:t>
      </w:r>
    </w:p>
    <w:p w:rsidR="00965841" w:rsidRPr="00965841" w:rsidRDefault="00965841" w:rsidP="00965841">
      <w:pPr>
        <w:rPr>
          <w:sz w:val="20"/>
          <w:szCs w:val="20"/>
        </w:rPr>
      </w:pPr>
    </w:p>
    <w:p w:rsidR="00AC7B6C" w:rsidRDefault="00AC7B6C" w:rsidP="00965841">
      <w:r>
        <w:t>Il Consiglio di Stato ricorda inoltre che i</w:t>
      </w:r>
      <w:r w:rsidRPr="007D7892">
        <w:t xml:space="preserve"> </w:t>
      </w:r>
      <w:r>
        <w:t>«</w:t>
      </w:r>
      <w:r w:rsidRPr="007D7892">
        <w:rPr>
          <w:i/>
        </w:rPr>
        <w:t xml:space="preserve">Cantoni hanno certamente la facoltà di introdurre una norma che preveda il secondo conteggio dei voti nel caso di risultati con uno scarto di voti ridotto e spetta a loro stabilire quanto deve essere risicato il risultato per ordinare il </w:t>
      </w:r>
      <w:proofErr w:type="spellStart"/>
      <w:r w:rsidRPr="007D7892">
        <w:rPr>
          <w:i/>
        </w:rPr>
        <w:t>riconteggio</w:t>
      </w:r>
      <w:proofErr w:type="spellEnd"/>
      <w:r>
        <w:t>»</w:t>
      </w:r>
      <w:r w:rsidRPr="007D7892">
        <w:t>.</w:t>
      </w:r>
      <w:r>
        <w:t xml:space="preserve"> Esso non ritiene però vi sia la necessità di ordinare un secondo conteggio dei voti nel caso di risultati risicati «</w:t>
      </w:r>
      <w:r w:rsidRPr="007D7892">
        <w:rPr>
          <w:i/>
        </w:rPr>
        <w:t>quando non vi sono indizi di irregolarità</w:t>
      </w:r>
      <w:r>
        <w:t>». La conferma dell'impostazione vigente non impedisce comunque al Governo, quale autorità di accertamento dei risultati, di «</w:t>
      </w:r>
      <w:r w:rsidRPr="00275CF9">
        <w:rPr>
          <w:i/>
        </w:rPr>
        <w:t xml:space="preserve">ordinare un nuovo conteggio dei voti quando reputa che vi possano essere degli errori e delle altre irregolarità che gli impediscano di riconoscere i </w:t>
      </w:r>
      <w:r w:rsidRPr="00275CF9">
        <w:rPr>
          <w:i/>
        </w:rPr>
        <w:lastRenderedPageBreak/>
        <w:t>risultati senza ulteriori verifiche</w:t>
      </w:r>
      <w:r>
        <w:t>»; anzi, esso «</w:t>
      </w:r>
      <w:r w:rsidRPr="00FA7B23">
        <w:rPr>
          <w:i/>
        </w:rPr>
        <w:t>ha la responsabilità di accertare i risultati corretti che rispecchiano la reale volontà dei cittadini</w:t>
      </w:r>
      <w:r>
        <w:t xml:space="preserve">» e </w:t>
      </w:r>
      <w:r w:rsidRPr="00FA7B23">
        <w:t>deve</w:t>
      </w:r>
      <w:r>
        <w:t xml:space="preserve"> quindi</w:t>
      </w:r>
      <w:r w:rsidRPr="00FA7B23">
        <w:t xml:space="preserve"> </w:t>
      </w:r>
      <w:r>
        <w:t>«</w:t>
      </w:r>
      <w:r w:rsidRPr="00FA7B23">
        <w:rPr>
          <w:i/>
        </w:rPr>
        <w:t>ordinare delle ulteriori verifiche o un secondo conteggio generale se ha dei dubbi sulla correttezza dei risultati</w:t>
      </w:r>
      <w:r>
        <w:t>».</w:t>
      </w:r>
    </w:p>
    <w:p w:rsidR="00965841" w:rsidRPr="00965841" w:rsidRDefault="00965841" w:rsidP="00965841">
      <w:pPr>
        <w:rPr>
          <w:sz w:val="20"/>
          <w:szCs w:val="20"/>
        </w:rPr>
      </w:pPr>
    </w:p>
    <w:p w:rsidR="00AC7B6C" w:rsidRDefault="00AC7B6C" w:rsidP="00965841">
      <w:pPr>
        <w:rPr>
          <w:lang w:val="it-IT"/>
        </w:rPr>
      </w:pPr>
      <w:r>
        <w:t>In conclusione il Consiglio di Stato, reputando che la legislazione in vigore sia sufficientemente adeguata per «</w:t>
      </w:r>
      <w:r w:rsidRPr="00FA7B23">
        <w:rPr>
          <w:i/>
        </w:rPr>
        <w:t>tutelare pienamente il rispetto della volontà popolare</w:t>
      </w:r>
      <w:r>
        <w:t>», invita a respingere l'atto parlamentare in oggetto. Del resto, «</w:t>
      </w:r>
      <w:r w:rsidRPr="00B342C8">
        <w:rPr>
          <w:i/>
        </w:rPr>
        <w:t>i gruppi politici e i comitati costituitisi per sostenere o avversare un oggetto sottoposto al voto dispongono degli strumenti per vigilare sulle operazioni di voto e di spoglio, designando i loro delegati che hanno il diritto di partecipare alle attività degli uffici elettorali […]. Essi hanno inoltre la facoltà di rilevare irregolarità, di chiedere rimedio all'ufficio elettorale e di far figurare nel verbale dell'ufficio elettorale le osservazioni e i reclami</w:t>
      </w:r>
      <w:r>
        <w:t>».</w:t>
      </w:r>
    </w:p>
    <w:p w:rsidR="00AC7B6C" w:rsidRPr="00965841" w:rsidRDefault="00AC7B6C" w:rsidP="00AC7B6C">
      <w:pPr>
        <w:widowControl w:val="0"/>
        <w:autoSpaceDE w:val="0"/>
        <w:autoSpaceDN w:val="0"/>
        <w:adjustRightInd w:val="0"/>
        <w:rPr>
          <w:rFonts w:cs="Arial"/>
          <w:sz w:val="20"/>
          <w:szCs w:val="20"/>
          <w:lang w:val="it-IT"/>
        </w:rPr>
      </w:pPr>
    </w:p>
    <w:p w:rsidR="00AC7B6C" w:rsidRPr="00965841" w:rsidRDefault="00AC7B6C" w:rsidP="00AC7B6C">
      <w:pPr>
        <w:widowControl w:val="0"/>
        <w:autoSpaceDE w:val="0"/>
        <w:autoSpaceDN w:val="0"/>
        <w:adjustRightInd w:val="0"/>
        <w:rPr>
          <w:rFonts w:cs="Arial"/>
          <w:sz w:val="20"/>
          <w:szCs w:val="20"/>
          <w:lang w:val="it-IT"/>
        </w:rPr>
      </w:pPr>
    </w:p>
    <w:p w:rsidR="00AC7B6C" w:rsidRPr="00965841" w:rsidRDefault="00AC7B6C" w:rsidP="00AC7B6C">
      <w:pPr>
        <w:widowControl w:val="0"/>
        <w:autoSpaceDE w:val="0"/>
        <w:autoSpaceDN w:val="0"/>
        <w:adjustRightInd w:val="0"/>
        <w:rPr>
          <w:rFonts w:cs="Arial"/>
          <w:sz w:val="20"/>
          <w:szCs w:val="20"/>
          <w:lang w:val="it-IT"/>
        </w:rPr>
      </w:pPr>
    </w:p>
    <w:p w:rsidR="00AC7B6C" w:rsidRPr="006C35FE" w:rsidRDefault="00AC7B6C" w:rsidP="00AC7B6C">
      <w:pPr>
        <w:pStyle w:val="Titolo1"/>
        <w:numPr>
          <w:ilvl w:val="0"/>
          <w:numId w:val="0"/>
        </w:numPr>
        <w:ind w:left="567" w:hanging="567"/>
      </w:pPr>
      <w:r>
        <w:t>4.</w:t>
      </w:r>
      <w:r>
        <w:tab/>
      </w:r>
      <w:r w:rsidRPr="006C35FE">
        <w:t xml:space="preserve">LA POSIZIONE DELLA </w:t>
      </w:r>
      <w:r>
        <w:t xml:space="preserve">MAGGIORANZA DELLA </w:t>
      </w:r>
      <w:r w:rsidRPr="006C35FE">
        <w:t>COMMISSIONE</w:t>
      </w:r>
    </w:p>
    <w:p w:rsidR="00AC7B6C" w:rsidRDefault="00AC7B6C" w:rsidP="00965841">
      <w:r w:rsidRPr="008C0563">
        <w:rPr>
          <w:lang w:val="it-IT"/>
        </w:rPr>
        <w:t xml:space="preserve">La </w:t>
      </w:r>
      <w:r>
        <w:rPr>
          <w:lang w:val="it-IT"/>
        </w:rPr>
        <w:t>maggioranza</w:t>
      </w:r>
      <w:r w:rsidRPr="008C0563">
        <w:rPr>
          <w:lang w:val="it-IT"/>
        </w:rPr>
        <w:t xml:space="preserve"> della Commissione condivide appieno le argomentazioni contrarie del Consiglio di Stato, esplicitate nella risoluzione governativa n.</w:t>
      </w:r>
      <w:r w:rsidRPr="008C0563">
        <w:t xml:space="preserve"> 5718 del 20 dicembre 2017</w:t>
      </w:r>
      <w:r>
        <w:t xml:space="preserve">, in particolare il fatto che, secondo la più recente giurisprudenza del Tribunale federale (sentenza del 2015, </w:t>
      </w:r>
      <w:hyperlink r:id="rId13" w:history="1">
        <w:r w:rsidRPr="00A97CD4">
          <w:rPr>
            <w:rStyle w:val="Collegamentoipertestuale"/>
            <w:rFonts w:cs="Arial"/>
          </w:rPr>
          <w:t>DTF 141 II 297</w:t>
        </w:r>
      </w:hyperlink>
      <w:r>
        <w:t xml:space="preserve">), </w:t>
      </w:r>
      <w:r w:rsidRPr="00BC6907">
        <w:t xml:space="preserve">l'obbligo </w:t>
      </w:r>
      <w:r>
        <w:t>di eseguire un nuovo conteggio presuppone comunque la presenza di chiare irregolarità.</w:t>
      </w:r>
      <w:r w:rsidRPr="00BC6907">
        <w:t xml:space="preserve"> </w:t>
      </w:r>
      <w:r>
        <w:t>Più precisamente, u</w:t>
      </w:r>
      <w:r w:rsidRPr="00BC6907">
        <w:t>n</w:t>
      </w:r>
      <w:r>
        <w:t xml:space="preserve"> </w:t>
      </w:r>
      <w:r w:rsidRPr="00BC6907">
        <w:t>obbligo</w:t>
      </w:r>
      <w:r>
        <w:t xml:space="preserve"> «</w:t>
      </w:r>
      <w:r w:rsidRPr="00BC6907">
        <w:rPr>
          <w:i/>
        </w:rPr>
        <w:t xml:space="preserve">di </w:t>
      </w:r>
      <w:proofErr w:type="spellStart"/>
      <w:r w:rsidRPr="00BC6907">
        <w:rPr>
          <w:i/>
        </w:rPr>
        <w:t>riconteggio</w:t>
      </w:r>
      <w:proofErr w:type="spellEnd"/>
      <w:r w:rsidRPr="00BC6907">
        <w:rPr>
          <w:i/>
        </w:rPr>
        <w:t xml:space="preserve"> di risultati molto stretti di elezioni e votazioni deducibile direttamente dall'art.34 cpv.2 </w:t>
      </w:r>
      <w:proofErr w:type="spellStart"/>
      <w:r w:rsidRPr="00BC6907">
        <w:rPr>
          <w:i/>
        </w:rPr>
        <w:t>Cost</w:t>
      </w:r>
      <w:proofErr w:type="spellEnd"/>
      <w:r w:rsidRPr="00BC6907">
        <w:rPr>
          <w:i/>
        </w:rPr>
        <w:t>. sussiste soltanto nei casi in cui il cittadino può inoltre segnalare indizi concreti di un conteggio errato o di un comportamento illegale degli organi competenti</w:t>
      </w:r>
      <w:r w:rsidRPr="00BC6907">
        <w:t>» (DTF141 II 297</w:t>
      </w:r>
      <w:r>
        <w:t xml:space="preserve"> </w:t>
      </w:r>
      <w:r w:rsidRPr="00BC6907">
        <w:t xml:space="preserve">regesto e </w:t>
      </w:r>
      <w:proofErr w:type="spellStart"/>
      <w:r w:rsidRPr="00BC6907">
        <w:t>consid</w:t>
      </w:r>
      <w:proofErr w:type="spellEnd"/>
      <w:r w:rsidRPr="00BC6907">
        <w:t>.</w:t>
      </w:r>
      <w:r>
        <w:t xml:space="preserve"> </w:t>
      </w:r>
      <w:r w:rsidRPr="00BC6907">
        <w:t>5.4).</w:t>
      </w:r>
    </w:p>
    <w:p w:rsidR="00965841" w:rsidRPr="00965841" w:rsidRDefault="00965841" w:rsidP="00965841">
      <w:pPr>
        <w:rPr>
          <w:sz w:val="20"/>
          <w:szCs w:val="20"/>
        </w:rPr>
      </w:pPr>
    </w:p>
    <w:p w:rsidR="00AC7B6C" w:rsidRDefault="00AC7B6C" w:rsidP="00965841">
      <w:pPr>
        <w:rPr>
          <w:szCs w:val="24"/>
        </w:rPr>
      </w:pPr>
      <w:r>
        <w:rPr>
          <w:szCs w:val="24"/>
        </w:rPr>
        <w:t>Non vi è del resto da dimenticare che tutti i Cantoni che prevedono, in modo</w:t>
      </w:r>
      <w:r w:rsidRPr="003623CA">
        <w:rPr>
          <w:szCs w:val="24"/>
        </w:rPr>
        <w:t xml:space="preserve"> </w:t>
      </w:r>
      <w:r>
        <w:rPr>
          <w:szCs w:val="24"/>
        </w:rPr>
        <w:t xml:space="preserve">più o meno dettagliato, nella loro legislazione un secondo conteggio, hanno introdotto simili norme prima del cambiamento giurisprudenziale effettuato in tale ambito da parte del Tribunale federale, quale adeguamento alla volontà politica espressa chiaramente dalle Camere federali. </w:t>
      </w:r>
    </w:p>
    <w:p w:rsidR="00965841" w:rsidRPr="00965841" w:rsidRDefault="00965841" w:rsidP="00965841">
      <w:pPr>
        <w:rPr>
          <w:sz w:val="20"/>
          <w:szCs w:val="20"/>
        </w:rPr>
      </w:pPr>
    </w:p>
    <w:p w:rsidR="00AC7B6C" w:rsidRDefault="00AC7B6C" w:rsidP="00965841">
      <w:pPr>
        <w:rPr>
          <w:szCs w:val="24"/>
        </w:rPr>
      </w:pPr>
      <w:r w:rsidRPr="00BC6907">
        <w:rPr>
          <w:szCs w:val="24"/>
        </w:rPr>
        <w:t>Oltre a quest</w:t>
      </w:r>
      <w:r>
        <w:rPr>
          <w:szCs w:val="24"/>
        </w:rPr>
        <w:t>e considerazioni di principio</w:t>
      </w:r>
      <w:r w:rsidRPr="00BC6907">
        <w:rPr>
          <w:szCs w:val="24"/>
        </w:rPr>
        <w:t xml:space="preserve">, la </w:t>
      </w:r>
      <w:r>
        <w:rPr>
          <w:szCs w:val="24"/>
        </w:rPr>
        <w:t>maggioranza</w:t>
      </w:r>
      <w:r w:rsidRPr="00BC6907">
        <w:rPr>
          <w:szCs w:val="24"/>
        </w:rPr>
        <w:t xml:space="preserve"> com</w:t>
      </w:r>
      <w:r>
        <w:rPr>
          <w:szCs w:val="24"/>
        </w:rPr>
        <w:t xml:space="preserve">missionale ritiene, a titolo di premessa generale, </w:t>
      </w:r>
      <w:r w:rsidRPr="004F46D1">
        <w:rPr>
          <w:szCs w:val="24"/>
        </w:rPr>
        <w:t>che l'</w:t>
      </w:r>
      <w:r w:rsidRPr="0049623D">
        <w:rPr>
          <w:szCs w:val="24"/>
        </w:rPr>
        <w:t>e</w:t>
      </w:r>
      <w:r w:rsidRPr="004F46D1">
        <w:rPr>
          <w:szCs w:val="24"/>
        </w:rPr>
        <w:t xml:space="preserve">rrore </w:t>
      </w:r>
      <w:r>
        <w:rPr>
          <w:szCs w:val="24"/>
        </w:rPr>
        <w:t>sia</w:t>
      </w:r>
      <w:r w:rsidRPr="004F46D1">
        <w:rPr>
          <w:szCs w:val="24"/>
        </w:rPr>
        <w:t xml:space="preserve"> umano</w:t>
      </w:r>
      <w:r>
        <w:rPr>
          <w:szCs w:val="24"/>
        </w:rPr>
        <w:t xml:space="preserve"> e che esso possa sempre accadere, indipendentemente che si tratti un primo o di un secondo conteggio. L'idea secondo cui quest'ultimo avverrebbe in maniera meno erronea non è pertanto altro che una finzione.</w:t>
      </w:r>
      <w:r w:rsidRPr="00B9149B">
        <w:t xml:space="preserve"> </w:t>
      </w:r>
    </w:p>
    <w:p w:rsidR="00AC7B6C" w:rsidRDefault="00AC7B6C" w:rsidP="00965841">
      <w:pPr>
        <w:rPr>
          <w:szCs w:val="24"/>
        </w:rPr>
      </w:pPr>
      <w:r>
        <w:rPr>
          <w:szCs w:val="24"/>
        </w:rPr>
        <w:t xml:space="preserve">La maggioranza della Commissione evidenzia poi alcune importanti difficoltà pratiche – emerse durante l'audizione del 1° febbraio 2018 con i rappresentanti del Cantone e dei Comuni – che un secondo conteggio (o </w:t>
      </w:r>
      <w:proofErr w:type="spellStart"/>
      <w:r>
        <w:rPr>
          <w:szCs w:val="24"/>
        </w:rPr>
        <w:t>riconteggio</w:t>
      </w:r>
      <w:proofErr w:type="spellEnd"/>
      <w:r>
        <w:rPr>
          <w:szCs w:val="24"/>
        </w:rPr>
        <w:t>) comporterebbe.</w:t>
      </w:r>
    </w:p>
    <w:p w:rsidR="00965841" w:rsidRPr="00965841" w:rsidRDefault="00965841" w:rsidP="00965841">
      <w:pPr>
        <w:rPr>
          <w:sz w:val="20"/>
          <w:szCs w:val="20"/>
        </w:rPr>
      </w:pPr>
    </w:p>
    <w:p w:rsidR="00AC7B6C" w:rsidRDefault="00AC7B6C" w:rsidP="00965841">
      <w:pPr>
        <w:rPr>
          <w:szCs w:val="24"/>
        </w:rPr>
      </w:pPr>
      <w:r>
        <w:rPr>
          <w:szCs w:val="24"/>
        </w:rPr>
        <w:t xml:space="preserve">Nel caso di un </w:t>
      </w:r>
      <w:r w:rsidRPr="000D05E9">
        <w:rPr>
          <w:szCs w:val="24"/>
        </w:rPr>
        <w:t xml:space="preserve">eventuale </w:t>
      </w:r>
      <w:proofErr w:type="spellStart"/>
      <w:r w:rsidRPr="000D05E9">
        <w:rPr>
          <w:szCs w:val="24"/>
        </w:rPr>
        <w:t>riconteggio</w:t>
      </w:r>
      <w:proofErr w:type="spellEnd"/>
      <w:r w:rsidRPr="000D05E9">
        <w:rPr>
          <w:szCs w:val="24"/>
        </w:rPr>
        <w:t xml:space="preserve"> centralizzato nell'ambito</w:t>
      </w:r>
      <w:r>
        <w:rPr>
          <w:szCs w:val="24"/>
        </w:rPr>
        <w:t xml:space="preserve"> </w:t>
      </w:r>
      <w:r w:rsidRPr="000D05E9">
        <w:rPr>
          <w:szCs w:val="24"/>
        </w:rPr>
        <w:t>delle votazioni</w:t>
      </w:r>
      <w:r>
        <w:rPr>
          <w:szCs w:val="24"/>
        </w:rPr>
        <w:t xml:space="preserve"> – al di là del fatto che si tratterebbe di </w:t>
      </w:r>
      <w:r w:rsidRPr="00BB1A83">
        <w:rPr>
          <w:szCs w:val="24"/>
        </w:rPr>
        <w:t>una sorta di verifica da parte dell'autorità superiore sull'operato degli uffici elettorali comunali</w:t>
      </w:r>
      <w:r>
        <w:rPr>
          <w:szCs w:val="24"/>
        </w:rPr>
        <w:t>, di cui la maggioranza commissionale si fida pienamente</w:t>
      </w:r>
      <w:r w:rsidRPr="00BB1A83">
        <w:rPr>
          <w:szCs w:val="24"/>
        </w:rPr>
        <w:t xml:space="preserve"> </w:t>
      </w:r>
      <w:r>
        <w:rPr>
          <w:szCs w:val="24"/>
        </w:rPr>
        <w:t xml:space="preserve">– </w:t>
      </w:r>
      <w:r w:rsidRPr="000D05E9">
        <w:rPr>
          <w:szCs w:val="24"/>
        </w:rPr>
        <w:t>bisognerebbe</w:t>
      </w:r>
      <w:r>
        <w:rPr>
          <w:szCs w:val="24"/>
        </w:rPr>
        <w:t xml:space="preserve"> </w:t>
      </w:r>
      <w:r w:rsidRPr="000D05E9">
        <w:rPr>
          <w:szCs w:val="24"/>
        </w:rPr>
        <w:t>allestire una macchina per lo spoglio tutt'altro che semplice</w:t>
      </w:r>
      <w:r>
        <w:rPr>
          <w:szCs w:val="24"/>
        </w:rPr>
        <w:t>:</w:t>
      </w:r>
    </w:p>
    <w:p w:rsidR="00AC7B6C" w:rsidRDefault="00AC7B6C" w:rsidP="00AC7B6C">
      <w:pPr>
        <w:widowControl w:val="0"/>
        <w:tabs>
          <w:tab w:val="left" w:pos="284"/>
          <w:tab w:val="left" w:pos="7845"/>
        </w:tabs>
        <w:autoSpaceDE w:val="0"/>
        <w:autoSpaceDN w:val="0"/>
        <w:adjustRightInd w:val="0"/>
        <w:spacing w:before="80"/>
        <w:ind w:left="284" w:hanging="284"/>
        <w:rPr>
          <w:rFonts w:cs="Arial"/>
          <w:szCs w:val="24"/>
        </w:rPr>
      </w:pPr>
      <w:r>
        <w:rPr>
          <w:rFonts w:cs="Arial"/>
          <w:szCs w:val="24"/>
        </w:rPr>
        <w:t>-</w:t>
      </w:r>
      <w:r>
        <w:rPr>
          <w:rFonts w:cs="Arial"/>
          <w:szCs w:val="24"/>
        </w:rPr>
        <w:tab/>
        <w:t>innanzitutto si dovrebbe organizzare il trasporto a Bellinzona delle urne di tutti i Comuni, con le complicazioni del caso e un crescente rischio di compiere errori;</w:t>
      </w:r>
    </w:p>
    <w:p w:rsidR="00AC7B6C" w:rsidRDefault="00AC7B6C" w:rsidP="00AC7B6C">
      <w:pPr>
        <w:widowControl w:val="0"/>
        <w:tabs>
          <w:tab w:val="left" w:pos="284"/>
          <w:tab w:val="left" w:pos="7845"/>
        </w:tabs>
        <w:autoSpaceDE w:val="0"/>
        <w:autoSpaceDN w:val="0"/>
        <w:adjustRightInd w:val="0"/>
        <w:spacing w:before="80"/>
        <w:ind w:left="284" w:hanging="284"/>
        <w:rPr>
          <w:rFonts w:cs="Arial"/>
          <w:szCs w:val="24"/>
        </w:rPr>
      </w:pPr>
      <w:r>
        <w:rPr>
          <w:rFonts w:cs="Arial"/>
          <w:szCs w:val="24"/>
        </w:rPr>
        <w:t>-</w:t>
      </w:r>
      <w:r>
        <w:rPr>
          <w:rFonts w:cs="Arial"/>
          <w:szCs w:val="24"/>
        </w:rPr>
        <w:tab/>
        <w:t xml:space="preserve">il </w:t>
      </w:r>
      <w:r w:rsidRPr="000D05E9">
        <w:rPr>
          <w:rFonts w:cs="Arial"/>
          <w:szCs w:val="24"/>
        </w:rPr>
        <w:t>sistema di lettura ottica</w:t>
      </w:r>
      <w:r>
        <w:rPr>
          <w:rFonts w:cs="Arial"/>
          <w:szCs w:val="24"/>
        </w:rPr>
        <w:t xml:space="preserve"> in dotazione a Bellinzona</w:t>
      </w:r>
      <w:r w:rsidRPr="00BB1A83">
        <w:rPr>
          <w:rFonts w:cs="Arial"/>
          <w:szCs w:val="24"/>
        </w:rPr>
        <w:t xml:space="preserve"> </w:t>
      </w:r>
      <w:r w:rsidRPr="004F46D1">
        <w:rPr>
          <w:rFonts w:cs="Arial"/>
          <w:szCs w:val="24"/>
        </w:rPr>
        <w:t>funziona esclusivamente per le schede</w:t>
      </w:r>
      <w:r>
        <w:rPr>
          <w:rFonts w:cs="Arial"/>
          <w:szCs w:val="24"/>
        </w:rPr>
        <w:t xml:space="preserve"> </w:t>
      </w:r>
      <w:r w:rsidRPr="004F46D1">
        <w:rPr>
          <w:rFonts w:cs="Arial"/>
          <w:szCs w:val="24"/>
        </w:rPr>
        <w:t>delle elezioni</w:t>
      </w:r>
      <w:r>
        <w:rPr>
          <w:rFonts w:cs="Arial"/>
          <w:szCs w:val="24"/>
        </w:rPr>
        <w:t>; gli scanner</w:t>
      </w:r>
      <w:r w:rsidRPr="000D05E9">
        <w:rPr>
          <w:rFonts w:cs="Arial"/>
          <w:szCs w:val="24"/>
        </w:rPr>
        <w:t>,</w:t>
      </w:r>
      <w:r>
        <w:rPr>
          <w:rFonts w:cs="Arial"/>
          <w:szCs w:val="24"/>
        </w:rPr>
        <w:t xml:space="preserve"> </w:t>
      </w:r>
      <w:r w:rsidRPr="000D05E9">
        <w:rPr>
          <w:rFonts w:cs="Arial"/>
          <w:szCs w:val="24"/>
        </w:rPr>
        <w:t>come avviene per il sistema del Lotto, riconoscono il tasso di</w:t>
      </w:r>
      <w:r>
        <w:rPr>
          <w:rFonts w:cs="Arial"/>
          <w:szCs w:val="24"/>
        </w:rPr>
        <w:t xml:space="preserve"> </w:t>
      </w:r>
      <w:r w:rsidRPr="000D05E9">
        <w:rPr>
          <w:rFonts w:cs="Arial"/>
          <w:szCs w:val="24"/>
        </w:rPr>
        <w:t>riempimento della casella ma non sono parametrizzati – né</w:t>
      </w:r>
      <w:r>
        <w:rPr>
          <w:rFonts w:cs="Arial"/>
          <w:szCs w:val="24"/>
        </w:rPr>
        <w:t xml:space="preserve"> </w:t>
      </w:r>
      <w:r w:rsidRPr="000D05E9">
        <w:rPr>
          <w:rFonts w:cs="Arial"/>
          <w:szCs w:val="24"/>
        </w:rPr>
        <w:t>parametrizzabili – per leggere il "sì" o il "no"</w:t>
      </w:r>
      <w:r>
        <w:rPr>
          <w:rFonts w:cs="Arial"/>
          <w:szCs w:val="24"/>
        </w:rPr>
        <w:t xml:space="preserve">. Lo spoglio dovrebbe quindi avvenire manualmente; ebbene, con un tasso di partecipazione </w:t>
      </w:r>
      <w:r w:rsidRPr="00571E34">
        <w:rPr>
          <w:rFonts w:cs="Arial"/>
          <w:szCs w:val="24"/>
        </w:rPr>
        <w:t>del 50%, le schede sono indicativamente</w:t>
      </w:r>
      <w:r>
        <w:rPr>
          <w:rFonts w:cs="Arial"/>
          <w:szCs w:val="24"/>
        </w:rPr>
        <w:t xml:space="preserve"> </w:t>
      </w:r>
      <w:r w:rsidRPr="00571E34">
        <w:rPr>
          <w:rFonts w:cs="Arial"/>
          <w:szCs w:val="24"/>
        </w:rPr>
        <w:t xml:space="preserve">110'000. Più è </w:t>
      </w:r>
      <w:r w:rsidRPr="00571E34">
        <w:rPr>
          <w:rFonts w:cs="Arial"/>
          <w:szCs w:val="24"/>
        </w:rPr>
        <w:lastRenderedPageBreak/>
        <w:t>alto il numero di persone più si fa in fretta, però con</w:t>
      </w:r>
      <w:r>
        <w:rPr>
          <w:rFonts w:cs="Arial"/>
          <w:szCs w:val="24"/>
        </w:rPr>
        <w:t xml:space="preserve"> </w:t>
      </w:r>
      <w:r w:rsidRPr="00571E34">
        <w:rPr>
          <w:rFonts w:cs="Arial"/>
          <w:szCs w:val="24"/>
        </w:rPr>
        <w:t>maggiori difficoltà a controllare che le operazioni siano svolte</w:t>
      </w:r>
      <w:r>
        <w:rPr>
          <w:rFonts w:cs="Arial"/>
          <w:szCs w:val="24"/>
        </w:rPr>
        <w:t xml:space="preserve"> </w:t>
      </w:r>
      <w:r w:rsidRPr="00571E34">
        <w:rPr>
          <w:rFonts w:cs="Arial"/>
          <w:szCs w:val="24"/>
        </w:rPr>
        <w:t>correttamente; con un numero ridotto di persone, per contro, i</w:t>
      </w:r>
      <w:r>
        <w:rPr>
          <w:rFonts w:cs="Arial"/>
          <w:szCs w:val="24"/>
        </w:rPr>
        <w:t xml:space="preserve"> </w:t>
      </w:r>
      <w:r w:rsidRPr="00571E34">
        <w:rPr>
          <w:rFonts w:cs="Arial"/>
          <w:szCs w:val="24"/>
        </w:rPr>
        <w:t xml:space="preserve">tempi per il </w:t>
      </w:r>
      <w:proofErr w:type="spellStart"/>
      <w:r w:rsidRPr="00571E34">
        <w:rPr>
          <w:rFonts w:cs="Arial"/>
          <w:szCs w:val="24"/>
        </w:rPr>
        <w:t>riconteggio</w:t>
      </w:r>
      <w:proofErr w:type="spellEnd"/>
      <w:r w:rsidRPr="00571E34">
        <w:rPr>
          <w:rFonts w:cs="Arial"/>
          <w:szCs w:val="24"/>
        </w:rPr>
        <w:t xml:space="preserve"> si allungherebbero notevolmente, e il</w:t>
      </w:r>
      <w:r>
        <w:rPr>
          <w:rFonts w:cs="Arial"/>
          <w:szCs w:val="24"/>
        </w:rPr>
        <w:t xml:space="preserve"> rischio di possibili errori </w:t>
      </w:r>
      <w:r w:rsidRPr="00571E34">
        <w:rPr>
          <w:rFonts w:cs="Arial"/>
          <w:szCs w:val="24"/>
        </w:rPr>
        <w:t>aumenterebbe</w:t>
      </w:r>
      <w:r>
        <w:rPr>
          <w:rFonts w:cs="Arial"/>
          <w:szCs w:val="24"/>
        </w:rPr>
        <w:t xml:space="preserve"> </w:t>
      </w:r>
      <w:r w:rsidRPr="00571E34">
        <w:rPr>
          <w:rFonts w:cs="Arial"/>
          <w:szCs w:val="24"/>
        </w:rPr>
        <w:t>a seguito dell'impegno richiesto a livello visivo nel contare le</w:t>
      </w:r>
      <w:r>
        <w:rPr>
          <w:rFonts w:cs="Arial"/>
          <w:szCs w:val="24"/>
        </w:rPr>
        <w:t xml:space="preserve"> schede.</w:t>
      </w:r>
    </w:p>
    <w:p w:rsidR="00965841" w:rsidRDefault="00965841" w:rsidP="00965841"/>
    <w:p w:rsidR="00AC7B6C" w:rsidRDefault="00AC7B6C" w:rsidP="00965841">
      <w:r>
        <w:t xml:space="preserve">Anche nel caso in cui il secondo conteggio delle schede di un oggetto in votazione fosse eseguito dai Comuni si incontrerebbero non pochi problemi pratici, a maggior ragione se questo dovesse essere fatto il medesimo giorno; infatti occorrerebbe </w:t>
      </w:r>
      <w:r w:rsidRPr="004F46D1">
        <w:t>chiedere alle</w:t>
      </w:r>
      <w:r>
        <w:t xml:space="preserve"> persone impegnate ai seggi sin </w:t>
      </w:r>
      <w:r w:rsidRPr="004F46D1">
        <w:t>dalla mattina nelle operazioni di spo</w:t>
      </w:r>
      <w:r>
        <w:t xml:space="preserve">glio di rimanere a disposizione </w:t>
      </w:r>
      <w:r w:rsidRPr="004F46D1">
        <w:t xml:space="preserve">fintantoché non </w:t>
      </w:r>
      <w:r>
        <w:t>diventano</w:t>
      </w:r>
      <w:r w:rsidRPr="004F46D1">
        <w:t xml:space="preserve"> noti i risultati complessivi a livello cantonale</w:t>
      </w:r>
      <w:r>
        <w:t xml:space="preserve">. Qualora un secondo conteggio fosse effettivamente necessario, una possibile alternativa è che </w:t>
      </w:r>
      <w:r w:rsidRPr="00571E34">
        <w:t xml:space="preserve">i Comuni </w:t>
      </w:r>
      <w:r>
        <w:t>dovrebbero aspetta</w:t>
      </w:r>
      <w:r w:rsidRPr="00571E34">
        <w:t>re le direttive della Cancelleria dello Stato</w:t>
      </w:r>
      <w:r>
        <w:t xml:space="preserve"> </w:t>
      </w:r>
      <w:r w:rsidRPr="00571E34">
        <w:t>su come organizzarsi e su come procedere.</w:t>
      </w:r>
      <w:r>
        <w:t xml:space="preserve"> </w:t>
      </w:r>
      <w:r w:rsidRPr="00571E34">
        <w:t>Non si riconvocherebbe più lo stesso numero di persone</w:t>
      </w:r>
      <w:r>
        <w:t xml:space="preserve"> </w:t>
      </w:r>
      <w:r w:rsidRPr="00571E34">
        <w:t>impiegate per lo spoglio, dato che si tratterebbe di ricontare le</w:t>
      </w:r>
      <w:r>
        <w:t xml:space="preserve"> </w:t>
      </w:r>
      <w:r w:rsidRPr="00571E34">
        <w:t>schede di un solo oggetto. Dal profilo organizzativo bisognerebbe</w:t>
      </w:r>
      <w:r>
        <w:t xml:space="preserve"> </w:t>
      </w:r>
      <w:r w:rsidRPr="00571E34">
        <w:t>comunque fare in modo di disporre esattamente dei medesimi</w:t>
      </w:r>
      <w:r>
        <w:t xml:space="preserve"> </w:t>
      </w:r>
      <w:r w:rsidRPr="00571E34">
        <w:t>elementi presenti per lo spoglio, vale a dire locali adeguati dove</w:t>
      </w:r>
      <w:r>
        <w:t xml:space="preserve"> </w:t>
      </w:r>
      <w:r w:rsidRPr="00571E34">
        <w:t xml:space="preserve">eseguire con sicurezza e massima attenzione il </w:t>
      </w:r>
      <w:proofErr w:type="spellStart"/>
      <w:r w:rsidRPr="00571E34">
        <w:t>riconteggio</w:t>
      </w:r>
      <w:proofErr w:type="spellEnd"/>
      <w:r w:rsidRPr="00571E34">
        <w:t>, uffici</w:t>
      </w:r>
      <w:r>
        <w:t xml:space="preserve"> </w:t>
      </w:r>
      <w:r w:rsidRPr="00571E34">
        <w:t>elettorali, delegati dei partiti e/o dei comitati, ecc.</w:t>
      </w:r>
    </w:p>
    <w:p w:rsidR="00AC7B6C" w:rsidRPr="00965841" w:rsidRDefault="00AC7B6C" w:rsidP="00965841">
      <w:pPr>
        <w:rPr>
          <w:sz w:val="20"/>
          <w:szCs w:val="20"/>
        </w:rPr>
      </w:pPr>
    </w:p>
    <w:p w:rsidR="00AC7B6C" w:rsidRDefault="00AC7B6C" w:rsidP="00965841">
      <w:r>
        <w:t xml:space="preserve">Infine la maggioranza della Commissione, come il Consiglio di Stato, ritiene che le normative vigenti siano perfettamente in grado </w:t>
      </w:r>
      <w:r w:rsidRPr="0090651B">
        <w:t>di garantire l'espressione del voto nella sua</w:t>
      </w:r>
      <w:r>
        <w:t xml:space="preserve"> massima trasparenza e certezza. A tal proposito, alla maggioranza commissionale </w:t>
      </w:r>
      <w:r w:rsidRPr="00C51837">
        <w:t>preme precisare</w:t>
      </w:r>
      <w:r>
        <w:t>, anche con una certa nota di autocritica,</w:t>
      </w:r>
      <w:r w:rsidRPr="00C51837">
        <w:t xml:space="preserve"> che la responsabilità del</w:t>
      </w:r>
      <w:r>
        <w:t xml:space="preserve"> </w:t>
      </w:r>
      <w:r w:rsidRPr="00C51837">
        <w:t>controllo sulle operazioni di spoglio spetta, come stabilito dalla</w:t>
      </w:r>
      <w:r>
        <w:t xml:space="preserve"> </w:t>
      </w:r>
      <w:r w:rsidRPr="00C51837">
        <w:t>legislazione, ai delegati designati dai comitati o dai gruppi politici</w:t>
      </w:r>
      <w:r>
        <w:t>. A volte questo avviene non nei termini partecipativi auspicati, ed è un vero peccato</w:t>
      </w:r>
      <w:r w:rsidRPr="00C51837">
        <w:t>, perché sono indubbiamente le figure più</w:t>
      </w:r>
      <w:r>
        <w:t xml:space="preserve"> </w:t>
      </w:r>
      <w:r w:rsidRPr="00C51837">
        <w:t>indicate per controllare le operazioni di spoglio e di messa in</w:t>
      </w:r>
      <w:r>
        <w:t xml:space="preserve"> </w:t>
      </w:r>
      <w:r w:rsidRPr="00C51837">
        <w:t xml:space="preserve">sicurezza del materiale di voto, senza dimenticare che </w:t>
      </w:r>
      <w:r>
        <w:t>queste figure rappresentano</w:t>
      </w:r>
      <w:r w:rsidRPr="00C51837">
        <w:t xml:space="preserve"> i</w:t>
      </w:r>
      <w:r>
        <w:t xml:space="preserve"> </w:t>
      </w:r>
      <w:r w:rsidRPr="00C51837">
        <w:t>garanti nei confronti dei funzionari che svolgono questo tipo di</w:t>
      </w:r>
      <w:r>
        <w:t xml:space="preserve"> </w:t>
      </w:r>
      <w:r w:rsidRPr="00C51837">
        <w:t>lavoro.</w:t>
      </w:r>
    </w:p>
    <w:p w:rsidR="00AC7B6C" w:rsidRPr="00965841" w:rsidRDefault="00AC7B6C" w:rsidP="00AC7B6C">
      <w:pPr>
        <w:widowControl w:val="0"/>
        <w:tabs>
          <w:tab w:val="left" w:pos="7845"/>
        </w:tabs>
        <w:autoSpaceDE w:val="0"/>
        <w:autoSpaceDN w:val="0"/>
        <w:adjustRightInd w:val="0"/>
        <w:rPr>
          <w:rFonts w:cs="Arial"/>
          <w:sz w:val="20"/>
          <w:szCs w:val="20"/>
        </w:rPr>
      </w:pPr>
    </w:p>
    <w:p w:rsidR="00AC7B6C" w:rsidRPr="00965841" w:rsidRDefault="00AC7B6C" w:rsidP="00AC7B6C">
      <w:pPr>
        <w:widowControl w:val="0"/>
        <w:tabs>
          <w:tab w:val="left" w:pos="7845"/>
        </w:tabs>
        <w:autoSpaceDE w:val="0"/>
        <w:autoSpaceDN w:val="0"/>
        <w:adjustRightInd w:val="0"/>
        <w:rPr>
          <w:rFonts w:cs="Arial"/>
          <w:sz w:val="20"/>
          <w:szCs w:val="20"/>
        </w:rPr>
      </w:pPr>
    </w:p>
    <w:p w:rsidR="00AC7B6C" w:rsidRPr="00965841" w:rsidRDefault="00AC7B6C" w:rsidP="00AC7B6C">
      <w:pPr>
        <w:widowControl w:val="0"/>
        <w:tabs>
          <w:tab w:val="left" w:pos="7845"/>
        </w:tabs>
        <w:autoSpaceDE w:val="0"/>
        <w:autoSpaceDN w:val="0"/>
        <w:adjustRightInd w:val="0"/>
        <w:rPr>
          <w:rFonts w:cs="Arial"/>
          <w:sz w:val="20"/>
          <w:szCs w:val="20"/>
        </w:rPr>
      </w:pPr>
    </w:p>
    <w:p w:rsidR="00AC7B6C" w:rsidRPr="006C35FE" w:rsidRDefault="00AC7B6C" w:rsidP="00AC7B6C">
      <w:pPr>
        <w:pStyle w:val="Titolo1"/>
        <w:numPr>
          <w:ilvl w:val="0"/>
          <w:numId w:val="0"/>
        </w:numPr>
        <w:ind w:left="567" w:hanging="567"/>
      </w:pPr>
      <w:r>
        <w:t>5.</w:t>
      </w:r>
      <w:r>
        <w:tab/>
        <w:t>CONCLUSIONE</w:t>
      </w:r>
    </w:p>
    <w:p w:rsidR="00AC7B6C" w:rsidRPr="00287C78" w:rsidRDefault="00AC7B6C" w:rsidP="00AC7B6C">
      <w:pPr>
        <w:tabs>
          <w:tab w:val="left" w:pos="284"/>
          <w:tab w:val="left" w:pos="426"/>
          <w:tab w:val="left" w:pos="4962"/>
        </w:tabs>
        <w:spacing w:before="120"/>
        <w:rPr>
          <w:rFonts w:cs="Arial"/>
        </w:rPr>
      </w:pPr>
      <w:r w:rsidRPr="00287C78">
        <w:rPr>
          <w:rFonts w:cs="Arial"/>
        </w:rPr>
        <w:t>Per i motivi esposti</w:t>
      </w:r>
      <w:r>
        <w:rPr>
          <w:rFonts w:cs="Arial"/>
        </w:rPr>
        <w:t xml:space="preserve"> nei capitoli 3 ("La posizione del Consiglio di Stato") e 4 ("La posizione della maggioranza della Commissione") del presente rapporto, la maggioranza della </w:t>
      </w:r>
      <w:r w:rsidRPr="0079541D">
        <w:rPr>
          <w:rFonts w:cs="Arial"/>
        </w:rPr>
        <w:t>Commissione</w:t>
      </w:r>
      <w:r>
        <w:rPr>
          <w:rFonts w:cs="Arial"/>
        </w:rPr>
        <w:t xml:space="preserve"> speciale Costituzione e diritti politici</w:t>
      </w:r>
      <w:r w:rsidRPr="00287C78">
        <w:rPr>
          <w:rFonts w:cs="Arial"/>
        </w:rPr>
        <w:t xml:space="preserve"> invita</w:t>
      </w:r>
      <w:r>
        <w:rPr>
          <w:rFonts w:cs="Arial"/>
        </w:rPr>
        <w:t xml:space="preserve"> il Gran Consiglio</w:t>
      </w:r>
      <w:r w:rsidRPr="00287C78">
        <w:rPr>
          <w:rFonts w:cs="Arial"/>
        </w:rPr>
        <w:t xml:space="preserve"> </w:t>
      </w:r>
      <w:r>
        <w:rPr>
          <w:rFonts w:cs="Arial"/>
        </w:rPr>
        <w:t>a respingere l</w:t>
      </w:r>
      <w:r w:rsidRPr="00287C78">
        <w:rPr>
          <w:rFonts w:cs="Arial"/>
        </w:rPr>
        <w:t>'iniziativa</w:t>
      </w:r>
      <w:r>
        <w:rPr>
          <w:rFonts w:cs="Arial"/>
        </w:rPr>
        <w:t xml:space="preserve"> parlamentare generica</w:t>
      </w:r>
      <w:r w:rsidRPr="00287C78">
        <w:rPr>
          <w:rFonts w:cs="Arial"/>
        </w:rPr>
        <w:t xml:space="preserve"> </w:t>
      </w:r>
      <w:r>
        <w:rPr>
          <w:rFonts w:cs="Arial"/>
        </w:rPr>
        <w:t>di Luigina La Mantia volta a c</w:t>
      </w:r>
      <w:r w:rsidRPr="00046A9C">
        <w:rPr>
          <w:rFonts w:cs="Arial"/>
        </w:rPr>
        <w:t>reare una chiara base legale che regoli il secondo conteggio delle schede di voto</w:t>
      </w:r>
      <w:r>
        <w:rPr>
          <w:rFonts w:cs="Arial"/>
        </w:rPr>
        <w:t>.</w:t>
      </w:r>
    </w:p>
    <w:p w:rsidR="00AC7B6C" w:rsidRPr="00965841" w:rsidRDefault="00AC7B6C" w:rsidP="00AC7B6C">
      <w:pPr>
        <w:tabs>
          <w:tab w:val="left" w:pos="284"/>
          <w:tab w:val="left" w:pos="426"/>
          <w:tab w:val="left" w:pos="4962"/>
        </w:tabs>
        <w:rPr>
          <w:rFonts w:cs="Arial"/>
          <w:sz w:val="20"/>
          <w:szCs w:val="20"/>
        </w:rPr>
      </w:pPr>
    </w:p>
    <w:p w:rsidR="00AC7B6C" w:rsidRPr="00965841" w:rsidRDefault="00AC7B6C" w:rsidP="00AC7B6C">
      <w:pPr>
        <w:tabs>
          <w:tab w:val="left" w:pos="284"/>
          <w:tab w:val="left" w:pos="426"/>
          <w:tab w:val="left" w:pos="4962"/>
        </w:tabs>
        <w:rPr>
          <w:rFonts w:cs="Arial"/>
          <w:sz w:val="20"/>
          <w:szCs w:val="20"/>
        </w:rPr>
      </w:pPr>
    </w:p>
    <w:p w:rsidR="00AC7B6C" w:rsidRPr="00965841" w:rsidRDefault="00AC7B6C" w:rsidP="00AC7B6C">
      <w:pPr>
        <w:tabs>
          <w:tab w:val="left" w:pos="284"/>
          <w:tab w:val="left" w:pos="426"/>
          <w:tab w:val="left" w:pos="4962"/>
        </w:tabs>
        <w:rPr>
          <w:rFonts w:cs="Arial"/>
          <w:sz w:val="20"/>
          <w:szCs w:val="20"/>
        </w:rPr>
      </w:pPr>
    </w:p>
    <w:p w:rsidR="00AC7B6C" w:rsidRPr="0079541D" w:rsidRDefault="00AC7B6C" w:rsidP="00AC7B6C">
      <w:pPr>
        <w:tabs>
          <w:tab w:val="left" w:pos="284"/>
          <w:tab w:val="left" w:pos="426"/>
          <w:tab w:val="left" w:pos="4962"/>
        </w:tabs>
        <w:rPr>
          <w:rFonts w:cs="Arial"/>
        </w:rPr>
      </w:pPr>
      <w:r w:rsidRPr="0079541D">
        <w:rPr>
          <w:rFonts w:cs="Arial"/>
        </w:rPr>
        <w:t xml:space="preserve">Per la </w:t>
      </w:r>
      <w:r>
        <w:rPr>
          <w:rFonts w:cs="Arial"/>
        </w:rPr>
        <w:t xml:space="preserve">maggioranza della </w:t>
      </w:r>
      <w:r w:rsidRPr="0079541D">
        <w:rPr>
          <w:rFonts w:cs="Arial"/>
        </w:rPr>
        <w:t>Commissione</w:t>
      </w:r>
      <w:r>
        <w:rPr>
          <w:rFonts w:cs="Arial"/>
        </w:rPr>
        <w:t xml:space="preserve"> speciale</w:t>
      </w:r>
      <w:r w:rsidRPr="0079541D">
        <w:rPr>
          <w:rFonts w:cs="Arial"/>
        </w:rPr>
        <w:t xml:space="preserve"> Costituzione e diritti pol</w:t>
      </w:r>
      <w:r>
        <w:rPr>
          <w:rFonts w:cs="Arial"/>
        </w:rPr>
        <w:t>i</w:t>
      </w:r>
      <w:r w:rsidRPr="0079541D">
        <w:rPr>
          <w:rFonts w:cs="Arial"/>
        </w:rPr>
        <w:t>tici</w:t>
      </w:r>
      <w:r>
        <w:rPr>
          <w:rFonts w:cs="Arial"/>
        </w:rPr>
        <w:t>:</w:t>
      </w:r>
    </w:p>
    <w:p w:rsidR="00AC7B6C" w:rsidRDefault="00AC7B6C" w:rsidP="00AC7B6C">
      <w:pPr>
        <w:tabs>
          <w:tab w:val="left" w:pos="284"/>
          <w:tab w:val="left" w:pos="426"/>
          <w:tab w:val="left" w:pos="4962"/>
        </w:tabs>
        <w:spacing w:before="120"/>
        <w:rPr>
          <w:rFonts w:cs="Arial"/>
        </w:rPr>
      </w:pPr>
      <w:r>
        <w:rPr>
          <w:rFonts w:cs="Arial"/>
        </w:rPr>
        <w:t>Marcello Censi, relatore</w:t>
      </w:r>
    </w:p>
    <w:p w:rsidR="00AC7B6C" w:rsidRDefault="00AC7B6C" w:rsidP="00AC7B6C">
      <w:pPr>
        <w:tabs>
          <w:tab w:val="left" w:pos="284"/>
          <w:tab w:val="left" w:pos="426"/>
          <w:tab w:val="left" w:pos="4962"/>
        </w:tabs>
        <w:rPr>
          <w:rFonts w:cs="Arial"/>
        </w:rPr>
      </w:pPr>
      <w:r>
        <w:rPr>
          <w:rFonts w:cs="Arial"/>
        </w:rPr>
        <w:t xml:space="preserve">Agustoni - Bacchetta-Cattori - Brivio - </w:t>
      </w:r>
    </w:p>
    <w:p w:rsidR="00AC7B6C" w:rsidRDefault="00AC7B6C" w:rsidP="00AC7B6C">
      <w:pPr>
        <w:tabs>
          <w:tab w:val="left" w:pos="284"/>
          <w:tab w:val="left" w:pos="426"/>
          <w:tab w:val="left" w:pos="4962"/>
        </w:tabs>
        <w:rPr>
          <w:rFonts w:cs="Arial"/>
        </w:rPr>
      </w:pPr>
      <w:r>
        <w:rPr>
          <w:rFonts w:cs="Arial"/>
        </w:rPr>
        <w:t xml:space="preserve">Celio - Filippini - Gianella - </w:t>
      </w:r>
    </w:p>
    <w:p w:rsidR="00AC7B6C" w:rsidRDefault="00AC7B6C" w:rsidP="00AC7B6C">
      <w:pPr>
        <w:tabs>
          <w:tab w:val="left" w:pos="284"/>
          <w:tab w:val="left" w:pos="426"/>
          <w:tab w:val="left" w:pos="4962"/>
        </w:tabs>
        <w:rPr>
          <w:rFonts w:cs="Arial"/>
        </w:rPr>
      </w:pPr>
      <w:r>
        <w:rPr>
          <w:rFonts w:cs="Arial"/>
        </w:rPr>
        <w:t>Ortelli - Viscardi (con riserva)</w:t>
      </w:r>
    </w:p>
    <w:p w:rsidR="00AC7B6C" w:rsidRDefault="00AC7B6C" w:rsidP="00AC7B6C">
      <w:pPr>
        <w:tabs>
          <w:tab w:val="left" w:pos="284"/>
          <w:tab w:val="left" w:pos="426"/>
          <w:tab w:val="left" w:pos="4962"/>
        </w:tabs>
        <w:rPr>
          <w:rFonts w:cs="Arial"/>
          <w:szCs w:val="24"/>
          <w:lang w:val="it-IT"/>
        </w:rPr>
      </w:pPr>
    </w:p>
    <w:p w:rsidR="00AC7B6C" w:rsidRDefault="00AC7B6C" w:rsidP="00AC7B6C">
      <w:pPr>
        <w:tabs>
          <w:tab w:val="left" w:pos="284"/>
          <w:tab w:val="left" w:pos="426"/>
          <w:tab w:val="left" w:pos="4962"/>
        </w:tabs>
        <w:rPr>
          <w:rFonts w:cs="Arial"/>
          <w:szCs w:val="24"/>
          <w:lang w:val="it-IT"/>
        </w:rPr>
      </w:pPr>
    </w:p>
    <w:p w:rsidR="00AC7B6C" w:rsidRDefault="00AC7B6C" w:rsidP="00AC7B6C">
      <w:pPr>
        <w:tabs>
          <w:tab w:val="left" w:pos="284"/>
          <w:tab w:val="left" w:pos="426"/>
          <w:tab w:val="left" w:pos="4962"/>
        </w:tabs>
        <w:rPr>
          <w:rFonts w:cs="Arial"/>
          <w:szCs w:val="24"/>
          <w:lang w:val="it-IT"/>
        </w:rPr>
      </w:pPr>
    </w:p>
    <w:p w:rsidR="00AC7B6C" w:rsidRDefault="00AC7B6C" w:rsidP="00AC7B6C">
      <w:pPr>
        <w:tabs>
          <w:tab w:val="left" w:pos="284"/>
          <w:tab w:val="left" w:pos="426"/>
          <w:tab w:val="left" w:pos="4962"/>
        </w:tabs>
        <w:rPr>
          <w:rFonts w:cs="Arial"/>
          <w:szCs w:val="24"/>
          <w:lang w:val="it-IT"/>
        </w:rPr>
      </w:pPr>
    </w:p>
    <w:p w:rsidR="00AC7B6C" w:rsidRPr="00AC7B6C" w:rsidRDefault="00AC7B6C" w:rsidP="00AC7B6C">
      <w:pPr>
        <w:tabs>
          <w:tab w:val="left" w:pos="284"/>
          <w:tab w:val="left" w:pos="426"/>
          <w:tab w:val="left" w:pos="4962"/>
        </w:tabs>
        <w:rPr>
          <w:rFonts w:cs="Arial"/>
          <w:sz w:val="22"/>
          <w:lang w:val="it-IT"/>
        </w:rPr>
      </w:pPr>
      <w:r w:rsidRPr="00AC7B6C">
        <w:rPr>
          <w:rFonts w:cs="Arial"/>
          <w:sz w:val="22"/>
          <w:u w:val="single"/>
          <w:lang w:val="it-IT"/>
        </w:rPr>
        <w:t>Allegato</w:t>
      </w:r>
      <w:r w:rsidRPr="00AC7B6C">
        <w:rPr>
          <w:rFonts w:cs="Arial"/>
          <w:sz w:val="22"/>
          <w:lang w:val="it-IT"/>
        </w:rPr>
        <w:t>:</w:t>
      </w:r>
    </w:p>
    <w:p w:rsidR="00CB127C" w:rsidRDefault="00AC7B6C" w:rsidP="00965841">
      <w:pPr>
        <w:tabs>
          <w:tab w:val="left" w:pos="284"/>
          <w:tab w:val="left" w:pos="426"/>
          <w:tab w:val="left" w:pos="4962"/>
        </w:tabs>
        <w:spacing w:before="120"/>
      </w:pPr>
      <w:r w:rsidRPr="00AC7B6C">
        <w:rPr>
          <w:rFonts w:cs="Arial"/>
          <w:sz w:val="22"/>
          <w:lang w:val="it-IT"/>
        </w:rPr>
        <w:t>-</w:t>
      </w:r>
      <w:r w:rsidRPr="00AC7B6C">
        <w:rPr>
          <w:rFonts w:cs="Arial"/>
          <w:sz w:val="22"/>
          <w:lang w:val="it-IT"/>
        </w:rPr>
        <w:tab/>
        <w:t>risoluzione governativa n. 5718 del 20 dicembre 2017.</w:t>
      </w:r>
    </w:p>
    <w:sectPr w:rsidR="00CB127C" w:rsidSect="00F242E5">
      <w:footerReference w:type="default" r:id="rId1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28" w:rsidRDefault="00B71628" w:rsidP="008E77C6">
      <w:r>
        <w:separator/>
      </w:r>
    </w:p>
  </w:endnote>
  <w:endnote w:type="continuationSeparator" w:id="0">
    <w:p w:rsidR="00B71628" w:rsidRDefault="00B71628"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655E24" w:rsidRPr="00655E24">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28" w:rsidRDefault="00B71628" w:rsidP="008E77C6">
      <w:r>
        <w:separator/>
      </w:r>
    </w:p>
  </w:footnote>
  <w:footnote w:type="continuationSeparator" w:id="0">
    <w:p w:rsidR="00B71628" w:rsidRDefault="00B71628" w:rsidP="008E77C6">
      <w:r>
        <w:continuationSeparator/>
      </w:r>
    </w:p>
  </w:footnote>
  <w:footnote w:id="1">
    <w:p w:rsidR="00AC7B6C" w:rsidRPr="00AC7B6C" w:rsidRDefault="00AC7B6C" w:rsidP="00AC7B6C">
      <w:pPr>
        <w:pStyle w:val="Testonotaapidipagina"/>
        <w:spacing w:before="60"/>
        <w:rPr>
          <w:sz w:val="18"/>
          <w:szCs w:val="18"/>
        </w:rPr>
      </w:pPr>
      <w:r w:rsidRPr="00AC7B6C">
        <w:rPr>
          <w:rStyle w:val="Rimandonotaapidipagina"/>
          <w:sz w:val="18"/>
          <w:szCs w:val="18"/>
        </w:rPr>
        <w:footnoteRef/>
      </w:r>
      <w:r w:rsidRPr="00AC7B6C">
        <w:rPr>
          <w:sz w:val="18"/>
          <w:szCs w:val="18"/>
        </w:rPr>
        <w:t xml:space="preserve"> Il ricorso dell'11 marzo 2017 presentato da Tamara Merlo è stato respinto dal Gran Consiglio in data 16 ottobre 2017 (</w:t>
      </w:r>
      <w:hyperlink r:id="rId1" w:history="1">
        <w:r w:rsidRPr="00AC7B6C">
          <w:rPr>
            <w:rStyle w:val="Collegamentoipertestuale"/>
            <w:sz w:val="18"/>
            <w:szCs w:val="18"/>
          </w:rPr>
          <w:t>seduta n. XIV anno parlamentare 2017/2018</w:t>
        </w:r>
      </w:hyperlink>
      <w:r w:rsidRPr="00AC7B6C">
        <w:rPr>
          <w:sz w:val="18"/>
          <w:szCs w:val="18"/>
        </w:rPr>
        <w:t xml:space="preserve">), approvando il </w:t>
      </w:r>
      <w:hyperlink r:id="rId2" w:history="1">
        <w:r w:rsidRPr="00AC7B6C">
          <w:rPr>
            <w:rStyle w:val="Collegamentoipertestuale"/>
            <w:sz w:val="18"/>
            <w:szCs w:val="18"/>
          </w:rPr>
          <w:t>rapporto di maggioranza</w:t>
        </w:r>
      </w:hyperlink>
      <w:r w:rsidRPr="00AC7B6C">
        <w:rPr>
          <w:sz w:val="18"/>
          <w:szCs w:val="18"/>
        </w:rPr>
        <w:t xml:space="preserve"> (progetto di decisione) di Fabio Schnellmann per la Commissione delle petizioni e dei ricorsi, che appunto ne chiedeva il respingimento (</w:t>
      </w:r>
      <w:hyperlink r:id="rId3" w:history="1">
        <w:r w:rsidRPr="00AC7B6C">
          <w:rPr>
            <w:rStyle w:val="Collegamentoipertestuale"/>
            <w:sz w:val="18"/>
            <w:szCs w:val="18"/>
          </w:rPr>
          <w:t>rapporto di minoranza</w:t>
        </w:r>
      </w:hyperlink>
      <w:r w:rsidRPr="00AC7B6C">
        <w:rPr>
          <w:sz w:val="18"/>
          <w:szCs w:val="18"/>
        </w:rPr>
        <w:t>, favorevole al ricorso, di Maristella Patuzzi).</w:t>
      </w:r>
    </w:p>
    <w:p w:rsidR="00AC7B6C" w:rsidRPr="00AC7B6C" w:rsidRDefault="00AC7B6C" w:rsidP="00AC7B6C">
      <w:pPr>
        <w:pStyle w:val="Testonotaapidipagina"/>
        <w:rPr>
          <w:sz w:val="18"/>
          <w:szCs w:val="18"/>
        </w:rPr>
      </w:pPr>
      <w:r w:rsidRPr="00AC7B6C">
        <w:rPr>
          <w:sz w:val="18"/>
          <w:szCs w:val="18"/>
        </w:rPr>
        <w:t xml:space="preserve">La decisione parlamentare è stata impugnata il 27 novembre 2017 davanti al Tribunale federale (incarto n. 1C_651/2017), il quale ha concluso per l'inammissibilità del ricorso, trasmettendolo </w:t>
      </w:r>
      <w:r w:rsidRPr="00AC7B6C">
        <w:rPr>
          <w:rFonts w:cs="Arial"/>
          <w:sz w:val="18"/>
          <w:szCs w:val="18"/>
        </w:rPr>
        <w:t>«</w:t>
      </w:r>
      <w:r w:rsidRPr="00AC7B6C">
        <w:rPr>
          <w:i/>
          <w:sz w:val="18"/>
          <w:szCs w:val="18"/>
        </w:rPr>
        <w:t>per trattazione</w:t>
      </w:r>
      <w:r w:rsidRPr="00AC7B6C">
        <w:rPr>
          <w:rFonts w:cs="Arial"/>
          <w:sz w:val="18"/>
          <w:szCs w:val="18"/>
        </w:rPr>
        <w:t>»</w:t>
      </w:r>
      <w:r w:rsidRPr="00AC7B6C">
        <w:rPr>
          <w:sz w:val="18"/>
          <w:szCs w:val="18"/>
        </w:rPr>
        <w:t xml:space="preserve"> al Tribunale cantonale amministrativo.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9">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2">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4">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5">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6">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6"/>
  </w:num>
  <w:num w:numId="2">
    <w:abstractNumId w:val="16"/>
  </w:num>
  <w:num w:numId="3">
    <w:abstractNumId w:val="17"/>
  </w:num>
  <w:num w:numId="4">
    <w:abstractNumId w:val="2"/>
  </w:num>
  <w:num w:numId="5">
    <w:abstractNumId w:val="7"/>
  </w:num>
  <w:num w:numId="6">
    <w:abstractNumId w:val="6"/>
  </w:num>
  <w:num w:numId="7">
    <w:abstractNumId w:val="3"/>
  </w:num>
  <w:num w:numId="8">
    <w:abstractNumId w:val="12"/>
  </w:num>
  <w:num w:numId="9">
    <w:abstractNumId w:val="5"/>
  </w:num>
  <w:num w:numId="10">
    <w:abstractNumId w:val="9"/>
  </w:num>
  <w:num w:numId="11">
    <w:abstractNumId w:val="10"/>
  </w:num>
  <w:num w:numId="12">
    <w:abstractNumId w:val="13"/>
  </w:num>
  <w:num w:numId="13">
    <w:abstractNumId w:val="4"/>
  </w:num>
  <w:num w:numId="14">
    <w:abstractNumId w:val="11"/>
  </w:num>
  <w:num w:numId="15">
    <w:abstractNumId w:val="15"/>
  </w:num>
  <w:num w:numId="16">
    <w:abstractNumId w:val="0"/>
  </w:num>
  <w:num w:numId="17">
    <w:abstractNumId w:val="1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B2940"/>
    <w:rsid w:val="002E5E40"/>
    <w:rsid w:val="003B7935"/>
    <w:rsid w:val="0052425A"/>
    <w:rsid w:val="0057039F"/>
    <w:rsid w:val="00586A8D"/>
    <w:rsid w:val="005F4380"/>
    <w:rsid w:val="00655E24"/>
    <w:rsid w:val="006D7A3B"/>
    <w:rsid w:val="007B5462"/>
    <w:rsid w:val="008034BD"/>
    <w:rsid w:val="00876352"/>
    <w:rsid w:val="008B4137"/>
    <w:rsid w:val="008C767A"/>
    <w:rsid w:val="008E77C6"/>
    <w:rsid w:val="00965841"/>
    <w:rsid w:val="009770BB"/>
    <w:rsid w:val="009E008D"/>
    <w:rsid w:val="00A5465F"/>
    <w:rsid w:val="00A77678"/>
    <w:rsid w:val="00A8590C"/>
    <w:rsid w:val="00AC7B6C"/>
    <w:rsid w:val="00B71628"/>
    <w:rsid w:val="00BC4C95"/>
    <w:rsid w:val="00BD5944"/>
    <w:rsid w:val="00CB127C"/>
    <w:rsid w:val="00CF6858"/>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AC7B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7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semiHidden/>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AC7B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7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levancy.bger.ch/php/clir/http/index.php?highlight_docid=atf%3A%2F%2F141-II-297%3Ade&amp;lang=de&amp;type=show_docu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dmin.ch/opc/it/classified-compilation/19995395/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evancy.bger.ch/php/clir/http/index.php?highlight_docid=atf%3A%2F%2F141-II-297%3Ade&amp;lang=de&amp;type=show_docu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dmin.ch/opc/it/classified-compilation/19760323/index.html" TargetMode="External"/><Relationship Id="rId4" Type="http://schemas.microsoft.com/office/2007/relationships/stylesWithEffects" Target="stylesWithEffects.xml"/><Relationship Id="rId9" Type="http://schemas.openxmlformats.org/officeDocument/2006/relationships/hyperlink" Target="http://relevancy.bger.ch/php/clir/http/index.php?highlight_docid=atf%3A%2F%2F136-II-132%3Ade&amp;lang=de&amp;type=show_docume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4.ti.ch/fileadmin/POTERI/GC/allegati/rapporti/21698_R5-min.pdf" TargetMode="External"/><Relationship Id="rId2" Type="http://schemas.openxmlformats.org/officeDocument/2006/relationships/hyperlink" Target="https://www4.ti.ch/fileadmin/POTERI/GC/allegati/rapporti/21697_R5-magg.pdf" TargetMode="External"/><Relationship Id="rId1" Type="http://schemas.openxmlformats.org/officeDocument/2006/relationships/hyperlink" Target="https://www3.ti.ch/POTERI/legislativo/attivita/vgc/2017/1352-Seduta14.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2125-8755-4459-B251-E2F85AA8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1959</Words>
  <Characters>11167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2018-10-01T09:26:00Z</cp:lastPrinted>
  <dcterms:created xsi:type="dcterms:W3CDTF">2018-10-01T08:42:00Z</dcterms:created>
  <dcterms:modified xsi:type="dcterms:W3CDTF">2018-10-03T10:16:00Z</dcterms:modified>
</cp:coreProperties>
</file>