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866302" w:rsidP="00F242E5">
      <w:pPr>
        <w:tabs>
          <w:tab w:val="left" w:pos="2495"/>
        </w:tabs>
        <w:spacing w:before="80" w:after="40"/>
        <w:rPr>
          <w:rFonts w:ascii="Gill Sans MT" w:hAnsi="Gill Sans MT"/>
          <w:b/>
          <w:sz w:val="56"/>
          <w:szCs w:val="56"/>
        </w:rPr>
      </w:pPr>
      <w:r>
        <w:rPr>
          <w:rFonts w:ascii="Gill Sans MT" w:hAnsi="Gill Sans MT"/>
          <w:b/>
          <w:sz w:val="56"/>
          <w:szCs w:val="56"/>
        </w:rPr>
        <w:t>Rapporto</w:t>
      </w:r>
      <w:r>
        <w:rPr>
          <w:rFonts w:ascii="Gill Sans MT" w:hAnsi="Gill Sans MT"/>
          <w:b/>
          <w:sz w:val="56"/>
          <w:szCs w:val="56"/>
        </w:rPr>
        <w:t xml:space="preserve"> </w:t>
      </w:r>
      <w:bookmarkStart w:id="0" w:name="_GoBack"/>
      <w:bookmarkEnd w:id="0"/>
      <w:r w:rsidR="001E0A36">
        <w:rPr>
          <w:rFonts w:ascii="Gill Sans MT" w:hAnsi="Gill Sans MT"/>
          <w:b/>
          <w:sz w:val="56"/>
          <w:szCs w:val="56"/>
        </w:rPr>
        <w:t>p</w:t>
      </w:r>
      <w:r w:rsidR="00F242E5" w:rsidRPr="005C669B">
        <w:rPr>
          <w:rFonts w:ascii="Gill Sans MT" w:hAnsi="Gill Sans MT"/>
          <w:b/>
          <w:sz w:val="56"/>
          <w:szCs w:val="56"/>
        </w:rPr>
        <w:t>a</w:t>
      </w:r>
      <w:r w:rsidR="001E0A36">
        <w:rPr>
          <w:rFonts w:ascii="Gill Sans MT" w:hAnsi="Gill Sans MT"/>
          <w:b/>
          <w:sz w:val="56"/>
          <w:szCs w:val="56"/>
        </w:rPr>
        <w:t>rziale</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1E0A36" w:rsidP="00F242E5">
      <w:pPr>
        <w:tabs>
          <w:tab w:val="left" w:pos="2098"/>
          <w:tab w:val="left" w:pos="4962"/>
        </w:tabs>
        <w:rPr>
          <w:position w:val="4"/>
        </w:rPr>
      </w:pPr>
      <w:r w:rsidRPr="0046147B">
        <w:rPr>
          <w:rFonts w:cs="Arial"/>
          <w:b/>
          <w:sz w:val="32"/>
          <w:szCs w:val="32"/>
        </w:rPr>
        <w:t xml:space="preserve">7535 </w:t>
      </w:r>
      <w:proofErr w:type="spellStart"/>
      <w:r w:rsidRPr="0046147B">
        <w:rPr>
          <w:rFonts w:cs="Arial"/>
          <w:b/>
          <w:sz w:val="32"/>
          <w:szCs w:val="32"/>
        </w:rPr>
        <w:t>R</w:t>
      </w:r>
      <w:r w:rsidRPr="003421DF">
        <w:rPr>
          <w:rFonts w:cs="Arial"/>
          <w:b/>
          <w:szCs w:val="24"/>
        </w:rPr>
        <w:t>parz</w:t>
      </w:r>
      <w:proofErr w:type="spellEnd"/>
      <w:r w:rsidRPr="003421DF">
        <w:rPr>
          <w:rFonts w:cs="Arial"/>
          <w:b/>
          <w:szCs w:val="24"/>
        </w:rPr>
        <w:t>.</w:t>
      </w:r>
      <w:r w:rsidR="00F242E5">
        <w:rPr>
          <w:position w:val="4"/>
          <w:sz w:val="28"/>
        </w:rPr>
        <w:tab/>
      </w:r>
      <w:r w:rsidR="001627ED">
        <w:rPr>
          <w:position w:val="4"/>
          <w:sz w:val="28"/>
        </w:rPr>
        <w:t>24 ottobre 2018</w:t>
      </w:r>
      <w:r w:rsidR="00F242E5">
        <w:rPr>
          <w:position w:val="4"/>
          <w:sz w:val="28"/>
        </w:rPr>
        <w:tab/>
      </w:r>
      <w:r>
        <w:rPr>
          <w:position w:val="4"/>
          <w:sz w:val="28"/>
        </w:rPr>
        <w:t>TERRITORIO</w:t>
      </w:r>
    </w:p>
    <w:p w:rsidR="00F242E5" w:rsidRPr="002C3C87" w:rsidRDefault="00F242E5" w:rsidP="00F242E5">
      <w:pPr>
        <w:rPr>
          <w:sz w:val="20"/>
          <w:szCs w:val="20"/>
        </w:rPr>
      </w:pPr>
    </w:p>
    <w:p w:rsidR="00F242E5" w:rsidRPr="002C3C87" w:rsidRDefault="00F242E5" w:rsidP="00F242E5">
      <w:pPr>
        <w:rPr>
          <w:sz w:val="20"/>
          <w:szCs w:val="20"/>
        </w:rPr>
      </w:pPr>
    </w:p>
    <w:p w:rsidR="00F242E5" w:rsidRPr="002C3C87" w:rsidRDefault="00F242E5" w:rsidP="00F242E5">
      <w:pPr>
        <w:rPr>
          <w:sz w:val="20"/>
          <w:szCs w:val="20"/>
        </w:rPr>
      </w:pPr>
    </w:p>
    <w:p w:rsidR="001E0A36" w:rsidRPr="0046147B" w:rsidRDefault="001E0A36" w:rsidP="001E0A36">
      <w:pPr>
        <w:ind w:right="-1"/>
        <w:rPr>
          <w:rFonts w:cs="Arial"/>
          <w:b/>
          <w:snapToGrid w:val="0"/>
          <w:sz w:val="28"/>
          <w:szCs w:val="28"/>
        </w:rPr>
      </w:pPr>
      <w:r w:rsidRPr="0046147B">
        <w:rPr>
          <w:rFonts w:cs="Arial"/>
          <w:b/>
          <w:snapToGrid w:val="0"/>
          <w:sz w:val="28"/>
          <w:szCs w:val="28"/>
        </w:rPr>
        <w:t>della Commissione della legislazione</w:t>
      </w:r>
    </w:p>
    <w:p w:rsidR="001E0A36" w:rsidRPr="0046147B" w:rsidRDefault="001E0A36" w:rsidP="002C3C87">
      <w:pPr>
        <w:rPr>
          <w:rFonts w:cs="Arial"/>
          <w:b/>
          <w:sz w:val="28"/>
          <w:szCs w:val="28"/>
        </w:rPr>
      </w:pPr>
      <w:bookmarkStart w:id="1" w:name="_Toc151192545"/>
      <w:bookmarkStart w:id="2" w:name="_Toc151192911"/>
      <w:r w:rsidRPr="0046147B">
        <w:rPr>
          <w:rFonts w:cs="Arial"/>
          <w:b/>
          <w:sz w:val="28"/>
          <w:szCs w:val="28"/>
        </w:rPr>
        <w:t>sul</w:t>
      </w:r>
      <w:r>
        <w:rPr>
          <w:rFonts w:cs="Arial"/>
          <w:b/>
          <w:sz w:val="28"/>
          <w:szCs w:val="28"/>
        </w:rPr>
        <w:t>la mozione</w:t>
      </w:r>
      <w:r w:rsidRPr="0046147B">
        <w:rPr>
          <w:rFonts w:cs="Arial"/>
          <w:b/>
          <w:sz w:val="28"/>
          <w:szCs w:val="28"/>
        </w:rPr>
        <w:t xml:space="preserve"> </w:t>
      </w:r>
      <w:r>
        <w:rPr>
          <w:rFonts w:cs="Arial"/>
          <w:b/>
          <w:sz w:val="28"/>
          <w:szCs w:val="28"/>
        </w:rPr>
        <w:t>9 aprile</w:t>
      </w:r>
      <w:r w:rsidRPr="0046147B">
        <w:rPr>
          <w:rFonts w:cs="Arial"/>
          <w:b/>
          <w:sz w:val="28"/>
          <w:szCs w:val="28"/>
        </w:rPr>
        <w:t xml:space="preserve"> 2018</w:t>
      </w:r>
      <w:r w:rsidR="001627ED">
        <w:rPr>
          <w:rFonts w:cs="Arial"/>
          <w:b/>
          <w:sz w:val="28"/>
          <w:szCs w:val="28"/>
        </w:rPr>
        <w:t xml:space="preserve"> presentata da Simone Ghisla e Fabio Schnellmann</w:t>
      </w:r>
      <w:r w:rsidRPr="0046147B">
        <w:rPr>
          <w:rFonts w:cs="Arial"/>
          <w:b/>
          <w:sz w:val="28"/>
          <w:szCs w:val="28"/>
        </w:rPr>
        <w:t xml:space="preserve"> </w:t>
      </w:r>
      <w:r w:rsidR="001627ED">
        <w:rPr>
          <w:rFonts w:cs="Arial"/>
          <w:b/>
          <w:sz w:val="28"/>
          <w:szCs w:val="28"/>
        </w:rPr>
        <w:t>“</w:t>
      </w:r>
      <w:r w:rsidRPr="001627ED">
        <w:rPr>
          <w:rFonts w:cs="Arial"/>
          <w:b/>
          <w:sz w:val="28"/>
          <w:szCs w:val="28"/>
        </w:rPr>
        <w:t>Abrogazione della Legge sulle imprese artigianali (LIA): il Parlamento riconosca i propri errori e il Governo restituisca il dovuto agli artigiani residenti</w:t>
      </w:r>
      <w:r w:rsidR="001627ED">
        <w:rPr>
          <w:rFonts w:cs="Arial"/>
          <w:b/>
          <w:sz w:val="28"/>
          <w:szCs w:val="28"/>
        </w:rPr>
        <w:t>”</w:t>
      </w:r>
    </w:p>
    <w:p w:rsidR="001E0A36" w:rsidRPr="002C3C87" w:rsidRDefault="001E0A36" w:rsidP="002C3C87">
      <w:pPr>
        <w:tabs>
          <w:tab w:val="left" w:pos="1985"/>
          <w:tab w:val="left" w:pos="4933"/>
        </w:tabs>
        <w:rPr>
          <w:rFonts w:cs="Arial"/>
          <w:sz w:val="20"/>
          <w:szCs w:val="20"/>
        </w:rPr>
      </w:pPr>
    </w:p>
    <w:p w:rsidR="001E0A36" w:rsidRPr="002C3C87" w:rsidRDefault="001E0A36" w:rsidP="002C3C87">
      <w:pPr>
        <w:tabs>
          <w:tab w:val="left" w:pos="1985"/>
          <w:tab w:val="left" w:pos="4933"/>
        </w:tabs>
        <w:rPr>
          <w:rFonts w:cs="Arial"/>
          <w:sz w:val="20"/>
          <w:szCs w:val="20"/>
        </w:rPr>
      </w:pPr>
    </w:p>
    <w:p w:rsidR="001E0A36" w:rsidRPr="002C3C87" w:rsidRDefault="001E0A36" w:rsidP="002C3C87">
      <w:pPr>
        <w:tabs>
          <w:tab w:val="left" w:pos="1985"/>
          <w:tab w:val="left" w:pos="4933"/>
        </w:tabs>
        <w:rPr>
          <w:rFonts w:cs="Arial"/>
          <w:sz w:val="20"/>
          <w:szCs w:val="20"/>
        </w:rPr>
      </w:pPr>
    </w:p>
    <w:bookmarkEnd w:id="1"/>
    <w:bookmarkEnd w:id="2"/>
    <w:p w:rsidR="001E0A36" w:rsidRPr="0046147B" w:rsidRDefault="001E0A36" w:rsidP="001E0A36">
      <w:pPr>
        <w:pStyle w:val="Titolo1"/>
      </w:pPr>
      <w:r w:rsidRPr="0046147B">
        <w:t>RICHIESTA DELLA MOZIONE</w:t>
      </w:r>
    </w:p>
    <w:p w:rsidR="001E0A36" w:rsidRPr="002C3C87" w:rsidRDefault="001E0A36" w:rsidP="002C3C87">
      <w:pPr>
        <w:rPr>
          <w:rFonts w:cs="Arial"/>
          <w:szCs w:val="24"/>
        </w:rPr>
      </w:pPr>
      <w:r w:rsidRPr="002C3C87">
        <w:rPr>
          <w:rFonts w:cs="Arial"/>
          <w:szCs w:val="24"/>
        </w:rPr>
        <w:t>La mozione prende le mosse dal comunicato stampa mediante il quale, in data 7 marzo 2018, il Consiglio di Stato, dopo essersi confrontato con due sentenze del Tribunale cantonale amministrativo (TRAM) del 27 febbraio 2018 che ha stabilito la non conformità della LIA alla LMI (</w:t>
      </w:r>
      <w:proofErr w:type="spellStart"/>
      <w:r w:rsidRPr="002C3C87">
        <w:rPr>
          <w:rFonts w:cs="Arial"/>
          <w:szCs w:val="24"/>
        </w:rPr>
        <w:t>inc</w:t>
      </w:r>
      <w:proofErr w:type="spellEnd"/>
      <w:r w:rsidRPr="002C3C87">
        <w:rPr>
          <w:rFonts w:cs="Arial"/>
          <w:szCs w:val="24"/>
        </w:rPr>
        <w:t>. n. 52.2016.591 e 52.2016.592), ha incaricato il Dipartimento del territorio di effettuare i passi necessari per procedere all'abrogazione della LIA.</w:t>
      </w:r>
    </w:p>
    <w:p w:rsidR="002C3C87" w:rsidRPr="002C3C87" w:rsidRDefault="002C3C87" w:rsidP="002C3C87">
      <w:pPr>
        <w:rPr>
          <w:rFonts w:cs="Arial"/>
          <w:sz w:val="20"/>
          <w:szCs w:val="20"/>
        </w:rPr>
      </w:pPr>
    </w:p>
    <w:p w:rsidR="001E0A36" w:rsidRPr="002C3C87" w:rsidRDefault="001E0A36" w:rsidP="002C3C87">
      <w:pPr>
        <w:rPr>
          <w:rFonts w:cs="Arial"/>
          <w:szCs w:val="24"/>
        </w:rPr>
      </w:pPr>
      <w:r w:rsidRPr="002C3C87">
        <w:rPr>
          <w:rFonts w:cs="Arial"/>
          <w:szCs w:val="24"/>
        </w:rPr>
        <w:t xml:space="preserve">I </w:t>
      </w:r>
      <w:proofErr w:type="spellStart"/>
      <w:r w:rsidRPr="002C3C87">
        <w:rPr>
          <w:rFonts w:cs="Arial"/>
          <w:szCs w:val="24"/>
        </w:rPr>
        <w:t>mozionanti</w:t>
      </w:r>
      <w:proofErr w:type="spellEnd"/>
      <w:r w:rsidRPr="002C3C87">
        <w:rPr>
          <w:rFonts w:cs="Arial"/>
          <w:szCs w:val="24"/>
        </w:rPr>
        <w:t xml:space="preserve"> ritengono che </w:t>
      </w:r>
      <w:r w:rsidRPr="002C3C87">
        <w:rPr>
          <w:rFonts w:cs="Arial"/>
          <w:i/>
          <w:szCs w:val="24"/>
        </w:rPr>
        <w:t>«l'inevitabile rinuncia alla LIA non deve in alcun modo costituire il primo passo alla rinuncia della tutela dell'artigianato locale dalla concorrenza sleale dei padroncini».</w:t>
      </w:r>
    </w:p>
    <w:p w:rsidR="001E0A36" w:rsidRPr="002C3C87" w:rsidRDefault="001E0A36" w:rsidP="001E0A36">
      <w:pPr>
        <w:rPr>
          <w:rFonts w:cs="Arial"/>
          <w:sz w:val="20"/>
          <w:szCs w:val="20"/>
        </w:rPr>
      </w:pPr>
    </w:p>
    <w:p w:rsidR="001E0A36" w:rsidRPr="002C3C87" w:rsidRDefault="001E0A36" w:rsidP="001E0A36">
      <w:pPr>
        <w:rPr>
          <w:rFonts w:cs="Arial"/>
          <w:szCs w:val="24"/>
        </w:rPr>
      </w:pPr>
      <w:r w:rsidRPr="002C3C87">
        <w:rPr>
          <w:rFonts w:cs="Arial"/>
          <w:szCs w:val="24"/>
        </w:rPr>
        <w:t>Essi, concretamente, chiedono al Consiglio di Stato i seguenti interventi:</w:t>
      </w:r>
    </w:p>
    <w:p w:rsidR="001E0A36" w:rsidRPr="002C3C87" w:rsidRDefault="001E0A36" w:rsidP="001627ED">
      <w:pPr>
        <w:pStyle w:val="Paragrafoelenco1"/>
        <w:widowControl/>
        <w:numPr>
          <w:ilvl w:val="0"/>
          <w:numId w:val="20"/>
        </w:numPr>
        <w:autoSpaceDE/>
        <w:autoSpaceDN/>
        <w:adjustRightInd/>
        <w:spacing w:before="80"/>
        <w:ind w:left="284" w:hanging="284"/>
        <w:jc w:val="both"/>
        <w:rPr>
          <w:rFonts w:ascii="Arial" w:hAnsi="Arial" w:cs="Arial"/>
        </w:rPr>
      </w:pPr>
      <w:r w:rsidRPr="002C3C87">
        <w:rPr>
          <w:rFonts w:ascii="Arial" w:hAnsi="Arial" w:cs="Arial"/>
        </w:rPr>
        <w:t>misure sostitutive concrete e conformi al diritto federale per la salvaguardia dell'artigianato locale elaborate sulla base delle esperienze positive generate in questi anni dall'entrata in vigore della LIA;</w:t>
      </w:r>
    </w:p>
    <w:p w:rsidR="001E0A36" w:rsidRPr="002C3C87" w:rsidRDefault="001E0A36" w:rsidP="001627ED">
      <w:pPr>
        <w:pStyle w:val="Paragrafoelenco1"/>
        <w:widowControl/>
        <w:numPr>
          <w:ilvl w:val="0"/>
          <w:numId w:val="20"/>
        </w:numPr>
        <w:autoSpaceDE/>
        <w:autoSpaceDN/>
        <w:adjustRightInd/>
        <w:spacing w:before="80"/>
        <w:ind w:left="284" w:hanging="284"/>
        <w:jc w:val="both"/>
        <w:rPr>
          <w:rFonts w:ascii="Arial" w:hAnsi="Arial" w:cs="Arial"/>
        </w:rPr>
      </w:pPr>
      <w:r w:rsidRPr="002C3C87">
        <w:rPr>
          <w:rFonts w:ascii="Arial" w:hAnsi="Arial" w:cs="Arial"/>
        </w:rPr>
        <w:t>la restituzione agli artigiani residenti delle tasse incassate per l'iscrizione all'albo;</w:t>
      </w:r>
    </w:p>
    <w:p w:rsidR="001E0A36" w:rsidRPr="002C3C87" w:rsidRDefault="001E0A36" w:rsidP="001627ED">
      <w:pPr>
        <w:pStyle w:val="Paragrafoelenco1"/>
        <w:widowControl/>
        <w:numPr>
          <w:ilvl w:val="0"/>
          <w:numId w:val="20"/>
        </w:numPr>
        <w:autoSpaceDE/>
        <w:autoSpaceDN/>
        <w:adjustRightInd/>
        <w:spacing w:before="80"/>
        <w:ind w:left="284" w:hanging="284"/>
        <w:jc w:val="both"/>
        <w:rPr>
          <w:rFonts w:ascii="Arial" w:hAnsi="Arial" w:cs="Arial"/>
        </w:rPr>
      </w:pPr>
      <w:r w:rsidRPr="002C3C87">
        <w:rPr>
          <w:rFonts w:ascii="Arial" w:hAnsi="Arial" w:cs="Arial"/>
        </w:rPr>
        <w:t>la restituzione agli artigiani residenti delle multe legate alle procedure di iscrizione</w:t>
      </w:r>
    </w:p>
    <w:p w:rsidR="001E0A36" w:rsidRPr="002C3C87" w:rsidRDefault="001E0A36" w:rsidP="001E0A36">
      <w:pPr>
        <w:rPr>
          <w:rFonts w:cs="Arial"/>
          <w:sz w:val="20"/>
          <w:szCs w:val="20"/>
        </w:rPr>
      </w:pPr>
    </w:p>
    <w:p w:rsidR="001E0A36" w:rsidRPr="002C3C87" w:rsidRDefault="001E0A36" w:rsidP="001E0A36">
      <w:pPr>
        <w:rPr>
          <w:rFonts w:cs="Arial"/>
          <w:sz w:val="20"/>
          <w:szCs w:val="20"/>
        </w:rPr>
      </w:pPr>
    </w:p>
    <w:p w:rsidR="001E0A36" w:rsidRPr="002C3C87" w:rsidRDefault="001E0A36" w:rsidP="001E0A36">
      <w:pPr>
        <w:rPr>
          <w:rFonts w:cs="Arial"/>
          <w:sz w:val="20"/>
          <w:szCs w:val="20"/>
        </w:rPr>
      </w:pPr>
    </w:p>
    <w:p w:rsidR="001E0A36" w:rsidRPr="0046147B" w:rsidRDefault="001E0A36" w:rsidP="001E0A36">
      <w:pPr>
        <w:pStyle w:val="Titolo1"/>
      </w:pPr>
      <w:r w:rsidRPr="0046147B">
        <w:t>PARERE DEL CONSIGLIO DI STATO</w:t>
      </w:r>
    </w:p>
    <w:p w:rsidR="001E0A36" w:rsidRPr="002C3C87" w:rsidRDefault="001E0A36" w:rsidP="001E0A36">
      <w:pPr>
        <w:pStyle w:val="NormaleWeb"/>
        <w:spacing w:before="0" w:beforeAutospacing="0" w:after="0" w:afterAutospacing="0"/>
        <w:jc w:val="both"/>
        <w:rPr>
          <w:rFonts w:ascii="Arial" w:hAnsi="Arial" w:cs="Arial"/>
        </w:rPr>
      </w:pPr>
      <w:r w:rsidRPr="002C3C87">
        <w:rPr>
          <w:rFonts w:ascii="Arial" w:hAnsi="Arial" w:cs="Arial"/>
        </w:rPr>
        <w:t>L’8 maggio 2018 il Consiglio di Stato ha presentato il Messaggio n. 7535 mediante il quale propone al Gran Consiglio di abrogare la LIA.</w:t>
      </w:r>
    </w:p>
    <w:p w:rsidR="001E0A36" w:rsidRPr="002C3C87" w:rsidRDefault="001E0A36" w:rsidP="001E0A36">
      <w:pPr>
        <w:pStyle w:val="NormaleWeb"/>
        <w:spacing w:before="0" w:beforeAutospacing="0" w:after="0" w:afterAutospacing="0"/>
        <w:jc w:val="both"/>
        <w:rPr>
          <w:rFonts w:ascii="Arial" w:hAnsi="Arial" w:cs="Arial"/>
          <w:b/>
          <w:sz w:val="20"/>
          <w:szCs w:val="20"/>
        </w:rPr>
      </w:pPr>
    </w:p>
    <w:p w:rsidR="001E0A36" w:rsidRPr="002C3C87" w:rsidRDefault="001E0A36" w:rsidP="001E0A36">
      <w:pPr>
        <w:pStyle w:val="NormaleWeb"/>
        <w:spacing w:before="0" w:beforeAutospacing="0" w:after="0" w:afterAutospacing="0"/>
        <w:jc w:val="both"/>
        <w:rPr>
          <w:rFonts w:ascii="Arial" w:hAnsi="Arial" w:cs="Arial"/>
        </w:rPr>
      </w:pPr>
      <w:r w:rsidRPr="002C3C87">
        <w:rPr>
          <w:rFonts w:ascii="Arial" w:hAnsi="Arial" w:cs="Arial"/>
        </w:rPr>
        <w:t>In tale contesto il Consiglio di Stato ha pure preso posizione in merito alla mozione in oggetto.</w:t>
      </w:r>
    </w:p>
    <w:p w:rsidR="001E0A36" w:rsidRPr="002C3C87" w:rsidRDefault="001E0A36" w:rsidP="001E0A36">
      <w:pPr>
        <w:pStyle w:val="NormaleWeb"/>
        <w:spacing w:before="0" w:beforeAutospacing="0" w:after="0" w:afterAutospacing="0"/>
        <w:jc w:val="both"/>
        <w:rPr>
          <w:rFonts w:ascii="Arial" w:hAnsi="Arial" w:cs="Arial"/>
          <w:sz w:val="20"/>
          <w:szCs w:val="20"/>
        </w:rPr>
      </w:pPr>
    </w:p>
    <w:p w:rsidR="001E0A36" w:rsidRPr="002C3C87" w:rsidRDefault="001E0A36" w:rsidP="001E0A36">
      <w:pPr>
        <w:pStyle w:val="NormaleWeb"/>
        <w:spacing w:before="0" w:beforeAutospacing="0" w:after="0" w:afterAutospacing="0"/>
        <w:jc w:val="both"/>
        <w:rPr>
          <w:rFonts w:ascii="Arial" w:hAnsi="Arial" w:cs="Arial"/>
        </w:rPr>
      </w:pPr>
      <w:r w:rsidRPr="002C3C87">
        <w:rPr>
          <w:rFonts w:ascii="Arial" w:hAnsi="Arial" w:cs="Arial"/>
        </w:rPr>
        <w:t xml:space="preserve">Per quanto riguarda le </w:t>
      </w:r>
      <w:r w:rsidRPr="002C3C87">
        <w:rPr>
          <w:rFonts w:ascii="Arial" w:hAnsi="Arial" w:cs="Arial"/>
          <w:i/>
        </w:rPr>
        <w:t>«misure sostitutive concrete e conformi al diritto federale»</w:t>
      </w:r>
      <w:r w:rsidRPr="002C3C87">
        <w:rPr>
          <w:rFonts w:ascii="Arial" w:hAnsi="Arial" w:cs="Arial"/>
        </w:rPr>
        <w:t>, il Consiglio di Stato alcune misure sostitutive, che non saranno valutate in questo rapporto e sulle quale non occorre dunque qui dilungarsi.</w:t>
      </w:r>
    </w:p>
    <w:p w:rsidR="001E0A36" w:rsidRPr="002C3C87" w:rsidRDefault="001E0A36" w:rsidP="001E0A36">
      <w:pPr>
        <w:pStyle w:val="NormaleWeb"/>
        <w:spacing w:before="0" w:beforeAutospacing="0" w:after="0" w:afterAutospacing="0"/>
        <w:jc w:val="both"/>
        <w:rPr>
          <w:rFonts w:ascii="Arial" w:hAnsi="Arial" w:cs="Arial"/>
          <w:sz w:val="20"/>
          <w:szCs w:val="20"/>
        </w:rPr>
      </w:pPr>
    </w:p>
    <w:p w:rsidR="001E0A36" w:rsidRPr="002C3C87" w:rsidRDefault="001E0A36" w:rsidP="001E0A36">
      <w:pPr>
        <w:pStyle w:val="NormaleWeb"/>
        <w:spacing w:before="0" w:beforeAutospacing="0" w:after="0" w:afterAutospacing="0"/>
        <w:jc w:val="both"/>
        <w:rPr>
          <w:rFonts w:ascii="Arial" w:hAnsi="Arial" w:cs="Arial"/>
        </w:rPr>
      </w:pPr>
      <w:r w:rsidRPr="002C3C87">
        <w:rPr>
          <w:rFonts w:ascii="Arial" w:hAnsi="Arial" w:cs="Arial"/>
        </w:rPr>
        <w:t xml:space="preserve">Per quanto riguarda la restituzione ai residenti delle tasse e delle multe legate all’iscrizione all’albo il Consiglio di Stato ritiene “che dal profilo giuridico non è ravvisabile alcun obbligo in tal senso e che, anzi, un simile atto – in quanto circoscritto ai soli residenti – porrebbe non pochi problemi nell’ottica della parità di trattamento. </w:t>
      </w:r>
    </w:p>
    <w:p w:rsidR="001E0A36" w:rsidRPr="002C3C87" w:rsidRDefault="001E0A36" w:rsidP="001E0A36">
      <w:pPr>
        <w:rPr>
          <w:rFonts w:cs="Arial"/>
          <w:sz w:val="4"/>
          <w:szCs w:val="4"/>
        </w:rPr>
      </w:pPr>
    </w:p>
    <w:p w:rsidR="001E0A36" w:rsidRPr="002C3C87" w:rsidRDefault="001E0A36" w:rsidP="001E0A36">
      <w:pPr>
        <w:rPr>
          <w:rFonts w:cs="Arial"/>
          <w:szCs w:val="24"/>
        </w:rPr>
      </w:pPr>
      <w:r w:rsidRPr="002C3C87">
        <w:rPr>
          <w:rFonts w:cs="Arial"/>
          <w:szCs w:val="24"/>
        </w:rPr>
        <w:lastRenderedPageBreak/>
        <w:t xml:space="preserve">Il Consiglio di Stato rileva che </w:t>
      </w:r>
      <w:r w:rsidRPr="002C3C87">
        <w:rPr>
          <w:rFonts w:cs="Arial"/>
          <w:i/>
          <w:szCs w:val="24"/>
        </w:rPr>
        <w:t xml:space="preserve">«la LIA è un atto normativo in vigore e lo sarà fintanto che il Gran Consiglio non deciderà la sua abrogazione. Inoltre il Consiglio di Stato rileva che le decisioni della Commissione di vigilanze “fatta eccezione per i ricorsi </w:t>
      </w:r>
      <w:r w:rsidRPr="002C3C87">
        <w:rPr>
          <w:rFonts w:cs="Arial"/>
          <w:szCs w:val="24"/>
        </w:rPr>
        <w:t>[…]</w:t>
      </w:r>
      <w:r w:rsidRPr="002C3C87">
        <w:rPr>
          <w:rFonts w:cs="Arial"/>
          <w:i/>
          <w:szCs w:val="24"/>
        </w:rPr>
        <w:t>, sono state ampiamente accettate dagli interessati e sono pertanto regolarmente cresciute in giudicato</w:t>
      </w:r>
      <w:r w:rsidRPr="002C3C87">
        <w:rPr>
          <w:rFonts w:cs="Arial"/>
          <w:szCs w:val="24"/>
        </w:rPr>
        <w:t xml:space="preserve">»: inoltre le decisioni del TRAM </w:t>
      </w:r>
      <w:r w:rsidRPr="002C3C87">
        <w:rPr>
          <w:rFonts w:cs="Arial"/>
          <w:i/>
          <w:szCs w:val="24"/>
        </w:rPr>
        <w:t xml:space="preserve">«riguardano esclusivamente la violazione del principio del libero accesso al mercato </w:t>
      </w:r>
      <w:proofErr w:type="spellStart"/>
      <w:r w:rsidRPr="002C3C87">
        <w:rPr>
          <w:rFonts w:cs="Arial"/>
          <w:i/>
          <w:szCs w:val="24"/>
        </w:rPr>
        <w:t>intercantonale</w:t>
      </w:r>
      <w:proofErr w:type="spellEnd"/>
      <w:r w:rsidRPr="002C3C87">
        <w:rPr>
          <w:rFonts w:cs="Arial"/>
          <w:i/>
          <w:szCs w:val="24"/>
        </w:rPr>
        <w:t xml:space="preserve"> sancito dalla LMI e non sono come tali giustiziabili dagli operatori ticinesi»</w:t>
      </w:r>
      <w:r w:rsidRPr="002C3C87">
        <w:rPr>
          <w:rFonts w:cs="Arial"/>
          <w:szCs w:val="24"/>
        </w:rPr>
        <w:t>.</w:t>
      </w:r>
    </w:p>
    <w:p w:rsidR="002C3C87" w:rsidRPr="002C3C87" w:rsidRDefault="002C3C87" w:rsidP="001E0A36">
      <w:pPr>
        <w:rPr>
          <w:rFonts w:cs="Arial"/>
          <w:sz w:val="20"/>
          <w:szCs w:val="20"/>
        </w:rPr>
      </w:pPr>
    </w:p>
    <w:p w:rsidR="001E0A36" w:rsidRPr="002C3C87" w:rsidRDefault="001E0A36" w:rsidP="001E0A36">
      <w:pPr>
        <w:rPr>
          <w:rFonts w:cs="Arial"/>
          <w:szCs w:val="24"/>
        </w:rPr>
      </w:pPr>
      <w:r w:rsidRPr="002C3C87">
        <w:rPr>
          <w:rFonts w:cs="Arial"/>
          <w:szCs w:val="24"/>
        </w:rPr>
        <w:t xml:space="preserve">Secondo il Consiglio di Stato un risarcimento delle tasse e multe non può essere preteso perché si tratterebbe di decisioni cresciute in giudicato dove non sarebbero state emanate in grave violazione di un dovere primordiale della funzione (art. 5 cpv. 1 </w:t>
      </w:r>
      <w:proofErr w:type="spellStart"/>
      <w:r w:rsidRPr="002C3C87">
        <w:rPr>
          <w:rFonts w:cs="Arial"/>
          <w:szCs w:val="24"/>
        </w:rPr>
        <w:t>LResp</w:t>
      </w:r>
      <w:proofErr w:type="spellEnd"/>
      <w:r w:rsidRPr="002C3C87">
        <w:rPr>
          <w:rFonts w:cs="Arial"/>
          <w:szCs w:val="24"/>
        </w:rPr>
        <w:t>); un risarcimento potrebbe entrare in considerazione solo se l’autorità continuasse ad emanare delle decisioni in assoluto dispregio delle sentenze giudiziarie emanate finora.</w:t>
      </w:r>
    </w:p>
    <w:p w:rsidR="001E0A36" w:rsidRPr="002C3C87" w:rsidRDefault="001E0A36" w:rsidP="001E0A36">
      <w:pPr>
        <w:rPr>
          <w:rFonts w:cs="Arial"/>
          <w:sz w:val="20"/>
          <w:szCs w:val="20"/>
        </w:rPr>
      </w:pPr>
    </w:p>
    <w:p w:rsidR="001E0A36" w:rsidRPr="002C3C87" w:rsidRDefault="001E0A36" w:rsidP="001E0A36">
      <w:pPr>
        <w:pStyle w:val="NormaleWeb"/>
        <w:spacing w:before="0" w:beforeAutospacing="0" w:after="0" w:afterAutospacing="0"/>
        <w:jc w:val="both"/>
        <w:rPr>
          <w:rFonts w:ascii="Arial" w:hAnsi="Arial" w:cs="Arial"/>
        </w:rPr>
      </w:pPr>
      <w:r w:rsidRPr="002C3C87">
        <w:rPr>
          <w:rFonts w:ascii="Arial" w:hAnsi="Arial" w:cs="Arial"/>
        </w:rPr>
        <w:t>Il Consiglio di Stato, in definitiva, propone di respingere la mozione in oggetto.</w:t>
      </w:r>
    </w:p>
    <w:p w:rsidR="001E0A36" w:rsidRPr="002C3C87" w:rsidRDefault="001E0A36" w:rsidP="001E0A36">
      <w:pPr>
        <w:pStyle w:val="NormaleWeb"/>
        <w:spacing w:before="0" w:beforeAutospacing="0" w:after="0" w:afterAutospacing="0"/>
        <w:jc w:val="both"/>
        <w:rPr>
          <w:rFonts w:ascii="Arial" w:hAnsi="Arial" w:cs="Arial"/>
          <w:b/>
          <w:sz w:val="20"/>
          <w:szCs w:val="20"/>
        </w:rPr>
      </w:pPr>
    </w:p>
    <w:p w:rsidR="001E0A36" w:rsidRPr="002C3C87" w:rsidRDefault="001E0A36" w:rsidP="001E0A36">
      <w:pPr>
        <w:pStyle w:val="NormaleWeb"/>
        <w:spacing w:before="0" w:beforeAutospacing="0" w:after="0" w:afterAutospacing="0"/>
        <w:jc w:val="both"/>
        <w:rPr>
          <w:rFonts w:ascii="Arial" w:hAnsi="Arial" w:cs="Arial"/>
          <w:b/>
          <w:sz w:val="20"/>
          <w:szCs w:val="20"/>
        </w:rPr>
      </w:pPr>
    </w:p>
    <w:p w:rsidR="001E0A36" w:rsidRPr="002C3C87" w:rsidRDefault="001E0A36" w:rsidP="001E0A36">
      <w:pPr>
        <w:pStyle w:val="NormaleWeb"/>
        <w:spacing w:before="0" w:beforeAutospacing="0" w:after="0" w:afterAutospacing="0"/>
        <w:jc w:val="both"/>
        <w:rPr>
          <w:rFonts w:ascii="Arial" w:hAnsi="Arial" w:cs="Arial"/>
          <w:b/>
          <w:sz w:val="20"/>
          <w:szCs w:val="20"/>
        </w:rPr>
      </w:pPr>
    </w:p>
    <w:p w:rsidR="001E0A36" w:rsidRPr="0046147B" w:rsidRDefault="001E0A36" w:rsidP="001E0A36">
      <w:pPr>
        <w:pStyle w:val="Titolo1"/>
      </w:pPr>
      <w:r w:rsidRPr="0046147B">
        <w:t>LAVORI E CONSIDERAZIONI DELLA COMMISSION</w:t>
      </w:r>
      <w:r>
        <w:t>E</w:t>
      </w:r>
    </w:p>
    <w:p w:rsidR="001E0A36" w:rsidRPr="002C3C87" w:rsidRDefault="001E0A36" w:rsidP="001E0A36">
      <w:pPr>
        <w:pStyle w:val="NormaleWeb"/>
        <w:spacing w:before="0" w:beforeAutospacing="0" w:after="0" w:afterAutospacing="0"/>
        <w:jc w:val="both"/>
        <w:rPr>
          <w:rFonts w:ascii="Arial" w:hAnsi="Arial" w:cs="Arial"/>
        </w:rPr>
      </w:pPr>
      <w:r w:rsidRPr="002C3C87">
        <w:rPr>
          <w:rFonts w:ascii="Arial" w:hAnsi="Arial" w:cs="Arial"/>
        </w:rPr>
        <w:t xml:space="preserve">Per quanto riguarda le </w:t>
      </w:r>
      <w:r w:rsidRPr="002C3C87">
        <w:rPr>
          <w:rFonts w:ascii="Arial" w:hAnsi="Arial" w:cs="Arial"/>
          <w:i/>
        </w:rPr>
        <w:t xml:space="preserve">«misure sostitutive concrete e conformi al diritto federale» </w:t>
      </w:r>
      <w:r w:rsidRPr="002C3C87">
        <w:rPr>
          <w:rFonts w:ascii="Arial" w:hAnsi="Arial" w:cs="Arial"/>
        </w:rPr>
        <w:t>la mozione è evasa (nel senso dell’accoglimento) con i rapporti delle deputate Rückert e Filippini, nonché con il rapporto dei deputati Agustoni e Lepori relativi al precitato Messaggio.</w:t>
      </w:r>
    </w:p>
    <w:p w:rsidR="001E0A36" w:rsidRPr="002C3C87" w:rsidRDefault="001E0A36" w:rsidP="001E0A36">
      <w:pPr>
        <w:pStyle w:val="NormaleWeb"/>
        <w:spacing w:before="0" w:beforeAutospacing="0" w:after="0" w:afterAutospacing="0"/>
        <w:jc w:val="both"/>
        <w:rPr>
          <w:rFonts w:ascii="Arial" w:hAnsi="Arial" w:cs="Arial"/>
        </w:rPr>
      </w:pPr>
    </w:p>
    <w:p w:rsidR="001E0A36" w:rsidRPr="002C3C87" w:rsidRDefault="001E0A36" w:rsidP="001E0A36">
      <w:pPr>
        <w:pStyle w:val="NormaleWeb"/>
        <w:spacing w:before="0" w:beforeAutospacing="0" w:after="0" w:afterAutospacing="0"/>
        <w:jc w:val="both"/>
        <w:rPr>
          <w:rFonts w:ascii="Arial" w:hAnsi="Arial" w:cs="Arial"/>
        </w:rPr>
      </w:pPr>
      <w:r w:rsidRPr="002C3C87">
        <w:rPr>
          <w:rFonts w:ascii="Arial" w:hAnsi="Arial" w:cs="Arial"/>
        </w:rPr>
        <w:t>Per quanto riguarda la restituzione delle tasse e delle multe legate all’iscrizione all’albo il rapporto Rückert-Filippini propone di delegare tale aspetto al Consiglio di Stato, mentre il rapporto dei deputati Agustoni/Lepori non entra nel merito.</w:t>
      </w:r>
    </w:p>
    <w:p w:rsidR="001E0A36" w:rsidRPr="002C3C87" w:rsidRDefault="001E0A36" w:rsidP="001E0A36">
      <w:pPr>
        <w:pStyle w:val="NormaleWeb"/>
        <w:spacing w:before="0" w:beforeAutospacing="0" w:after="0" w:afterAutospacing="0"/>
        <w:jc w:val="both"/>
        <w:rPr>
          <w:rFonts w:ascii="Arial" w:hAnsi="Arial" w:cs="Arial"/>
        </w:rPr>
      </w:pPr>
    </w:p>
    <w:p w:rsidR="001E0A36" w:rsidRPr="002C3C87" w:rsidRDefault="001E0A36" w:rsidP="001E0A36">
      <w:pPr>
        <w:pStyle w:val="NormaleWeb"/>
        <w:spacing w:before="0" w:beforeAutospacing="0" w:after="0" w:afterAutospacing="0"/>
        <w:jc w:val="both"/>
        <w:rPr>
          <w:rFonts w:ascii="Arial" w:hAnsi="Arial" w:cs="Arial"/>
        </w:rPr>
      </w:pPr>
    </w:p>
    <w:p w:rsidR="001E0A36" w:rsidRPr="0046147B" w:rsidRDefault="001E0A36" w:rsidP="002C3C87">
      <w:pPr>
        <w:pStyle w:val="Titolo2"/>
      </w:pPr>
      <w:r>
        <w:t>3.1</w:t>
      </w:r>
      <w:r w:rsidRPr="0046147B">
        <w:tab/>
        <w:t>I dati relativi a tasse di iscrizione e multe</w:t>
      </w:r>
    </w:p>
    <w:p w:rsidR="001E0A36" w:rsidRPr="0046147B" w:rsidRDefault="001E0A36" w:rsidP="001E0A36">
      <w:pPr>
        <w:pStyle w:val="NormaleWeb"/>
        <w:spacing w:before="0" w:beforeAutospacing="0" w:after="0" w:afterAutospacing="0"/>
        <w:jc w:val="both"/>
        <w:rPr>
          <w:rFonts w:ascii="Arial" w:hAnsi="Arial" w:cs="Arial"/>
        </w:rPr>
      </w:pPr>
      <w:r w:rsidRPr="0046147B">
        <w:rPr>
          <w:rFonts w:ascii="Arial" w:hAnsi="Arial" w:cs="Arial"/>
        </w:rPr>
        <w:t>La scrivente Commissione ha chiesto al Consiglio di Stato di ricevere i dati relativi alle cifre incassate per tasse multe a far tempo dall’entrata in vigore della LIA.</w:t>
      </w:r>
    </w:p>
    <w:p w:rsidR="001E0A36" w:rsidRPr="0046147B" w:rsidRDefault="001E0A36" w:rsidP="001E0A36">
      <w:pPr>
        <w:pStyle w:val="NormaleWeb"/>
        <w:spacing w:before="0" w:beforeAutospacing="0" w:after="0" w:afterAutospacing="0"/>
        <w:jc w:val="both"/>
        <w:rPr>
          <w:rFonts w:ascii="Arial" w:hAnsi="Arial" w:cs="Arial"/>
        </w:rPr>
      </w:pPr>
    </w:p>
    <w:p w:rsidR="001E0A36" w:rsidRPr="0046147B" w:rsidRDefault="001E0A36" w:rsidP="001E0A36">
      <w:pPr>
        <w:ind w:firstLine="1"/>
        <w:rPr>
          <w:rFonts w:cs="Arial"/>
        </w:rPr>
      </w:pPr>
      <w:r w:rsidRPr="0046147B">
        <w:rPr>
          <w:rFonts w:cs="Arial"/>
        </w:rPr>
        <w:t>Si rammenta in proposito che sul totale delle domande di iscrizione ricevute dalla CV-LIA (6'730 riferite a 4'732 imprese tra il 1 febbraio 2016 e l’11 giugno 2018), 250 provenivano da fuori Cantone e 1'063 da Oltreconfine. Pertanto 3'419 (ovvero il 72%) domande sono riferite a ditte con sede in Ticino. A scanso di equivoci ciò non significa che il 72% degli importi in questione sia riconducibile a ditte con sede in Ticino.</w:t>
      </w:r>
    </w:p>
    <w:p w:rsidR="001E0A36" w:rsidRPr="0046147B" w:rsidRDefault="001E0A36" w:rsidP="001E0A36">
      <w:pPr>
        <w:ind w:firstLine="1"/>
        <w:rPr>
          <w:rFonts w:cs="Arial"/>
        </w:rPr>
      </w:pPr>
    </w:p>
    <w:p w:rsidR="001E0A36" w:rsidRPr="0046147B" w:rsidRDefault="001E0A36" w:rsidP="001E0A36">
      <w:pPr>
        <w:ind w:firstLine="1"/>
        <w:rPr>
          <w:rFonts w:cs="Arial"/>
          <w:b/>
          <w:sz w:val="22"/>
        </w:rPr>
      </w:pPr>
      <w:r w:rsidRPr="0046147B">
        <w:rPr>
          <w:rFonts w:cs="Arial"/>
          <w:b/>
          <w:sz w:val="22"/>
        </w:rPr>
        <w:t>Tabella 1: ricavi secondo tipologia di entrata</w:t>
      </w:r>
    </w:p>
    <w:p w:rsidR="001E0A36" w:rsidRPr="0046147B" w:rsidRDefault="001E0A36" w:rsidP="001E0A36">
      <w:pPr>
        <w:ind w:firstLine="1"/>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1701"/>
      </w:tblGrid>
      <w:tr w:rsidR="001E0A36" w:rsidRPr="0046147B" w:rsidTr="003C536E">
        <w:tc>
          <w:tcPr>
            <w:tcW w:w="2518" w:type="dxa"/>
          </w:tcPr>
          <w:p w:rsidR="001E0A36" w:rsidRPr="0046147B" w:rsidRDefault="001E0A36" w:rsidP="003C536E">
            <w:pPr>
              <w:rPr>
                <w:rFonts w:cs="Arial"/>
                <w:sz w:val="22"/>
              </w:rPr>
            </w:pPr>
            <w:r w:rsidRPr="0046147B">
              <w:rPr>
                <w:rFonts w:cs="Arial"/>
                <w:sz w:val="22"/>
              </w:rPr>
              <w:t>Anno</w:t>
            </w:r>
          </w:p>
        </w:tc>
        <w:tc>
          <w:tcPr>
            <w:tcW w:w="1843" w:type="dxa"/>
          </w:tcPr>
          <w:p w:rsidR="001E0A36" w:rsidRPr="0046147B" w:rsidRDefault="001E0A36" w:rsidP="003C536E">
            <w:pPr>
              <w:rPr>
                <w:rFonts w:cs="Arial"/>
                <w:sz w:val="22"/>
              </w:rPr>
            </w:pPr>
            <w:r w:rsidRPr="0046147B">
              <w:rPr>
                <w:rFonts w:cs="Arial"/>
                <w:sz w:val="22"/>
              </w:rPr>
              <w:t>2017</w:t>
            </w:r>
          </w:p>
        </w:tc>
        <w:tc>
          <w:tcPr>
            <w:tcW w:w="1701" w:type="dxa"/>
          </w:tcPr>
          <w:p w:rsidR="001E0A36" w:rsidRPr="0046147B" w:rsidRDefault="001E0A36" w:rsidP="003C536E">
            <w:pPr>
              <w:rPr>
                <w:rFonts w:cs="Arial"/>
                <w:sz w:val="22"/>
              </w:rPr>
            </w:pPr>
            <w:r w:rsidRPr="0046147B">
              <w:rPr>
                <w:rFonts w:cs="Arial"/>
                <w:sz w:val="22"/>
              </w:rPr>
              <w:t>2018(stato 29/08)</w:t>
            </w:r>
          </w:p>
        </w:tc>
      </w:tr>
      <w:tr w:rsidR="001E0A36" w:rsidRPr="0046147B" w:rsidTr="003C536E">
        <w:tc>
          <w:tcPr>
            <w:tcW w:w="2518" w:type="dxa"/>
          </w:tcPr>
          <w:p w:rsidR="001E0A36" w:rsidRPr="0046147B" w:rsidRDefault="001E0A36" w:rsidP="003C536E">
            <w:pPr>
              <w:rPr>
                <w:rFonts w:cs="Arial"/>
                <w:sz w:val="22"/>
              </w:rPr>
            </w:pPr>
            <w:r w:rsidRPr="0046147B">
              <w:rPr>
                <w:rFonts w:cs="Arial"/>
                <w:sz w:val="22"/>
              </w:rPr>
              <w:t>Quote</w:t>
            </w:r>
          </w:p>
        </w:tc>
        <w:tc>
          <w:tcPr>
            <w:tcW w:w="1843" w:type="dxa"/>
          </w:tcPr>
          <w:p w:rsidR="001E0A36" w:rsidRPr="0046147B" w:rsidRDefault="001E0A36" w:rsidP="003C536E">
            <w:pPr>
              <w:rPr>
                <w:rFonts w:cs="Arial"/>
                <w:sz w:val="22"/>
              </w:rPr>
            </w:pPr>
            <w:r w:rsidRPr="0046147B">
              <w:rPr>
                <w:rFonts w:cs="Arial"/>
                <w:sz w:val="22"/>
              </w:rPr>
              <w:t>1'402’500</w:t>
            </w:r>
          </w:p>
        </w:tc>
        <w:tc>
          <w:tcPr>
            <w:tcW w:w="1701" w:type="dxa"/>
          </w:tcPr>
          <w:p w:rsidR="001E0A36" w:rsidRPr="0046147B" w:rsidRDefault="001E0A36" w:rsidP="003C536E">
            <w:pPr>
              <w:rPr>
                <w:rFonts w:cs="Arial"/>
                <w:sz w:val="22"/>
              </w:rPr>
            </w:pPr>
            <w:r w:rsidRPr="0046147B">
              <w:rPr>
                <w:rFonts w:cs="Arial"/>
                <w:sz w:val="22"/>
              </w:rPr>
              <w:t>582’500</w:t>
            </w:r>
          </w:p>
        </w:tc>
      </w:tr>
      <w:tr w:rsidR="001E0A36" w:rsidRPr="0046147B" w:rsidTr="003C536E">
        <w:tc>
          <w:tcPr>
            <w:tcW w:w="2518" w:type="dxa"/>
          </w:tcPr>
          <w:p w:rsidR="001E0A36" w:rsidRPr="0046147B" w:rsidRDefault="001E0A36" w:rsidP="003C536E">
            <w:pPr>
              <w:rPr>
                <w:rFonts w:cs="Arial"/>
                <w:sz w:val="22"/>
              </w:rPr>
            </w:pPr>
            <w:r w:rsidRPr="0046147B">
              <w:rPr>
                <w:rFonts w:cs="Arial"/>
                <w:sz w:val="22"/>
              </w:rPr>
              <w:t>Audit</w:t>
            </w:r>
          </w:p>
        </w:tc>
        <w:tc>
          <w:tcPr>
            <w:tcW w:w="1843" w:type="dxa"/>
          </w:tcPr>
          <w:p w:rsidR="001E0A36" w:rsidRPr="0046147B" w:rsidRDefault="001E0A36" w:rsidP="003C536E">
            <w:pPr>
              <w:rPr>
                <w:rFonts w:cs="Arial"/>
                <w:sz w:val="22"/>
              </w:rPr>
            </w:pPr>
            <w:r w:rsidRPr="0046147B">
              <w:rPr>
                <w:rFonts w:cs="Arial"/>
                <w:sz w:val="22"/>
              </w:rPr>
              <w:t>168’600</w:t>
            </w:r>
          </w:p>
        </w:tc>
        <w:tc>
          <w:tcPr>
            <w:tcW w:w="1701" w:type="dxa"/>
          </w:tcPr>
          <w:p w:rsidR="001E0A36" w:rsidRPr="0046147B" w:rsidRDefault="001E0A36" w:rsidP="003C536E">
            <w:pPr>
              <w:rPr>
                <w:rFonts w:cs="Arial"/>
                <w:sz w:val="22"/>
              </w:rPr>
            </w:pPr>
            <w:r w:rsidRPr="0046147B">
              <w:rPr>
                <w:rFonts w:cs="Arial"/>
                <w:sz w:val="22"/>
              </w:rPr>
              <w:t>96’900</w:t>
            </w:r>
          </w:p>
        </w:tc>
      </w:tr>
      <w:tr w:rsidR="001E0A36" w:rsidRPr="0046147B" w:rsidTr="003C536E">
        <w:tc>
          <w:tcPr>
            <w:tcW w:w="2518" w:type="dxa"/>
          </w:tcPr>
          <w:p w:rsidR="001E0A36" w:rsidRPr="0046147B" w:rsidRDefault="001E0A36" w:rsidP="003C536E">
            <w:pPr>
              <w:rPr>
                <w:rFonts w:cs="Arial"/>
                <w:sz w:val="22"/>
              </w:rPr>
            </w:pPr>
            <w:r w:rsidRPr="0046147B">
              <w:rPr>
                <w:rFonts w:cs="Arial"/>
                <w:sz w:val="22"/>
              </w:rPr>
              <w:t>Multe</w:t>
            </w:r>
          </w:p>
        </w:tc>
        <w:tc>
          <w:tcPr>
            <w:tcW w:w="1843" w:type="dxa"/>
          </w:tcPr>
          <w:p w:rsidR="001E0A36" w:rsidRPr="0046147B" w:rsidRDefault="001E0A36" w:rsidP="003C536E">
            <w:pPr>
              <w:rPr>
                <w:rFonts w:cs="Arial"/>
                <w:sz w:val="22"/>
              </w:rPr>
            </w:pPr>
            <w:r w:rsidRPr="0046147B">
              <w:rPr>
                <w:rFonts w:cs="Arial"/>
                <w:sz w:val="22"/>
              </w:rPr>
              <w:t>259’500</w:t>
            </w:r>
          </w:p>
        </w:tc>
        <w:tc>
          <w:tcPr>
            <w:tcW w:w="1701" w:type="dxa"/>
          </w:tcPr>
          <w:p w:rsidR="001E0A36" w:rsidRPr="0046147B" w:rsidRDefault="001E0A36" w:rsidP="003C536E">
            <w:pPr>
              <w:rPr>
                <w:rFonts w:cs="Arial"/>
                <w:sz w:val="22"/>
              </w:rPr>
            </w:pPr>
            <w:r w:rsidRPr="0046147B">
              <w:rPr>
                <w:rFonts w:cs="Arial"/>
                <w:sz w:val="22"/>
              </w:rPr>
              <w:t>135’600</w:t>
            </w:r>
          </w:p>
        </w:tc>
      </w:tr>
      <w:tr w:rsidR="001E0A36" w:rsidRPr="0046147B" w:rsidTr="003C536E">
        <w:tc>
          <w:tcPr>
            <w:tcW w:w="2518" w:type="dxa"/>
          </w:tcPr>
          <w:p w:rsidR="001E0A36" w:rsidRPr="0046147B" w:rsidRDefault="001E0A36" w:rsidP="003C536E">
            <w:pPr>
              <w:rPr>
                <w:rFonts w:cs="Arial"/>
                <w:sz w:val="22"/>
              </w:rPr>
            </w:pPr>
            <w:r w:rsidRPr="0046147B">
              <w:rPr>
                <w:rFonts w:cs="Arial"/>
                <w:sz w:val="22"/>
              </w:rPr>
              <w:t xml:space="preserve">Spese </w:t>
            </w:r>
            <w:proofErr w:type="spellStart"/>
            <w:r w:rsidRPr="0046147B">
              <w:rPr>
                <w:rFonts w:cs="Arial"/>
                <w:sz w:val="22"/>
              </w:rPr>
              <w:t>amm</w:t>
            </w:r>
            <w:proofErr w:type="spellEnd"/>
            <w:r w:rsidRPr="0046147B">
              <w:rPr>
                <w:rFonts w:cs="Arial"/>
                <w:sz w:val="22"/>
              </w:rPr>
              <w:t>. Multe</w:t>
            </w:r>
          </w:p>
        </w:tc>
        <w:tc>
          <w:tcPr>
            <w:tcW w:w="1843" w:type="dxa"/>
          </w:tcPr>
          <w:p w:rsidR="001E0A36" w:rsidRPr="0046147B" w:rsidRDefault="001E0A36" w:rsidP="003C536E">
            <w:pPr>
              <w:rPr>
                <w:rFonts w:cs="Arial"/>
                <w:sz w:val="22"/>
              </w:rPr>
            </w:pPr>
            <w:r w:rsidRPr="0046147B">
              <w:rPr>
                <w:rFonts w:cs="Arial"/>
                <w:sz w:val="22"/>
              </w:rPr>
              <w:t>22’897</w:t>
            </w:r>
          </w:p>
        </w:tc>
        <w:tc>
          <w:tcPr>
            <w:tcW w:w="1701" w:type="dxa"/>
          </w:tcPr>
          <w:p w:rsidR="001E0A36" w:rsidRPr="0046147B" w:rsidRDefault="001E0A36" w:rsidP="003C536E">
            <w:pPr>
              <w:rPr>
                <w:rFonts w:cs="Arial"/>
                <w:sz w:val="22"/>
              </w:rPr>
            </w:pPr>
            <w:r w:rsidRPr="0046147B">
              <w:rPr>
                <w:rFonts w:cs="Arial"/>
                <w:sz w:val="22"/>
              </w:rPr>
              <w:t>5’460</w:t>
            </w:r>
          </w:p>
        </w:tc>
      </w:tr>
      <w:tr w:rsidR="001E0A36" w:rsidRPr="0046147B" w:rsidTr="003C536E">
        <w:tc>
          <w:tcPr>
            <w:tcW w:w="2518" w:type="dxa"/>
          </w:tcPr>
          <w:p w:rsidR="001E0A36" w:rsidRPr="0046147B" w:rsidRDefault="001E0A36" w:rsidP="003C536E">
            <w:pPr>
              <w:rPr>
                <w:rFonts w:cs="Arial"/>
                <w:sz w:val="22"/>
              </w:rPr>
            </w:pPr>
            <w:r w:rsidRPr="0046147B">
              <w:rPr>
                <w:rFonts w:cs="Arial"/>
                <w:sz w:val="22"/>
              </w:rPr>
              <w:t>Domande respinte</w:t>
            </w:r>
          </w:p>
        </w:tc>
        <w:tc>
          <w:tcPr>
            <w:tcW w:w="1843" w:type="dxa"/>
          </w:tcPr>
          <w:p w:rsidR="001E0A36" w:rsidRPr="0046147B" w:rsidRDefault="001E0A36" w:rsidP="003C536E">
            <w:pPr>
              <w:rPr>
                <w:rFonts w:cs="Arial"/>
                <w:sz w:val="22"/>
              </w:rPr>
            </w:pPr>
            <w:r w:rsidRPr="0046147B">
              <w:rPr>
                <w:rFonts w:cs="Arial"/>
                <w:sz w:val="22"/>
              </w:rPr>
              <w:t>68’400</w:t>
            </w:r>
          </w:p>
        </w:tc>
        <w:tc>
          <w:tcPr>
            <w:tcW w:w="1701" w:type="dxa"/>
          </w:tcPr>
          <w:p w:rsidR="001E0A36" w:rsidRPr="0046147B" w:rsidRDefault="001E0A36" w:rsidP="003C536E">
            <w:pPr>
              <w:rPr>
                <w:rFonts w:cs="Arial"/>
                <w:sz w:val="22"/>
              </w:rPr>
            </w:pPr>
            <w:r w:rsidRPr="0046147B">
              <w:rPr>
                <w:rFonts w:cs="Arial"/>
                <w:sz w:val="22"/>
              </w:rPr>
              <w:t>21’600</w:t>
            </w:r>
          </w:p>
        </w:tc>
      </w:tr>
      <w:tr w:rsidR="001E0A36" w:rsidRPr="0046147B" w:rsidTr="003C536E">
        <w:tc>
          <w:tcPr>
            <w:tcW w:w="2518" w:type="dxa"/>
          </w:tcPr>
          <w:p w:rsidR="001E0A36" w:rsidRPr="0046147B" w:rsidRDefault="001E0A36" w:rsidP="003C536E">
            <w:pPr>
              <w:rPr>
                <w:rFonts w:cs="Arial"/>
                <w:sz w:val="22"/>
              </w:rPr>
            </w:pPr>
            <w:proofErr w:type="spellStart"/>
            <w:r w:rsidRPr="0046147B">
              <w:rPr>
                <w:rFonts w:cs="Arial"/>
                <w:sz w:val="22"/>
              </w:rPr>
              <w:t>Diff</w:t>
            </w:r>
            <w:proofErr w:type="spellEnd"/>
            <w:r w:rsidRPr="0046147B">
              <w:rPr>
                <w:rFonts w:cs="Arial"/>
                <w:sz w:val="22"/>
              </w:rPr>
              <w:t>. Cambio</w:t>
            </w:r>
          </w:p>
        </w:tc>
        <w:tc>
          <w:tcPr>
            <w:tcW w:w="1843" w:type="dxa"/>
          </w:tcPr>
          <w:p w:rsidR="001E0A36" w:rsidRPr="0046147B" w:rsidRDefault="001E0A36" w:rsidP="003C536E">
            <w:pPr>
              <w:rPr>
                <w:rFonts w:cs="Arial"/>
                <w:sz w:val="22"/>
              </w:rPr>
            </w:pPr>
          </w:p>
        </w:tc>
        <w:tc>
          <w:tcPr>
            <w:tcW w:w="1701" w:type="dxa"/>
          </w:tcPr>
          <w:p w:rsidR="001E0A36" w:rsidRPr="0046147B" w:rsidRDefault="001E0A36" w:rsidP="003C536E">
            <w:pPr>
              <w:rPr>
                <w:rFonts w:cs="Arial"/>
                <w:sz w:val="22"/>
              </w:rPr>
            </w:pPr>
            <w:r w:rsidRPr="0046147B">
              <w:rPr>
                <w:rFonts w:cs="Arial"/>
                <w:sz w:val="22"/>
              </w:rPr>
              <w:t>407</w:t>
            </w:r>
          </w:p>
        </w:tc>
      </w:tr>
      <w:tr w:rsidR="001E0A36" w:rsidRPr="0046147B" w:rsidTr="003C536E">
        <w:tc>
          <w:tcPr>
            <w:tcW w:w="2518" w:type="dxa"/>
          </w:tcPr>
          <w:p w:rsidR="001E0A36" w:rsidRPr="0046147B" w:rsidRDefault="001E0A36" w:rsidP="003C536E">
            <w:pPr>
              <w:rPr>
                <w:rFonts w:cs="Arial"/>
                <w:sz w:val="22"/>
              </w:rPr>
            </w:pPr>
            <w:r w:rsidRPr="0046147B">
              <w:rPr>
                <w:rFonts w:cs="Arial"/>
                <w:sz w:val="22"/>
              </w:rPr>
              <w:t>Totale</w:t>
            </w:r>
          </w:p>
        </w:tc>
        <w:tc>
          <w:tcPr>
            <w:tcW w:w="1843" w:type="dxa"/>
          </w:tcPr>
          <w:p w:rsidR="001E0A36" w:rsidRPr="0046147B" w:rsidRDefault="001E0A36" w:rsidP="003C536E">
            <w:pPr>
              <w:rPr>
                <w:rFonts w:cs="Arial"/>
                <w:sz w:val="22"/>
              </w:rPr>
            </w:pPr>
            <w:r w:rsidRPr="0046147B">
              <w:rPr>
                <w:rFonts w:cs="Arial"/>
                <w:sz w:val="22"/>
              </w:rPr>
              <w:t>1'921’897</w:t>
            </w:r>
          </w:p>
        </w:tc>
        <w:tc>
          <w:tcPr>
            <w:tcW w:w="1701" w:type="dxa"/>
          </w:tcPr>
          <w:p w:rsidR="001E0A36" w:rsidRPr="0046147B" w:rsidRDefault="001E0A36" w:rsidP="003C536E">
            <w:pPr>
              <w:rPr>
                <w:rFonts w:cs="Arial"/>
                <w:sz w:val="22"/>
              </w:rPr>
            </w:pPr>
            <w:r w:rsidRPr="0046147B">
              <w:rPr>
                <w:rFonts w:cs="Arial"/>
                <w:sz w:val="22"/>
              </w:rPr>
              <w:t>842’467</w:t>
            </w:r>
          </w:p>
        </w:tc>
      </w:tr>
    </w:tbl>
    <w:p w:rsidR="001E0A36" w:rsidRPr="0046147B" w:rsidRDefault="001E0A36" w:rsidP="001E0A36">
      <w:pPr>
        <w:ind w:firstLine="1"/>
        <w:rPr>
          <w:rFonts w:cs="Arial"/>
          <w:sz w:val="22"/>
        </w:rPr>
      </w:pPr>
    </w:p>
    <w:p w:rsidR="001E0A36" w:rsidRPr="0046147B" w:rsidRDefault="001E0A36" w:rsidP="001E0A36">
      <w:pPr>
        <w:ind w:firstLine="1"/>
        <w:rPr>
          <w:rFonts w:cs="Arial"/>
          <w:b/>
          <w:sz w:val="22"/>
          <w:u w:val="single"/>
        </w:rPr>
      </w:pPr>
      <w:r w:rsidRPr="0046147B">
        <w:rPr>
          <w:rFonts w:cs="Arial"/>
          <w:b/>
          <w:sz w:val="22"/>
          <w:u w:val="single"/>
        </w:rPr>
        <w:t>TOTALE 2017/2018: CHF 2'764’364</w:t>
      </w:r>
    </w:p>
    <w:p w:rsidR="001E0A36" w:rsidRPr="0046147B" w:rsidRDefault="001E0A36" w:rsidP="001E0A36">
      <w:pPr>
        <w:rPr>
          <w:rFonts w:cs="Arial"/>
          <w:sz w:val="22"/>
        </w:rPr>
      </w:pPr>
    </w:p>
    <w:p w:rsidR="001E0A36" w:rsidRPr="0046147B" w:rsidRDefault="001E0A36" w:rsidP="001E0A36">
      <w:pPr>
        <w:rPr>
          <w:rFonts w:cs="Arial"/>
          <w:b/>
          <w:sz w:val="22"/>
        </w:rPr>
      </w:pPr>
      <w:r w:rsidRPr="0046147B">
        <w:rPr>
          <w:rFonts w:cs="Arial"/>
          <w:b/>
          <w:sz w:val="22"/>
        </w:rPr>
        <w:lastRenderedPageBreak/>
        <w:t>Tabelle 2-4: dettagli fatture scoperte al 29/08/2018</w:t>
      </w:r>
    </w:p>
    <w:p w:rsidR="001E0A36" w:rsidRPr="0046147B" w:rsidRDefault="001E0A36" w:rsidP="001E0A36">
      <w:pPr>
        <w:rPr>
          <w:rFonts w:cs="Arial"/>
          <w:sz w:val="22"/>
        </w:rPr>
      </w:pPr>
    </w:p>
    <w:p w:rsidR="001E0A36" w:rsidRPr="0046147B" w:rsidRDefault="001E0A36" w:rsidP="001E0A36">
      <w:pPr>
        <w:rPr>
          <w:rFonts w:cs="Arial"/>
          <w:b/>
          <w:sz w:val="22"/>
        </w:rPr>
      </w:pPr>
      <w:r w:rsidRPr="0046147B">
        <w:rPr>
          <w:rFonts w:cs="Arial"/>
          <w:b/>
          <w:sz w:val="22"/>
        </w:rPr>
        <w:t>Tabella 2: Debitori aperti</w:t>
      </w:r>
    </w:p>
    <w:p w:rsidR="001E0A36" w:rsidRPr="0046147B" w:rsidRDefault="001E0A36" w:rsidP="001E0A36">
      <w:pPr>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8"/>
        <w:gridCol w:w="1628"/>
        <w:gridCol w:w="1629"/>
        <w:gridCol w:w="1629"/>
        <w:gridCol w:w="1629"/>
        <w:gridCol w:w="1629"/>
      </w:tblGrid>
      <w:tr w:rsidR="001E0A36" w:rsidRPr="0046147B" w:rsidTr="003C536E">
        <w:tc>
          <w:tcPr>
            <w:tcW w:w="1628" w:type="dxa"/>
          </w:tcPr>
          <w:p w:rsidR="001E0A36" w:rsidRPr="0046147B" w:rsidRDefault="001E0A36" w:rsidP="003C536E">
            <w:pPr>
              <w:rPr>
                <w:rFonts w:cs="Arial"/>
                <w:sz w:val="22"/>
              </w:rPr>
            </w:pPr>
            <w:r w:rsidRPr="0046147B">
              <w:rPr>
                <w:rFonts w:cs="Arial"/>
                <w:sz w:val="22"/>
              </w:rPr>
              <w:t xml:space="preserve">Anno </w:t>
            </w:r>
            <w:proofErr w:type="spellStart"/>
            <w:r w:rsidRPr="0046147B">
              <w:rPr>
                <w:rFonts w:cs="Arial"/>
                <w:sz w:val="22"/>
              </w:rPr>
              <w:t>rif.</w:t>
            </w:r>
            <w:proofErr w:type="spellEnd"/>
          </w:p>
        </w:tc>
        <w:tc>
          <w:tcPr>
            <w:tcW w:w="1628" w:type="dxa"/>
          </w:tcPr>
          <w:p w:rsidR="001E0A36" w:rsidRPr="0046147B" w:rsidRDefault="001E0A36" w:rsidP="003C536E">
            <w:pPr>
              <w:rPr>
                <w:rFonts w:cs="Arial"/>
                <w:sz w:val="22"/>
              </w:rPr>
            </w:pPr>
            <w:r w:rsidRPr="0046147B">
              <w:rPr>
                <w:rFonts w:cs="Arial"/>
                <w:sz w:val="22"/>
              </w:rPr>
              <w:t>Tasse</w:t>
            </w:r>
          </w:p>
        </w:tc>
        <w:tc>
          <w:tcPr>
            <w:tcW w:w="1629" w:type="dxa"/>
          </w:tcPr>
          <w:p w:rsidR="001E0A36" w:rsidRPr="0046147B" w:rsidRDefault="001E0A36" w:rsidP="003C536E">
            <w:pPr>
              <w:rPr>
                <w:rFonts w:cs="Arial"/>
                <w:sz w:val="22"/>
              </w:rPr>
            </w:pPr>
            <w:r w:rsidRPr="0046147B">
              <w:rPr>
                <w:rFonts w:cs="Arial"/>
                <w:sz w:val="22"/>
              </w:rPr>
              <w:t>Multe</w:t>
            </w:r>
          </w:p>
        </w:tc>
        <w:tc>
          <w:tcPr>
            <w:tcW w:w="1629" w:type="dxa"/>
          </w:tcPr>
          <w:p w:rsidR="001E0A36" w:rsidRPr="0046147B" w:rsidRDefault="001E0A36" w:rsidP="003C536E">
            <w:pPr>
              <w:rPr>
                <w:rFonts w:cs="Arial"/>
                <w:sz w:val="22"/>
              </w:rPr>
            </w:pPr>
            <w:r w:rsidRPr="0046147B">
              <w:rPr>
                <w:rFonts w:cs="Arial"/>
                <w:sz w:val="22"/>
              </w:rPr>
              <w:t>NC aperte</w:t>
            </w:r>
          </w:p>
        </w:tc>
        <w:tc>
          <w:tcPr>
            <w:tcW w:w="1629" w:type="dxa"/>
          </w:tcPr>
          <w:p w:rsidR="001E0A36" w:rsidRPr="0046147B" w:rsidRDefault="001E0A36" w:rsidP="003C536E">
            <w:pPr>
              <w:rPr>
                <w:rFonts w:cs="Arial"/>
                <w:sz w:val="22"/>
              </w:rPr>
            </w:pPr>
            <w:r w:rsidRPr="0046147B">
              <w:rPr>
                <w:rFonts w:cs="Arial"/>
                <w:sz w:val="22"/>
              </w:rPr>
              <w:t>Pag. doppi</w:t>
            </w:r>
          </w:p>
        </w:tc>
        <w:tc>
          <w:tcPr>
            <w:tcW w:w="1629" w:type="dxa"/>
          </w:tcPr>
          <w:p w:rsidR="001E0A36" w:rsidRPr="0046147B" w:rsidRDefault="001E0A36" w:rsidP="003C536E">
            <w:pPr>
              <w:rPr>
                <w:rFonts w:cs="Arial"/>
                <w:sz w:val="22"/>
              </w:rPr>
            </w:pPr>
            <w:r w:rsidRPr="0046147B">
              <w:rPr>
                <w:rFonts w:cs="Arial"/>
                <w:sz w:val="22"/>
              </w:rPr>
              <w:t>Totale</w:t>
            </w:r>
          </w:p>
        </w:tc>
      </w:tr>
      <w:tr w:rsidR="001E0A36" w:rsidRPr="0046147B" w:rsidTr="003C536E">
        <w:tc>
          <w:tcPr>
            <w:tcW w:w="1628" w:type="dxa"/>
          </w:tcPr>
          <w:p w:rsidR="001E0A36" w:rsidRPr="0046147B" w:rsidRDefault="001E0A36" w:rsidP="003C536E">
            <w:pPr>
              <w:rPr>
                <w:rFonts w:cs="Arial"/>
                <w:sz w:val="22"/>
              </w:rPr>
            </w:pPr>
            <w:r w:rsidRPr="0046147B">
              <w:rPr>
                <w:rFonts w:cs="Arial"/>
                <w:sz w:val="22"/>
              </w:rPr>
              <w:t>2016-2017</w:t>
            </w:r>
          </w:p>
        </w:tc>
        <w:tc>
          <w:tcPr>
            <w:tcW w:w="1628" w:type="dxa"/>
          </w:tcPr>
          <w:p w:rsidR="001E0A36" w:rsidRPr="0046147B" w:rsidRDefault="001E0A36" w:rsidP="003C536E">
            <w:pPr>
              <w:rPr>
                <w:rFonts w:cs="Arial"/>
                <w:sz w:val="22"/>
              </w:rPr>
            </w:pPr>
            <w:r w:rsidRPr="0046147B">
              <w:rPr>
                <w:rFonts w:cs="Arial"/>
                <w:sz w:val="22"/>
              </w:rPr>
              <w:t>54’740</w:t>
            </w:r>
          </w:p>
        </w:tc>
        <w:tc>
          <w:tcPr>
            <w:tcW w:w="1629" w:type="dxa"/>
          </w:tcPr>
          <w:p w:rsidR="001E0A36" w:rsidRPr="0046147B" w:rsidRDefault="001E0A36" w:rsidP="003C536E">
            <w:pPr>
              <w:rPr>
                <w:rFonts w:cs="Arial"/>
                <w:sz w:val="22"/>
              </w:rPr>
            </w:pPr>
            <w:r w:rsidRPr="0046147B">
              <w:rPr>
                <w:rFonts w:cs="Arial"/>
                <w:sz w:val="22"/>
              </w:rPr>
              <w:t>153’440</w:t>
            </w:r>
          </w:p>
        </w:tc>
        <w:tc>
          <w:tcPr>
            <w:tcW w:w="1629" w:type="dxa"/>
          </w:tcPr>
          <w:p w:rsidR="001E0A36" w:rsidRPr="0046147B" w:rsidRDefault="001E0A36" w:rsidP="003C536E">
            <w:pPr>
              <w:rPr>
                <w:rFonts w:cs="Arial"/>
                <w:sz w:val="22"/>
              </w:rPr>
            </w:pPr>
            <w:r w:rsidRPr="0046147B">
              <w:rPr>
                <w:rFonts w:cs="Arial"/>
                <w:sz w:val="22"/>
              </w:rPr>
              <w:t>-23’347</w:t>
            </w:r>
          </w:p>
        </w:tc>
        <w:tc>
          <w:tcPr>
            <w:tcW w:w="1629" w:type="dxa"/>
          </w:tcPr>
          <w:p w:rsidR="001E0A36" w:rsidRPr="0046147B" w:rsidRDefault="001E0A36" w:rsidP="003C536E">
            <w:pPr>
              <w:rPr>
                <w:rFonts w:cs="Arial"/>
                <w:sz w:val="22"/>
              </w:rPr>
            </w:pPr>
          </w:p>
        </w:tc>
        <w:tc>
          <w:tcPr>
            <w:tcW w:w="1629" w:type="dxa"/>
          </w:tcPr>
          <w:p w:rsidR="001E0A36" w:rsidRPr="0046147B" w:rsidRDefault="001E0A36" w:rsidP="003C536E">
            <w:pPr>
              <w:rPr>
                <w:rFonts w:cs="Arial"/>
                <w:sz w:val="22"/>
              </w:rPr>
            </w:pPr>
            <w:r w:rsidRPr="0046147B">
              <w:rPr>
                <w:rFonts w:cs="Arial"/>
                <w:sz w:val="22"/>
              </w:rPr>
              <w:t>184’833</w:t>
            </w:r>
          </w:p>
        </w:tc>
      </w:tr>
      <w:tr w:rsidR="001E0A36" w:rsidRPr="0046147B" w:rsidTr="003C536E">
        <w:tc>
          <w:tcPr>
            <w:tcW w:w="1628" w:type="dxa"/>
          </w:tcPr>
          <w:p w:rsidR="001E0A36" w:rsidRPr="0046147B" w:rsidRDefault="001E0A36" w:rsidP="003C536E">
            <w:pPr>
              <w:rPr>
                <w:rFonts w:cs="Arial"/>
                <w:sz w:val="22"/>
              </w:rPr>
            </w:pPr>
            <w:r w:rsidRPr="0046147B">
              <w:rPr>
                <w:rFonts w:cs="Arial"/>
                <w:sz w:val="22"/>
              </w:rPr>
              <w:t>2018</w:t>
            </w:r>
          </w:p>
        </w:tc>
        <w:tc>
          <w:tcPr>
            <w:tcW w:w="1628" w:type="dxa"/>
          </w:tcPr>
          <w:p w:rsidR="001E0A36" w:rsidRPr="0046147B" w:rsidRDefault="001E0A36" w:rsidP="003C536E">
            <w:pPr>
              <w:rPr>
                <w:rFonts w:cs="Arial"/>
                <w:sz w:val="22"/>
              </w:rPr>
            </w:pPr>
            <w:r w:rsidRPr="0046147B">
              <w:rPr>
                <w:rFonts w:cs="Arial"/>
                <w:sz w:val="22"/>
              </w:rPr>
              <w:t>380’900</w:t>
            </w:r>
          </w:p>
        </w:tc>
        <w:tc>
          <w:tcPr>
            <w:tcW w:w="1629" w:type="dxa"/>
          </w:tcPr>
          <w:p w:rsidR="001E0A36" w:rsidRPr="0046147B" w:rsidRDefault="001E0A36" w:rsidP="003C536E">
            <w:pPr>
              <w:rPr>
                <w:rFonts w:cs="Arial"/>
                <w:sz w:val="22"/>
              </w:rPr>
            </w:pPr>
            <w:r w:rsidRPr="0046147B">
              <w:rPr>
                <w:rFonts w:cs="Arial"/>
                <w:sz w:val="22"/>
              </w:rPr>
              <w:t>132’270</w:t>
            </w:r>
          </w:p>
        </w:tc>
        <w:tc>
          <w:tcPr>
            <w:tcW w:w="1629" w:type="dxa"/>
          </w:tcPr>
          <w:p w:rsidR="001E0A36" w:rsidRPr="0046147B" w:rsidRDefault="001E0A36" w:rsidP="003C536E">
            <w:pPr>
              <w:rPr>
                <w:rFonts w:cs="Arial"/>
                <w:sz w:val="22"/>
              </w:rPr>
            </w:pPr>
            <w:r w:rsidRPr="0046147B">
              <w:rPr>
                <w:rFonts w:cs="Arial"/>
                <w:sz w:val="22"/>
              </w:rPr>
              <w:t>-2’717</w:t>
            </w:r>
          </w:p>
        </w:tc>
        <w:tc>
          <w:tcPr>
            <w:tcW w:w="1629" w:type="dxa"/>
          </w:tcPr>
          <w:p w:rsidR="001E0A36" w:rsidRPr="0046147B" w:rsidRDefault="001E0A36" w:rsidP="003C536E">
            <w:pPr>
              <w:rPr>
                <w:rFonts w:cs="Arial"/>
                <w:sz w:val="22"/>
              </w:rPr>
            </w:pPr>
          </w:p>
        </w:tc>
        <w:tc>
          <w:tcPr>
            <w:tcW w:w="1629" w:type="dxa"/>
          </w:tcPr>
          <w:p w:rsidR="001E0A36" w:rsidRPr="0046147B" w:rsidRDefault="001E0A36" w:rsidP="003C536E">
            <w:pPr>
              <w:rPr>
                <w:rFonts w:cs="Arial"/>
                <w:sz w:val="22"/>
              </w:rPr>
            </w:pPr>
            <w:r w:rsidRPr="0046147B">
              <w:rPr>
                <w:rFonts w:cs="Arial"/>
                <w:sz w:val="22"/>
              </w:rPr>
              <w:t>510’453</w:t>
            </w:r>
          </w:p>
        </w:tc>
      </w:tr>
      <w:tr w:rsidR="001E0A36" w:rsidRPr="0046147B" w:rsidTr="003C536E">
        <w:tc>
          <w:tcPr>
            <w:tcW w:w="1628" w:type="dxa"/>
          </w:tcPr>
          <w:p w:rsidR="001E0A36" w:rsidRPr="0046147B" w:rsidRDefault="001E0A36" w:rsidP="003C536E">
            <w:pPr>
              <w:rPr>
                <w:rFonts w:cs="Arial"/>
                <w:b/>
                <w:sz w:val="22"/>
              </w:rPr>
            </w:pPr>
            <w:r w:rsidRPr="0046147B">
              <w:rPr>
                <w:rFonts w:cs="Arial"/>
                <w:b/>
                <w:sz w:val="22"/>
              </w:rPr>
              <w:t>Totale</w:t>
            </w:r>
          </w:p>
        </w:tc>
        <w:tc>
          <w:tcPr>
            <w:tcW w:w="1628" w:type="dxa"/>
          </w:tcPr>
          <w:p w:rsidR="001E0A36" w:rsidRPr="0046147B" w:rsidRDefault="001E0A36" w:rsidP="003C536E">
            <w:pPr>
              <w:rPr>
                <w:rFonts w:cs="Arial"/>
                <w:b/>
                <w:sz w:val="22"/>
              </w:rPr>
            </w:pPr>
            <w:r w:rsidRPr="0046147B">
              <w:rPr>
                <w:rFonts w:cs="Arial"/>
                <w:b/>
                <w:sz w:val="22"/>
              </w:rPr>
              <w:t>435’640</w:t>
            </w:r>
          </w:p>
        </w:tc>
        <w:tc>
          <w:tcPr>
            <w:tcW w:w="1629" w:type="dxa"/>
          </w:tcPr>
          <w:p w:rsidR="001E0A36" w:rsidRPr="0046147B" w:rsidRDefault="001E0A36" w:rsidP="003C536E">
            <w:pPr>
              <w:rPr>
                <w:rFonts w:cs="Arial"/>
                <w:b/>
                <w:sz w:val="22"/>
              </w:rPr>
            </w:pPr>
            <w:r w:rsidRPr="0046147B">
              <w:rPr>
                <w:rFonts w:cs="Arial"/>
                <w:b/>
                <w:sz w:val="22"/>
              </w:rPr>
              <w:t>285’710</w:t>
            </w:r>
          </w:p>
        </w:tc>
        <w:tc>
          <w:tcPr>
            <w:tcW w:w="1629" w:type="dxa"/>
          </w:tcPr>
          <w:p w:rsidR="001E0A36" w:rsidRPr="0046147B" w:rsidRDefault="001E0A36" w:rsidP="003C536E">
            <w:pPr>
              <w:rPr>
                <w:rFonts w:cs="Arial"/>
                <w:b/>
                <w:sz w:val="22"/>
              </w:rPr>
            </w:pPr>
            <w:r w:rsidRPr="0046147B">
              <w:rPr>
                <w:rFonts w:cs="Arial"/>
                <w:b/>
                <w:sz w:val="22"/>
              </w:rPr>
              <w:t>-26’065</w:t>
            </w:r>
          </w:p>
        </w:tc>
        <w:tc>
          <w:tcPr>
            <w:tcW w:w="1629" w:type="dxa"/>
          </w:tcPr>
          <w:p w:rsidR="001E0A36" w:rsidRPr="0046147B" w:rsidRDefault="001E0A36" w:rsidP="003C536E">
            <w:pPr>
              <w:rPr>
                <w:rFonts w:cs="Arial"/>
                <w:b/>
                <w:sz w:val="22"/>
              </w:rPr>
            </w:pPr>
            <w:r w:rsidRPr="0046147B">
              <w:rPr>
                <w:rFonts w:cs="Arial"/>
                <w:b/>
                <w:sz w:val="22"/>
              </w:rPr>
              <w:t>1’017</w:t>
            </w:r>
          </w:p>
        </w:tc>
        <w:tc>
          <w:tcPr>
            <w:tcW w:w="1629" w:type="dxa"/>
          </w:tcPr>
          <w:p w:rsidR="001E0A36" w:rsidRPr="0046147B" w:rsidRDefault="001E0A36" w:rsidP="003C536E">
            <w:pPr>
              <w:rPr>
                <w:rFonts w:cs="Arial"/>
                <w:b/>
                <w:sz w:val="22"/>
              </w:rPr>
            </w:pPr>
            <w:r w:rsidRPr="0046147B">
              <w:rPr>
                <w:rFonts w:cs="Arial"/>
                <w:b/>
                <w:sz w:val="22"/>
              </w:rPr>
              <w:t>696’303</w:t>
            </w:r>
          </w:p>
        </w:tc>
      </w:tr>
    </w:tbl>
    <w:p w:rsidR="001E0A36" w:rsidRPr="0046147B" w:rsidRDefault="001E0A36" w:rsidP="001E0A36">
      <w:pPr>
        <w:rPr>
          <w:rFonts w:cs="Arial"/>
          <w:sz w:val="22"/>
        </w:rPr>
      </w:pPr>
    </w:p>
    <w:p w:rsidR="001E0A36" w:rsidRPr="0046147B" w:rsidRDefault="001E0A36" w:rsidP="001E0A36">
      <w:pPr>
        <w:rPr>
          <w:rFonts w:cs="Arial"/>
          <w:sz w:val="22"/>
        </w:rPr>
      </w:pPr>
    </w:p>
    <w:p w:rsidR="001E0A36" w:rsidRPr="0046147B" w:rsidRDefault="001E0A36" w:rsidP="001E0A36">
      <w:pPr>
        <w:rPr>
          <w:rFonts w:cs="Arial"/>
          <w:b/>
          <w:sz w:val="22"/>
        </w:rPr>
      </w:pPr>
      <w:r w:rsidRPr="0046147B">
        <w:rPr>
          <w:rFonts w:cs="Arial"/>
          <w:b/>
          <w:sz w:val="22"/>
        </w:rPr>
        <w:t>Tabella 3: Cresciuto in giudicato (CG)</w:t>
      </w:r>
    </w:p>
    <w:p w:rsidR="001E0A36" w:rsidRPr="0046147B" w:rsidRDefault="001E0A36" w:rsidP="001E0A36">
      <w:pPr>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8"/>
        <w:gridCol w:w="1628"/>
        <w:gridCol w:w="1629"/>
        <w:gridCol w:w="1629"/>
        <w:gridCol w:w="1629"/>
        <w:gridCol w:w="1629"/>
      </w:tblGrid>
      <w:tr w:rsidR="001E0A36" w:rsidRPr="0046147B" w:rsidTr="003C536E">
        <w:tc>
          <w:tcPr>
            <w:tcW w:w="1628" w:type="dxa"/>
          </w:tcPr>
          <w:p w:rsidR="001E0A36" w:rsidRPr="0046147B" w:rsidRDefault="001E0A36" w:rsidP="003C536E">
            <w:pPr>
              <w:rPr>
                <w:rFonts w:cs="Arial"/>
                <w:sz w:val="22"/>
              </w:rPr>
            </w:pPr>
            <w:r w:rsidRPr="0046147B">
              <w:rPr>
                <w:rFonts w:cs="Arial"/>
                <w:sz w:val="22"/>
              </w:rPr>
              <w:t xml:space="preserve">Anno </w:t>
            </w:r>
            <w:proofErr w:type="spellStart"/>
            <w:r w:rsidRPr="0046147B">
              <w:rPr>
                <w:rFonts w:cs="Arial"/>
                <w:sz w:val="22"/>
              </w:rPr>
              <w:t>rif.</w:t>
            </w:r>
            <w:proofErr w:type="spellEnd"/>
          </w:p>
        </w:tc>
        <w:tc>
          <w:tcPr>
            <w:tcW w:w="1628" w:type="dxa"/>
          </w:tcPr>
          <w:p w:rsidR="001E0A36" w:rsidRPr="0046147B" w:rsidRDefault="001E0A36" w:rsidP="003C536E">
            <w:pPr>
              <w:rPr>
                <w:rFonts w:cs="Arial"/>
                <w:sz w:val="22"/>
              </w:rPr>
            </w:pPr>
            <w:r w:rsidRPr="0046147B">
              <w:rPr>
                <w:rFonts w:cs="Arial"/>
                <w:sz w:val="22"/>
              </w:rPr>
              <w:t>Tasse</w:t>
            </w:r>
          </w:p>
        </w:tc>
        <w:tc>
          <w:tcPr>
            <w:tcW w:w="1629" w:type="dxa"/>
          </w:tcPr>
          <w:p w:rsidR="001E0A36" w:rsidRPr="0046147B" w:rsidRDefault="001E0A36" w:rsidP="003C536E">
            <w:pPr>
              <w:rPr>
                <w:rFonts w:cs="Arial"/>
                <w:sz w:val="22"/>
              </w:rPr>
            </w:pPr>
            <w:r w:rsidRPr="0046147B">
              <w:rPr>
                <w:rFonts w:cs="Arial"/>
                <w:sz w:val="22"/>
              </w:rPr>
              <w:t>Multe</w:t>
            </w:r>
          </w:p>
        </w:tc>
        <w:tc>
          <w:tcPr>
            <w:tcW w:w="1629" w:type="dxa"/>
          </w:tcPr>
          <w:p w:rsidR="001E0A36" w:rsidRPr="0046147B" w:rsidRDefault="001E0A36" w:rsidP="003C536E">
            <w:pPr>
              <w:rPr>
                <w:rFonts w:cs="Arial"/>
                <w:sz w:val="22"/>
              </w:rPr>
            </w:pPr>
            <w:r w:rsidRPr="0046147B">
              <w:rPr>
                <w:rFonts w:cs="Arial"/>
                <w:sz w:val="22"/>
              </w:rPr>
              <w:t xml:space="preserve">Tot. </w:t>
            </w:r>
            <w:proofErr w:type="spellStart"/>
            <w:r w:rsidRPr="0046147B">
              <w:rPr>
                <w:rFonts w:cs="Arial"/>
                <w:sz w:val="22"/>
              </w:rPr>
              <w:t>Parz</w:t>
            </w:r>
            <w:proofErr w:type="spellEnd"/>
            <w:r w:rsidRPr="0046147B">
              <w:rPr>
                <w:rFonts w:cs="Arial"/>
                <w:sz w:val="22"/>
              </w:rPr>
              <w:t>.</w:t>
            </w:r>
          </w:p>
        </w:tc>
        <w:tc>
          <w:tcPr>
            <w:tcW w:w="1629" w:type="dxa"/>
          </w:tcPr>
          <w:p w:rsidR="001E0A36" w:rsidRPr="0046147B" w:rsidRDefault="001E0A36" w:rsidP="003C536E">
            <w:pPr>
              <w:rPr>
                <w:rFonts w:cs="Arial"/>
                <w:sz w:val="22"/>
              </w:rPr>
            </w:pPr>
            <w:r w:rsidRPr="0046147B">
              <w:rPr>
                <w:rFonts w:cs="Arial"/>
                <w:sz w:val="22"/>
              </w:rPr>
              <w:t>NC aperte</w:t>
            </w:r>
          </w:p>
        </w:tc>
        <w:tc>
          <w:tcPr>
            <w:tcW w:w="1629" w:type="dxa"/>
          </w:tcPr>
          <w:p w:rsidR="001E0A36" w:rsidRPr="0046147B" w:rsidRDefault="001E0A36" w:rsidP="003C536E">
            <w:pPr>
              <w:rPr>
                <w:rFonts w:cs="Arial"/>
                <w:sz w:val="22"/>
              </w:rPr>
            </w:pPr>
            <w:r w:rsidRPr="0046147B">
              <w:rPr>
                <w:rFonts w:cs="Arial"/>
                <w:sz w:val="22"/>
              </w:rPr>
              <w:t>Totale CG</w:t>
            </w:r>
          </w:p>
        </w:tc>
      </w:tr>
      <w:tr w:rsidR="001E0A36" w:rsidRPr="0046147B" w:rsidTr="003C536E">
        <w:tc>
          <w:tcPr>
            <w:tcW w:w="1628" w:type="dxa"/>
          </w:tcPr>
          <w:p w:rsidR="001E0A36" w:rsidRPr="0046147B" w:rsidRDefault="001E0A36" w:rsidP="003C536E">
            <w:pPr>
              <w:rPr>
                <w:rFonts w:cs="Arial"/>
                <w:sz w:val="22"/>
              </w:rPr>
            </w:pPr>
            <w:r w:rsidRPr="0046147B">
              <w:rPr>
                <w:rFonts w:cs="Arial"/>
                <w:sz w:val="22"/>
              </w:rPr>
              <w:t>2016-2017</w:t>
            </w:r>
          </w:p>
        </w:tc>
        <w:tc>
          <w:tcPr>
            <w:tcW w:w="1628" w:type="dxa"/>
          </w:tcPr>
          <w:p w:rsidR="001E0A36" w:rsidRPr="0046147B" w:rsidRDefault="001E0A36" w:rsidP="003C536E">
            <w:pPr>
              <w:rPr>
                <w:rFonts w:cs="Arial"/>
                <w:sz w:val="22"/>
              </w:rPr>
            </w:pPr>
            <w:r w:rsidRPr="0046147B">
              <w:rPr>
                <w:rFonts w:cs="Arial"/>
                <w:sz w:val="22"/>
              </w:rPr>
              <w:t>49’740</w:t>
            </w:r>
          </w:p>
        </w:tc>
        <w:tc>
          <w:tcPr>
            <w:tcW w:w="1629" w:type="dxa"/>
          </w:tcPr>
          <w:p w:rsidR="001E0A36" w:rsidRPr="0046147B" w:rsidRDefault="001E0A36" w:rsidP="003C536E">
            <w:pPr>
              <w:rPr>
                <w:rFonts w:cs="Arial"/>
                <w:sz w:val="22"/>
              </w:rPr>
            </w:pPr>
            <w:r w:rsidRPr="0046147B">
              <w:rPr>
                <w:rFonts w:cs="Arial"/>
                <w:sz w:val="22"/>
              </w:rPr>
              <w:t>70’620</w:t>
            </w:r>
          </w:p>
        </w:tc>
        <w:tc>
          <w:tcPr>
            <w:tcW w:w="1629" w:type="dxa"/>
          </w:tcPr>
          <w:p w:rsidR="001E0A36" w:rsidRPr="0046147B" w:rsidRDefault="001E0A36" w:rsidP="003C536E">
            <w:pPr>
              <w:rPr>
                <w:rFonts w:cs="Arial"/>
                <w:sz w:val="22"/>
              </w:rPr>
            </w:pPr>
            <w:r w:rsidRPr="0046147B">
              <w:rPr>
                <w:rFonts w:cs="Arial"/>
                <w:sz w:val="22"/>
              </w:rPr>
              <w:t>120’360</w:t>
            </w:r>
          </w:p>
        </w:tc>
        <w:tc>
          <w:tcPr>
            <w:tcW w:w="1629" w:type="dxa"/>
          </w:tcPr>
          <w:p w:rsidR="001E0A36" w:rsidRPr="0046147B" w:rsidRDefault="001E0A36" w:rsidP="003C536E">
            <w:pPr>
              <w:rPr>
                <w:rFonts w:cs="Arial"/>
                <w:sz w:val="22"/>
              </w:rPr>
            </w:pPr>
            <w:r w:rsidRPr="0046147B">
              <w:rPr>
                <w:rFonts w:cs="Arial"/>
                <w:sz w:val="22"/>
              </w:rPr>
              <w:t>-23’347</w:t>
            </w:r>
          </w:p>
        </w:tc>
        <w:tc>
          <w:tcPr>
            <w:tcW w:w="1629" w:type="dxa"/>
          </w:tcPr>
          <w:p w:rsidR="001E0A36" w:rsidRPr="0046147B" w:rsidRDefault="001E0A36" w:rsidP="003C536E">
            <w:pPr>
              <w:rPr>
                <w:rFonts w:cs="Arial"/>
                <w:sz w:val="22"/>
              </w:rPr>
            </w:pPr>
            <w:r w:rsidRPr="0046147B">
              <w:rPr>
                <w:rFonts w:cs="Arial"/>
                <w:sz w:val="22"/>
              </w:rPr>
              <w:t>97’013</w:t>
            </w:r>
          </w:p>
        </w:tc>
      </w:tr>
      <w:tr w:rsidR="001E0A36" w:rsidRPr="0046147B" w:rsidTr="003C536E">
        <w:tc>
          <w:tcPr>
            <w:tcW w:w="1628" w:type="dxa"/>
          </w:tcPr>
          <w:p w:rsidR="001E0A36" w:rsidRPr="0046147B" w:rsidRDefault="001E0A36" w:rsidP="003C536E">
            <w:pPr>
              <w:rPr>
                <w:rFonts w:cs="Arial"/>
                <w:sz w:val="22"/>
              </w:rPr>
            </w:pPr>
            <w:r w:rsidRPr="0046147B">
              <w:rPr>
                <w:rFonts w:cs="Arial"/>
                <w:sz w:val="22"/>
              </w:rPr>
              <w:t>2018</w:t>
            </w:r>
          </w:p>
        </w:tc>
        <w:tc>
          <w:tcPr>
            <w:tcW w:w="1628" w:type="dxa"/>
          </w:tcPr>
          <w:p w:rsidR="001E0A36" w:rsidRPr="0046147B" w:rsidRDefault="001E0A36" w:rsidP="003C536E">
            <w:pPr>
              <w:rPr>
                <w:rFonts w:cs="Arial"/>
                <w:sz w:val="22"/>
              </w:rPr>
            </w:pPr>
            <w:r w:rsidRPr="0046147B">
              <w:rPr>
                <w:rFonts w:cs="Arial"/>
                <w:sz w:val="22"/>
              </w:rPr>
              <w:t>380’000</w:t>
            </w:r>
          </w:p>
        </w:tc>
        <w:tc>
          <w:tcPr>
            <w:tcW w:w="1629" w:type="dxa"/>
          </w:tcPr>
          <w:p w:rsidR="001E0A36" w:rsidRPr="0046147B" w:rsidRDefault="001E0A36" w:rsidP="003C536E">
            <w:pPr>
              <w:rPr>
                <w:rFonts w:cs="Arial"/>
                <w:sz w:val="22"/>
              </w:rPr>
            </w:pPr>
            <w:r w:rsidRPr="0046147B">
              <w:rPr>
                <w:rFonts w:cs="Arial"/>
                <w:sz w:val="22"/>
              </w:rPr>
              <w:t>34’450</w:t>
            </w:r>
          </w:p>
        </w:tc>
        <w:tc>
          <w:tcPr>
            <w:tcW w:w="1629" w:type="dxa"/>
          </w:tcPr>
          <w:p w:rsidR="001E0A36" w:rsidRPr="0046147B" w:rsidRDefault="001E0A36" w:rsidP="003C536E">
            <w:pPr>
              <w:rPr>
                <w:rFonts w:cs="Arial"/>
                <w:sz w:val="22"/>
              </w:rPr>
            </w:pPr>
            <w:r w:rsidRPr="0046147B">
              <w:rPr>
                <w:rFonts w:cs="Arial"/>
                <w:sz w:val="22"/>
              </w:rPr>
              <w:t>414’450</w:t>
            </w:r>
          </w:p>
        </w:tc>
        <w:tc>
          <w:tcPr>
            <w:tcW w:w="1629" w:type="dxa"/>
          </w:tcPr>
          <w:p w:rsidR="001E0A36" w:rsidRPr="0046147B" w:rsidRDefault="001E0A36" w:rsidP="003C536E">
            <w:pPr>
              <w:rPr>
                <w:rFonts w:cs="Arial"/>
                <w:sz w:val="22"/>
              </w:rPr>
            </w:pPr>
            <w:r w:rsidRPr="0046147B">
              <w:rPr>
                <w:rFonts w:cs="Arial"/>
                <w:sz w:val="22"/>
              </w:rPr>
              <w:t>-2’717</w:t>
            </w:r>
          </w:p>
        </w:tc>
        <w:tc>
          <w:tcPr>
            <w:tcW w:w="1629" w:type="dxa"/>
          </w:tcPr>
          <w:p w:rsidR="001E0A36" w:rsidRPr="0046147B" w:rsidRDefault="001E0A36" w:rsidP="003C536E">
            <w:pPr>
              <w:rPr>
                <w:rFonts w:cs="Arial"/>
                <w:sz w:val="22"/>
              </w:rPr>
            </w:pPr>
            <w:r w:rsidRPr="0046147B">
              <w:rPr>
                <w:rFonts w:cs="Arial"/>
                <w:sz w:val="22"/>
              </w:rPr>
              <w:t>411’733</w:t>
            </w:r>
          </w:p>
        </w:tc>
      </w:tr>
      <w:tr w:rsidR="001E0A36" w:rsidRPr="0046147B" w:rsidTr="003C536E">
        <w:tc>
          <w:tcPr>
            <w:tcW w:w="1628" w:type="dxa"/>
          </w:tcPr>
          <w:p w:rsidR="001E0A36" w:rsidRPr="0046147B" w:rsidRDefault="001E0A36" w:rsidP="003C536E">
            <w:pPr>
              <w:rPr>
                <w:rFonts w:cs="Arial"/>
                <w:sz w:val="22"/>
              </w:rPr>
            </w:pPr>
            <w:r w:rsidRPr="0046147B">
              <w:rPr>
                <w:rFonts w:cs="Arial"/>
                <w:b/>
                <w:sz w:val="22"/>
              </w:rPr>
              <w:t>Totale</w:t>
            </w:r>
          </w:p>
        </w:tc>
        <w:tc>
          <w:tcPr>
            <w:tcW w:w="1628" w:type="dxa"/>
          </w:tcPr>
          <w:p w:rsidR="001E0A36" w:rsidRPr="0046147B" w:rsidRDefault="001E0A36" w:rsidP="003C536E">
            <w:pPr>
              <w:rPr>
                <w:rFonts w:cs="Arial"/>
                <w:b/>
                <w:sz w:val="22"/>
              </w:rPr>
            </w:pPr>
            <w:r w:rsidRPr="0046147B">
              <w:rPr>
                <w:rFonts w:cs="Arial"/>
                <w:b/>
                <w:sz w:val="22"/>
              </w:rPr>
              <w:t>429’740</w:t>
            </w:r>
          </w:p>
        </w:tc>
        <w:tc>
          <w:tcPr>
            <w:tcW w:w="1629" w:type="dxa"/>
          </w:tcPr>
          <w:p w:rsidR="001E0A36" w:rsidRPr="0046147B" w:rsidRDefault="001E0A36" w:rsidP="003C536E">
            <w:pPr>
              <w:rPr>
                <w:rFonts w:cs="Arial"/>
                <w:b/>
                <w:sz w:val="22"/>
              </w:rPr>
            </w:pPr>
            <w:r w:rsidRPr="0046147B">
              <w:rPr>
                <w:rFonts w:cs="Arial"/>
                <w:b/>
                <w:sz w:val="22"/>
              </w:rPr>
              <w:t>105’070</w:t>
            </w:r>
          </w:p>
        </w:tc>
        <w:tc>
          <w:tcPr>
            <w:tcW w:w="1629" w:type="dxa"/>
          </w:tcPr>
          <w:p w:rsidR="001E0A36" w:rsidRPr="0046147B" w:rsidRDefault="001E0A36" w:rsidP="003C536E">
            <w:pPr>
              <w:rPr>
                <w:rFonts w:cs="Arial"/>
                <w:b/>
                <w:sz w:val="22"/>
              </w:rPr>
            </w:pPr>
            <w:r w:rsidRPr="0046147B">
              <w:rPr>
                <w:rFonts w:cs="Arial"/>
                <w:b/>
                <w:sz w:val="22"/>
              </w:rPr>
              <w:t>534’810</w:t>
            </w:r>
          </w:p>
        </w:tc>
        <w:tc>
          <w:tcPr>
            <w:tcW w:w="1629" w:type="dxa"/>
          </w:tcPr>
          <w:p w:rsidR="001E0A36" w:rsidRPr="0046147B" w:rsidRDefault="001E0A36" w:rsidP="003C536E">
            <w:pPr>
              <w:rPr>
                <w:rFonts w:cs="Arial"/>
                <w:b/>
                <w:sz w:val="22"/>
              </w:rPr>
            </w:pPr>
            <w:r w:rsidRPr="0046147B">
              <w:rPr>
                <w:rFonts w:cs="Arial"/>
                <w:b/>
                <w:sz w:val="22"/>
              </w:rPr>
              <w:t>-26’065</w:t>
            </w:r>
          </w:p>
        </w:tc>
        <w:tc>
          <w:tcPr>
            <w:tcW w:w="1629" w:type="dxa"/>
          </w:tcPr>
          <w:p w:rsidR="001E0A36" w:rsidRPr="0046147B" w:rsidRDefault="001E0A36" w:rsidP="003C536E">
            <w:pPr>
              <w:rPr>
                <w:rFonts w:cs="Arial"/>
                <w:b/>
                <w:sz w:val="22"/>
              </w:rPr>
            </w:pPr>
            <w:r w:rsidRPr="0046147B">
              <w:rPr>
                <w:rFonts w:cs="Arial"/>
                <w:b/>
                <w:sz w:val="22"/>
              </w:rPr>
              <w:t>508’745</w:t>
            </w:r>
          </w:p>
        </w:tc>
      </w:tr>
    </w:tbl>
    <w:p w:rsidR="001E0A36" w:rsidRPr="0046147B" w:rsidRDefault="001E0A36" w:rsidP="001E0A36">
      <w:pPr>
        <w:rPr>
          <w:rFonts w:cs="Arial"/>
          <w:sz w:val="22"/>
        </w:rPr>
      </w:pPr>
    </w:p>
    <w:p w:rsidR="001E0A36" w:rsidRPr="0046147B" w:rsidRDefault="001E0A36" w:rsidP="001E0A36">
      <w:pPr>
        <w:rPr>
          <w:rFonts w:cs="Arial"/>
          <w:b/>
          <w:sz w:val="22"/>
        </w:rPr>
      </w:pPr>
      <w:r w:rsidRPr="0046147B">
        <w:rPr>
          <w:rFonts w:cs="Arial"/>
          <w:b/>
          <w:sz w:val="22"/>
        </w:rPr>
        <w:t>Tabella 4: Non cresciuto in giudicato (NCG)</w:t>
      </w:r>
    </w:p>
    <w:p w:rsidR="001E0A36" w:rsidRPr="0046147B" w:rsidRDefault="001E0A36" w:rsidP="001E0A36">
      <w:pPr>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8"/>
        <w:gridCol w:w="1628"/>
        <w:gridCol w:w="1629"/>
        <w:gridCol w:w="1629"/>
        <w:gridCol w:w="1629"/>
      </w:tblGrid>
      <w:tr w:rsidR="001E0A36" w:rsidRPr="0046147B" w:rsidTr="003C536E">
        <w:tc>
          <w:tcPr>
            <w:tcW w:w="1628" w:type="dxa"/>
          </w:tcPr>
          <w:p w:rsidR="001E0A36" w:rsidRPr="0046147B" w:rsidRDefault="001E0A36" w:rsidP="003C536E">
            <w:pPr>
              <w:rPr>
                <w:rFonts w:cs="Arial"/>
                <w:sz w:val="22"/>
              </w:rPr>
            </w:pPr>
            <w:r w:rsidRPr="0046147B">
              <w:rPr>
                <w:rFonts w:cs="Arial"/>
                <w:sz w:val="22"/>
              </w:rPr>
              <w:t xml:space="preserve">Anno </w:t>
            </w:r>
            <w:proofErr w:type="spellStart"/>
            <w:r w:rsidRPr="0046147B">
              <w:rPr>
                <w:rFonts w:cs="Arial"/>
                <w:sz w:val="22"/>
              </w:rPr>
              <w:t>rif.</w:t>
            </w:r>
            <w:proofErr w:type="spellEnd"/>
          </w:p>
        </w:tc>
        <w:tc>
          <w:tcPr>
            <w:tcW w:w="1628" w:type="dxa"/>
          </w:tcPr>
          <w:p w:rsidR="001E0A36" w:rsidRPr="0046147B" w:rsidRDefault="001E0A36" w:rsidP="003C536E">
            <w:pPr>
              <w:rPr>
                <w:rFonts w:cs="Arial"/>
                <w:sz w:val="22"/>
              </w:rPr>
            </w:pPr>
            <w:r w:rsidRPr="0046147B">
              <w:rPr>
                <w:rFonts w:cs="Arial"/>
                <w:sz w:val="22"/>
              </w:rPr>
              <w:t>Tasse</w:t>
            </w:r>
          </w:p>
        </w:tc>
        <w:tc>
          <w:tcPr>
            <w:tcW w:w="1629" w:type="dxa"/>
          </w:tcPr>
          <w:p w:rsidR="001E0A36" w:rsidRPr="0046147B" w:rsidRDefault="001E0A36" w:rsidP="003C536E">
            <w:pPr>
              <w:rPr>
                <w:rFonts w:cs="Arial"/>
                <w:sz w:val="22"/>
              </w:rPr>
            </w:pPr>
            <w:r w:rsidRPr="0046147B">
              <w:rPr>
                <w:rFonts w:cs="Arial"/>
                <w:sz w:val="22"/>
              </w:rPr>
              <w:t>Multe</w:t>
            </w:r>
          </w:p>
        </w:tc>
        <w:tc>
          <w:tcPr>
            <w:tcW w:w="1629" w:type="dxa"/>
          </w:tcPr>
          <w:p w:rsidR="001E0A36" w:rsidRPr="0046147B" w:rsidRDefault="001E0A36" w:rsidP="003C536E">
            <w:pPr>
              <w:rPr>
                <w:rFonts w:cs="Arial"/>
                <w:sz w:val="22"/>
              </w:rPr>
            </w:pPr>
            <w:r w:rsidRPr="0046147B">
              <w:rPr>
                <w:rFonts w:cs="Arial"/>
                <w:sz w:val="22"/>
              </w:rPr>
              <w:t>Pag. doppi</w:t>
            </w:r>
          </w:p>
        </w:tc>
        <w:tc>
          <w:tcPr>
            <w:tcW w:w="1629" w:type="dxa"/>
          </w:tcPr>
          <w:p w:rsidR="001E0A36" w:rsidRPr="0046147B" w:rsidRDefault="001E0A36" w:rsidP="003C536E">
            <w:pPr>
              <w:rPr>
                <w:rFonts w:cs="Arial"/>
                <w:sz w:val="22"/>
              </w:rPr>
            </w:pPr>
            <w:r w:rsidRPr="0046147B">
              <w:rPr>
                <w:rFonts w:cs="Arial"/>
                <w:sz w:val="22"/>
              </w:rPr>
              <w:t>Totale NCG</w:t>
            </w:r>
          </w:p>
        </w:tc>
      </w:tr>
      <w:tr w:rsidR="001E0A36" w:rsidRPr="0046147B" w:rsidTr="003C536E">
        <w:tc>
          <w:tcPr>
            <w:tcW w:w="1628" w:type="dxa"/>
          </w:tcPr>
          <w:p w:rsidR="001E0A36" w:rsidRPr="0046147B" w:rsidRDefault="001E0A36" w:rsidP="003C536E">
            <w:pPr>
              <w:rPr>
                <w:rFonts w:cs="Arial"/>
                <w:sz w:val="22"/>
              </w:rPr>
            </w:pPr>
            <w:r w:rsidRPr="0046147B">
              <w:rPr>
                <w:rFonts w:cs="Arial"/>
                <w:sz w:val="22"/>
              </w:rPr>
              <w:t>2016-2017</w:t>
            </w:r>
          </w:p>
        </w:tc>
        <w:tc>
          <w:tcPr>
            <w:tcW w:w="1628" w:type="dxa"/>
          </w:tcPr>
          <w:p w:rsidR="001E0A36" w:rsidRPr="0046147B" w:rsidRDefault="001E0A36" w:rsidP="003C536E">
            <w:pPr>
              <w:rPr>
                <w:rFonts w:cs="Arial"/>
                <w:sz w:val="22"/>
              </w:rPr>
            </w:pPr>
            <w:r w:rsidRPr="0046147B">
              <w:rPr>
                <w:rFonts w:cs="Arial"/>
                <w:sz w:val="22"/>
              </w:rPr>
              <w:t>5’000</w:t>
            </w:r>
          </w:p>
        </w:tc>
        <w:tc>
          <w:tcPr>
            <w:tcW w:w="1629" w:type="dxa"/>
          </w:tcPr>
          <w:p w:rsidR="001E0A36" w:rsidRPr="0046147B" w:rsidRDefault="001E0A36" w:rsidP="003C536E">
            <w:pPr>
              <w:rPr>
                <w:rFonts w:cs="Arial"/>
                <w:sz w:val="22"/>
              </w:rPr>
            </w:pPr>
            <w:r w:rsidRPr="0046147B">
              <w:rPr>
                <w:rFonts w:cs="Arial"/>
                <w:sz w:val="22"/>
              </w:rPr>
              <w:t>82’820</w:t>
            </w:r>
          </w:p>
        </w:tc>
        <w:tc>
          <w:tcPr>
            <w:tcW w:w="1629" w:type="dxa"/>
          </w:tcPr>
          <w:p w:rsidR="001E0A36" w:rsidRPr="0046147B" w:rsidRDefault="001E0A36" w:rsidP="003C536E">
            <w:pPr>
              <w:rPr>
                <w:rFonts w:cs="Arial"/>
                <w:sz w:val="22"/>
              </w:rPr>
            </w:pPr>
            <w:r w:rsidRPr="0046147B">
              <w:rPr>
                <w:rFonts w:cs="Arial"/>
                <w:sz w:val="22"/>
              </w:rPr>
              <w:t>0</w:t>
            </w:r>
          </w:p>
        </w:tc>
        <w:tc>
          <w:tcPr>
            <w:tcW w:w="1629" w:type="dxa"/>
          </w:tcPr>
          <w:p w:rsidR="001E0A36" w:rsidRPr="0046147B" w:rsidRDefault="001E0A36" w:rsidP="003C536E">
            <w:pPr>
              <w:rPr>
                <w:rFonts w:cs="Arial"/>
                <w:sz w:val="22"/>
              </w:rPr>
            </w:pPr>
            <w:r w:rsidRPr="0046147B">
              <w:rPr>
                <w:rFonts w:cs="Arial"/>
                <w:sz w:val="22"/>
              </w:rPr>
              <w:t>87’820</w:t>
            </w:r>
          </w:p>
        </w:tc>
      </w:tr>
      <w:tr w:rsidR="001E0A36" w:rsidRPr="0046147B" w:rsidTr="003C536E">
        <w:tc>
          <w:tcPr>
            <w:tcW w:w="1628" w:type="dxa"/>
          </w:tcPr>
          <w:p w:rsidR="001E0A36" w:rsidRPr="0046147B" w:rsidRDefault="001E0A36" w:rsidP="003C536E">
            <w:pPr>
              <w:rPr>
                <w:rFonts w:cs="Arial"/>
                <w:sz w:val="22"/>
              </w:rPr>
            </w:pPr>
            <w:r w:rsidRPr="0046147B">
              <w:rPr>
                <w:rFonts w:cs="Arial"/>
                <w:sz w:val="22"/>
              </w:rPr>
              <w:t>2018</w:t>
            </w:r>
          </w:p>
        </w:tc>
        <w:tc>
          <w:tcPr>
            <w:tcW w:w="1628" w:type="dxa"/>
          </w:tcPr>
          <w:p w:rsidR="001E0A36" w:rsidRPr="0046147B" w:rsidRDefault="001E0A36" w:rsidP="003C536E">
            <w:pPr>
              <w:rPr>
                <w:rFonts w:cs="Arial"/>
                <w:sz w:val="22"/>
              </w:rPr>
            </w:pPr>
            <w:r w:rsidRPr="0046147B">
              <w:rPr>
                <w:rFonts w:cs="Arial"/>
                <w:sz w:val="22"/>
              </w:rPr>
              <w:t>900</w:t>
            </w:r>
          </w:p>
        </w:tc>
        <w:tc>
          <w:tcPr>
            <w:tcW w:w="1629" w:type="dxa"/>
          </w:tcPr>
          <w:p w:rsidR="001E0A36" w:rsidRPr="0046147B" w:rsidRDefault="001E0A36" w:rsidP="003C536E">
            <w:pPr>
              <w:rPr>
                <w:rFonts w:cs="Arial"/>
                <w:sz w:val="22"/>
              </w:rPr>
            </w:pPr>
            <w:r w:rsidRPr="0046147B">
              <w:rPr>
                <w:rFonts w:cs="Arial"/>
                <w:sz w:val="22"/>
              </w:rPr>
              <w:t>97’820</w:t>
            </w:r>
          </w:p>
        </w:tc>
        <w:tc>
          <w:tcPr>
            <w:tcW w:w="1629" w:type="dxa"/>
          </w:tcPr>
          <w:p w:rsidR="001E0A36" w:rsidRPr="0046147B" w:rsidRDefault="001E0A36" w:rsidP="003C536E">
            <w:pPr>
              <w:rPr>
                <w:rFonts w:cs="Arial"/>
                <w:sz w:val="22"/>
              </w:rPr>
            </w:pPr>
            <w:r w:rsidRPr="0046147B">
              <w:rPr>
                <w:rFonts w:cs="Arial"/>
                <w:sz w:val="22"/>
              </w:rPr>
              <w:t>0</w:t>
            </w:r>
          </w:p>
        </w:tc>
        <w:tc>
          <w:tcPr>
            <w:tcW w:w="1629" w:type="dxa"/>
          </w:tcPr>
          <w:p w:rsidR="001E0A36" w:rsidRPr="0046147B" w:rsidRDefault="001E0A36" w:rsidP="003C536E">
            <w:pPr>
              <w:rPr>
                <w:rFonts w:cs="Arial"/>
                <w:sz w:val="22"/>
              </w:rPr>
            </w:pPr>
            <w:r w:rsidRPr="0046147B">
              <w:rPr>
                <w:rFonts w:cs="Arial"/>
                <w:sz w:val="22"/>
              </w:rPr>
              <w:t>98’720</w:t>
            </w:r>
          </w:p>
        </w:tc>
      </w:tr>
      <w:tr w:rsidR="001E0A36" w:rsidRPr="0046147B" w:rsidTr="003C536E">
        <w:tc>
          <w:tcPr>
            <w:tcW w:w="1628" w:type="dxa"/>
          </w:tcPr>
          <w:p w:rsidR="001E0A36" w:rsidRPr="0046147B" w:rsidRDefault="001E0A36" w:rsidP="003C536E">
            <w:pPr>
              <w:rPr>
                <w:rFonts w:cs="Arial"/>
                <w:b/>
                <w:sz w:val="22"/>
              </w:rPr>
            </w:pPr>
            <w:r w:rsidRPr="0046147B">
              <w:rPr>
                <w:rFonts w:cs="Arial"/>
                <w:b/>
                <w:sz w:val="22"/>
              </w:rPr>
              <w:t>Totale</w:t>
            </w:r>
          </w:p>
        </w:tc>
        <w:tc>
          <w:tcPr>
            <w:tcW w:w="1628" w:type="dxa"/>
          </w:tcPr>
          <w:p w:rsidR="001E0A36" w:rsidRPr="0046147B" w:rsidRDefault="001E0A36" w:rsidP="003C536E">
            <w:pPr>
              <w:rPr>
                <w:rFonts w:cs="Arial"/>
                <w:b/>
                <w:sz w:val="22"/>
              </w:rPr>
            </w:pPr>
            <w:r w:rsidRPr="0046147B">
              <w:rPr>
                <w:rFonts w:cs="Arial"/>
                <w:b/>
                <w:sz w:val="22"/>
              </w:rPr>
              <w:t>5’900</w:t>
            </w:r>
          </w:p>
        </w:tc>
        <w:tc>
          <w:tcPr>
            <w:tcW w:w="1629" w:type="dxa"/>
          </w:tcPr>
          <w:p w:rsidR="001E0A36" w:rsidRPr="0046147B" w:rsidRDefault="001E0A36" w:rsidP="003C536E">
            <w:pPr>
              <w:rPr>
                <w:rFonts w:cs="Arial"/>
                <w:b/>
                <w:sz w:val="22"/>
              </w:rPr>
            </w:pPr>
            <w:r w:rsidRPr="0046147B">
              <w:rPr>
                <w:rFonts w:cs="Arial"/>
                <w:b/>
                <w:sz w:val="22"/>
              </w:rPr>
              <w:t>180’640</w:t>
            </w:r>
          </w:p>
        </w:tc>
        <w:tc>
          <w:tcPr>
            <w:tcW w:w="1629" w:type="dxa"/>
          </w:tcPr>
          <w:p w:rsidR="001E0A36" w:rsidRPr="0046147B" w:rsidRDefault="001E0A36" w:rsidP="003C536E">
            <w:pPr>
              <w:rPr>
                <w:rFonts w:cs="Arial"/>
                <w:b/>
                <w:sz w:val="22"/>
              </w:rPr>
            </w:pPr>
            <w:r w:rsidRPr="0046147B">
              <w:rPr>
                <w:rFonts w:cs="Arial"/>
                <w:b/>
                <w:sz w:val="22"/>
              </w:rPr>
              <w:t>1’017</w:t>
            </w:r>
          </w:p>
        </w:tc>
        <w:tc>
          <w:tcPr>
            <w:tcW w:w="1629" w:type="dxa"/>
          </w:tcPr>
          <w:p w:rsidR="001E0A36" w:rsidRPr="0046147B" w:rsidRDefault="001E0A36" w:rsidP="003C536E">
            <w:pPr>
              <w:rPr>
                <w:rFonts w:cs="Arial"/>
                <w:b/>
                <w:sz w:val="22"/>
              </w:rPr>
            </w:pPr>
            <w:r w:rsidRPr="0046147B">
              <w:rPr>
                <w:rFonts w:cs="Arial"/>
                <w:b/>
                <w:sz w:val="22"/>
              </w:rPr>
              <w:t>187’557</w:t>
            </w:r>
          </w:p>
        </w:tc>
      </w:tr>
    </w:tbl>
    <w:p w:rsidR="001E0A36" w:rsidRPr="0046147B" w:rsidRDefault="001E0A36" w:rsidP="002C3C87"/>
    <w:p w:rsidR="001E0A36" w:rsidRPr="0046147B" w:rsidRDefault="001E0A36" w:rsidP="002C3C87">
      <w:r w:rsidRPr="0046147B">
        <w:t>In conclusione</w:t>
      </w:r>
    </w:p>
    <w:p w:rsidR="001E0A36" w:rsidRPr="002C3C87" w:rsidRDefault="002C3C87" w:rsidP="001E0A36">
      <w:pPr>
        <w:pStyle w:val="Paragrafoelenco1"/>
        <w:widowControl/>
        <w:numPr>
          <w:ilvl w:val="0"/>
          <w:numId w:val="21"/>
        </w:numPr>
        <w:autoSpaceDE/>
        <w:autoSpaceDN/>
        <w:adjustRightInd/>
        <w:spacing w:before="80"/>
        <w:ind w:left="284" w:hanging="284"/>
        <w:jc w:val="both"/>
        <w:rPr>
          <w:rFonts w:ascii="Arial" w:hAnsi="Arial" w:cs="Arial"/>
        </w:rPr>
      </w:pPr>
      <w:r>
        <w:rPr>
          <w:rFonts w:ascii="Arial" w:hAnsi="Arial" w:cs="Arial"/>
        </w:rPr>
        <w:t>c</w:t>
      </w:r>
      <w:r w:rsidR="001E0A36" w:rsidRPr="002C3C87">
        <w:rPr>
          <w:rFonts w:ascii="Arial" w:hAnsi="Arial" w:cs="Arial"/>
        </w:rPr>
        <w:t>omplessivamente sono stati fatturati per tasse (quote e audit e domande respinte) e multe e relative spese amministrative CHF 2'764'364.--;</w:t>
      </w:r>
    </w:p>
    <w:p w:rsidR="001E0A36" w:rsidRPr="002C3C87" w:rsidRDefault="002C3C87" w:rsidP="001E0A36">
      <w:pPr>
        <w:pStyle w:val="Paragrafoelenco1"/>
        <w:widowControl/>
        <w:numPr>
          <w:ilvl w:val="0"/>
          <w:numId w:val="21"/>
        </w:numPr>
        <w:autoSpaceDE/>
        <w:autoSpaceDN/>
        <w:adjustRightInd/>
        <w:spacing w:before="80"/>
        <w:ind w:left="284" w:hanging="284"/>
        <w:jc w:val="both"/>
        <w:rPr>
          <w:rFonts w:ascii="Arial" w:hAnsi="Arial" w:cs="Arial"/>
        </w:rPr>
      </w:pPr>
      <w:r>
        <w:rPr>
          <w:rFonts w:ascii="Arial" w:hAnsi="Arial" w:cs="Arial"/>
        </w:rPr>
        <w:t>a</w:t>
      </w:r>
      <w:r w:rsidR="001E0A36" w:rsidRPr="002C3C87">
        <w:rPr>
          <w:rFonts w:ascii="Arial" w:hAnsi="Arial" w:cs="Arial"/>
        </w:rPr>
        <w:t xml:space="preserve"> fine agosto 2018 risultavano ancora da incassare CHF 696'303.--, di cui CHF 508'745.-- già cresciuti in giudicato e 187'557.-- non ancora. </w:t>
      </w:r>
    </w:p>
    <w:p w:rsidR="001E0A36" w:rsidRDefault="001E0A36" w:rsidP="00EB2CF2">
      <w:pPr>
        <w:pStyle w:val="Paragrafoelenco1"/>
        <w:widowControl/>
        <w:autoSpaceDE/>
        <w:autoSpaceDN/>
        <w:adjustRightInd/>
        <w:jc w:val="both"/>
        <w:rPr>
          <w:rFonts w:ascii="Arial" w:hAnsi="Arial" w:cs="Arial"/>
        </w:rPr>
      </w:pPr>
    </w:p>
    <w:p w:rsidR="001E0A36" w:rsidRPr="0046147B" w:rsidRDefault="001E0A36" w:rsidP="00EB2CF2">
      <w:pPr>
        <w:pStyle w:val="Paragrafoelenco1"/>
        <w:widowControl/>
        <w:autoSpaceDE/>
        <w:autoSpaceDN/>
        <w:adjustRightInd/>
        <w:jc w:val="both"/>
        <w:rPr>
          <w:rFonts w:ascii="Arial" w:hAnsi="Arial" w:cs="Arial"/>
        </w:rPr>
      </w:pPr>
    </w:p>
    <w:p w:rsidR="001E0A36" w:rsidRPr="0046147B" w:rsidRDefault="001E0A36" w:rsidP="00EB2CF2">
      <w:pPr>
        <w:pStyle w:val="Titolo2"/>
      </w:pPr>
      <w:r w:rsidRPr="0046147B">
        <w:t>3.2</w:t>
      </w:r>
      <w:r w:rsidRPr="0046147B">
        <w:tab/>
        <w:t>L’attività della CV-LIA</w:t>
      </w:r>
    </w:p>
    <w:p w:rsidR="001E0A36" w:rsidRPr="0046147B" w:rsidRDefault="001E0A36" w:rsidP="002C3C87">
      <w:r w:rsidRPr="0046147B">
        <w:t xml:space="preserve">L’art. 19 cpv. 1 LIA prevede che «le iscrizioni, le modifiche e la tenuta a giorno dell’albo sono soggette a una tassa secondo le modalità stabilite nel regolamento. Per le iscrizioni e le modifiche la tassa può ammontare al massimo a </w:t>
      </w:r>
      <w:proofErr w:type="spellStart"/>
      <w:r w:rsidRPr="0046147B">
        <w:t>fr</w:t>
      </w:r>
      <w:proofErr w:type="spellEnd"/>
      <w:r w:rsidRPr="0046147B">
        <w:t xml:space="preserve">. 2’000.-, per la tenuta a giorno a </w:t>
      </w:r>
      <w:r w:rsidR="00EB2CF2">
        <w:br/>
      </w:r>
      <w:proofErr w:type="spellStart"/>
      <w:r w:rsidRPr="0046147B">
        <w:t>fr</w:t>
      </w:r>
      <w:proofErr w:type="spellEnd"/>
      <w:r w:rsidRPr="0046147B">
        <w:t>. 500.- all’anno».</w:t>
      </w:r>
    </w:p>
    <w:p w:rsidR="001E0A36" w:rsidRPr="002C3C87" w:rsidRDefault="001E0A36" w:rsidP="002C3C87">
      <w:pPr>
        <w:rPr>
          <w:sz w:val="20"/>
          <w:szCs w:val="20"/>
        </w:rPr>
      </w:pPr>
    </w:p>
    <w:p w:rsidR="001E0A36" w:rsidRPr="00EB2CF2" w:rsidRDefault="001E0A36" w:rsidP="00EB2CF2">
      <w:pPr>
        <w:tabs>
          <w:tab w:val="left" w:pos="1985"/>
        </w:tabs>
        <w:rPr>
          <w:i/>
          <w:sz w:val="22"/>
        </w:rPr>
      </w:pPr>
      <w:r w:rsidRPr="0046147B">
        <w:t xml:space="preserve">La multa è invece prevista dall’art. 20 cpv. 1 </w:t>
      </w:r>
      <w:proofErr w:type="spellStart"/>
      <w:r w:rsidRPr="0046147B">
        <w:t>lett</w:t>
      </w:r>
      <w:proofErr w:type="spellEnd"/>
      <w:r w:rsidRPr="0046147B">
        <w:t>. b LIA nel senso che «</w:t>
      </w:r>
      <w:r w:rsidRPr="00EB2CF2">
        <w:rPr>
          <w:sz w:val="23"/>
          <w:szCs w:val="23"/>
        </w:rPr>
        <w:t>la violazione delle disposizioni della presente legge è punita dalla commissione con le seguenti misure disciplinari:</w:t>
      </w:r>
      <w:r w:rsidR="00EB2CF2">
        <w:rPr>
          <w:sz w:val="23"/>
          <w:szCs w:val="23"/>
        </w:rPr>
        <w:t xml:space="preserve"> …. </w:t>
      </w:r>
      <w:r w:rsidRPr="00EB2CF2">
        <w:rPr>
          <w:i/>
          <w:sz w:val="23"/>
          <w:szCs w:val="23"/>
        </w:rPr>
        <w:t>b)</w:t>
      </w:r>
      <w:r w:rsidR="00EB2CF2" w:rsidRPr="00EB2CF2">
        <w:rPr>
          <w:i/>
          <w:sz w:val="23"/>
          <w:szCs w:val="23"/>
        </w:rPr>
        <w:tab/>
      </w:r>
      <w:r w:rsidRPr="00EB2CF2">
        <w:rPr>
          <w:i/>
          <w:sz w:val="23"/>
          <w:szCs w:val="23"/>
        </w:rPr>
        <w:t xml:space="preserve">la sanzione pecuniaria fino a </w:t>
      </w:r>
      <w:proofErr w:type="spellStart"/>
      <w:r w:rsidRPr="00EB2CF2">
        <w:rPr>
          <w:i/>
          <w:sz w:val="23"/>
          <w:szCs w:val="23"/>
        </w:rPr>
        <w:t>fr</w:t>
      </w:r>
      <w:proofErr w:type="spellEnd"/>
      <w:r w:rsidRPr="00EB2CF2">
        <w:rPr>
          <w:i/>
          <w:sz w:val="23"/>
          <w:szCs w:val="23"/>
        </w:rPr>
        <w:t>. 30’000.</w:t>
      </w:r>
      <w:r w:rsidR="00EB2CF2" w:rsidRPr="00EB2CF2">
        <w:rPr>
          <w:i/>
          <w:sz w:val="23"/>
          <w:szCs w:val="23"/>
        </w:rPr>
        <w:t>-</w:t>
      </w:r>
      <w:r w:rsidRPr="00EB2CF2">
        <w:rPr>
          <w:i/>
          <w:szCs w:val="24"/>
        </w:rPr>
        <w:t>».</w:t>
      </w:r>
    </w:p>
    <w:p w:rsidR="001E0A36" w:rsidRPr="002C3C87" w:rsidRDefault="001E0A36" w:rsidP="002C3C87">
      <w:pPr>
        <w:rPr>
          <w:sz w:val="20"/>
          <w:szCs w:val="20"/>
        </w:rPr>
      </w:pPr>
    </w:p>
    <w:p w:rsidR="001E0A36" w:rsidRPr="0046147B" w:rsidRDefault="001E0A36" w:rsidP="002C3C87">
      <w:r w:rsidRPr="0046147B">
        <w:t>È evidente che le tasse dell’art. 19 LIA rispondono a una logica di tassa causale legata alla copertura dei costi.</w:t>
      </w:r>
    </w:p>
    <w:p w:rsidR="001E0A36" w:rsidRPr="002C3C87" w:rsidRDefault="001E0A36" w:rsidP="002C3C87">
      <w:pPr>
        <w:rPr>
          <w:sz w:val="20"/>
          <w:szCs w:val="20"/>
        </w:rPr>
      </w:pPr>
    </w:p>
    <w:p w:rsidR="001E0A36" w:rsidRPr="0046147B" w:rsidRDefault="001E0A36" w:rsidP="002C3C87">
      <w:r w:rsidRPr="0046147B">
        <w:t>A tale proposito occorre rilevare che dal mese di maggio 2018, dopo la pubblicazione del Messaggio del Consiglio di Stato chiedente l’abrogazione della LIA, la CV-LIA si è autosospesa, non potendo di fatto più essere operativa.</w:t>
      </w:r>
    </w:p>
    <w:p w:rsidR="001E0A36" w:rsidRPr="002C3C87" w:rsidRDefault="001E0A36" w:rsidP="002C3C87">
      <w:pPr>
        <w:rPr>
          <w:sz w:val="20"/>
          <w:szCs w:val="20"/>
        </w:rPr>
      </w:pPr>
    </w:p>
    <w:p w:rsidR="001E0A36" w:rsidRDefault="001E0A36" w:rsidP="002C3C87">
      <w:r w:rsidRPr="0046147B">
        <w:t xml:space="preserve">Il Consiglio di Stato, con scritto del 4 luglio </w:t>
      </w:r>
      <w:smartTag w:uri="urn:schemas-microsoft-com:office:smarttags" w:element="metricconverter">
        <w:smartTagPr>
          <w:attr w:name="ProductID" w:val="2018, ha"/>
        </w:smartTagPr>
        <w:r w:rsidRPr="0046147B">
          <w:t>2018, ha</w:t>
        </w:r>
      </w:smartTag>
      <w:r w:rsidRPr="0046147B">
        <w:t xml:space="preserve"> inoltre dato le seguenti indicazioni alla CV-LIA:</w:t>
      </w:r>
    </w:p>
    <w:p w:rsidR="001E0A36" w:rsidRPr="002C3C87" w:rsidRDefault="001E0A36" w:rsidP="001E0A36">
      <w:pPr>
        <w:pStyle w:val="Paragrafoelenco1"/>
        <w:widowControl/>
        <w:numPr>
          <w:ilvl w:val="0"/>
          <w:numId w:val="21"/>
        </w:numPr>
        <w:autoSpaceDE/>
        <w:autoSpaceDN/>
        <w:adjustRightInd/>
        <w:spacing w:before="80"/>
        <w:ind w:left="284" w:hanging="284"/>
        <w:jc w:val="both"/>
        <w:rPr>
          <w:rFonts w:ascii="Arial" w:hAnsi="Arial" w:cs="Arial"/>
        </w:rPr>
      </w:pPr>
      <w:r w:rsidRPr="002C3C87">
        <w:rPr>
          <w:rFonts w:ascii="Arial" w:hAnsi="Arial" w:cs="Arial"/>
        </w:rPr>
        <w:t>limitazione dell’attività della direzione dell’albo alla registrazione delle domande in entrata;</w:t>
      </w:r>
    </w:p>
    <w:p w:rsidR="001E0A36" w:rsidRPr="002C3C87" w:rsidRDefault="001E0A36" w:rsidP="001E0A36">
      <w:pPr>
        <w:pStyle w:val="Paragrafoelenco1"/>
        <w:widowControl/>
        <w:numPr>
          <w:ilvl w:val="0"/>
          <w:numId w:val="21"/>
        </w:numPr>
        <w:autoSpaceDE/>
        <w:autoSpaceDN/>
        <w:adjustRightInd/>
        <w:spacing w:before="80"/>
        <w:ind w:left="284" w:hanging="284"/>
        <w:jc w:val="both"/>
        <w:rPr>
          <w:rFonts w:ascii="Arial" w:hAnsi="Arial" w:cs="Arial"/>
        </w:rPr>
      </w:pPr>
      <w:r w:rsidRPr="002C3C87">
        <w:rPr>
          <w:rFonts w:ascii="Arial" w:hAnsi="Arial" w:cs="Arial"/>
        </w:rPr>
        <w:lastRenderedPageBreak/>
        <w:t>sospensione dell’evasione delle domande, compresa la richiesta di documenti mancanti e l’audizione dei candidati;</w:t>
      </w:r>
    </w:p>
    <w:p w:rsidR="001E0A36" w:rsidRPr="002C3C87" w:rsidRDefault="001E0A36" w:rsidP="001E0A36">
      <w:pPr>
        <w:pStyle w:val="Paragrafoelenco1"/>
        <w:widowControl/>
        <w:numPr>
          <w:ilvl w:val="0"/>
          <w:numId w:val="21"/>
        </w:numPr>
        <w:autoSpaceDE/>
        <w:autoSpaceDN/>
        <w:adjustRightInd/>
        <w:spacing w:before="80"/>
        <w:ind w:left="284" w:hanging="284"/>
        <w:jc w:val="both"/>
        <w:rPr>
          <w:rFonts w:ascii="Arial" w:hAnsi="Arial" w:cs="Arial"/>
        </w:rPr>
      </w:pPr>
      <w:r w:rsidRPr="002C3C87">
        <w:rPr>
          <w:rFonts w:ascii="Arial" w:hAnsi="Arial" w:cs="Arial"/>
        </w:rPr>
        <w:t>invito ad astenersi dal formulare qualsiasi richiesta alle imprese provenienti da altri Cantoni;</w:t>
      </w:r>
    </w:p>
    <w:p w:rsidR="001E0A36" w:rsidRPr="002C3C87" w:rsidRDefault="001E0A36" w:rsidP="001E0A36">
      <w:pPr>
        <w:pStyle w:val="Paragrafoelenco1"/>
        <w:widowControl/>
        <w:numPr>
          <w:ilvl w:val="0"/>
          <w:numId w:val="21"/>
        </w:numPr>
        <w:autoSpaceDE/>
        <w:autoSpaceDN/>
        <w:adjustRightInd/>
        <w:spacing w:before="80"/>
        <w:ind w:left="284" w:hanging="284"/>
        <w:jc w:val="both"/>
        <w:rPr>
          <w:rFonts w:ascii="Arial" w:hAnsi="Arial" w:cs="Arial"/>
        </w:rPr>
      </w:pPr>
      <w:r w:rsidRPr="002C3C87">
        <w:rPr>
          <w:rFonts w:ascii="Arial" w:hAnsi="Arial" w:cs="Arial"/>
        </w:rPr>
        <w:t>invito a non intraprendere alcuna azione di incasso forzato per tasse fatturate ma non ancora pagate;</w:t>
      </w:r>
    </w:p>
    <w:p w:rsidR="001E0A36" w:rsidRPr="002C3C87" w:rsidRDefault="001E0A36" w:rsidP="001E0A36">
      <w:pPr>
        <w:pStyle w:val="Paragrafoelenco1"/>
        <w:widowControl/>
        <w:numPr>
          <w:ilvl w:val="0"/>
          <w:numId w:val="21"/>
        </w:numPr>
        <w:autoSpaceDE/>
        <w:autoSpaceDN/>
        <w:adjustRightInd/>
        <w:spacing w:before="80"/>
        <w:ind w:left="284" w:hanging="284"/>
        <w:jc w:val="both"/>
        <w:rPr>
          <w:rFonts w:ascii="Arial" w:hAnsi="Arial" w:cs="Arial"/>
        </w:rPr>
      </w:pPr>
      <w:r w:rsidRPr="002C3C87">
        <w:rPr>
          <w:rFonts w:ascii="Arial" w:hAnsi="Arial" w:cs="Arial"/>
        </w:rPr>
        <w:t>sospensione dell’evasione delle domande di accertamento;</w:t>
      </w:r>
    </w:p>
    <w:p w:rsidR="001E0A36" w:rsidRPr="002C3C87" w:rsidRDefault="001E0A36" w:rsidP="001E0A36">
      <w:pPr>
        <w:pStyle w:val="Paragrafoelenco1"/>
        <w:widowControl/>
        <w:numPr>
          <w:ilvl w:val="0"/>
          <w:numId w:val="21"/>
        </w:numPr>
        <w:autoSpaceDE/>
        <w:autoSpaceDN/>
        <w:adjustRightInd/>
        <w:spacing w:before="80"/>
        <w:ind w:left="284" w:hanging="284"/>
        <w:jc w:val="both"/>
        <w:rPr>
          <w:rFonts w:ascii="Arial" w:hAnsi="Arial" w:cs="Arial"/>
        </w:rPr>
      </w:pPr>
      <w:r w:rsidRPr="002C3C87">
        <w:rPr>
          <w:rFonts w:ascii="Arial" w:hAnsi="Arial" w:cs="Arial"/>
        </w:rPr>
        <w:t>limitazione dell’attività ispettiva al solo supporto a favore di altri enti di vigilanza, senza avviare procedure sanzionatorie in applicazione della LIA.</w:t>
      </w:r>
    </w:p>
    <w:p w:rsidR="001E0A36" w:rsidRPr="002C3C87" w:rsidRDefault="001E0A36" w:rsidP="002C3C87">
      <w:pPr>
        <w:rPr>
          <w:sz w:val="20"/>
          <w:szCs w:val="20"/>
        </w:rPr>
      </w:pPr>
    </w:p>
    <w:p w:rsidR="001E0A36" w:rsidRPr="0046147B" w:rsidRDefault="001E0A36" w:rsidP="002C3C87">
      <w:pPr>
        <w:rPr>
          <w:lang w:val="it-IT"/>
        </w:rPr>
      </w:pPr>
      <w:r w:rsidRPr="0046147B">
        <w:t xml:space="preserve">Già nel proprio Messaggio dell’8 maggio 2018 il Consiglio di Stato aveva del resto dato conto di aver </w:t>
      </w:r>
      <w:r>
        <w:rPr>
          <w:i/>
        </w:rPr>
        <w:t>«</w:t>
      </w:r>
      <w:r w:rsidRPr="0046147B">
        <w:rPr>
          <w:i/>
          <w:lang w:val="it-IT"/>
        </w:rPr>
        <w:t>chiesto alla Commissione di vigilanza di sospendere l’incasso forzato di tutti gli emolumenti come pure il perseguimento delle contravvenzioni</w:t>
      </w:r>
      <w:r>
        <w:rPr>
          <w:i/>
          <w:lang w:val="it-IT"/>
        </w:rPr>
        <w:t>»</w:t>
      </w:r>
      <w:r w:rsidRPr="0046147B">
        <w:rPr>
          <w:lang w:val="it-IT"/>
        </w:rPr>
        <w:t>.</w:t>
      </w:r>
    </w:p>
    <w:p w:rsidR="002C3C87" w:rsidRPr="002C3C87" w:rsidRDefault="002C3C87" w:rsidP="002C3C87">
      <w:pPr>
        <w:rPr>
          <w:sz w:val="20"/>
          <w:szCs w:val="20"/>
        </w:rPr>
      </w:pPr>
    </w:p>
    <w:p w:rsidR="001E0A36" w:rsidRDefault="001E0A36" w:rsidP="002C3C87">
      <w:r w:rsidRPr="0046147B">
        <w:t>Con scritto del 3 agosto 2018 Il Consiglio di Stato ha inoltre richiesto alla CV-LIA di attivare da subito tutte le operazioni tendenti alla completa chiusura della struttura amministrativa entro il 30 settembre 2018.</w:t>
      </w:r>
    </w:p>
    <w:p w:rsidR="001E0A36" w:rsidRPr="002C3C87" w:rsidRDefault="001E0A36" w:rsidP="002C3C87">
      <w:pPr>
        <w:rPr>
          <w:sz w:val="20"/>
          <w:szCs w:val="20"/>
        </w:rPr>
      </w:pPr>
    </w:p>
    <w:p w:rsidR="001E0A36" w:rsidRPr="0046147B" w:rsidRDefault="001E0A36" w:rsidP="002C3C87">
      <w:r w:rsidRPr="0046147B">
        <w:t xml:space="preserve">Secondo le informazioni assunte dalla scrivente Commissione, la CV-LIA si è nel frattempo ridimensionata e dal 31 ottobre 2018 rimangono in essere solo i contratti di lavoro della direttrice e di un’unità amministrativa, entrambi con preavviso di disdetta di due mesi. </w:t>
      </w:r>
    </w:p>
    <w:p w:rsidR="001E0A36" w:rsidRDefault="001E0A36" w:rsidP="002C3C87"/>
    <w:p w:rsidR="001E0A36" w:rsidRPr="0046147B" w:rsidRDefault="001E0A36" w:rsidP="002C3C87"/>
    <w:p w:rsidR="001E0A36" w:rsidRPr="0046147B" w:rsidRDefault="001E0A36" w:rsidP="002C3C87">
      <w:pPr>
        <w:pStyle w:val="Titolo2"/>
      </w:pPr>
      <w:r>
        <w:t>3.3</w:t>
      </w:r>
      <w:r w:rsidRPr="0046147B">
        <w:tab/>
        <w:t>Considerazioni della Commissione</w:t>
      </w:r>
    </w:p>
    <w:p w:rsidR="001E0A36" w:rsidRPr="0046147B" w:rsidRDefault="001E0A36" w:rsidP="001627ED">
      <w:r w:rsidRPr="0046147B">
        <w:t xml:space="preserve">Dalla lettura del Messaggio sembra di capire che il Consiglio di Stato </w:t>
      </w:r>
      <w:r w:rsidRPr="0046147B">
        <w:rPr>
          <w:u w:val="single"/>
        </w:rPr>
        <w:t>non</w:t>
      </w:r>
      <w:r w:rsidRPr="0046147B">
        <w:t xml:space="preserve"> intenda procedere all’incasso delle tasse e delle multe cresciute in giudicato e non ancora incassate; in tal senso esso si è del resto già rivolto alla CV-LIA nel maggio 2018.</w:t>
      </w:r>
    </w:p>
    <w:p w:rsidR="001E0A36" w:rsidRPr="0046147B" w:rsidRDefault="001E0A36" w:rsidP="001627ED"/>
    <w:p w:rsidR="001E0A36" w:rsidRPr="0046147B" w:rsidRDefault="001E0A36" w:rsidP="001627ED">
      <w:r w:rsidRPr="0046147B">
        <w:t xml:space="preserve">Per quanto riguarda le tasse si tratta di un importo di </w:t>
      </w:r>
      <w:r w:rsidRPr="0046147B">
        <w:rPr>
          <w:u w:val="single"/>
        </w:rPr>
        <w:t>CHF 429'740.--</w:t>
      </w:r>
      <w:r w:rsidRPr="0046147B">
        <w:t xml:space="preserve"> (CHF 49'740.-- per il 2017 e CHF 380'000.-- nel 2018).</w:t>
      </w:r>
    </w:p>
    <w:p w:rsidR="001E0A36" w:rsidRPr="0046147B" w:rsidRDefault="001E0A36" w:rsidP="001627ED"/>
    <w:p w:rsidR="001E0A36" w:rsidRPr="0046147B" w:rsidRDefault="001E0A36" w:rsidP="001627ED">
      <w:r w:rsidRPr="0046147B">
        <w:t xml:space="preserve">Così facendo gli artigiani che hanno diligentemente pagato le tasse relative al 2018, per un importo pari a CHF 582'500.--, sono indubbiamente discriminati. </w:t>
      </w:r>
    </w:p>
    <w:p w:rsidR="001E0A36" w:rsidRPr="0046147B" w:rsidRDefault="001E0A36" w:rsidP="001627ED"/>
    <w:p w:rsidR="001E0A36" w:rsidRPr="0046147B" w:rsidRDefault="001E0A36" w:rsidP="001627ED">
      <w:r w:rsidRPr="0046147B">
        <w:t>In effetti, se la motivazione per la mancata restituzione delle tasse è che la LIA era (ed è) ancora in vigore, non si capisce per quale motivo l’autorità rinuncia all’incasso di tasse emesse e cresciute i giudicate sulla base della medesima LIA.</w:t>
      </w:r>
    </w:p>
    <w:p w:rsidR="001E0A36" w:rsidRPr="0046147B" w:rsidRDefault="001E0A36" w:rsidP="001627ED"/>
    <w:p w:rsidR="001E0A36" w:rsidRPr="0046147B" w:rsidRDefault="001E0A36" w:rsidP="001627ED">
      <w:r w:rsidRPr="0046147B">
        <w:t xml:space="preserve">Il Consiglio di Stato sostiene peraltro che le conclusioni delle note decisioni del TRAM non sarebbero applicabili alle imprese non-confederate (cioè non al beneficio della LMI), ciò che escluderebbe la facoltà di ottenere il rimborso, per cui si capisce ancora meno tale disparità di trattamento. </w:t>
      </w:r>
    </w:p>
    <w:p w:rsidR="001E0A36" w:rsidRPr="0046147B" w:rsidRDefault="001E0A36" w:rsidP="001627ED"/>
    <w:p w:rsidR="001E0A36" w:rsidRPr="0046147B" w:rsidRDefault="001E0A36" w:rsidP="001627ED">
      <w:r w:rsidRPr="0046147B">
        <w:t>A mente della Commissione è evidente che l’incasso e la restituzione sono due facce della stessa medaglia, pertanto delle due l’una: a) o si ritiene che la base legale è/era data e quindi si incassano tutte le tasse emesse nel 2018; b) o si ritiene che la base legale è/era problematica e quindi non si incassano le tasse emesse nel 2018 e si restituiscono quelle già incassate di pertinenza del medesimo anno.</w:t>
      </w:r>
    </w:p>
    <w:p w:rsidR="001E0A36" w:rsidRPr="0046147B" w:rsidRDefault="001E0A36" w:rsidP="001627ED"/>
    <w:p w:rsidR="001E0A36" w:rsidRPr="0046147B" w:rsidRDefault="001E0A36" w:rsidP="001627ED">
      <w:r w:rsidRPr="0046147B">
        <w:lastRenderedPageBreak/>
        <w:t>La Commissione, condividendo le considerazioni del Consiglio di Stato, ritiene che l’incasso di tasse emesse nel 2018 sia problematico, di conseguenza – per coerenza e per parità di trattamento – devono essere restituite pure le tasse emesse nel 2018.</w:t>
      </w:r>
    </w:p>
    <w:p w:rsidR="001E0A36" w:rsidRPr="0046147B" w:rsidRDefault="001E0A36" w:rsidP="001627ED"/>
    <w:p w:rsidR="001E0A36" w:rsidRPr="0046147B" w:rsidRDefault="001E0A36" w:rsidP="001627ED">
      <w:r w:rsidRPr="0046147B">
        <w:t>La Commissione ritiene che vi sia un ulteriore motivo per restituire le tasse emesse ed incassate nel 2018 ed è il fatto che la Commissione, già nei primi mesi dell’anno, ha sostanzialmente interrotto la propria attività.</w:t>
      </w:r>
    </w:p>
    <w:p w:rsidR="001E0A36" w:rsidRPr="0046147B" w:rsidRDefault="001E0A36" w:rsidP="001627ED"/>
    <w:p w:rsidR="001E0A36" w:rsidRPr="0046147B" w:rsidRDefault="001E0A36" w:rsidP="001627ED">
      <w:r w:rsidRPr="0046147B">
        <w:t>Considerato che si tratta, di tutta evidenza, di una tassa causale non si capisce per quale motivo lo Stato dovrebbe trattenere l’incasso di importi che avrebbero dovuto essere utilizzati per lo svolgimento di un’attività che – per decisione del Consiglio di Stato – non è stata svolta.</w:t>
      </w:r>
    </w:p>
    <w:p w:rsidR="001E0A36" w:rsidRPr="0046147B" w:rsidRDefault="001E0A36" w:rsidP="001627ED"/>
    <w:p w:rsidR="001E0A36" w:rsidRPr="0046147B" w:rsidRDefault="001E0A36" w:rsidP="001627ED">
      <w:r w:rsidRPr="0046147B">
        <w:t>Per quanto riguarda le multe, la Commissione ritiene invece che non sia opportuna una restituzione, dato che tali multe hanno comunque sanzionato delle violazioni di obblighi di legge, riconosciute dai multati (tanto che le multe sono state pagate). La situazione di queste persone non è pertanto equiparabile a quella degli artigiani che, in buona fede, hanno pagato delle tasse per un servizio che, in larga misura, neppure è stato fornito.</w:t>
      </w:r>
    </w:p>
    <w:p w:rsidR="001E0A36" w:rsidRPr="0046147B" w:rsidRDefault="001E0A36" w:rsidP="001627ED"/>
    <w:p w:rsidR="001E0A36" w:rsidRPr="0046147B" w:rsidRDefault="001E0A36" w:rsidP="001627ED">
      <w:r w:rsidRPr="0046147B">
        <w:t>Come postulato dalla mozione la restituzione dovrebbe essere limitata alle imprese residenti in Ticino, che non potevano prevalersi (direttamente o indirettamente) della LMI e che non avevano quindi degli strumenti giuridici immediatamente disponibili per opporsi al pagamento di tali tasse.</w:t>
      </w:r>
    </w:p>
    <w:p w:rsidR="001E0A36" w:rsidRPr="0046147B" w:rsidRDefault="001E0A36" w:rsidP="001627ED">
      <w:r w:rsidRPr="0046147B">
        <w:t>Per motivi di opportunità la Commissione propone di estendere la restituzione alle imprese con sede in Svizzera.</w:t>
      </w:r>
    </w:p>
    <w:p w:rsidR="001E0A36" w:rsidRPr="0046147B" w:rsidRDefault="001E0A36" w:rsidP="001627ED"/>
    <w:p w:rsidR="001E0A36" w:rsidRPr="0046147B" w:rsidRDefault="001E0A36" w:rsidP="001627ED"/>
    <w:p w:rsidR="001E0A36" w:rsidRPr="0046147B" w:rsidRDefault="001E0A36" w:rsidP="00EB2CF2">
      <w:pPr>
        <w:pStyle w:val="Titolo1"/>
      </w:pPr>
      <w:r w:rsidRPr="0046147B">
        <w:t>Conclusioni</w:t>
      </w:r>
    </w:p>
    <w:p w:rsidR="001E0A36" w:rsidRPr="0046147B" w:rsidRDefault="001E0A36" w:rsidP="001E0A36">
      <w:pPr>
        <w:rPr>
          <w:rFonts w:cs="Arial"/>
        </w:rPr>
      </w:pPr>
      <w:r w:rsidRPr="0046147B">
        <w:rPr>
          <w:rFonts w:cs="Arial"/>
        </w:rPr>
        <w:t>Per tutto quanto sopra riportato, la Commissione chiede al Gran Consiglio di accogliere parzialmente la mozione in oggetto nel senso che nell’ambito dell’abrogazione/modifica della LIA sia prevista la restituzione, alle imprese con sede in Svizzera, delle tasse di iscrizione pagate nel 2018.</w:t>
      </w:r>
    </w:p>
    <w:p w:rsidR="00CB127C" w:rsidRDefault="00CB127C" w:rsidP="00CB127C">
      <w:pPr>
        <w:rPr>
          <w:rFonts w:cs="Arial"/>
        </w:rPr>
      </w:pPr>
    </w:p>
    <w:p w:rsidR="000B2940" w:rsidRDefault="000B2940" w:rsidP="00CB127C">
      <w:pPr>
        <w:rPr>
          <w:rFonts w:cs="Arial"/>
        </w:rPr>
      </w:pPr>
    </w:p>
    <w:p w:rsidR="000B2940" w:rsidRPr="008219F2" w:rsidRDefault="000B2940" w:rsidP="00CB127C">
      <w:pPr>
        <w:rPr>
          <w:rFonts w:cs="Arial"/>
        </w:rPr>
      </w:pPr>
    </w:p>
    <w:p w:rsidR="00CB127C" w:rsidRPr="008219F2" w:rsidRDefault="00CB127C" w:rsidP="00CB127C">
      <w:pPr>
        <w:spacing w:after="120"/>
        <w:rPr>
          <w:rFonts w:cs="Arial"/>
        </w:rPr>
      </w:pPr>
      <w:r w:rsidRPr="008219F2">
        <w:rPr>
          <w:rFonts w:cs="Arial"/>
        </w:rPr>
        <w:t xml:space="preserve">Per la Commissione </w:t>
      </w:r>
      <w:r w:rsidR="001627ED">
        <w:rPr>
          <w:rFonts w:cs="Arial"/>
        </w:rPr>
        <w:t>legislazione</w:t>
      </w:r>
      <w:r w:rsidRPr="008219F2">
        <w:rPr>
          <w:rFonts w:cs="Arial"/>
        </w:rPr>
        <w:t>:</w:t>
      </w:r>
    </w:p>
    <w:p w:rsidR="00CB127C" w:rsidRPr="008219F2" w:rsidRDefault="00A87215" w:rsidP="00CB127C">
      <w:pPr>
        <w:rPr>
          <w:rFonts w:cs="Arial"/>
        </w:rPr>
      </w:pPr>
      <w:r>
        <w:rPr>
          <w:szCs w:val="24"/>
        </w:rPr>
        <w:t>Maurizio Agustoni</w:t>
      </w:r>
      <w:r w:rsidR="00CB127C">
        <w:rPr>
          <w:rFonts w:cs="Arial"/>
        </w:rPr>
        <w:t>, relat</w:t>
      </w:r>
      <w:r w:rsidR="005F4380">
        <w:rPr>
          <w:rFonts w:cs="Arial"/>
        </w:rPr>
        <w:t>o</w:t>
      </w:r>
      <w:r w:rsidR="00CB127C" w:rsidRPr="008219F2">
        <w:rPr>
          <w:rFonts w:cs="Arial"/>
        </w:rPr>
        <w:t>re</w:t>
      </w:r>
    </w:p>
    <w:p w:rsidR="001627ED" w:rsidRPr="0046147B" w:rsidRDefault="001627ED" w:rsidP="001627ED">
      <w:pPr>
        <w:rPr>
          <w:rFonts w:cs="Arial"/>
        </w:rPr>
      </w:pPr>
      <w:r>
        <w:rPr>
          <w:rFonts w:cs="Arial"/>
        </w:rPr>
        <w:t>Ducry (con riserva) - Ghisolfi (con riserva) - Gendotti</w:t>
      </w:r>
    </w:p>
    <w:p w:rsidR="00CB127C" w:rsidRPr="00076E70" w:rsidRDefault="00CB127C" w:rsidP="00CB127C">
      <w:pPr>
        <w:rPr>
          <w:rFonts w:cs="Arial"/>
          <w:szCs w:val="24"/>
        </w:rPr>
      </w:pPr>
    </w:p>
    <w:p w:rsidR="00CB127C" w:rsidRDefault="00CB127C" w:rsidP="00CB127C"/>
    <w:p w:rsidR="001627ED" w:rsidRDefault="001627ED" w:rsidP="00CB127C"/>
    <w:p w:rsidR="001627ED" w:rsidRDefault="001627ED" w:rsidP="00CB127C"/>
    <w:p w:rsidR="001627ED" w:rsidRDefault="001627ED" w:rsidP="00CB127C"/>
    <w:p w:rsidR="001627ED" w:rsidRDefault="001627ED" w:rsidP="00CB127C"/>
    <w:p w:rsidR="001627ED" w:rsidRDefault="001627ED" w:rsidP="00CB127C"/>
    <w:p w:rsidR="001627ED" w:rsidRDefault="001627ED" w:rsidP="00CB127C"/>
    <w:p w:rsidR="001627ED" w:rsidRDefault="001627ED" w:rsidP="00CB127C"/>
    <w:p w:rsidR="001627ED" w:rsidRDefault="001627ED" w:rsidP="00CB127C"/>
    <w:p w:rsidR="001627ED" w:rsidRDefault="001627ED" w:rsidP="00CB127C"/>
    <w:p w:rsidR="001627ED" w:rsidRPr="001627ED" w:rsidRDefault="001627ED" w:rsidP="00CB127C">
      <w:pPr>
        <w:rPr>
          <w:sz w:val="22"/>
        </w:rPr>
      </w:pPr>
      <w:r w:rsidRPr="001627ED">
        <w:rPr>
          <w:sz w:val="22"/>
          <w:u w:val="single"/>
        </w:rPr>
        <w:t>Annessa:</w:t>
      </w:r>
      <w:r w:rsidRPr="001627ED">
        <w:rPr>
          <w:sz w:val="22"/>
        </w:rPr>
        <w:t xml:space="preserve">  Mozione 9 aprile 2018</w:t>
      </w:r>
    </w:p>
    <w:p w:rsidR="001627ED" w:rsidRPr="002C3C87" w:rsidRDefault="001627ED" w:rsidP="00CB127C">
      <w:pPr>
        <w:rPr>
          <w:sz w:val="4"/>
          <w:szCs w:val="4"/>
        </w:rPr>
      </w:pPr>
    </w:p>
    <w:p w:rsidR="001627ED" w:rsidRDefault="001627ED">
      <w:r>
        <w:br w:type="page"/>
      </w:r>
    </w:p>
    <w:p w:rsidR="001627ED" w:rsidRPr="001627ED" w:rsidRDefault="001627ED" w:rsidP="001627ED">
      <w:pPr>
        <w:spacing w:after="120"/>
        <w:rPr>
          <w:rFonts w:cs="Arial"/>
          <w:b/>
          <w:sz w:val="22"/>
        </w:rPr>
      </w:pPr>
      <w:r w:rsidRPr="001627ED">
        <w:rPr>
          <w:rFonts w:cs="Arial"/>
          <w:b/>
          <w:sz w:val="22"/>
        </w:rPr>
        <w:lastRenderedPageBreak/>
        <w:t xml:space="preserve">MOZIONE </w:t>
      </w:r>
    </w:p>
    <w:p w:rsidR="001627ED" w:rsidRPr="001627ED" w:rsidRDefault="001627ED" w:rsidP="001627ED">
      <w:pPr>
        <w:rPr>
          <w:rFonts w:cs="Arial"/>
          <w:b/>
          <w:sz w:val="22"/>
          <w:u w:val="single"/>
        </w:rPr>
      </w:pPr>
    </w:p>
    <w:p w:rsidR="001627ED" w:rsidRPr="001627ED" w:rsidRDefault="001627ED" w:rsidP="001627ED">
      <w:pPr>
        <w:spacing w:after="120"/>
        <w:rPr>
          <w:rFonts w:cs="Arial"/>
          <w:b/>
          <w:sz w:val="22"/>
          <w:u w:val="single"/>
        </w:rPr>
      </w:pPr>
      <w:r w:rsidRPr="001627ED">
        <w:rPr>
          <w:rFonts w:cs="Arial"/>
          <w:b/>
          <w:sz w:val="22"/>
          <w:u w:val="single"/>
        </w:rPr>
        <w:t>Abrogazione della Legge sulle imprese artigianali (LIA): il Parlamento riconosca i propri errori e il Governo restituisca il dovuto agli artigiani residenti!</w:t>
      </w:r>
    </w:p>
    <w:p w:rsidR="001627ED" w:rsidRPr="001627ED" w:rsidRDefault="001627ED" w:rsidP="001627ED">
      <w:pPr>
        <w:rPr>
          <w:rFonts w:cs="Arial"/>
          <w:b/>
          <w:sz w:val="22"/>
        </w:rPr>
      </w:pPr>
    </w:p>
    <w:p w:rsidR="001627ED" w:rsidRPr="001627ED" w:rsidRDefault="001627ED" w:rsidP="001627ED">
      <w:pPr>
        <w:rPr>
          <w:rFonts w:cs="Arial"/>
          <w:sz w:val="22"/>
        </w:rPr>
      </w:pPr>
      <w:r w:rsidRPr="001627ED">
        <w:rPr>
          <w:rFonts w:cs="Arial"/>
          <w:sz w:val="22"/>
        </w:rPr>
        <w:t>del 9 aprile 2018</w:t>
      </w:r>
    </w:p>
    <w:p w:rsidR="001627ED" w:rsidRPr="001627ED" w:rsidRDefault="001627ED" w:rsidP="001627ED">
      <w:pPr>
        <w:rPr>
          <w:rFonts w:cs="Arial"/>
          <w:b/>
          <w:sz w:val="22"/>
        </w:rPr>
      </w:pPr>
    </w:p>
    <w:p w:rsidR="001627ED" w:rsidRPr="001627ED" w:rsidRDefault="001627ED" w:rsidP="001627ED">
      <w:pPr>
        <w:rPr>
          <w:rFonts w:cs="Arial"/>
          <w:b/>
          <w:sz w:val="22"/>
        </w:rPr>
      </w:pPr>
    </w:p>
    <w:p w:rsidR="001627ED" w:rsidRPr="001627ED" w:rsidRDefault="001627ED" w:rsidP="001627ED">
      <w:pPr>
        <w:rPr>
          <w:rFonts w:cs="Arial"/>
          <w:sz w:val="22"/>
        </w:rPr>
      </w:pPr>
      <w:r w:rsidRPr="001627ED">
        <w:rPr>
          <w:rFonts w:cs="Arial"/>
          <w:sz w:val="22"/>
        </w:rPr>
        <w:t>In data 7 marzo il Consiglio di Stato ha informato per mezzo stampa di essersi confrontato in merito al futuro della Legge sulle imprese artigianali (LIA) sulla base della sentenza del Tribunale cantonale amministrativo (TRAM) del 27 febbraio 2018. Essa ha stabilito che la LIA è lesiva della Legge federale sul mercato interno e che non rispetta il principio di proporzionalità.</w:t>
      </w:r>
    </w:p>
    <w:p w:rsidR="001627ED" w:rsidRPr="001627ED" w:rsidRDefault="001627ED" w:rsidP="001627ED">
      <w:pPr>
        <w:spacing w:before="120"/>
        <w:rPr>
          <w:rFonts w:cs="Arial"/>
          <w:sz w:val="22"/>
        </w:rPr>
      </w:pPr>
      <w:r w:rsidRPr="001627ED">
        <w:rPr>
          <w:rFonts w:cs="Arial"/>
          <w:sz w:val="22"/>
        </w:rPr>
        <w:t>Malgrado la sentenza del TRAM, non ci si può esimere dall'affermare che la LIA ha comunque permesso alle autorità di prendere coscienza fino in fondo della problematica e di aver fatto emergere con forza numeri e cifre che contraddistinguono il fenomeno dei padroncini e delle difficoltà dell'artigianato locale.</w:t>
      </w:r>
    </w:p>
    <w:p w:rsidR="001627ED" w:rsidRPr="001627ED" w:rsidRDefault="001627ED" w:rsidP="001627ED">
      <w:pPr>
        <w:spacing w:before="120"/>
        <w:rPr>
          <w:rFonts w:cs="Arial"/>
          <w:sz w:val="22"/>
        </w:rPr>
      </w:pPr>
      <w:r w:rsidRPr="001627ED">
        <w:rPr>
          <w:rFonts w:cs="Arial"/>
          <w:sz w:val="22"/>
        </w:rPr>
        <w:t>Pur prendendo atto della volontà del Consiglio di Stato di voler incaricare il Dipartimento del territorio di effettuare i passi necessari per procedere all'abrogazione della LIA e parallelamente di incaricare il Dipartimento delle finanze e dell'economia di perseverare nel controllo e nel monitoraggio del mondo del lavoro, l'inevitabile rinuncia alla LIA non deve in alcun modo costituire il primo passo alla rinuncia della tutela dell'artigianato locale dalla concorrenza sleale dei padroncini.</w:t>
      </w:r>
    </w:p>
    <w:p w:rsidR="001627ED" w:rsidRPr="001627ED" w:rsidRDefault="001627ED" w:rsidP="001627ED">
      <w:pPr>
        <w:spacing w:before="120"/>
        <w:rPr>
          <w:rFonts w:cs="Arial"/>
          <w:sz w:val="22"/>
        </w:rPr>
      </w:pPr>
      <w:r w:rsidRPr="001627ED">
        <w:rPr>
          <w:rFonts w:cs="Arial"/>
          <w:sz w:val="22"/>
        </w:rPr>
        <w:t>L'artigianato ticinese, posto sotto continua pressione e contraddistinto in particolare da piccole e medie imprese spesso a conduzione familiare, necessita infatti di nuove idee che portino a misure concrete a propria tutela e protezione.</w:t>
      </w:r>
    </w:p>
    <w:p w:rsidR="001627ED" w:rsidRPr="001627ED" w:rsidRDefault="001627ED" w:rsidP="001627ED">
      <w:pPr>
        <w:spacing w:before="120"/>
        <w:rPr>
          <w:rFonts w:cs="Arial"/>
          <w:sz w:val="22"/>
        </w:rPr>
      </w:pPr>
      <w:r w:rsidRPr="001627ED">
        <w:rPr>
          <w:rFonts w:cs="Arial"/>
          <w:sz w:val="22"/>
        </w:rPr>
        <w:t xml:space="preserve">Consideriamo infine che la LIA, riconoscendo l'errore di valutazione del Gran Consiglio, non dovrà essere ricordata come la legge che ha voluto discriminare l'artigianato locale a discapito di altri che, dall'entrata in vigore, hanno comunque continuato a prestare servizio sul territorio cantonale. </w:t>
      </w:r>
    </w:p>
    <w:p w:rsidR="001627ED" w:rsidRPr="001627ED" w:rsidRDefault="001627ED" w:rsidP="001627ED">
      <w:pPr>
        <w:rPr>
          <w:rFonts w:cs="Arial"/>
          <w:sz w:val="22"/>
        </w:rPr>
      </w:pPr>
    </w:p>
    <w:p w:rsidR="001627ED" w:rsidRPr="001627ED" w:rsidRDefault="001627ED" w:rsidP="001627ED">
      <w:pPr>
        <w:rPr>
          <w:rFonts w:cs="Arial"/>
          <w:sz w:val="22"/>
        </w:rPr>
      </w:pPr>
      <w:r w:rsidRPr="001627ED">
        <w:rPr>
          <w:rFonts w:cs="Arial"/>
          <w:sz w:val="22"/>
        </w:rPr>
        <w:t>Sulla base di quanto espresso con la presente mozione intendiamo quindi chiedere:</w:t>
      </w:r>
    </w:p>
    <w:p w:rsidR="001627ED" w:rsidRPr="001627ED" w:rsidRDefault="001627ED" w:rsidP="001627ED">
      <w:pPr>
        <w:pStyle w:val="Paragrafoelenco"/>
        <w:numPr>
          <w:ilvl w:val="0"/>
          <w:numId w:val="20"/>
        </w:numPr>
        <w:spacing w:before="120"/>
        <w:ind w:left="284" w:hanging="284"/>
        <w:rPr>
          <w:rFonts w:cs="Arial"/>
          <w:sz w:val="22"/>
        </w:rPr>
      </w:pPr>
      <w:r w:rsidRPr="001627ED">
        <w:rPr>
          <w:rFonts w:cs="Arial"/>
          <w:sz w:val="22"/>
        </w:rPr>
        <w:t>misure sostitutive concrete e conformi al diritto federale per la salvaguardia dell'artigianato locale elaborate sulla base delle esperienze positive generate in questi anni dall'entrata in vigore della LIA;</w:t>
      </w:r>
    </w:p>
    <w:p w:rsidR="001627ED" w:rsidRPr="001627ED" w:rsidRDefault="001627ED" w:rsidP="001627ED">
      <w:pPr>
        <w:pStyle w:val="Paragrafoelenco"/>
        <w:numPr>
          <w:ilvl w:val="0"/>
          <w:numId w:val="20"/>
        </w:numPr>
        <w:spacing w:before="120"/>
        <w:ind w:left="284" w:hanging="284"/>
        <w:rPr>
          <w:rFonts w:cs="Arial"/>
          <w:sz w:val="22"/>
        </w:rPr>
      </w:pPr>
      <w:r w:rsidRPr="001627ED">
        <w:rPr>
          <w:rFonts w:cs="Arial"/>
          <w:sz w:val="22"/>
        </w:rPr>
        <w:t>la restituzione agli artigiani residenti delle tasse incassate per l'iscrizione all'albo;</w:t>
      </w:r>
    </w:p>
    <w:p w:rsidR="001627ED" w:rsidRPr="001627ED" w:rsidRDefault="001627ED" w:rsidP="001627ED">
      <w:pPr>
        <w:pStyle w:val="Paragrafoelenco"/>
        <w:numPr>
          <w:ilvl w:val="0"/>
          <w:numId w:val="20"/>
        </w:numPr>
        <w:spacing w:before="120"/>
        <w:ind w:left="284" w:hanging="284"/>
        <w:rPr>
          <w:rFonts w:cs="Arial"/>
          <w:sz w:val="22"/>
        </w:rPr>
      </w:pPr>
      <w:r w:rsidRPr="001627ED">
        <w:rPr>
          <w:rFonts w:cs="Arial"/>
          <w:sz w:val="22"/>
        </w:rPr>
        <w:t>la restituzione agli artigiani residenti delle multe legate alle procedure di iscrizione</w:t>
      </w:r>
    </w:p>
    <w:p w:rsidR="001627ED" w:rsidRPr="001627ED" w:rsidRDefault="001627ED" w:rsidP="001627ED">
      <w:pPr>
        <w:rPr>
          <w:rFonts w:cs="Arial"/>
          <w:sz w:val="22"/>
        </w:rPr>
      </w:pPr>
    </w:p>
    <w:p w:rsidR="001627ED" w:rsidRPr="001627ED" w:rsidRDefault="001627ED" w:rsidP="001627ED">
      <w:pPr>
        <w:rPr>
          <w:rFonts w:cs="Arial"/>
          <w:sz w:val="22"/>
        </w:rPr>
      </w:pPr>
    </w:p>
    <w:p w:rsidR="001627ED" w:rsidRPr="001627ED" w:rsidRDefault="001627ED" w:rsidP="001627ED">
      <w:pPr>
        <w:rPr>
          <w:rFonts w:cs="Arial"/>
          <w:sz w:val="22"/>
        </w:rPr>
      </w:pPr>
      <w:r w:rsidRPr="001627ED">
        <w:rPr>
          <w:rFonts w:cs="Arial"/>
          <w:sz w:val="22"/>
        </w:rPr>
        <w:t>Simone Ghisla e Fabio Schnellmann</w:t>
      </w:r>
    </w:p>
    <w:p w:rsidR="001627ED" w:rsidRPr="001627ED" w:rsidRDefault="001627ED" w:rsidP="001627ED">
      <w:pPr>
        <w:rPr>
          <w:rFonts w:cs="Arial"/>
          <w:sz w:val="22"/>
        </w:rPr>
      </w:pPr>
    </w:p>
    <w:sectPr w:rsidR="001627ED" w:rsidRPr="001627ED"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98B" w:rsidRDefault="00DF098B" w:rsidP="008E77C6">
      <w:r>
        <w:separator/>
      </w:r>
    </w:p>
  </w:endnote>
  <w:endnote w:type="continuationSeparator" w:id="0">
    <w:p w:rsidR="00DF098B" w:rsidRDefault="00DF098B"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866302" w:rsidRPr="00866302">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98B" w:rsidRDefault="00DF098B" w:rsidP="008E77C6">
      <w:r>
        <w:separator/>
      </w:r>
    </w:p>
  </w:footnote>
  <w:footnote w:type="continuationSeparator" w:id="0">
    <w:p w:rsidR="00DF098B" w:rsidRDefault="00DF098B"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9">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2">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4">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5">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F89245B"/>
    <w:multiLevelType w:val="hybridMultilevel"/>
    <w:tmpl w:val="FE523D1C"/>
    <w:lvl w:ilvl="0" w:tplc="8F60C250">
      <w:start w:val="1"/>
      <w:numFmt w:val="bullet"/>
      <w:lvlText w:val="-"/>
      <w:lvlJc w:val="left"/>
      <w:pPr>
        <w:ind w:left="721" w:hanging="360"/>
      </w:pPr>
      <w:rPr>
        <w:rFonts w:ascii="Times New Roman" w:eastAsia="Times New Roman" w:hAnsi="Times New Roman" w:hint="default"/>
      </w:rPr>
    </w:lvl>
    <w:lvl w:ilvl="1" w:tplc="08100003" w:tentative="1">
      <w:start w:val="1"/>
      <w:numFmt w:val="bullet"/>
      <w:lvlText w:val="o"/>
      <w:lvlJc w:val="left"/>
      <w:pPr>
        <w:ind w:left="1441" w:hanging="360"/>
      </w:pPr>
      <w:rPr>
        <w:rFonts w:ascii="Courier New" w:hAnsi="Courier New" w:hint="default"/>
      </w:rPr>
    </w:lvl>
    <w:lvl w:ilvl="2" w:tplc="08100005" w:tentative="1">
      <w:start w:val="1"/>
      <w:numFmt w:val="bullet"/>
      <w:lvlText w:val=""/>
      <w:lvlJc w:val="left"/>
      <w:pPr>
        <w:ind w:left="2161" w:hanging="360"/>
      </w:pPr>
      <w:rPr>
        <w:rFonts w:ascii="Wingdings" w:hAnsi="Wingdings" w:hint="default"/>
      </w:rPr>
    </w:lvl>
    <w:lvl w:ilvl="3" w:tplc="08100001" w:tentative="1">
      <w:start w:val="1"/>
      <w:numFmt w:val="bullet"/>
      <w:lvlText w:val=""/>
      <w:lvlJc w:val="left"/>
      <w:pPr>
        <w:ind w:left="2881" w:hanging="360"/>
      </w:pPr>
      <w:rPr>
        <w:rFonts w:ascii="Symbol" w:hAnsi="Symbol" w:hint="default"/>
      </w:rPr>
    </w:lvl>
    <w:lvl w:ilvl="4" w:tplc="08100003" w:tentative="1">
      <w:start w:val="1"/>
      <w:numFmt w:val="bullet"/>
      <w:lvlText w:val="o"/>
      <w:lvlJc w:val="left"/>
      <w:pPr>
        <w:ind w:left="3601" w:hanging="360"/>
      </w:pPr>
      <w:rPr>
        <w:rFonts w:ascii="Courier New" w:hAnsi="Courier New" w:hint="default"/>
      </w:rPr>
    </w:lvl>
    <w:lvl w:ilvl="5" w:tplc="08100005" w:tentative="1">
      <w:start w:val="1"/>
      <w:numFmt w:val="bullet"/>
      <w:lvlText w:val=""/>
      <w:lvlJc w:val="left"/>
      <w:pPr>
        <w:ind w:left="4321" w:hanging="360"/>
      </w:pPr>
      <w:rPr>
        <w:rFonts w:ascii="Wingdings" w:hAnsi="Wingdings" w:hint="default"/>
      </w:rPr>
    </w:lvl>
    <w:lvl w:ilvl="6" w:tplc="08100001" w:tentative="1">
      <w:start w:val="1"/>
      <w:numFmt w:val="bullet"/>
      <w:lvlText w:val=""/>
      <w:lvlJc w:val="left"/>
      <w:pPr>
        <w:ind w:left="5041" w:hanging="360"/>
      </w:pPr>
      <w:rPr>
        <w:rFonts w:ascii="Symbol" w:hAnsi="Symbol" w:hint="default"/>
      </w:rPr>
    </w:lvl>
    <w:lvl w:ilvl="7" w:tplc="08100003" w:tentative="1">
      <w:start w:val="1"/>
      <w:numFmt w:val="bullet"/>
      <w:lvlText w:val="o"/>
      <w:lvlJc w:val="left"/>
      <w:pPr>
        <w:ind w:left="5761" w:hanging="360"/>
      </w:pPr>
      <w:rPr>
        <w:rFonts w:ascii="Courier New" w:hAnsi="Courier New" w:hint="default"/>
      </w:rPr>
    </w:lvl>
    <w:lvl w:ilvl="8" w:tplc="08100005" w:tentative="1">
      <w:start w:val="1"/>
      <w:numFmt w:val="bullet"/>
      <w:lvlText w:val=""/>
      <w:lvlJc w:val="left"/>
      <w:pPr>
        <w:ind w:left="6481" w:hanging="360"/>
      </w:pPr>
      <w:rPr>
        <w:rFonts w:ascii="Wingdings" w:hAnsi="Wingdings" w:hint="default"/>
      </w:rPr>
    </w:lvl>
  </w:abstractNum>
  <w:abstractNum w:abstractNumId="18">
    <w:nsid w:val="7344593A"/>
    <w:multiLevelType w:val="hybridMultilevel"/>
    <w:tmpl w:val="82C6540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6"/>
  </w:num>
  <w:num w:numId="2">
    <w:abstractNumId w:val="16"/>
  </w:num>
  <w:num w:numId="3">
    <w:abstractNumId w:val="19"/>
  </w:num>
  <w:num w:numId="4">
    <w:abstractNumId w:val="2"/>
  </w:num>
  <w:num w:numId="5">
    <w:abstractNumId w:val="7"/>
  </w:num>
  <w:num w:numId="6">
    <w:abstractNumId w:val="6"/>
  </w:num>
  <w:num w:numId="7">
    <w:abstractNumId w:val="3"/>
  </w:num>
  <w:num w:numId="8">
    <w:abstractNumId w:val="12"/>
  </w:num>
  <w:num w:numId="9">
    <w:abstractNumId w:val="5"/>
  </w:num>
  <w:num w:numId="10">
    <w:abstractNumId w:val="9"/>
  </w:num>
  <w:num w:numId="11">
    <w:abstractNumId w:val="10"/>
  </w:num>
  <w:num w:numId="12">
    <w:abstractNumId w:val="13"/>
  </w:num>
  <w:num w:numId="13">
    <w:abstractNumId w:val="4"/>
  </w:num>
  <w:num w:numId="14">
    <w:abstractNumId w:val="11"/>
  </w:num>
  <w:num w:numId="15">
    <w:abstractNumId w:val="15"/>
  </w:num>
  <w:num w:numId="16">
    <w:abstractNumId w:val="0"/>
  </w:num>
  <w:num w:numId="17">
    <w:abstractNumId w:val="14"/>
  </w:num>
  <w:num w:numId="18">
    <w:abstractNumId w:val="1"/>
  </w:num>
  <w:num w:numId="19">
    <w:abstractNumId w:val="8"/>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B2940"/>
    <w:rsid w:val="001627ED"/>
    <w:rsid w:val="001E0A36"/>
    <w:rsid w:val="002C3C87"/>
    <w:rsid w:val="002E5E40"/>
    <w:rsid w:val="003B7935"/>
    <w:rsid w:val="0052425A"/>
    <w:rsid w:val="0057039F"/>
    <w:rsid w:val="00586A8D"/>
    <w:rsid w:val="005F4380"/>
    <w:rsid w:val="006D7A3B"/>
    <w:rsid w:val="007B5462"/>
    <w:rsid w:val="008034BD"/>
    <w:rsid w:val="00866302"/>
    <w:rsid w:val="00876352"/>
    <w:rsid w:val="008B4137"/>
    <w:rsid w:val="008C767A"/>
    <w:rsid w:val="008E77C6"/>
    <w:rsid w:val="009770BB"/>
    <w:rsid w:val="009E008D"/>
    <w:rsid w:val="00A5465F"/>
    <w:rsid w:val="00A77678"/>
    <w:rsid w:val="00A87215"/>
    <w:rsid w:val="00BC4C95"/>
    <w:rsid w:val="00BD5944"/>
    <w:rsid w:val="00CB127C"/>
    <w:rsid w:val="00CF6858"/>
    <w:rsid w:val="00D377B5"/>
    <w:rsid w:val="00D93B31"/>
    <w:rsid w:val="00DF098B"/>
    <w:rsid w:val="00EB2CF2"/>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2C3C87"/>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2C3C87"/>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NormaleWeb">
    <w:name w:val="Normal (Web)"/>
    <w:basedOn w:val="Normale"/>
    <w:uiPriority w:val="99"/>
    <w:rsid w:val="001E0A36"/>
    <w:pPr>
      <w:spacing w:before="100" w:beforeAutospacing="1" w:after="100" w:afterAutospacing="1"/>
      <w:jc w:val="left"/>
    </w:pPr>
    <w:rPr>
      <w:rFonts w:ascii="Times New Roman" w:eastAsia="Times New Roman" w:hAnsi="Times New Roman" w:cs="Times New Roman"/>
      <w:szCs w:val="24"/>
      <w:lang w:val="it-IT" w:eastAsia="it-IT"/>
    </w:rPr>
  </w:style>
  <w:style w:type="paragraph" w:customStyle="1" w:styleId="Paragrafoelenco1">
    <w:name w:val="Paragrafo elenco1"/>
    <w:basedOn w:val="Normale"/>
    <w:rsid w:val="001E0A36"/>
    <w:pPr>
      <w:widowControl w:val="0"/>
      <w:autoSpaceDE w:val="0"/>
      <w:autoSpaceDN w:val="0"/>
      <w:adjustRightInd w:val="0"/>
      <w:jc w:val="left"/>
    </w:pPr>
    <w:rPr>
      <w:rFonts w:ascii="Times New Roman" w:eastAsia="Times New Roman" w:hAnsi="Times New Roman" w:cs="Times New Roman"/>
      <w:szCs w:val="24"/>
      <w:lang w:eastAsia="it-CH"/>
    </w:rPr>
  </w:style>
  <w:style w:type="paragraph" w:styleId="Testofumetto">
    <w:name w:val="Balloon Text"/>
    <w:basedOn w:val="Normale"/>
    <w:link w:val="TestofumettoCarattere"/>
    <w:uiPriority w:val="99"/>
    <w:semiHidden/>
    <w:unhideWhenUsed/>
    <w:rsid w:val="001627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27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2C3C87"/>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2C3C87"/>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NormaleWeb">
    <w:name w:val="Normal (Web)"/>
    <w:basedOn w:val="Normale"/>
    <w:uiPriority w:val="99"/>
    <w:rsid w:val="001E0A36"/>
    <w:pPr>
      <w:spacing w:before="100" w:beforeAutospacing="1" w:after="100" w:afterAutospacing="1"/>
      <w:jc w:val="left"/>
    </w:pPr>
    <w:rPr>
      <w:rFonts w:ascii="Times New Roman" w:eastAsia="Times New Roman" w:hAnsi="Times New Roman" w:cs="Times New Roman"/>
      <w:szCs w:val="24"/>
      <w:lang w:val="it-IT" w:eastAsia="it-IT"/>
    </w:rPr>
  </w:style>
  <w:style w:type="paragraph" w:customStyle="1" w:styleId="Paragrafoelenco1">
    <w:name w:val="Paragrafo elenco1"/>
    <w:basedOn w:val="Normale"/>
    <w:rsid w:val="001E0A36"/>
    <w:pPr>
      <w:widowControl w:val="0"/>
      <w:autoSpaceDE w:val="0"/>
      <w:autoSpaceDN w:val="0"/>
      <w:adjustRightInd w:val="0"/>
      <w:jc w:val="left"/>
    </w:pPr>
    <w:rPr>
      <w:rFonts w:ascii="Times New Roman" w:eastAsia="Times New Roman" w:hAnsi="Times New Roman" w:cs="Times New Roman"/>
      <w:szCs w:val="24"/>
      <w:lang w:eastAsia="it-CH"/>
    </w:rPr>
  </w:style>
  <w:style w:type="paragraph" w:styleId="Testofumetto">
    <w:name w:val="Balloon Text"/>
    <w:basedOn w:val="Normale"/>
    <w:link w:val="TestofumettoCarattere"/>
    <w:uiPriority w:val="99"/>
    <w:semiHidden/>
    <w:unhideWhenUsed/>
    <w:rsid w:val="001627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27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CB6D1-0912-4811-B67A-ADBBE6B00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2139</Words>
  <Characters>12193</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6</cp:revision>
  <cp:lastPrinted>2018-10-24T09:45:00Z</cp:lastPrinted>
  <dcterms:created xsi:type="dcterms:W3CDTF">2018-10-23T16:12:00Z</dcterms:created>
  <dcterms:modified xsi:type="dcterms:W3CDTF">2018-10-24T12:15:00Z</dcterms:modified>
</cp:coreProperties>
</file>