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221E3B" w:rsidP="00076E70">
      <w:r>
        <w:rPr>
          <w:rFonts w:ascii="Gill Sans MT" w:hAnsi="Gill Sans MT"/>
          <w:b/>
          <w:sz w:val="56"/>
          <w:szCs w:val="56"/>
        </w:rPr>
        <w:t>Rapporto</w:t>
      </w:r>
      <w:bookmarkStart w:id="0" w:name="_GoBack"/>
      <w:bookmarkEnd w:id="0"/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260C8C" w:rsidRDefault="00260C8C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 w:rsidRPr="008B4137">
        <w:rPr>
          <w:rFonts w:cs="Arial"/>
          <w:sz w:val="28"/>
          <w:szCs w:val="28"/>
        </w:rPr>
        <w:tab/>
      </w:r>
      <w:r w:rsidR="00016854">
        <w:rPr>
          <w:rFonts w:cs="Arial"/>
          <w:sz w:val="28"/>
          <w:szCs w:val="28"/>
        </w:rPr>
        <w:t>5 ottobre 2018</w:t>
      </w:r>
      <w:r w:rsidRPr="008B4137">
        <w:rPr>
          <w:rFonts w:cs="Arial"/>
          <w:sz w:val="28"/>
          <w:szCs w:val="28"/>
        </w:rPr>
        <w:tab/>
      </w:r>
      <w:r w:rsidR="00016854">
        <w:rPr>
          <w:sz w:val="28"/>
        </w:rPr>
        <w:t>FINANZE E ECONOMIA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016854" w:rsidRPr="00016854" w:rsidRDefault="00016854" w:rsidP="00016854">
      <w:pPr>
        <w:rPr>
          <w:rFonts w:cs="Arial"/>
          <w:b/>
          <w:sz w:val="28"/>
          <w:szCs w:val="28"/>
        </w:rPr>
      </w:pPr>
      <w:r w:rsidRPr="00016854">
        <w:rPr>
          <w:rFonts w:cs="Arial"/>
          <w:b/>
          <w:sz w:val="28"/>
          <w:szCs w:val="28"/>
        </w:rPr>
        <w:t>della Commissione speciale tributaria</w:t>
      </w:r>
    </w:p>
    <w:p w:rsidR="00016854" w:rsidRPr="00016854" w:rsidRDefault="00016854" w:rsidP="00016854">
      <w:pPr>
        <w:rPr>
          <w:rFonts w:cs="Arial"/>
          <w:b/>
          <w:sz w:val="28"/>
          <w:szCs w:val="28"/>
        </w:rPr>
      </w:pPr>
      <w:r w:rsidRPr="00016854">
        <w:rPr>
          <w:rFonts w:cs="Arial"/>
          <w:b/>
          <w:sz w:val="28"/>
          <w:szCs w:val="28"/>
        </w:rPr>
        <w:t>sull’iniziativa parlamentare 8 maggio 2017 presentata nella forma elaborata da Massimiliano Ay per un contributo patrimoniale di solidarietà</w:t>
      </w:r>
    </w:p>
    <w:p w:rsidR="00016854" w:rsidRPr="00016854" w:rsidRDefault="00016854" w:rsidP="00016854">
      <w:pPr>
        <w:rPr>
          <w:rFonts w:cs="Arial"/>
        </w:rPr>
      </w:pPr>
    </w:p>
    <w:p w:rsidR="00016854" w:rsidRPr="00016854" w:rsidRDefault="00016854" w:rsidP="00016854">
      <w:pPr>
        <w:rPr>
          <w:rFonts w:cs="Arial"/>
        </w:rPr>
      </w:pPr>
    </w:p>
    <w:p w:rsidR="00016854" w:rsidRPr="00016854" w:rsidRDefault="00016854" w:rsidP="00016854">
      <w:pPr>
        <w:rPr>
          <w:rFonts w:cs="Arial"/>
        </w:rPr>
      </w:pPr>
    </w:p>
    <w:p w:rsidR="00016854" w:rsidRDefault="00016854" w:rsidP="00016854">
      <w:pPr>
        <w:rPr>
          <w:rFonts w:cs="Arial"/>
          <w:sz w:val="22"/>
        </w:rPr>
      </w:pPr>
      <w:r>
        <w:rPr>
          <w:rFonts w:cs="Arial"/>
          <w:b/>
        </w:rPr>
        <w:t>INDICE</w:t>
      </w:r>
    </w:p>
    <w:p w:rsidR="00016854" w:rsidRPr="006B039E" w:rsidRDefault="00016854" w:rsidP="00016854">
      <w:pPr>
        <w:rPr>
          <w:sz w:val="12"/>
          <w:szCs w:val="12"/>
        </w:rPr>
      </w:pPr>
    </w:p>
    <w:p w:rsidR="00016854" w:rsidRPr="006B039E" w:rsidRDefault="00016854" w:rsidP="006B039E">
      <w:pPr>
        <w:pStyle w:val="Sommario1"/>
        <w:tabs>
          <w:tab w:val="left" w:pos="567"/>
          <w:tab w:val="right" w:leader="dot" w:pos="9639"/>
        </w:tabs>
        <w:spacing w:before="120"/>
        <w:rPr>
          <w:rFonts w:asciiTheme="minorHAnsi" w:eastAsiaTheme="minorEastAsia" w:hAnsiTheme="minorHAnsi" w:cstheme="minorBidi"/>
          <w:b/>
          <w:caps w:val="0"/>
          <w:sz w:val="22"/>
          <w:szCs w:val="22"/>
          <w:lang w:eastAsia="it-CH"/>
        </w:rPr>
      </w:pPr>
      <w:r w:rsidRPr="006B039E">
        <w:rPr>
          <w:bCs/>
          <w:sz w:val="22"/>
          <w:szCs w:val="22"/>
        </w:rPr>
        <w:fldChar w:fldCharType="begin"/>
      </w:r>
      <w:r w:rsidRPr="006B039E">
        <w:rPr>
          <w:bCs/>
          <w:sz w:val="22"/>
          <w:szCs w:val="22"/>
        </w:rPr>
        <w:instrText xml:space="preserve"> TOC \o "1-4" \h \z \u </w:instrText>
      </w:r>
      <w:r w:rsidRPr="006B039E">
        <w:rPr>
          <w:bCs/>
          <w:sz w:val="22"/>
          <w:szCs w:val="22"/>
        </w:rPr>
        <w:fldChar w:fldCharType="separate"/>
      </w:r>
      <w:hyperlink w:anchor="_Toc522966804" w:history="1">
        <w:r w:rsidRPr="006B039E">
          <w:rPr>
            <w:rStyle w:val="Collegamentoipertestuale"/>
            <w:sz w:val="22"/>
            <w:szCs w:val="22"/>
          </w:rPr>
          <w:t>1</w:t>
        </w:r>
        <w:r w:rsidR="006B039E">
          <w:rPr>
            <w:rStyle w:val="Collegamentoipertestuale"/>
            <w:sz w:val="22"/>
            <w:szCs w:val="22"/>
          </w:rPr>
          <w:t>.</w:t>
        </w:r>
        <w:r w:rsidRPr="006B039E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Pr="006B039E">
          <w:rPr>
            <w:rStyle w:val="Collegamentoipertestuale"/>
            <w:sz w:val="22"/>
            <w:szCs w:val="22"/>
          </w:rPr>
          <w:t>Proposta dell’iniziativa elaborata</w:t>
        </w:r>
        <w:r w:rsidRPr="006B039E">
          <w:rPr>
            <w:webHidden/>
            <w:sz w:val="22"/>
            <w:szCs w:val="22"/>
          </w:rPr>
          <w:tab/>
        </w:r>
        <w:r w:rsidRPr="006B039E">
          <w:rPr>
            <w:webHidden/>
            <w:sz w:val="22"/>
            <w:szCs w:val="22"/>
          </w:rPr>
          <w:fldChar w:fldCharType="begin"/>
        </w:r>
        <w:r w:rsidRPr="006B039E">
          <w:rPr>
            <w:webHidden/>
            <w:sz w:val="22"/>
            <w:szCs w:val="22"/>
          </w:rPr>
          <w:instrText xml:space="preserve"> PAGEREF _Toc522966804 \h </w:instrText>
        </w:r>
        <w:r w:rsidRPr="006B039E">
          <w:rPr>
            <w:webHidden/>
            <w:sz w:val="22"/>
            <w:szCs w:val="22"/>
          </w:rPr>
        </w:r>
        <w:r w:rsidRPr="006B039E">
          <w:rPr>
            <w:webHidden/>
            <w:sz w:val="22"/>
            <w:szCs w:val="22"/>
          </w:rPr>
          <w:fldChar w:fldCharType="separate"/>
        </w:r>
        <w:r w:rsidR="004D4B92">
          <w:rPr>
            <w:noProof/>
            <w:webHidden/>
            <w:sz w:val="22"/>
            <w:szCs w:val="22"/>
          </w:rPr>
          <w:t>1</w:t>
        </w:r>
        <w:r w:rsidRPr="006B039E">
          <w:rPr>
            <w:webHidden/>
            <w:sz w:val="22"/>
            <w:szCs w:val="22"/>
          </w:rPr>
          <w:fldChar w:fldCharType="end"/>
        </w:r>
      </w:hyperlink>
    </w:p>
    <w:p w:rsidR="00016854" w:rsidRPr="006B039E" w:rsidRDefault="0024484B" w:rsidP="006B039E">
      <w:pPr>
        <w:pStyle w:val="Sommario1"/>
        <w:tabs>
          <w:tab w:val="left" w:pos="567"/>
          <w:tab w:val="right" w:leader="dot" w:pos="9639"/>
        </w:tabs>
        <w:spacing w:before="120"/>
        <w:rPr>
          <w:rFonts w:asciiTheme="minorHAnsi" w:eastAsiaTheme="minorEastAsia" w:hAnsiTheme="minorHAnsi" w:cstheme="minorBidi"/>
          <w:b/>
          <w:caps w:val="0"/>
          <w:sz w:val="22"/>
          <w:szCs w:val="22"/>
          <w:lang w:eastAsia="it-CH"/>
        </w:rPr>
      </w:pPr>
      <w:hyperlink w:anchor="_Toc522966805" w:history="1">
        <w:r w:rsidR="00016854" w:rsidRPr="006B039E">
          <w:rPr>
            <w:rStyle w:val="Collegamentoipertestuale"/>
            <w:sz w:val="22"/>
            <w:szCs w:val="22"/>
          </w:rPr>
          <w:t>2</w:t>
        </w:r>
        <w:r w:rsidR="006B039E">
          <w:rPr>
            <w:rStyle w:val="Collegamentoipertestuale"/>
            <w:sz w:val="22"/>
            <w:szCs w:val="22"/>
          </w:rPr>
          <w:t>.</w:t>
        </w:r>
        <w:r w:rsidR="00016854" w:rsidRPr="006B039E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016854" w:rsidRPr="006B039E">
          <w:rPr>
            <w:rStyle w:val="Collegamentoipertestuale"/>
            <w:sz w:val="22"/>
            <w:szCs w:val="22"/>
          </w:rPr>
          <w:t>Audizione dell’iniziativista</w:t>
        </w:r>
        <w:r w:rsidR="00016854" w:rsidRPr="006B039E">
          <w:rPr>
            <w:webHidden/>
            <w:sz w:val="22"/>
            <w:szCs w:val="22"/>
          </w:rPr>
          <w:tab/>
        </w:r>
        <w:r w:rsidR="00016854" w:rsidRPr="006B039E">
          <w:rPr>
            <w:webHidden/>
            <w:sz w:val="22"/>
            <w:szCs w:val="22"/>
          </w:rPr>
          <w:fldChar w:fldCharType="begin"/>
        </w:r>
        <w:r w:rsidR="00016854" w:rsidRPr="006B039E">
          <w:rPr>
            <w:webHidden/>
            <w:sz w:val="22"/>
            <w:szCs w:val="22"/>
          </w:rPr>
          <w:instrText xml:space="preserve"> PAGEREF _Toc522966805 \h </w:instrText>
        </w:r>
        <w:r w:rsidR="00016854" w:rsidRPr="006B039E">
          <w:rPr>
            <w:webHidden/>
            <w:sz w:val="22"/>
            <w:szCs w:val="22"/>
          </w:rPr>
        </w:r>
        <w:r w:rsidR="00016854" w:rsidRPr="006B039E">
          <w:rPr>
            <w:webHidden/>
            <w:sz w:val="22"/>
            <w:szCs w:val="22"/>
          </w:rPr>
          <w:fldChar w:fldCharType="separate"/>
        </w:r>
        <w:r w:rsidR="004D4B92">
          <w:rPr>
            <w:noProof/>
            <w:webHidden/>
            <w:sz w:val="22"/>
            <w:szCs w:val="22"/>
          </w:rPr>
          <w:t>1</w:t>
        </w:r>
        <w:r w:rsidR="00016854" w:rsidRPr="006B039E">
          <w:rPr>
            <w:webHidden/>
            <w:sz w:val="22"/>
            <w:szCs w:val="22"/>
          </w:rPr>
          <w:fldChar w:fldCharType="end"/>
        </w:r>
      </w:hyperlink>
    </w:p>
    <w:p w:rsidR="00016854" w:rsidRPr="006B039E" w:rsidRDefault="0024484B" w:rsidP="006B039E">
      <w:pPr>
        <w:pStyle w:val="Sommario1"/>
        <w:tabs>
          <w:tab w:val="left" w:pos="567"/>
          <w:tab w:val="right" w:leader="dot" w:pos="9639"/>
        </w:tabs>
        <w:spacing w:before="120"/>
        <w:rPr>
          <w:rFonts w:asciiTheme="minorHAnsi" w:eastAsiaTheme="minorEastAsia" w:hAnsiTheme="minorHAnsi" w:cstheme="minorBidi"/>
          <w:b/>
          <w:caps w:val="0"/>
          <w:sz w:val="22"/>
          <w:szCs w:val="22"/>
          <w:lang w:eastAsia="it-CH"/>
        </w:rPr>
      </w:pPr>
      <w:hyperlink w:anchor="_Toc522966806" w:history="1">
        <w:r w:rsidR="00016854" w:rsidRPr="006B039E">
          <w:rPr>
            <w:rStyle w:val="Collegamentoipertestuale"/>
            <w:sz w:val="22"/>
            <w:szCs w:val="22"/>
          </w:rPr>
          <w:t>3</w:t>
        </w:r>
        <w:r w:rsidR="006B039E">
          <w:rPr>
            <w:rStyle w:val="Collegamentoipertestuale"/>
            <w:sz w:val="22"/>
            <w:szCs w:val="22"/>
          </w:rPr>
          <w:t>.</w:t>
        </w:r>
        <w:r w:rsidR="00016854" w:rsidRPr="006B039E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016854" w:rsidRPr="006B039E">
          <w:rPr>
            <w:rStyle w:val="Collegamentoipertestuale"/>
            <w:sz w:val="22"/>
            <w:szCs w:val="22"/>
          </w:rPr>
          <w:t>Lavori commissionali</w:t>
        </w:r>
        <w:r w:rsidR="00016854" w:rsidRPr="006B039E">
          <w:rPr>
            <w:webHidden/>
            <w:sz w:val="22"/>
            <w:szCs w:val="22"/>
          </w:rPr>
          <w:tab/>
        </w:r>
        <w:r w:rsidR="00016854" w:rsidRPr="006B039E">
          <w:rPr>
            <w:webHidden/>
            <w:sz w:val="22"/>
            <w:szCs w:val="22"/>
          </w:rPr>
          <w:fldChar w:fldCharType="begin"/>
        </w:r>
        <w:r w:rsidR="00016854" w:rsidRPr="006B039E">
          <w:rPr>
            <w:webHidden/>
            <w:sz w:val="22"/>
            <w:szCs w:val="22"/>
          </w:rPr>
          <w:instrText xml:space="preserve"> PAGEREF _Toc522966806 \h </w:instrText>
        </w:r>
        <w:r w:rsidR="00016854" w:rsidRPr="006B039E">
          <w:rPr>
            <w:webHidden/>
            <w:sz w:val="22"/>
            <w:szCs w:val="22"/>
          </w:rPr>
        </w:r>
        <w:r w:rsidR="00016854" w:rsidRPr="006B039E">
          <w:rPr>
            <w:webHidden/>
            <w:sz w:val="22"/>
            <w:szCs w:val="22"/>
          </w:rPr>
          <w:fldChar w:fldCharType="separate"/>
        </w:r>
        <w:r w:rsidR="004D4B92">
          <w:rPr>
            <w:noProof/>
            <w:webHidden/>
            <w:sz w:val="22"/>
            <w:szCs w:val="22"/>
          </w:rPr>
          <w:t>2</w:t>
        </w:r>
        <w:r w:rsidR="00016854" w:rsidRPr="006B039E">
          <w:rPr>
            <w:webHidden/>
            <w:sz w:val="22"/>
            <w:szCs w:val="22"/>
          </w:rPr>
          <w:fldChar w:fldCharType="end"/>
        </w:r>
      </w:hyperlink>
    </w:p>
    <w:p w:rsidR="00016854" w:rsidRDefault="00016854" w:rsidP="006B039E">
      <w:pPr>
        <w:pStyle w:val="Sommario2"/>
        <w:tabs>
          <w:tab w:val="left" w:pos="567"/>
          <w:tab w:val="right" w:leader="dot" w:pos="9639"/>
        </w:tabs>
        <w:spacing w:before="120"/>
      </w:pPr>
      <w:r w:rsidRPr="006B039E">
        <w:rPr>
          <w:sz w:val="22"/>
          <w:szCs w:val="22"/>
        </w:rPr>
        <w:fldChar w:fldCharType="end"/>
      </w:r>
    </w:p>
    <w:p w:rsidR="006B039E" w:rsidRDefault="006B039E" w:rsidP="006B039E">
      <w:pPr>
        <w:rPr>
          <w:rFonts w:cs="Arial"/>
          <w:szCs w:val="24"/>
        </w:rPr>
      </w:pPr>
    </w:p>
    <w:p w:rsidR="006B039E" w:rsidRPr="00E765A9" w:rsidRDefault="006B039E" w:rsidP="006B039E">
      <w:pPr>
        <w:jc w:val="center"/>
        <w:rPr>
          <w:rFonts w:cs="Arial"/>
          <w:sz w:val="28"/>
          <w:szCs w:val="28"/>
        </w:rPr>
      </w:pPr>
      <w:r w:rsidRPr="00E765A9">
        <w:rPr>
          <w:rFonts w:cs="Arial"/>
          <w:sz w:val="28"/>
          <w:szCs w:val="28"/>
        </w:rPr>
        <w:sym w:font="Wingdings" w:char="F0AF"/>
      </w:r>
      <w:r w:rsidRPr="00E765A9">
        <w:rPr>
          <w:rFonts w:cs="Arial"/>
          <w:sz w:val="28"/>
          <w:szCs w:val="28"/>
        </w:rPr>
        <w:t xml:space="preserve"> </w:t>
      </w:r>
      <w:r w:rsidRPr="00E765A9">
        <w:rPr>
          <w:rFonts w:cs="Arial"/>
          <w:sz w:val="28"/>
          <w:szCs w:val="28"/>
        </w:rPr>
        <w:sym w:font="Wingdings" w:char="F0AF"/>
      </w:r>
      <w:r w:rsidRPr="00E765A9">
        <w:rPr>
          <w:rFonts w:cs="Arial"/>
          <w:sz w:val="28"/>
          <w:szCs w:val="28"/>
        </w:rPr>
        <w:t xml:space="preserve"> </w:t>
      </w:r>
      <w:r w:rsidRPr="00E765A9">
        <w:rPr>
          <w:rFonts w:cs="Arial"/>
          <w:sz w:val="28"/>
          <w:szCs w:val="28"/>
        </w:rPr>
        <w:sym w:font="Wingdings" w:char="F0AF"/>
      </w:r>
      <w:r w:rsidRPr="00E765A9">
        <w:rPr>
          <w:rFonts w:cs="Arial"/>
          <w:sz w:val="28"/>
          <w:szCs w:val="28"/>
        </w:rPr>
        <w:t xml:space="preserve"> </w:t>
      </w:r>
      <w:r w:rsidRPr="00E765A9">
        <w:rPr>
          <w:rFonts w:cs="Arial"/>
          <w:sz w:val="28"/>
          <w:szCs w:val="28"/>
        </w:rPr>
        <w:sym w:font="Wingdings" w:char="F0AF"/>
      </w:r>
      <w:r w:rsidRPr="00E765A9">
        <w:rPr>
          <w:rFonts w:cs="Arial"/>
          <w:sz w:val="28"/>
          <w:szCs w:val="28"/>
        </w:rPr>
        <w:t xml:space="preserve"> </w:t>
      </w:r>
      <w:r w:rsidRPr="00E765A9">
        <w:rPr>
          <w:rFonts w:cs="Arial"/>
          <w:sz w:val="28"/>
          <w:szCs w:val="28"/>
        </w:rPr>
        <w:sym w:font="Wingdings" w:char="F0AF"/>
      </w:r>
    </w:p>
    <w:p w:rsidR="006B039E" w:rsidRPr="00076E70" w:rsidRDefault="006B039E" w:rsidP="006B039E">
      <w:pPr>
        <w:autoSpaceDE w:val="0"/>
        <w:autoSpaceDN w:val="0"/>
        <w:adjustRightInd w:val="0"/>
        <w:rPr>
          <w:rFonts w:cs="Arial"/>
          <w:szCs w:val="24"/>
        </w:rPr>
      </w:pPr>
    </w:p>
    <w:p w:rsidR="006B039E" w:rsidRPr="006B039E" w:rsidRDefault="006B039E" w:rsidP="006B039E">
      <w:pPr>
        <w:rPr>
          <w:lang w:val="it-IT"/>
        </w:rPr>
      </w:pPr>
    </w:p>
    <w:p w:rsidR="00016854" w:rsidRPr="00016854" w:rsidRDefault="00016854" w:rsidP="00016854">
      <w:pPr>
        <w:rPr>
          <w:lang w:val="it-IT"/>
        </w:rPr>
      </w:pPr>
    </w:p>
    <w:p w:rsidR="00016854" w:rsidRDefault="00016854" w:rsidP="00016854">
      <w:pPr>
        <w:pStyle w:val="Titolo1"/>
        <w:rPr>
          <w:lang w:val="it-CH"/>
        </w:rPr>
      </w:pPr>
      <w:bookmarkStart w:id="1" w:name="_Toc522966804"/>
      <w:r>
        <w:rPr>
          <w:lang w:val="it-CH"/>
        </w:rPr>
        <w:t>Proposta dell’iniziativa elaborata</w:t>
      </w:r>
      <w:bookmarkEnd w:id="1"/>
    </w:p>
    <w:p w:rsidR="00016854" w:rsidRDefault="00016854" w:rsidP="00016854">
      <w:r>
        <w:t xml:space="preserve">Con l’IE484 il deputato Massimiliano Ay propone che il Cantone percepisca, </w:t>
      </w:r>
      <w:r w:rsidRPr="008D51BB">
        <w:rPr>
          <w:i/>
        </w:rPr>
        <w:t>per un periodo di quattro anni a partire dall’anno che segue l’accettazione dell’iniziativa, un contributo straordinario sulla sostanza delle persone fisiche superiore a un milione di franchi</w:t>
      </w:r>
      <w:r>
        <w:t>.</w:t>
      </w:r>
    </w:p>
    <w:p w:rsidR="00016854" w:rsidRDefault="00016854" w:rsidP="00016854"/>
    <w:p w:rsidR="00016854" w:rsidRDefault="00016854" w:rsidP="00016854">
      <w:pPr>
        <w:rPr>
          <w:rFonts w:cs="Arial"/>
        </w:rPr>
      </w:pPr>
      <w:r>
        <w:t>L’ammontare del contributo oscilla tra l’1</w:t>
      </w:r>
      <w:r>
        <w:rPr>
          <w:rFonts w:cs="Arial"/>
        </w:rPr>
        <w:t>‰</w:t>
      </w:r>
      <w:r>
        <w:t xml:space="preserve"> (preteso da contribuenti con una sostanza imponibile tra CHF 1'000'001 e CHF 1'100'000) e il 10</w:t>
      </w:r>
      <w:r>
        <w:rPr>
          <w:rFonts w:cs="Arial"/>
        </w:rPr>
        <w:t>‰ (preteso da contribuenti con una sostanza imponibile superiore a CHF 2 milioni.</w:t>
      </w:r>
    </w:p>
    <w:p w:rsidR="00016854" w:rsidRDefault="00016854" w:rsidP="00016854"/>
    <w:p w:rsidR="00016854" w:rsidRDefault="00016854" w:rsidP="00016854">
      <w:r>
        <w:t>Secondo l’</w:t>
      </w:r>
      <w:proofErr w:type="spellStart"/>
      <w:r>
        <w:t>iniziativista</w:t>
      </w:r>
      <w:proofErr w:type="spellEnd"/>
      <w:r>
        <w:t xml:space="preserve">, il Cantone si dovrebbe in tal modo dotare di una legge patrimoniale di solidarietà </w:t>
      </w:r>
      <w:r w:rsidRPr="008D51BB">
        <w:rPr>
          <w:i/>
        </w:rPr>
        <w:t>nell’ottica di risanare le casse pubbliche, arginare la divaricazione sociale presente nel nostro Paese ed evitare misure di austerità che, soprattutto in un periodo di crisi economica e di difficoltà sociale, colpiscono i ceti popolari</w:t>
      </w:r>
      <w:r>
        <w:t>.</w:t>
      </w:r>
    </w:p>
    <w:p w:rsidR="00016854" w:rsidRDefault="00016854" w:rsidP="00016854"/>
    <w:p w:rsidR="00016854" w:rsidRDefault="00016854" w:rsidP="00016854"/>
    <w:p w:rsidR="00016854" w:rsidRDefault="00016854" w:rsidP="00016854">
      <w:pPr>
        <w:pStyle w:val="Titolo1"/>
        <w:rPr>
          <w:lang w:val="it-CH"/>
        </w:rPr>
      </w:pPr>
      <w:bookmarkStart w:id="2" w:name="_Toc522966805"/>
      <w:r>
        <w:rPr>
          <w:lang w:val="it-CH"/>
        </w:rPr>
        <w:t>Audizione dell’iniziativista</w:t>
      </w:r>
      <w:bookmarkEnd w:id="2"/>
    </w:p>
    <w:p w:rsidR="00016854" w:rsidRDefault="00016854" w:rsidP="00016854">
      <w:r>
        <w:t xml:space="preserve">Il 2 febbraio 2018, la Commissione speciale tributaria ha </w:t>
      </w:r>
      <w:proofErr w:type="spellStart"/>
      <w:r>
        <w:t>audizionato</w:t>
      </w:r>
      <w:proofErr w:type="spellEnd"/>
      <w:r>
        <w:t xml:space="preserve"> l’</w:t>
      </w:r>
      <w:proofErr w:type="spellStart"/>
      <w:r>
        <w:t>iniziativista</w:t>
      </w:r>
      <w:proofErr w:type="spellEnd"/>
      <w:r>
        <w:t xml:space="preserve">, il quale ha segnalato </w:t>
      </w:r>
      <w:r w:rsidRPr="00D41102">
        <w:t xml:space="preserve">che l’iniziativa mira ad introdurre una legge patrimoniale di solidarietà volta a percepire un contributo dalle persone fisiche, la cui sostanza supera CHF 1 milione, per un periodo di 4 anni. </w:t>
      </w:r>
      <w:r>
        <w:t xml:space="preserve">Massimiliano Ay ha osservato </w:t>
      </w:r>
      <w:r w:rsidRPr="00D41102">
        <w:t>che la proposta concerne il 3</w:t>
      </w:r>
      <w:r>
        <w:t>.</w:t>
      </w:r>
      <w:r w:rsidRPr="00D41102">
        <w:t xml:space="preserve">6% dei contribuenti (pari a 9’102 persone fisiche) e potrebbe generare un aumento del gettito </w:t>
      </w:r>
      <w:r w:rsidRPr="00D41102">
        <w:lastRenderedPageBreak/>
        <w:t xml:space="preserve">fiscale di circa CHF 250 milioni. Considerato come questa categoria di contribuenti detenga ben il 60% della sostanza cantonale, </w:t>
      </w:r>
      <w:r>
        <w:t>l’</w:t>
      </w:r>
      <w:proofErr w:type="spellStart"/>
      <w:r>
        <w:t>iniziativista</w:t>
      </w:r>
      <w:proofErr w:type="spellEnd"/>
      <w:r>
        <w:t xml:space="preserve"> reputa </w:t>
      </w:r>
      <w:r w:rsidRPr="00D41102">
        <w:t xml:space="preserve">che la richiesta di un contributo limitato nel tempo, alfine di risanare le casse cantonali, sia giustificato. </w:t>
      </w:r>
      <w:r>
        <w:t xml:space="preserve">Durante l’audizione, il deputato ha rilevato </w:t>
      </w:r>
      <w:r w:rsidRPr="00D41102">
        <w:t xml:space="preserve">che nell’ambito di un’iniziativa simile presentata nel 2007 nel Canton Neuchâtel, il professor Robert </w:t>
      </w:r>
      <w:proofErr w:type="spellStart"/>
      <w:r w:rsidRPr="00D41102">
        <w:t>Danon</w:t>
      </w:r>
      <w:proofErr w:type="spellEnd"/>
      <w:r w:rsidRPr="00D41102">
        <w:t xml:space="preserve"> aveva giudicato la proposta conforme alla garanzia costituzionale della proprietà e ritenuto che il prelievo di una partecipazione complementare sulla sostanza rientrasse nella competenza cantonale. </w:t>
      </w:r>
      <w:r>
        <w:t>L’</w:t>
      </w:r>
      <w:proofErr w:type="spellStart"/>
      <w:r>
        <w:t>iniziativista</w:t>
      </w:r>
      <w:proofErr w:type="spellEnd"/>
      <w:r>
        <w:t xml:space="preserve"> ha segnalato</w:t>
      </w:r>
      <w:r w:rsidRPr="00D41102">
        <w:t xml:space="preserve"> che anche in Francia esiste un’imposta di solidarietà sul patrimonio, con parametri molto più invasivi rispetto a quelli proposti nell’iniziativa in oggetto: a tal</w:t>
      </w:r>
      <w:r>
        <w:t xml:space="preserve"> </w:t>
      </w:r>
      <w:r w:rsidRPr="00D41102">
        <w:t xml:space="preserve">proposito </w:t>
      </w:r>
      <w:r>
        <w:t xml:space="preserve">ha </w:t>
      </w:r>
      <w:r w:rsidRPr="00D41102">
        <w:t>rileva</w:t>
      </w:r>
      <w:r>
        <w:t>to</w:t>
      </w:r>
      <w:r w:rsidRPr="00D41102">
        <w:t xml:space="preserve"> che uno studio del Senato francese ha stimato che gli esuli fiscali che hanno abbandonato il Paese a seguito dell’introduzione di questo tributo supplementare costituiscono soltanto l’1% dei contribuenti colpiti dalla misura.</w:t>
      </w:r>
    </w:p>
    <w:p w:rsidR="00016854" w:rsidRDefault="00016854" w:rsidP="00016854"/>
    <w:p w:rsidR="00016854" w:rsidRDefault="00016854" w:rsidP="00016854"/>
    <w:p w:rsidR="00016854" w:rsidRDefault="00016854" w:rsidP="00016854">
      <w:pPr>
        <w:pStyle w:val="Titolo1"/>
        <w:rPr>
          <w:lang w:val="it-CH"/>
        </w:rPr>
      </w:pPr>
      <w:bookmarkStart w:id="3" w:name="_Toc522966806"/>
      <w:r>
        <w:rPr>
          <w:lang w:val="it-CH"/>
        </w:rPr>
        <w:t>Lavori commissionali</w:t>
      </w:r>
      <w:bookmarkEnd w:id="3"/>
    </w:p>
    <w:p w:rsidR="00016854" w:rsidRDefault="00016854" w:rsidP="00016854">
      <w:r>
        <w:t xml:space="preserve">Durante la seduta del 2 febbraio 2018, la Commissione speciale tributaria ha discusso della proposta. </w:t>
      </w:r>
      <w:r w:rsidRPr="00D41102">
        <w:t xml:space="preserve">Alla luce delle recenti modifiche legislative introdotte con la Riforma cantonale fiscale e sociale, segnatamente la riduzione dell’aliquota massima dell’imposta sulla sostanza, </w:t>
      </w:r>
      <w:r>
        <w:t>molti commissari ritengono</w:t>
      </w:r>
      <w:r w:rsidRPr="00D41102">
        <w:t xml:space="preserve"> l’iniziativa contradditoria.</w:t>
      </w:r>
    </w:p>
    <w:p w:rsidR="00016854" w:rsidRDefault="00016854" w:rsidP="00016854"/>
    <w:p w:rsidR="00016854" w:rsidRDefault="00016854" w:rsidP="00016854">
      <w:r>
        <w:t>Il Consiglio di Stato non ha peraltro desiderato entrare in materia, non da ultimo considerato appunto il nuovo disposto della Legge tributaria teso alla diminuzione dell’imposizione della sostanza.</w:t>
      </w:r>
    </w:p>
    <w:p w:rsidR="00016854" w:rsidRDefault="00016854" w:rsidP="00016854"/>
    <w:p w:rsidR="00016854" w:rsidRDefault="00016854" w:rsidP="00016854">
      <w:r>
        <w:t xml:space="preserve">La Commissione tributaria ha deciso di attendere l’esito del voto del 29 aprile 2018 sul referendum contro la riforma cantonale </w:t>
      </w:r>
      <w:proofErr w:type="spellStart"/>
      <w:r>
        <w:t>fiscosociale</w:t>
      </w:r>
      <w:proofErr w:type="spellEnd"/>
      <w:r>
        <w:t>, in modo da poter tener conto nei propri lavori della volontà delle cittadine e dei cittadini sovrani in materia.</w:t>
      </w:r>
    </w:p>
    <w:p w:rsidR="00016854" w:rsidRDefault="00016854" w:rsidP="00016854"/>
    <w:p w:rsidR="006B039E" w:rsidRDefault="006B039E" w:rsidP="006B039E">
      <w:pPr>
        <w:rPr>
          <w:rFonts w:cs="Arial"/>
          <w:szCs w:val="24"/>
        </w:rPr>
      </w:pPr>
    </w:p>
    <w:p w:rsidR="006B039E" w:rsidRPr="00E765A9" w:rsidRDefault="006B039E" w:rsidP="006B039E">
      <w:pPr>
        <w:jc w:val="center"/>
        <w:rPr>
          <w:rFonts w:cs="Arial"/>
          <w:sz w:val="28"/>
          <w:szCs w:val="28"/>
        </w:rPr>
      </w:pPr>
      <w:r w:rsidRPr="00E765A9">
        <w:rPr>
          <w:rFonts w:cs="Arial"/>
          <w:sz w:val="28"/>
          <w:szCs w:val="28"/>
        </w:rPr>
        <w:sym w:font="Wingdings" w:char="F0AF"/>
      </w:r>
      <w:r w:rsidRPr="00E765A9">
        <w:rPr>
          <w:rFonts w:cs="Arial"/>
          <w:sz w:val="28"/>
          <w:szCs w:val="28"/>
        </w:rPr>
        <w:t xml:space="preserve"> </w:t>
      </w:r>
      <w:r w:rsidRPr="00E765A9">
        <w:rPr>
          <w:rFonts w:cs="Arial"/>
          <w:sz w:val="28"/>
          <w:szCs w:val="28"/>
        </w:rPr>
        <w:sym w:font="Wingdings" w:char="F0AF"/>
      </w:r>
      <w:r w:rsidRPr="00E765A9">
        <w:rPr>
          <w:rFonts w:cs="Arial"/>
          <w:sz w:val="28"/>
          <w:szCs w:val="28"/>
        </w:rPr>
        <w:t xml:space="preserve"> </w:t>
      </w:r>
      <w:r w:rsidRPr="00E765A9">
        <w:rPr>
          <w:rFonts w:cs="Arial"/>
          <w:sz w:val="28"/>
          <w:szCs w:val="28"/>
        </w:rPr>
        <w:sym w:font="Wingdings" w:char="F0AF"/>
      </w:r>
      <w:r w:rsidRPr="00E765A9">
        <w:rPr>
          <w:rFonts w:cs="Arial"/>
          <w:sz w:val="28"/>
          <w:szCs w:val="28"/>
        </w:rPr>
        <w:t xml:space="preserve"> </w:t>
      </w:r>
      <w:r w:rsidRPr="00E765A9">
        <w:rPr>
          <w:rFonts w:cs="Arial"/>
          <w:sz w:val="28"/>
          <w:szCs w:val="28"/>
        </w:rPr>
        <w:sym w:font="Wingdings" w:char="F0AF"/>
      </w:r>
      <w:r w:rsidRPr="00E765A9">
        <w:rPr>
          <w:rFonts w:cs="Arial"/>
          <w:sz w:val="28"/>
          <w:szCs w:val="28"/>
        </w:rPr>
        <w:t xml:space="preserve"> </w:t>
      </w:r>
      <w:r w:rsidRPr="00E765A9">
        <w:rPr>
          <w:rFonts w:cs="Arial"/>
          <w:sz w:val="28"/>
          <w:szCs w:val="28"/>
        </w:rPr>
        <w:sym w:font="Wingdings" w:char="F0AF"/>
      </w:r>
    </w:p>
    <w:p w:rsidR="006B039E" w:rsidRPr="00076E70" w:rsidRDefault="006B039E" w:rsidP="006B039E">
      <w:pPr>
        <w:autoSpaceDE w:val="0"/>
        <w:autoSpaceDN w:val="0"/>
        <w:adjustRightInd w:val="0"/>
        <w:rPr>
          <w:rFonts w:cs="Arial"/>
          <w:szCs w:val="24"/>
        </w:rPr>
      </w:pPr>
    </w:p>
    <w:p w:rsidR="006B039E" w:rsidRDefault="006B039E" w:rsidP="00016854"/>
    <w:p w:rsidR="00016854" w:rsidRDefault="00016854" w:rsidP="00016854">
      <w:r>
        <w:t>Considerata l’approvazione il 29 aprile 2018, da parte delle cittadine e dei cittadini ticinesi, della proposta formulata dal Consiglio di Stato e approvata il 12 dicembre 2017 dal Gran Consiglio ticinese tesa alla modifica dell’art. 49 cpv. 1 LT (riduzione delle aliquote di imposizione della sostanza) nonché all’introduzione dell’art. 49a LT (freno all’imposta sulla sostanza), la Commissione invita il Gran Consiglio a non dare seguito alla proposta formulata nell’iniziativa parlamentare elaborata 484.</w:t>
      </w:r>
    </w:p>
    <w:p w:rsidR="00016854" w:rsidRDefault="00016854" w:rsidP="00016854">
      <w:pPr>
        <w:jc w:val="left"/>
      </w:pPr>
    </w:p>
    <w:p w:rsid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</w:t>
      </w:r>
      <w:r w:rsidR="00016854">
        <w:rPr>
          <w:rFonts w:cs="Arial"/>
          <w:szCs w:val="24"/>
        </w:rPr>
        <w:t>speciale tributaria</w:t>
      </w:r>
      <w:r w:rsidRPr="00076E70">
        <w:rPr>
          <w:rFonts w:cs="Arial"/>
          <w:szCs w:val="24"/>
        </w:rPr>
        <w:t>:</w:t>
      </w:r>
    </w:p>
    <w:p w:rsidR="00076E70" w:rsidRPr="00076E70" w:rsidRDefault="00016854" w:rsidP="00076E70">
      <w:pPr>
        <w:rPr>
          <w:rFonts w:cs="Arial"/>
          <w:szCs w:val="24"/>
        </w:rPr>
      </w:pPr>
      <w:r>
        <w:rPr>
          <w:rFonts w:cs="Arial"/>
          <w:szCs w:val="24"/>
        </w:rPr>
        <w:t>Paolo Pamini</w:t>
      </w:r>
      <w:r w:rsidR="00076E70" w:rsidRPr="00076E70">
        <w:rPr>
          <w:rFonts w:cs="Arial"/>
          <w:szCs w:val="24"/>
        </w:rPr>
        <w:t>, relatore</w:t>
      </w:r>
    </w:p>
    <w:p w:rsidR="006B039E" w:rsidRDefault="006B039E" w:rsidP="006B039E">
      <w:r>
        <w:t xml:space="preserve">Balli - Battaglioni - Crivelli Barella - </w:t>
      </w:r>
    </w:p>
    <w:p w:rsidR="006B039E" w:rsidRDefault="006B039E" w:rsidP="006B039E">
      <w:r>
        <w:t xml:space="preserve">Foletti - Gendotti - Giudici - Pagani G. - </w:t>
      </w:r>
    </w:p>
    <w:p w:rsidR="006B039E" w:rsidRDefault="006B039E" w:rsidP="006B039E">
      <w:r>
        <w:t>Passalia - Petrini - Seitz</w:t>
      </w:r>
    </w:p>
    <w:p w:rsidR="00076E70" w:rsidRPr="00076E70" w:rsidRDefault="00076E70">
      <w:pPr>
        <w:rPr>
          <w:rFonts w:cs="Arial"/>
          <w:szCs w:val="24"/>
        </w:rPr>
      </w:pPr>
    </w:p>
    <w:sectPr w:rsidR="00076E70" w:rsidRPr="00076E70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4B" w:rsidRDefault="0024484B" w:rsidP="008E77C6">
      <w:r>
        <w:separator/>
      </w:r>
    </w:p>
  </w:endnote>
  <w:endnote w:type="continuationSeparator" w:id="0">
    <w:p w:rsidR="0024484B" w:rsidRDefault="0024484B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221E3B" w:rsidRPr="00221E3B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4B" w:rsidRDefault="0024484B" w:rsidP="008E77C6">
      <w:r>
        <w:separator/>
      </w:r>
    </w:p>
  </w:footnote>
  <w:footnote w:type="continuationSeparator" w:id="0">
    <w:p w:rsidR="0024484B" w:rsidRDefault="0024484B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16854"/>
    <w:rsid w:val="00076E70"/>
    <w:rsid w:val="001574D7"/>
    <w:rsid w:val="00221E3B"/>
    <w:rsid w:val="0024484B"/>
    <w:rsid w:val="00260C8C"/>
    <w:rsid w:val="002E5E40"/>
    <w:rsid w:val="004D4B92"/>
    <w:rsid w:val="0052425A"/>
    <w:rsid w:val="00586A8D"/>
    <w:rsid w:val="006B039E"/>
    <w:rsid w:val="006D7A3B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168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B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168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B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31A2-CD16-41FF-9CF2-7FEBCF1D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cp:lastPrinted>2018-10-17T13:16:00Z</cp:lastPrinted>
  <dcterms:created xsi:type="dcterms:W3CDTF">2018-10-09T14:23:00Z</dcterms:created>
  <dcterms:modified xsi:type="dcterms:W3CDTF">2018-10-24T12:16:00Z</dcterms:modified>
</cp:coreProperties>
</file>