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Default="00247266" w:rsidP="00076E70">
      <w:r w:rsidRPr="00692175">
        <w:rPr>
          <w:rFonts w:ascii="Gill Sans MT" w:hAnsi="Gill Sans MT" w:cs="Arial"/>
          <w:b/>
          <w:sz w:val="52"/>
          <w:szCs w:val="52"/>
        </w:rPr>
        <w:t>Rapporto</w:t>
      </w:r>
    </w:p>
    <w:p w:rsidR="008B4137" w:rsidRDefault="008B4137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A8345E" w:rsidRPr="003C0761" w:rsidRDefault="00A8345E" w:rsidP="00A8345E">
      <w:pPr>
        <w:tabs>
          <w:tab w:val="left" w:pos="1985"/>
          <w:tab w:val="left" w:pos="4962"/>
        </w:tabs>
        <w:ind w:right="-1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7268</w:t>
      </w:r>
      <w:r w:rsidR="00C2522E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R</w:t>
      </w:r>
      <w:r w:rsidRPr="003C0761">
        <w:rPr>
          <w:rFonts w:cs="Arial"/>
          <w:b/>
          <w:sz w:val="32"/>
          <w:szCs w:val="32"/>
        </w:rPr>
        <w:tab/>
      </w:r>
      <w:r>
        <w:rPr>
          <w:rFonts w:cs="Arial"/>
          <w:sz w:val="28"/>
          <w:szCs w:val="28"/>
        </w:rPr>
        <w:t>25 ottobre 2018</w:t>
      </w:r>
      <w:r w:rsidRPr="003C0761">
        <w:rPr>
          <w:rFonts w:cs="Arial"/>
          <w:sz w:val="32"/>
          <w:szCs w:val="32"/>
        </w:rPr>
        <w:tab/>
      </w:r>
      <w:r>
        <w:rPr>
          <w:rFonts w:cs="Arial"/>
          <w:caps/>
          <w:sz w:val="28"/>
          <w:szCs w:val="28"/>
        </w:rPr>
        <w:t>territorio</w:t>
      </w:r>
    </w:p>
    <w:p w:rsidR="00A8345E" w:rsidRPr="0022151C" w:rsidRDefault="00A8345E" w:rsidP="00A8345E">
      <w:pPr>
        <w:ind w:right="-1"/>
        <w:rPr>
          <w:rFonts w:cs="Arial"/>
          <w:sz w:val="20"/>
          <w:szCs w:val="20"/>
        </w:rPr>
      </w:pPr>
    </w:p>
    <w:p w:rsidR="00A8345E" w:rsidRPr="0022151C" w:rsidRDefault="00A8345E" w:rsidP="00A8345E">
      <w:pPr>
        <w:ind w:right="-1"/>
        <w:rPr>
          <w:rFonts w:cs="Arial"/>
          <w:sz w:val="20"/>
          <w:szCs w:val="20"/>
        </w:rPr>
      </w:pPr>
    </w:p>
    <w:p w:rsidR="00A8345E" w:rsidRPr="0022151C" w:rsidRDefault="00A8345E" w:rsidP="00A8345E">
      <w:pPr>
        <w:ind w:right="-1"/>
        <w:rPr>
          <w:rFonts w:cs="Arial"/>
          <w:sz w:val="20"/>
          <w:szCs w:val="20"/>
        </w:rPr>
      </w:pPr>
    </w:p>
    <w:p w:rsidR="00A8345E" w:rsidRPr="003C0761" w:rsidRDefault="00A8345E" w:rsidP="00247266">
      <w:pPr>
        <w:rPr>
          <w:rFonts w:cs="Arial"/>
          <w:b/>
          <w:snapToGrid w:val="0"/>
          <w:sz w:val="28"/>
          <w:szCs w:val="28"/>
        </w:rPr>
      </w:pPr>
      <w:r w:rsidRPr="003C0761">
        <w:rPr>
          <w:rFonts w:cs="Arial"/>
          <w:b/>
          <w:snapToGrid w:val="0"/>
          <w:sz w:val="28"/>
          <w:szCs w:val="28"/>
        </w:rPr>
        <w:t xml:space="preserve">della Commissione </w:t>
      </w:r>
      <w:r w:rsidR="0022151C">
        <w:rPr>
          <w:rFonts w:cs="Arial"/>
          <w:b/>
          <w:snapToGrid w:val="0"/>
          <w:sz w:val="28"/>
          <w:szCs w:val="28"/>
        </w:rPr>
        <w:t xml:space="preserve">speciale </w:t>
      </w:r>
      <w:r>
        <w:rPr>
          <w:rFonts w:cs="Arial"/>
          <w:b/>
          <w:snapToGrid w:val="0"/>
          <w:sz w:val="28"/>
          <w:szCs w:val="28"/>
        </w:rPr>
        <w:t>pianificazione del territorio</w:t>
      </w:r>
    </w:p>
    <w:p w:rsidR="00A8345E" w:rsidRDefault="00A8345E" w:rsidP="0022151C">
      <w:pPr>
        <w:spacing w:before="40"/>
        <w:rPr>
          <w:rFonts w:cs="Arial"/>
          <w:b/>
          <w:snapToGrid w:val="0"/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>sulle mozioni:</w:t>
      </w:r>
      <w:bookmarkStart w:id="0" w:name="_GoBack"/>
      <w:bookmarkEnd w:id="0"/>
    </w:p>
    <w:p w:rsidR="00A8345E" w:rsidRPr="003C0761" w:rsidRDefault="00A8345E" w:rsidP="0022151C">
      <w:pPr>
        <w:pStyle w:val="Paragrafoelenco"/>
        <w:numPr>
          <w:ilvl w:val="0"/>
          <w:numId w:val="7"/>
        </w:numPr>
        <w:spacing w:before="40"/>
        <w:ind w:left="284" w:hanging="284"/>
        <w:rPr>
          <w:rFonts w:cs="Arial"/>
          <w:b/>
          <w:snapToGrid w:val="0"/>
          <w:sz w:val="28"/>
          <w:szCs w:val="28"/>
        </w:rPr>
      </w:pPr>
      <w:r w:rsidRPr="003C0761">
        <w:rPr>
          <w:rFonts w:cs="Arial"/>
          <w:b/>
          <w:snapToGrid w:val="0"/>
          <w:sz w:val="28"/>
          <w:szCs w:val="28"/>
        </w:rPr>
        <w:t>22 giugno 2016 presentata da Cleto Ferrari “Mobilità frontaliera e collegamenti pubblici: mettiamo qualche paletto”</w:t>
      </w:r>
    </w:p>
    <w:p w:rsidR="00A8345E" w:rsidRPr="003C0761" w:rsidRDefault="00A8345E" w:rsidP="0022151C">
      <w:pPr>
        <w:pStyle w:val="Paragrafoelenco"/>
        <w:numPr>
          <w:ilvl w:val="0"/>
          <w:numId w:val="7"/>
        </w:numPr>
        <w:spacing w:before="40"/>
        <w:ind w:left="284" w:hanging="284"/>
        <w:rPr>
          <w:rFonts w:cs="Arial"/>
          <w:b/>
          <w:snapToGrid w:val="0"/>
          <w:sz w:val="26"/>
          <w:szCs w:val="26"/>
        </w:rPr>
      </w:pPr>
      <w:r w:rsidRPr="003C0761">
        <w:rPr>
          <w:rFonts w:cs="Arial"/>
          <w:b/>
          <w:snapToGrid w:val="0"/>
          <w:sz w:val="28"/>
          <w:szCs w:val="28"/>
        </w:rPr>
        <w:t xml:space="preserve">22 novembre 2016 presentata da Cleto Ferrari “Mobilità nelle zone di confine – Mobilità delle merci e delle persone nel Gambarogno del dopo </w:t>
      </w:r>
      <w:proofErr w:type="spellStart"/>
      <w:r w:rsidRPr="003C0761">
        <w:rPr>
          <w:rFonts w:cs="Arial"/>
          <w:b/>
          <w:snapToGrid w:val="0"/>
          <w:sz w:val="28"/>
          <w:szCs w:val="28"/>
        </w:rPr>
        <w:t>Alptransit</w:t>
      </w:r>
      <w:proofErr w:type="spellEnd"/>
      <w:r w:rsidRPr="003C0761">
        <w:rPr>
          <w:rFonts w:cs="Arial"/>
          <w:b/>
          <w:snapToGrid w:val="0"/>
          <w:sz w:val="28"/>
          <w:szCs w:val="28"/>
        </w:rPr>
        <w:t>: restituiamo il carattere turistico residenziale alla regione e ai suoi nuclei e non trasformiamola in un corridoio di transito!”</w:t>
      </w:r>
    </w:p>
    <w:p w:rsidR="00A8345E" w:rsidRPr="003C0761" w:rsidRDefault="00A8345E" w:rsidP="00247266">
      <w:pPr>
        <w:spacing w:before="80"/>
        <w:rPr>
          <w:rFonts w:cs="Arial"/>
          <w:b/>
          <w:snapToGrid w:val="0"/>
          <w:sz w:val="26"/>
          <w:szCs w:val="26"/>
        </w:rPr>
      </w:pPr>
      <w:r w:rsidRPr="003C0761">
        <w:rPr>
          <w:rFonts w:cs="Arial"/>
          <w:b/>
          <w:snapToGrid w:val="0"/>
          <w:sz w:val="26"/>
          <w:szCs w:val="26"/>
        </w:rPr>
        <w:t xml:space="preserve">(v. messaggio </w:t>
      </w:r>
      <w:r>
        <w:rPr>
          <w:rFonts w:cs="Arial"/>
          <w:b/>
          <w:snapToGrid w:val="0"/>
          <w:sz w:val="26"/>
          <w:szCs w:val="26"/>
        </w:rPr>
        <w:t>10 gennaio 2017 n. 7268</w:t>
      </w:r>
      <w:r w:rsidRPr="003C0761">
        <w:rPr>
          <w:rFonts w:cs="Arial"/>
          <w:b/>
          <w:snapToGrid w:val="0"/>
          <w:sz w:val="26"/>
          <w:szCs w:val="26"/>
        </w:rPr>
        <w:t>)</w:t>
      </w:r>
    </w:p>
    <w:p w:rsidR="00A8345E" w:rsidRPr="0022151C" w:rsidRDefault="00A8345E" w:rsidP="0022151C">
      <w:pPr>
        <w:rPr>
          <w:sz w:val="20"/>
          <w:szCs w:val="20"/>
        </w:rPr>
      </w:pPr>
    </w:p>
    <w:p w:rsidR="00A8345E" w:rsidRPr="0022151C" w:rsidRDefault="00A8345E" w:rsidP="0022151C">
      <w:pPr>
        <w:rPr>
          <w:sz w:val="20"/>
          <w:szCs w:val="20"/>
        </w:rPr>
      </w:pPr>
    </w:p>
    <w:p w:rsidR="00A8345E" w:rsidRPr="0022151C" w:rsidRDefault="00A8345E" w:rsidP="0022151C">
      <w:pPr>
        <w:rPr>
          <w:sz w:val="20"/>
          <w:szCs w:val="20"/>
        </w:rPr>
      </w:pPr>
    </w:p>
    <w:p w:rsidR="00A8345E" w:rsidRPr="003E0E5B" w:rsidRDefault="00A8345E" w:rsidP="0022151C">
      <w:pPr>
        <w:pStyle w:val="Titolo1"/>
      </w:pPr>
      <w:r w:rsidRPr="003E0E5B">
        <w:t>La mozione</w:t>
      </w:r>
    </w:p>
    <w:p w:rsidR="00A8345E" w:rsidRPr="003E0E5B" w:rsidRDefault="00A8345E" w:rsidP="0022151C">
      <w:r w:rsidRPr="003E0E5B">
        <w:t>Le due mozioni presentate dal deputato Cleto Ferrari, il 22 giugno 2016 e il 22 novembre 2016, sollevano differenti punti di discussione riguardanti la mobilità della regione del Gambarogno.</w:t>
      </w:r>
    </w:p>
    <w:p w:rsidR="00A8345E" w:rsidRPr="003E0E5B" w:rsidRDefault="00A8345E" w:rsidP="0022151C">
      <w:r>
        <w:t>La regione</w:t>
      </w:r>
      <w:r w:rsidRPr="003E0E5B">
        <w:t xml:space="preserve"> del Gambarogno presenta peculiarità turistiche per la sua posizione in riva al lago </w:t>
      </w:r>
      <w:r>
        <w:t xml:space="preserve">ed è </w:t>
      </w:r>
      <w:r w:rsidRPr="003E0E5B">
        <w:t>una meta ambita del turismo ticinese. Inoltre,</w:t>
      </w:r>
      <w:r>
        <w:t xml:space="preserve"> essa </w:t>
      </w:r>
      <w:r w:rsidRPr="003E0E5B">
        <w:t>costituisce una zona di transito d</w:t>
      </w:r>
      <w:r>
        <w:t>i lavoratori, vista la prossimità della</w:t>
      </w:r>
      <w:r w:rsidRPr="003E0E5B">
        <w:t xml:space="preserve"> frontiera italiana. La mobilità nel Gambarogno è diversificata: </w:t>
      </w:r>
      <w:r>
        <w:t xml:space="preserve">oltre alla rete stradale, </w:t>
      </w:r>
      <w:r w:rsidRPr="003E0E5B">
        <w:t>una rete di trasporti pubblici, sia su rotaia</w:t>
      </w:r>
      <w:r>
        <w:t xml:space="preserve"> sia su gomma</w:t>
      </w:r>
      <w:r w:rsidRPr="003E0E5B">
        <w:t>, attraversa il territorio; un servizio lacustre consente</w:t>
      </w:r>
      <w:r>
        <w:t xml:space="preserve"> pure</w:t>
      </w:r>
      <w:r w:rsidRPr="003E0E5B">
        <w:t xml:space="preserve"> spostamenti via lago</w:t>
      </w:r>
      <w:r>
        <w:t>.</w:t>
      </w:r>
    </w:p>
    <w:p w:rsidR="00A8345E" w:rsidRDefault="00A8345E" w:rsidP="0022151C">
      <w:r>
        <w:t>Le caratteristiche turistiche del Gambarogno sono presenti da decenni</w:t>
      </w:r>
      <w:r w:rsidRPr="003E0E5B">
        <w:t xml:space="preserve"> e le mozioni sottolineano </w:t>
      </w:r>
      <w:r>
        <w:t>un</w:t>
      </w:r>
      <w:r w:rsidRPr="003E0E5B">
        <w:t xml:space="preserve"> trend futuro di crescita</w:t>
      </w:r>
      <w:r>
        <w:t>,</w:t>
      </w:r>
      <w:r w:rsidRPr="003E0E5B">
        <w:t xml:space="preserve"> anche de</w:t>
      </w:r>
      <w:r>
        <w:t>lle persone</w:t>
      </w:r>
      <w:r w:rsidRPr="003E0E5B">
        <w:t xml:space="preserve"> residenti. </w:t>
      </w:r>
    </w:p>
    <w:p w:rsidR="00A8345E" w:rsidRPr="003E0E5B" w:rsidRDefault="00A8345E" w:rsidP="0022151C">
      <w:r>
        <w:t>L’aumento</w:t>
      </w:r>
      <w:r w:rsidRPr="003E0E5B">
        <w:t xml:space="preserve"> degli spostamenti interni e il traffico dei lavoratori frontalieri influiscono sempre più negativamente sulla mobilità; ad essere particolarmente toccato è il traffico stradale di veicoli privati, che</w:t>
      </w:r>
      <w:r>
        <w:t xml:space="preserve">, </w:t>
      </w:r>
      <w:r w:rsidRPr="003E0E5B">
        <w:t>in determinate fasce orarie di punta</w:t>
      </w:r>
      <w:r>
        <w:t>,</w:t>
      </w:r>
      <w:r w:rsidRPr="003E0E5B">
        <w:t xml:space="preserve"> è fortemente rallentato</w:t>
      </w:r>
      <w:r>
        <w:t>, e in taluni casi, addirittura bloccato.</w:t>
      </w:r>
    </w:p>
    <w:p w:rsidR="00A8345E" w:rsidRPr="003E0E5B" w:rsidRDefault="00A8345E" w:rsidP="0022151C">
      <w:r w:rsidRPr="003E0E5B">
        <w:t xml:space="preserve">Lo scopo delle due mozioni </w:t>
      </w:r>
      <w:r>
        <w:t>mira</w:t>
      </w:r>
      <w:r w:rsidRPr="003E0E5B">
        <w:t xml:space="preserve"> all’introduzione di misure di carattere generale che assicurino una mobilità efficiente ai residenti e influiscano con maggiore vigore sullo spostamento dei frontalieri.</w:t>
      </w:r>
    </w:p>
    <w:p w:rsidR="00A8345E" w:rsidRPr="003E0E5B" w:rsidRDefault="00A8345E" w:rsidP="0022151C">
      <w:r>
        <w:t>Si intende quindi</w:t>
      </w:r>
      <w:r w:rsidRPr="003E0E5B">
        <w:t xml:space="preserve"> tutelare una regione altamente attrattiva per il turismo e alleggerire </w:t>
      </w:r>
      <w:r>
        <w:t xml:space="preserve">nel contempo </w:t>
      </w:r>
      <w:r w:rsidRPr="003E0E5B">
        <w:t>i cittadini</w:t>
      </w:r>
      <w:r>
        <w:t xml:space="preserve"> per rispetto all’aumento della mobilità</w:t>
      </w:r>
      <w:r w:rsidRPr="003E0E5B">
        <w:t>.</w:t>
      </w:r>
    </w:p>
    <w:p w:rsidR="00A8345E" w:rsidRPr="003E0E5B" w:rsidRDefault="00A8345E" w:rsidP="0022151C">
      <w:r w:rsidRPr="003E0E5B">
        <w:t>Le misure di carattere generale proposte d</w:t>
      </w:r>
      <w:r>
        <w:t>a</w:t>
      </w:r>
      <w:r w:rsidRPr="003E0E5B">
        <w:t>lle due mozioni sono ben delineate e verranno trattate al capitolo 4.</w:t>
      </w:r>
    </w:p>
    <w:p w:rsidR="00A8345E" w:rsidRDefault="00A8345E" w:rsidP="0022151C"/>
    <w:p w:rsidR="00A8345E" w:rsidRDefault="00A8345E" w:rsidP="0022151C"/>
    <w:p w:rsidR="00A8345E" w:rsidRPr="003E0E5B" w:rsidRDefault="00A8345E" w:rsidP="0022151C">
      <w:pPr>
        <w:pStyle w:val="Titolo1"/>
      </w:pPr>
      <w:r w:rsidRPr="003E0E5B">
        <w:t>La posizione del Consiglio di Stato</w:t>
      </w:r>
    </w:p>
    <w:p w:rsidR="00A8345E" w:rsidRPr="003E0E5B" w:rsidRDefault="00A8345E" w:rsidP="0022151C">
      <w:r w:rsidRPr="003E0E5B">
        <w:t xml:space="preserve">Il Consiglio di Stato </w:t>
      </w:r>
      <w:r>
        <w:t>ritiene legittime</w:t>
      </w:r>
      <w:r w:rsidRPr="003E0E5B">
        <w:t xml:space="preserve"> le preoccupazioni e le valutazioni critiche sull’evoluzione della mobilità nel Gambarogno</w:t>
      </w:r>
      <w:r>
        <w:t xml:space="preserve"> pur consapevole che l</w:t>
      </w:r>
      <w:r w:rsidRPr="003E0E5B">
        <w:t>a mobilità è un tema complesso, con grand</w:t>
      </w:r>
      <w:r>
        <w:t xml:space="preserve">i aspettative da parte di tutti e </w:t>
      </w:r>
      <w:r w:rsidRPr="003E0E5B">
        <w:t xml:space="preserve">che richiede lunghi tempi di </w:t>
      </w:r>
      <w:r w:rsidRPr="003E0E5B">
        <w:lastRenderedPageBreak/>
        <w:t xml:space="preserve">realizzazione e costi </w:t>
      </w:r>
      <w:r>
        <w:t xml:space="preserve">di investimento </w:t>
      </w:r>
      <w:r w:rsidRPr="003E0E5B">
        <w:t xml:space="preserve">elevati. I problemi legati </w:t>
      </w:r>
      <w:r>
        <w:t>ad essa</w:t>
      </w:r>
      <w:r w:rsidRPr="003E0E5B">
        <w:t xml:space="preserve"> non toccano unicamente il Gambarogno, bensì tutto il Ticino, e coinvolgono </w:t>
      </w:r>
      <w:r>
        <w:t>i Comuni, il Cantone</w:t>
      </w:r>
      <w:r w:rsidRPr="003E0E5B">
        <w:t xml:space="preserve"> e la Confederazione.</w:t>
      </w:r>
    </w:p>
    <w:p w:rsidR="00A8345E" w:rsidRPr="003E0E5B" w:rsidRDefault="00A8345E" w:rsidP="0022151C">
      <w:r w:rsidRPr="003E0E5B">
        <w:t xml:space="preserve">Il Cantone, </w:t>
      </w:r>
      <w:r>
        <w:t xml:space="preserve">d’intesa con </w:t>
      </w:r>
      <w:r w:rsidRPr="003E0E5B">
        <w:t xml:space="preserve">i Comuni, pianifica gli interventi principali, consapevole che una rete di vie </w:t>
      </w:r>
      <w:r>
        <w:t xml:space="preserve">di transito e </w:t>
      </w:r>
      <w:r w:rsidRPr="003E0E5B">
        <w:t>di trasporto efficiente è di fondamentale importanza. A scadenze regolari vengono presentati Piani regionali d</w:t>
      </w:r>
      <w:r>
        <w:t>e</w:t>
      </w:r>
      <w:r w:rsidRPr="003E0E5B">
        <w:t>i trasport</w:t>
      </w:r>
      <w:r>
        <w:t>i</w:t>
      </w:r>
      <w:r w:rsidRPr="003E0E5B">
        <w:t xml:space="preserve"> e Programmi d</w:t>
      </w:r>
      <w:r>
        <w:t>‘</w:t>
      </w:r>
      <w:r w:rsidRPr="003E0E5B">
        <w:t xml:space="preserve">agglomerato, che richiedono lunghi periodi di attuazione. L’evoluzione negli ultimi anni è evidente, non solo </w:t>
      </w:r>
      <w:r>
        <w:t>a seguito dell’</w:t>
      </w:r>
      <w:r w:rsidRPr="003E0E5B">
        <w:t xml:space="preserve">apertura di </w:t>
      </w:r>
      <w:proofErr w:type="spellStart"/>
      <w:r w:rsidRPr="003E0E5B">
        <w:t>Alptransit</w:t>
      </w:r>
      <w:proofErr w:type="spellEnd"/>
      <w:r w:rsidRPr="003E0E5B">
        <w:t xml:space="preserve">, ma anche per il continuo sviluppo della rete di treni TILO, che copre </w:t>
      </w:r>
      <w:r>
        <w:t xml:space="preserve">ormai </w:t>
      </w:r>
      <w:r w:rsidRPr="003E0E5B">
        <w:t>tutto il Ticino. Non bisogna però dimenticare che</w:t>
      </w:r>
      <w:r>
        <w:t>,</w:t>
      </w:r>
      <w:r w:rsidRPr="003E0E5B">
        <w:t xml:space="preserve"> accanto alla promozione dei trasporti pubblici da parte dello Stato, sono le stesse abitudini dei cittadini che devono mutare a favore di una mobilità più sostenibile.</w:t>
      </w:r>
    </w:p>
    <w:p w:rsidR="00A8345E" w:rsidRPr="003E0E5B" w:rsidRDefault="00A8345E" w:rsidP="0022151C">
      <w:r w:rsidRPr="003E0E5B">
        <w:t xml:space="preserve">Il Consiglio di Stato </w:t>
      </w:r>
      <w:r>
        <w:t>esamina</w:t>
      </w:r>
      <w:r w:rsidRPr="003E0E5B">
        <w:t xml:space="preserve"> puntualmente le richieste esposte dall’estensore delle due mozioni</w:t>
      </w:r>
      <w:r>
        <w:t>, ritenendole</w:t>
      </w:r>
      <w:r w:rsidRPr="003E0E5B">
        <w:t xml:space="preserve"> sproporzionate</w:t>
      </w:r>
      <w:r>
        <w:t xml:space="preserve"> e</w:t>
      </w:r>
      <w:r w:rsidRPr="003E0E5B">
        <w:t xml:space="preserve"> inattuabili</w:t>
      </w:r>
      <w:r>
        <w:t>, rispettivamente in parte già realizzate.</w:t>
      </w:r>
      <w:r w:rsidRPr="003E0E5B">
        <w:t xml:space="preserve"> Viene sottolineato come il Cantone </w:t>
      </w:r>
      <w:r>
        <w:t xml:space="preserve">già </w:t>
      </w:r>
      <w:r w:rsidRPr="003E0E5B">
        <w:t>possie</w:t>
      </w:r>
      <w:r>
        <w:t>da</w:t>
      </w:r>
      <w:r w:rsidRPr="003E0E5B">
        <w:t xml:space="preserve"> un politica della mobilità che promuove la complementarità tra </w:t>
      </w:r>
      <w:r>
        <w:t xml:space="preserve">i </w:t>
      </w:r>
      <w:r w:rsidRPr="003E0E5B">
        <w:t>mezzi di tras</w:t>
      </w:r>
      <w:r>
        <w:t>porto, sia pubblici che privati e il</w:t>
      </w:r>
      <w:r w:rsidRPr="003E0E5B">
        <w:t xml:space="preserve"> Programma d</w:t>
      </w:r>
      <w:r>
        <w:t>‘</w:t>
      </w:r>
      <w:r w:rsidRPr="003E0E5B">
        <w:t>agglomerato del Locarnese</w:t>
      </w:r>
      <w:r>
        <w:t xml:space="preserve"> (</w:t>
      </w:r>
      <w:proofErr w:type="spellStart"/>
      <w:r>
        <w:t>PALoc</w:t>
      </w:r>
      <w:proofErr w:type="spellEnd"/>
      <w:r>
        <w:t>)</w:t>
      </w:r>
      <w:r w:rsidRPr="003E0E5B">
        <w:t xml:space="preserve"> ne è un </w:t>
      </w:r>
      <w:r>
        <w:t xml:space="preserve">chiaro </w:t>
      </w:r>
      <w:r w:rsidRPr="003E0E5B">
        <w:t>esempio in fase di attuazione.</w:t>
      </w:r>
    </w:p>
    <w:p w:rsidR="00A8345E" w:rsidRDefault="00A8345E" w:rsidP="0022151C"/>
    <w:p w:rsidR="0022151C" w:rsidRPr="003E0E5B" w:rsidRDefault="0022151C" w:rsidP="0022151C"/>
    <w:p w:rsidR="00A8345E" w:rsidRPr="003E0E5B" w:rsidRDefault="00A8345E" w:rsidP="0022151C">
      <w:pPr>
        <w:pStyle w:val="Titolo1"/>
      </w:pPr>
      <w:r w:rsidRPr="003E0E5B">
        <w:t>Considerazioni commissionali generali</w:t>
      </w:r>
    </w:p>
    <w:p w:rsidR="00A8345E" w:rsidRPr="003E0E5B" w:rsidRDefault="00A8345E" w:rsidP="0022151C">
      <w:r>
        <w:t>I</w:t>
      </w:r>
      <w:r w:rsidRPr="003E0E5B">
        <w:t xml:space="preserve">l Cantone si impegna e investe </w:t>
      </w:r>
      <w:r>
        <w:t xml:space="preserve">parecchio nella mobilità sostenibile </w:t>
      </w:r>
      <w:r w:rsidRPr="003E0E5B">
        <w:t xml:space="preserve">e da qualche anno ne sta raccogliendo i frutti. Gli obiettivi sono stati raggiunti con una stretta e continua collaborazione fra Cantone e Comuni, con il concorso delle Commissioni regionali dei trasporti. L’approccio di lavoro è </w:t>
      </w:r>
      <w:r>
        <w:t>caratterizzato da</w:t>
      </w:r>
      <w:r w:rsidRPr="003E0E5B">
        <w:t xml:space="preserve"> una visione complessiva e integrata della mobilità, che consente uno sviluppo equilibrato </w:t>
      </w:r>
      <w:r>
        <w:t>de</w:t>
      </w:r>
      <w:r w:rsidRPr="003E0E5B">
        <w:t>l territorio</w:t>
      </w:r>
      <w:r w:rsidRPr="003E0E5B">
        <w:rPr>
          <w:rStyle w:val="Rimandonotaapidipagina"/>
          <w:rFonts w:cs="Arial"/>
        </w:rPr>
        <w:footnoteReference w:id="1"/>
      </w:r>
      <w:r w:rsidRPr="003E0E5B">
        <w:t>.</w:t>
      </w:r>
    </w:p>
    <w:p w:rsidR="00A8345E" w:rsidRPr="003E0E5B" w:rsidRDefault="00A8345E" w:rsidP="0022151C">
      <w:r w:rsidRPr="003E0E5B">
        <w:t>Il Rapporto annu</w:t>
      </w:r>
      <w:r>
        <w:t>ale</w:t>
      </w:r>
      <w:r w:rsidRPr="003E0E5B">
        <w:t xml:space="preserve"> sulla mobilità in Ticino, concernente il 2016, mostra come grandi passi avanti s</w:t>
      </w:r>
      <w:r>
        <w:t>iano stati</w:t>
      </w:r>
      <w:r w:rsidRPr="003E0E5B">
        <w:t xml:space="preserve"> fatti per il contenimento del traffico veicolare. La rete TILO è sempre più efficiente e un numero crescente di cittadini sceglie di utilizzare il trasporto pubblico. È costante la crescita dei passeggeri trasportati dai treni ticinesi e, nonostante le immatricolazioni </w:t>
      </w:r>
      <w:r>
        <w:t xml:space="preserve">dei veicoli </w:t>
      </w:r>
      <w:r w:rsidRPr="003E0E5B">
        <w:t>siano in aumento, il traffico è più o meno costante</w:t>
      </w:r>
      <w:r w:rsidRPr="003E0E5B">
        <w:rPr>
          <w:rStyle w:val="Rimandonotaapidipagina"/>
          <w:rFonts w:cs="Arial"/>
        </w:rPr>
        <w:footnoteReference w:id="2"/>
      </w:r>
      <w:r w:rsidRPr="003E0E5B">
        <w:t>.</w:t>
      </w:r>
    </w:p>
    <w:p w:rsidR="00A8345E" w:rsidRPr="003E0E5B" w:rsidRDefault="00A8345E" w:rsidP="0022151C">
      <w:r w:rsidRPr="003E0E5B">
        <w:t>L’apertura della Galleria di base del San Gottardo, l’apertura della Galleria di base del Monte Ceneri nel 2020 e l’incremento dei servizi TILO, sono solo alcuni degli esempi, sicuramente i più evidenti, dei risultati che i Programmi d</w:t>
      </w:r>
      <w:r>
        <w:t>’a</w:t>
      </w:r>
      <w:r w:rsidRPr="003E0E5B">
        <w:t xml:space="preserve">gglomerato promuovono dal 2001. Con </w:t>
      </w:r>
      <w:r>
        <w:t xml:space="preserve">tali </w:t>
      </w:r>
      <w:r w:rsidRPr="003E0E5B">
        <w:t>Programmi d</w:t>
      </w:r>
      <w:r>
        <w:t>’a</w:t>
      </w:r>
      <w:r w:rsidRPr="003E0E5B">
        <w:t xml:space="preserve">gglomerato siamo ormai </w:t>
      </w:r>
      <w:r>
        <w:t xml:space="preserve">giunti </w:t>
      </w:r>
      <w:r w:rsidRPr="003E0E5B">
        <w:t xml:space="preserve">alla terza generazione, </w:t>
      </w:r>
      <w:r>
        <w:t>segno questo</w:t>
      </w:r>
      <w:r w:rsidRPr="003E0E5B">
        <w:t xml:space="preserve"> di grande lavoro e </w:t>
      </w:r>
      <w:r>
        <w:t>desiderio</w:t>
      </w:r>
      <w:r w:rsidRPr="003E0E5B">
        <w:t xml:space="preserve"> di miglioramento</w:t>
      </w:r>
      <w:r>
        <w:t xml:space="preserve"> da un lato, ma anche dimostrazione dell’esigenza di tempi lunghi di realizzazione dall’altro.</w:t>
      </w:r>
      <w:r w:rsidRPr="003E0E5B">
        <w:t xml:space="preserve"> </w:t>
      </w:r>
    </w:p>
    <w:p w:rsidR="00A8345E" w:rsidRPr="003E0E5B" w:rsidRDefault="00A8345E" w:rsidP="0022151C">
      <w:r w:rsidRPr="003E0E5B">
        <w:t>Le problematiche e le preoccupazion</w:t>
      </w:r>
      <w:r>
        <w:t>i</w:t>
      </w:r>
      <w:r w:rsidRPr="003E0E5B">
        <w:t xml:space="preserve"> sollevate dalle due mozioni sono ben conosciute dal Cantone e </w:t>
      </w:r>
      <w:r>
        <w:t>sono</w:t>
      </w:r>
      <w:r w:rsidRPr="003E0E5B">
        <w:t xml:space="preserve"> oggetto di una stretta osservazione e di una continua ricerca di migliorie possibili</w:t>
      </w:r>
      <w:r>
        <w:t xml:space="preserve"> pur tenendo conto che</w:t>
      </w:r>
      <w:r w:rsidRPr="003E0E5B">
        <w:t xml:space="preserve"> il discorso è globale </w:t>
      </w:r>
      <w:r>
        <w:t>a livello</w:t>
      </w:r>
      <w:r w:rsidRPr="003E0E5B">
        <w:t xml:space="preserve"> ticinese e non si limita unicamente a </w:t>
      </w:r>
      <w:r>
        <w:t>isolate</w:t>
      </w:r>
      <w:r w:rsidRPr="003E0E5B">
        <w:t xml:space="preserve"> soluzioni locali.</w:t>
      </w:r>
    </w:p>
    <w:p w:rsidR="00A8345E" w:rsidRPr="003E0E5B" w:rsidRDefault="00A8345E" w:rsidP="0022151C">
      <w:r w:rsidRPr="003E0E5B">
        <w:t>La zona del Gambarogno e le sue problematiche sono parte del Programma d</w:t>
      </w:r>
      <w:r>
        <w:t>‘</w:t>
      </w:r>
      <w:r w:rsidRPr="003E0E5B">
        <w:t>agglomerato del Locarnese</w:t>
      </w:r>
      <w:r>
        <w:t>.</w:t>
      </w:r>
      <w:r w:rsidRPr="003E0E5B">
        <w:t xml:space="preserve"> </w:t>
      </w:r>
      <w:r>
        <w:t>I</w:t>
      </w:r>
      <w:r w:rsidRPr="003E0E5B">
        <w:t xml:space="preserve">l </w:t>
      </w:r>
      <w:proofErr w:type="spellStart"/>
      <w:r w:rsidRPr="003E0E5B">
        <w:t>PALoc</w:t>
      </w:r>
      <w:proofErr w:type="spellEnd"/>
      <w:r w:rsidRPr="003E0E5B">
        <w:t xml:space="preserve"> di seconda generazione è in fase di attuazione</w:t>
      </w:r>
      <w:r>
        <w:t xml:space="preserve">. Il 14 settembre 2018 il Consiglio federale ha presentato il </w:t>
      </w:r>
      <w:r w:rsidRPr="000F04DC">
        <w:t>Messaggio</w:t>
      </w:r>
      <w:r>
        <w:t xml:space="preserve"> </w:t>
      </w:r>
      <w:r w:rsidRPr="000F04DC">
        <w:t>concernente il decreto federale sui crediti d’impegno a partire</w:t>
      </w:r>
      <w:r>
        <w:t xml:space="preserve"> </w:t>
      </w:r>
      <w:r w:rsidRPr="000F04DC">
        <w:t>dal 2019 per i contributi destinati a misure nel quadro</w:t>
      </w:r>
      <w:r>
        <w:t xml:space="preserve"> </w:t>
      </w:r>
      <w:r w:rsidRPr="000F04DC">
        <w:t>del programma Traffico d’agglomerato</w:t>
      </w:r>
      <w:r>
        <w:t xml:space="preserve">, proponendo alle Camere federali di approvare il </w:t>
      </w:r>
      <w:proofErr w:type="spellStart"/>
      <w:r w:rsidRPr="003E0E5B">
        <w:t>PALoc</w:t>
      </w:r>
      <w:proofErr w:type="spellEnd"/>
      <w:r w:rsidRPr="003E0E5B">
        <w:t xml:space="preserve"> di terza generazione </w:t>
      </w:r>
      <w:r>
        <w:t xml:space="preserve">con un’aliquota di contribuzione della </w:t>
      </w:r>
      <w:r w:rsidRPr="003E0E5B">
        <w:t>Confederazione</w:t>
      </w:r>
      <w:r>
        <w:t xml:space="preserve"> del 40%</w:t>
      </w:r>
      <w:r w:rsidRPr="003E0E5B">
        <w:t xml:space="preserve">. </w:t>
      </w:r>
      <w:r>
        <w:t>Pure il Gambarogno è coperto</w:t>
      </w:r>
      <w:r w:rsidRPr="003E0E5B">
        <w:t xml:space="preserve"> dai trasporti pubblici come il resto </w:t>
      </w:r>
      <w:r w:rsidRPr="003E0E5B">
        <w:lastRenderedPageBreak/>
        <w:t>del locarnese, la linea S30 va da Bellinzona a Luino supportata pure da linee di bus. Il rapporto annu</w:t>
      </w:r>
      <w:r>
        <w:t>ale</w:t>
      </w:r>
      <w:r w:rsidRPr="003E0E5B">
        <w:t xml:space="preserve"> sulla mobilità in Ticino, </w:t>
      </w:r>
      <w:r>
        <w:t>relativo al</w:t>
      </w:r>
      <w:r w:rsidRPr="003E0E5B">
        <w:t xml:space="preserve"> 2016, mostra come il numero di passeggeri della zona sia di gran lunga inferiore rispetto al resto del Ticino. </w:t>
      </w:r>
      <w:r>
        <w:t>Ciò vale s</w:t>
      </w:r>
      <w:r w:rsidRPr="003E0E5B">
        <w:t>ia</w:t>
      </w:r>
      <w:r>
        <w:t xml:space="preserve"> per</w:t>
      </w:r>
      <w:r w:rsidRPr="003E0E5B">
        <w:t xml:space="preserve"> la S30 Luino-Bellinzona </w:t>
      </w:r>
      <w:r>
        <w:t>sia per il</w:t>
      </w:r>
      <w:r w:rsidRPr="003E0E5B">
        <w:t xml:space="preserve"> traffico motorizzato </w:t>
      </w:r>
      <w:r>
        <w:t xml:space="preserve">che </w:t>
      </w:r>
      <w:r w:rsidRPr="003E0E5B">
        <w:t xml:space="preserve">è ridotto rispetto ad altre </w:t>
      </w:r>
      <w:r>
        <w:t>regioni</w:t>
      </w:r>
      <w:r w:rsidRPr="003E0E5B">
        <w:t xml:space="preserve"> del Cantone</w:t>
      </w:r>
      <w:r w:rsidRPr="003E0E5B">
        <w:rPr>
          <w:rStyle w:val="Rimandonotaapidipagina"/>
          <w:rFonts w:cs="Arial"/>
        </w:rPr>
        <w:footnoteReference w:id="3"/>
      </w:r>
      <w:r w:rsidRPr="003E0E5B">
        <w:t>.</w:t>
      </w:r>
    </w:p>
    <w:p w:rsidR="00A8345E" w:rsidRDefault="00A8345E" w:rsidP="0022151C"/>
    <w:p w:rsidR="0022151C" w:rsidRPr="003E0E5B" w:rsidRDefault="0022151C" w:rsidP="0022151C"/>
    <w:p w:rsidR="00A8345E" w:rsidRPr="003E0E5B" w:rsidRDefault="00A8345E" w:rsidP="0022151C">
      <w:pPr>
        <w:pStyle w:val="Titolo1"/>
      </w:pPr>
      <w:r>
        <w:t xml:space="preserve">Analisi puntuali </w:t>
      </w:r>
      <w:r w:rsidRPr="003E0E5B">
        <w:t>delle richieste sollevate dalle due mozioni</w:t>
      </w:r>
    </w:p>
    <w:p w:rsidR="00A8345E" w:rsidRPr="003E0E5B" w:rsidRDefault="00A8345E" w:rsidP="0022151C">
      <w:r>
        <w:t>A seguito de</w:t>
      </w:r>
      <w:r w:rsidRPr="003E0E5B">
        <w:t>lle conside</w:t>
      </w:r>
      <w:r>
        <w:t>razioni generali</w:t>
      </w:r>
      <w:r w:rsidRPr="003E0E5B">
        <w:t xml:space="preserve"> sulla mobilità </w:t>
      </w:r>
      <w:r>
        <w:t xml:space="preserve">indicate sopra appare opportuno analizzare le singole </w:t>
      </w:r>
      <w:r w:rsidRPr="003E0E5B">
        <w:t>proposte dalle mozioni.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Riduzione della possibilità di mobilità privata sulle strade che portano ai valichi e alle dogane</w:t>
      </w:r>
    </w:p>
    <w:p w:rsidR="00A8345E" w:rsidRPr="003E0E5B" w:rsidRDefault="00A8345E" w:rsidP="0022151C">
      <w:r>
        <w:t>Ai</w:t>
      </w:r>
      <w:r w:rsidRPr="003E0E5B">
        <w:t xml:space="preserve"> sensi dell’art. 3 </w:t>
      </w:r>
      <w:r>
        <w:t>della Legge federale sulla circolazione (</w:t>
      </w:r>
      <w:proofErr w:type="spellStart"/>
      <w:r w:rsidRPr="003E0E5B">
        <w:t>LCStr</w:t>
      </w:r>
      <w:proofErr w:type="spellEnd"/>
      <w:r>
        <w:t>; RS 741.01)</w:t>
      </w:r>
      <w:r w:rsidRPr="003E0E5B">
        <w:t xml:space="preserve">, i Cantoni possono vietare, limitare o disciplinare la circolazione stradale. Tuttavia, le limitazioni sono ammissibili unicamente se la protezione degli abitanti lo esige, come pure per la sicurezza, l’alleviamento e la disciplina del traffico (art. 3 cpv. 3 </w:t>
      </w:r>
      <w:proofErr w:type="spellStart"/>
      <w:r w:rsidRPr="003E0E5B">
        <w:t>LCStr</w:t>
      </w:r>
      <w:proofErr w:type="spellEnd"/>
      <w:r w:rsidRPr="003E0E5B">
        <w:t>). Il principio della proporzionalità è cardine nella limitazione della mobilità; oltre a ciò le restrizioni del traffico arbitrarie sono contrarie ai diritti dei cittadini.</w:t>
      </w:r>
      <w:r>
        <w:t xml:space="preserve"> Gli u</w:t>
      </w:r>
      <w:r w:rsidRPr="003E0E5B">
        <w:t>lteriori ostacoli e restrizioni alla circolazione stradale del Gambarogn</w:t>
      </w:r>
      <w:r>
        <w:t>o proposti</w:t>
      </w:r>
      <w:r w:rsidRPr="003E0E5B">
        <w:t xml:space="preserve"> dalle mozioni </w:t>
      </w:r>
      <w:r>
        <w:t>non sarebbero altro che di intralcio alla circ</w:t>
      </w:r>
      <w:r w:rsidRPr="003E0E5B">
        <w:t xml:space="preserve">olazione </w:t>
      </w:r>
      <w:r>
        <w:t>delle persone</w:t>
      </w:r>
      <w:r w:rsidRPr="003E0E5B">
        <w:t xml:space="preserve"> residenti, senza in alcun modo risolvere la problematica del traffico frontaliero che queste si prefiggono di ridurre.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Costo del biglietto e partecipazione finanziaria dell’Italia per la copertura dei costi</w:t>
      </w:r>
    </w:p>
    <w:p w:rsidR="00A8345E" w:rsidRPr="003E0E5B" w:rsidRDefault="00A8345E" w:rsidP="0022151C">
      <w:r w:rsidRPr="003E0E5B">
        <w:t>Il principio della sovranità territoriale</w:t>
      </w:r>
      <w:r>
        <w:t>,</w:t>
      </w:r>
      <w:r w:rsidRPr="003E0E5B">
        <w:t xml:space="preserve"> proprio di ogni nazione</w:t>
      </w:r>
      <w:r>
        <w:t>,</w:t>
      </w:r>
      <w:r w:rsidRPr="003E0E5B">
        <w:t xml:space="preserve"> comporta l’impossibilità di chiedere contributi ad un altro Stato per l’implemento di un servizio pubblico interno.</w:t>
      </w:r>
    </w:p>
    <w:p w:rsidR="00A8345E" w:rsidRPr="003E0E5B" w:rsidRDefault="00A8345E" w:rsidP="0022151C">
      <w:r w:rsidRPr="003E0E5B">
        <w:t>Nessuna base legale o accordo internazionale consente allo Stato di chiedere un contributo ai costi dei trasporti pubblici sul proprio territorio ad un’altra autorità statale vicina. Sono la Confederazione e i Cantoni a dover provvedere ad un’offerta sufficiente in materia di trasporti (art. 81a Cost</w:t>
      </w:r>
      <w:r>
        <w:t>ituzione</w:t>
      </w:r>
      <w:r w:rsidRPr="003E0E5B">
        <w:t>); questi hanno la possibilità di rendere il paese attrattivo e lo straniero che usufruisce dei nostri mezzi pubblici partecipa ai costi attraverso il pagamento del biglietto. È inopportuno e privo di senso richiedere ad un altro Stato contributi finanziari per un servizio interno, si pensi</w:t>
      </w:r>
      <w:r>
        <w:t xml:space="preserve"> ad esempio se, </w:t>
      </w:r>
      <w:r w:rsidRPr="003E0E5B">
        <w:t>d’improvviso Francia, Germania</w:t>
      </w:r>
      <w:r>
        <w:t>, Austria</w:t>
      </w:r>
      <w:r w:rsidRPr="003E0E5B">
        <w:t xml:space="preserve"> e Italia iniziassero a pretendere dalla Confederazione un </w:t>
      </w:r>
      <w:r>
        <w:t>contributo</w:t>
      </w:r>
      <w:r w:rsidRPr="003E0E5B">
        <w:t xml:space="preserve"> per l</w:t>
      </w:r>
      <w:r>
        <w:t>a manutenzione</w:t>
      </w:r>
      <w:r w:rsidRPr="003E0E5B">
        <w:t xml:space="preserve"> dei loro trasporti pubblici utilizzati anche da cittadini svizzeri.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Orari di trasporto che non danneggino l’offerta di servizi di ristorazione e commercio interno</w:t>
      </w:r>
    </w:p>
    <w:p w:rsidR="00A8345E" w:rsidRPr="003E0E5B" w:rsidRDefault="00A8345E" w:rsidP="0022151C">
      <w:r w:rsidRPr="003E0E5B">
        <w:t xml:space="preserve">Evidenziamo che l’ultima corsa del TILO S30 da </w:t>
      </w:r>
      <w:proofErr w:type="spellStart"/>
      <w:r w:rsidRPr="003E0E5B">
        <w:t>Cadenazzo</w:t>
      </w:r>
      <w:proofErr w:type="spellEnd"/>
      <w:r w:rsidRPr="003E0E5B">
        <w:t xml:space="preserve"> in direzione dell’Italia è alle 20.07, pertanto la questione è priva di oggetto.</w:t>
      </w:r>
    </w:p>
    <w:p w:rsidR="00A8345E" w:rsidRPr="003E0E5B" w:rsidRDefault="00A8345E" w:rsidP="0022151C">
      <w:r w:rsidRPr="003E0E5B">
        <w:t>A questo va aggiunto che difficilmente si può stabilire un nesso fra l’esistenza o meno dell’offerta di trasporto pubblico con la frequentazione o no della ristorazione fuori confine.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Considerare la complementarità tra i due assi esistenti ferroviario e stradale</w:t>
      </w:r>
    </w:p>
    <w:p w:rsidR="00A8345E" w:rsidRPr="003E0E5B" w:rsidRDefault="00A8345E" w:rsidP="0022151C">
      <w:r w:rsidRPr="003E0E5B">
        <w:t xml:space="preserve">La Legge sul coordinamento </w:t>
      </w:r>
      <w:proofErr w:type="spellStart"/>
      <w:r w:rsidRPr="003E0E5B">
        <w:t>pianificatorio</w:t>
      </w:r>
      <w:proofErr w:type="spellEnd"/>
      <w:r w:rsidRPr="003E0E5B">
        <w:t xml:space="preserve"> e finanziario in materia di infrastrutture e di servizi di trasporto </w:t>
      </w:r>
      <w:r>
        <w:t xml:space="preserve">(RL 751.100) </w:t>
      </w:r>
      <w:r w:rsidRPr="003E0E5B">
        <w:t xml:space="preserve">impone al Cantone la considerazione di tutti i mezzi di </w:t>
      </w:r>
      <w:r w:rsidRPr="003E0E5B">
        <w:lastRenderedPageBreak/>
        <w:t>movimento e la promozione di soluzioni che tengano conto di diversi fattori, fra cui l’ambiente e il rispetto del territorio.</w:t>
      </w:r>
    </w:p>
    <w:p w:rsidR="00A8345E" w:rsidRPr="003E0E5B" w:rsidRDefault="00A8345E" w:rsidP="0022151C">
      <w:r w:rsidRPr="003E0E5B">
        <w:t xml:space="preserve">I Piani regionali dei trasporti e i </w:t>
      </w:r>
      <w:r>
        <w:t>P</w:t>
      </w:r>
      <w:r w:rsidRPr="003E0E5B">
        <w:t>iani d</w:t>
      </w:r>
      <w:r>
        <w:t>‘</w:t>
      </w:r>
      <w:r w:rsidRPr="003E0E5B">
        <w:t>agglomerato si muovono da anni per favorire uno sfruttamento equilibrato fra mobilità stradale e ferroviaria.</w:t>
      </w:r>
    </w:p>
    <w:p w:rsidR="00A8345E" w:rsidRPr="003E0E5B" w:rsidRDefault="00A8345E" w:rsidP="0022151C">
      <w:r w:rsidRPr="003E0E5B">
        <w:t xml:space="preserve">Lo sforzo e il lavoro </w:t>
      </w:r>
      <w:r>
        <w:t xml:space="preserve">sono realtà </w:t>
      </w:r>
      <w:r w:rsidRPr="003E0E5B">
        <w:t>facilmente dimostrabil</w:t>
      </w:r>
      <w:r>
        <w:t>i</w:t>
      </w:r>
      <w:r w:rsidRPr="003E0E5B">
        <w:t xml:space="preserve"> e tangibil</w:t>
      </w:r>
      <w:r>
        <w:t>i</w:t>
      </w:r>
      <w:r w:rsidRPr="003E0E5B">
        <w:t>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Trasferire il traffico di transito motorizzato su rotaia</w:t>
      </w:r>
    </w:p>
    <w:p w:rsidR="00A8345E" w:rsidRPr="003E0E5B" w:rsidRDefault="00A8345E" w:rsidP="0022151C">
      <w:r w:rsidRPr="003E0E5B">
        <w:t xml:space="preserve">Il </w:t>
      </w:r>
      <w:proofErr w:type="spellStart"/>
      <w:r w:rsidRPr="003E0E5B">
        <w:t>PALoc</w:t>
      </w:r>
      <w:proofErr w:type="spellEnd"/>
      <w:r w:rsidRPr="003E0E5B">
        <w:t xml:space="preserve"> di terza generazione ritiene </w:t>
      </w:r>
      <w:r>
        <w:t xml:space="preserve">buono </w:t>
      </w:r>
      <w:r w:rsidRPr="003E0E5B">
        <w:t>il t</w:t>
      </w:r>
      <w:r>
        <w:t>rasporto pubblico del Locarnese. L</w:t>
      </w:r>
      <w:r w:rsidRPr="003E0E5B">
        <w:t>a necessità di miglior</w:t>
      </w:r>
      <w:r>
        <w:t xml:space="preserve">are </w:t>
      </w:r>
      <w:r w:rsidRPr="003E0E5B">
        <w:t>l’offerta e di copertura del territorio nel percorso del Gambarogno è riconosciuta.</w:t>
      </w:r>
    </w:p>
    <w:p w:rsidR="00A8345E" w:rsidRPr="003E0E5B" w:rsidRDefault="00A8345E" w:rsidP="0022151C">
      <w:r w:rsidRPr="003E0E5B">
        <w:t xml:space="preserve">Purtroppo </w:t>
      </w:r>
      <w:r>
        <w:t>la scelta a favore dei</w:t>
      </w:r>
      <w:r w:rsidRPr="003E0E5B">
        <w:t xml:space="preserve"> trasporti pubblici </w:t>
      </w:r>
      <w:r>
        <w:t>in luogo</w:t>
      </w:r>
      <w:r w:rsidRPr="003E0E5B">
        <w:t xml:space="preserve"> dell’auto privata non dipende unicamente</w:t>
      </w:r>
      <w:r>
        <w:t xml:space="preserve"> da qualità e </w:t>
      </w:r>
      <w:r w:rsidRPr="003E0E5B">
        <w:t xml:space="preserve">costo, </w:t>
      </w:r>
      <w:r>
        <w:t>essa richiede</w:t>
      </w:r>
      <w:r w:rsidRPr="003E0E5B">
        <w:t xml:space="preserve"> anche un radicale cambiamento di abitudin</w:t>
      </w:r>
      <w:r>
        <w:t>i</w:t>
      </w:r>
      <w:r w:rsidRPr="003E0E5B">
        <w:t xml:space="preserve"> da parte degli utenti. Molto spesso i mezzi alternativi sono considerati </w:t>
      </w:r>
      <w:r>
        <w:t xml:space="preserve">a torto </w:t>
      </w:r>
      <w:r w:rsidRPr="003E0E5B">
        <w:t xml:space="preserve">scomodi e onerosi. 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Promuovere la mobilità aziendale nelle aree artigianali industriali toccate dalle FFS</w:t>
      </w:r>
    </w:p>
    <w:p w:rsidR="00A8345E" w:rsidRPr="003E0E5B" w:rsidRDefault="00A8345E" w:rsidP="0022151C">
      <w:r w:rsidRPr="00250CEB">
        <w:t xml:space="preserve">Il </w:t>
      </w:r>
      <w:r>
        <w:t>Dipartimento del territorio</w:t>
      </w:r>
      <w:r w:rsidRPr="00250CEB">
        <w:t xml:space="preserve">, in collaborazione con i Comuni di </w:t>
      </w:r>
      <w:proofErr w:type="spellStart"/>
      <w:r w:rsidRPr="00250CEB">
        <w:t>Camorino</w:t>
      </w:r>
      <w:proofErr w:type="spellEnd"/>
      <w:r w:rsidRPr="00250CEB">
        <w:t xml:space="preserve">, </w:t>
      </w:r>
      <w:proofErr w:type="spellStart"/>
      <w:r w:rsidRPr="00250CEB">
        <w:t>S.Antonino</w:t>
      </w:r>
      <w:proofErr w:type="spellEnd"/>
      <w:r w:rsidRPr="00250CEB">
        <w:t xml:space="preserve"> e </w:t>
      </w:r>
      <w:proofErr w:type="spellStart"/>
      <w:r w:rsidRPr="00250CEB">
        <w:t>Cadenazzo</w:t>
      </w:r>
      <w:proofErr w:type="spellEnd"/>
      <w:r w:rsidRPr="00250CEB">
        <w:t xml:space="preserve"> ha dato avvio ad un progetto di mobilità aziendale. La richiesta è pertanto ritenuta evasa.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Riconoscere il carattere residenziale e turistico del Gambarogno e promuovere la mobilità lenta sulle rive dei laghi.</w:t>
      </w:r>
    </w:p>
    <w:p w:rsidR="00A8345E" w:rsidRPr="003E0E5B" w:rsidRDefault="00A8345E" w:rsidP="0022151C">
      <w:r w:rsidRPr="003E0E5B">
        <w:t xml:space="preserve">I costi elevati delle migliorie e i tempi lunghi di attuazione </w:t>
      </w:r>
      <w:r>
        <w:t>impongono scelte</w:t>
      </w:r>
      <w:r w:rsidRPr="003E0E5B">
        <w:t xml:space="preserve"> di priorità. </w:t>
      </w:r>
      <w:r>
        <w:t>Ciò</w:t>
      </w:r>
      <w:r w:rsidRPr="003E0E5B">
        <w:t xml:space="preserve"> non significa dimenticare </w:t>
      </w:r>
      <w:r>
        <w:t>gli altri progetti</w:t>
      </w:r>
      <w:r w:rsidRPr="003E0E5B">
        <w:t xml:space="preserve">, ma semplicemente stabilire un ordine di sviluppo. Una delle sfide del </w:t>
      </w:r>
      <w:proofErr w:type="spellStart"/>
      <w:r w:rsidRPr="003E0E5B">
        <w:t>PALoc</w:t>
      </w:r>
      <w:proofErr w:type="spellEnd"/>
      <w:r w:rsidRPr="003E0E5B">
        <w:t xml:space="preserve"> di terza generazione </w:t>
      </w:r>
      <w:r>
        <w:t>consiste nel rafforzamento dell’</w:t>
      </w:r>
      <w:r w:rsidRPr="003E0E5B">
        <w:t xml:space="preserve">immagine del lago. Per quanto riguarda il Gambarogno, </w:t>
      </w:r>
      <w:r>
        <w:t>sono per esempio previste le seguenti</w:t>
      </w:r>
      <w:r w:rsidRPr="003E0E5B">
        <w:t xml:space="preserve"> misure puntuali: la creazione di un parco botanico, la creazione di un’area di svago e la riqualifica paesaggistica del</w:t>
      </w:r>
      <w:r>
        <w:t>la</w:t>
      </w:r>
      <w:r w:rsidRPr="003E0E5B">
        <w:t xml:space="preserve"> </w:t>
      </w:r>
      <w:r>
        <w:t>r</w:t>
      </w:r>
      <w:r w:rsidRPr="003E0E5B">
        <w:t>iva</w:t>
      </w:r>
      <w:r>
        <w:t>-</w:t>
      </w:r>
      <w:r w:rsidRPr="003E0E5B">
        <w:t xml:space="preserve">lago </w:t>
      </w:r>
      <w:r>
        <w:t xml:space="preserve">del </w:t>
      </w:r>
      <w:r w:rsidRPr="003E0E5B">
        <w:t>Gambarogno ed un nuovo percorso ciclopedonale.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Incremento dei treni nelle fasce orarie utili ai lavoratori frontalieri</w:t>
      </w:r>
    </w:p>
    <w:p w:rsidR="00A8345E" w:rsidRPr="003E0E5B" w:rsidRDefault="00A8345E" w:rsidP="0022151C">
      <w:r w:rsidRPr="003E0E5B">
        <w:t>La decisione di aumentare la frequenza dei treni è dettata dalla domanda di trasporto effettivo. Come già sottolineato in precedenza</w:t>
      </w:r>
      <w:r>
        <w:t>,</w:t>
      </w:r>
      <w:r w:rsidRPr="003E0E5B">
        <w:t xml:space="preserve"> la linea S30 tra Luino e Bellinzona è la meno utilizzata, sebbene delle migliorie sono previste nei </w:t>
      </w:r>
      <w:proofErr w:type="spellStart"/>
      <w:r w:rsidRPr="003E0E5B">
        <w:t>PALoc</w:t>
      </w:r>
      <w:proofErr w:type="spellEnd"/>
      <w:r w:rsidRPr="003E0E5B">
        <w:t>, la frequentazione attuale non giustificherebbe un intensificazione così ampia.</w:t>
      </w:r>
    </w:p>
    <w:p w:rsidR="00A8345E" w:rsidRPr="003E0E5B" w:rsidRDefault="00A8345E" w:rsidP="0022151C">
      <w:r w:rsidRPr="003E0E5B">
        <w:t>Viene rilevato come l’incremento dei treni comport</w:t>
      </w:r>
      <w:r>
        <w:t>erebbe</w:t>
      </w:r>
      <w:r w:rsidRPr="003E0E5B">
        <w:t xml:space="preserve"> un inevitabile incremento dei costi che andrebbero coperti dal Cantone, poiché </w:t>
      </w:r>
      <w:r>
        <w:t>il contributo della Confederazione verrebbe a cadere nel caso in cui il grado di copertura dei costi scendesse sotto al 20%, scenario più che verosimile se venissero inserite corse supplementari come richiesto dalla mozione.</w:t>
      </w:r>
      <w:r w:rsidRPr="003E0E5B">
        <w:rPr>
          <w:rStyle w:val="Rimandonotaapidipagina"/>
          <w:rFonts w:cs="Arial"/>
        </w:rPr>
        <w:footnoteReference w:id="4"/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Interventi volti a disincentivare il traffico di transito sull’asse stradale</w:t>
      </w:r>
    </w:p>
    <w:p w:rsidR="00A8345E" w:rsidRPr="003E0E5B" w:rsidRDefault="00A8345E" w:rsidP="0022151C">
      <w:r w:rsidRPr="003E0E5B">
        <w:t>Questa richiesta è simile al</w:t>
      </w:r>
      <w:r>
        <w:t xml:space="preserve">la proposta illustrata in precedenza al punto 4. a., al quale si rinvia. Per l’introduzione di simili misure occorre tenere conto del principio di </w:t>
      </w:r>
      <w:r w:rsidRPr="003E0E5B">
        <w:t>proporzionalità</w:t>
      </w:r>
      <w:r>
        <w:t>. Non è opportuno abusarne, soprattutto se le misure prospettabili non sono in grado di apportare alcun beneficio per la risoluzione della problematica.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lastRenderedPageBreak/>
        <w:t>Declassare il trasporto inerti al valico doganale di Zenna</w:t>
      </w:r>
    </w:p>
    <w:p w:rsidR="00A8345E" w:rsidRPr="003E0E5B" w:rsidRDefault="00A8345E" w:rsidP="0022151C">
      <w:r>
        <w:t>Gli accordi</w:t>
      </w:r>
      <w:r w:rsidRPr="003E0E5B">
        <w:t xml:space="preserve"> internazionali e </w:t>
      </w:r>
      <w:r>
        <w:t xml:space="preserve">il </w:t>
      </w:r>
      <w:r w:rsidRPr="003E0E5B">
        <w:t xml:space="preserve">diritto federale regolamentano il traffico doganale. Non sta, dunque, al Cantone adottare misure restrittive contrarie al diritto superiore. </w:t>
      </w:r>
    </w:p>
    <w:p w:rsidR="00A8345E" w:rsidRPr="003E0E5B" w:rsidRDefault="00A8345E" w:rsidP="0022151C">
      <w:r w:rsidRPr="003E0E5B">
        <w:t xml:space="preserve">L’art. 57 </w:t>
      </w:r>
      <w:r>
        <w:t xml:space="preserve">della </w:t>
      </w:r>
      <w:r w:rsidRPr="003E0E5B">
        <w:t>Cost</w:t>
      </w:r>
      <w:r>
        <w:t>ituzione</w:t>
      </w:r>
      <w:r w:rsidRPr="003E0E5B">
        <w:t xml:space="preserve"> prevede una competenza parallela di Cantone e Confederazione per la regolamentazione della sicurezza interna. </w:t>
      </w:r>
      <w:r>
        <w:t>Viceversa</w:t>
      </w:r>
      <w:r w:rsidRPr="003E0E5B">
        <w:t xml:space="preserve">, è di competenza esclusiva della Confederazione la legislazione sui dazi (art. 133 </w:t>
      </w:r>
      <w:proofErr w:type="spellStart"/>
      <w:r w:rsidRPr="003E0E5B">
        <w:t>Cost</w:t>
      </w:r>
      <w:proofErr w:type="spellEnd"/>
      <w:r w:rsidRPr="003E0E5B">
        <w:t xml:space="preserve">.). L’Assemblea federale ha emanato </w:t>
      </w:r>
      <w:r>
        <w:t>l</w:t>
      </w:r>
      <w:r w:rsidRPr="003E0E5B">
        <w:t xml:space="preserve">a Legge federale sulle dogane </w:t>
      </w:r>
      <w:r>
        <w:t xml:space="preserve">(LD; RS 631.0) </w:t>
      </w:r>
      <w:r w:rsidRPr="003E0E5B">
        <w:t>per disciplinare la sorveglianza e il controllo del traffico delle persone e delle merci attraverso il confine doganale e la riscossione d</w:t>
      </w:r>
      <w:r>
        <w:t xml:space="preserve">ei tributi doganali (art. 1 LD), con </w:t>
      </w:r>
      <w:r w:rsidRPr="003E0E5B">
        <w:t>una riserva nei confronti dei trattati internazionali, che vanno applicati con priorità (art. 2 LD).</w:t>
      </w:r>
    </w:p>
    <w:p w:rsidR="00A8345E" w:rsidRPr="003E0E5B" w:rsidRDefault="00A8345E" w:rsidP="0022151C">
      <w:r w:rsidRPr="003E0E5B">
        <w:t xml:space="preserve">Il Cantone non è, dunque, competente per prendere provvedimenti in questo campo. </w:t>
      </w:r>
    </w:p>
    <w:p w:rsidR="00A8345E" w:rsidRPr="003E0E5B" w:rsidRDefault="00A8345E" w:rsidP="0022151C"/>
    <w:p w:rsidR="00A8345E" w:rsidRPr="0022151C" w:rsidRDefault="00A8345E" w:rsidP="0022151C">
      <w:pPr>
        <w:pStyle w:val="Titolo2"/>
      </w:pPr>
      <w:r w:rsidRPr="0022151C">
        <w:t>Collegamento diretto Gambarogno-Bellinzona</w:t>
      </w:r>
    </w:p>
    <w:p w:rsidR="00A8345E" w:rsidRPr="003E0E5B" w:rsidRDefault="00A8345E" w:rsidP="0022151C">
      <w:r>
        <w:t>I costi del</w:t>
      </w:r>
      <w:r w:rsidRPr="003E0E5B">
        <w:t xml:space="preserve"> collegamento diretto Gambarogno-Bellinzona </w:t>
      </w:r>
      <w:r>
        <w:t>sono da ritenere</w:t>
      </w:r>
      <w:r w:rsidRPr="003E0E5B">
        <w:t xml:space="preserve"> oggi sproporzionati, per le stesse ragioni esposte a</w:t>
      </w:r>
      <w:r>
        <w:t>lla lettera</w:t>
      </w:r>
      <w:r w:rsidRPr="003E0E5B">
        <w:t xml:space="preserve"> h, al</w:t>
      </w:r>
      <w:r>
        <w:t>la</w:t>
      </w:r>
      <w:r w:rsidRPr="003E0E5B">
        <w:t xml:space="preserve"> quale si rinvia. Fermo restando che per il momento il Consiglio di Stato, competente per il controllo del rapporto tra efficacia del servizio pubblico e costi, ritenga la situazione attuale perfettamente conforme.</w:t>
      </w:r>
    </w:p>
    <w:p w:rsidR="00A8345E" w:rsidRDefault="00A8345E" w:rsidP="0022151C"/>
    <w:p w:rsidR="0022151C" w:rsidRPr="003E0E5B" w:rsidRDefault="0022151C" w:rsidP="0022151C"/>
    <w:p w:rsidR="00A8345E" w:rsidRPr="003E0E5B" w:rsidRDefault="00A8345E" w:rsidP="0022151C">
      <w:pPr>
        <w:pStyle w:val="Titolo1"/>
      </w:pPr>
      <w:r w:rsidRPr="003E0E5B">
        <w:t>Conclusione</w:t>
      </w:r>
    </w:p>
    <w:p w:rsidR="00A8345E" w:rsidRDefault="00A8345E" w:rsidP="0022151C">
      <w:r w:rsidRPr="003E0E5B">
        <w:t xml:space="preserve">Alla luce delle argomentazioni sopra esposte, </w:t>
      </w:r>
      <w:r>
        <w:t>la Commissione speciale per la pianificazione del territorio propone</w:t>
      </w:r>
      <w:r w:rsidRPr="003E0E5B">
        <w:t xml:space="preserve"> di respingere entrambe le mozioni.</w:t>
      </w:r>
    </w:p>
    <w:p w:rsidR="00A8345E" w:rsidRDefault="00A8345E" w:rsidP="0022151C"/>
    <w:p w:rsidR="0022151C" w:rsidRDefault="0022151C" w:rsidP="0022151C"/>
    <w:p w:rsidR="0022151C" w:rsidRDefault="0022151C" w:rsidP="0022151C"/>
    <w:p w:rsidR="00A8345E" w:rsidRDefault="00A8345E" w:rsidP="0022151C">
      <w:pPr>
        <w:spacing w:after="120"/>
      </w:pPr>
      <w:r>
        <w:t>Per la Commissione speciale pianificazione del territorio</w:t>
      </w:r>
    </w:p>
    <w:p w:rsidR="00A8345E" w:rsidRPr="003E0E5B" w:rsidRDefault="00A8345E" w:rsidP="0022151C">
      <w:r>
        <w:t>Fabio Battaglioni, relatore</w:t>
      </w:r>
    </w:p>
    <w:p w:rsidR="00D05D33" w:rsidRDefault="00D05D33" w:rsidP="00D05D33">
      <w:r>
        <w:t xml:space="preserve">Canepa - Censi - Gaffuri - Ghisolfi - Maggi - </w:t>
      </w:r>
    </w:p>
    <w:p w:rsidR="00D05D33" w:rsidRDefault="00D05D33" w:rsidP="00D05D33">
      <w:r>
        <w:t xml:space="preserve">Pamini (con riserva) - Pugno Ghirlanda (con riserva) - </w:t>
      </w:r>
    </w:p>
    <w:p w:rsidR="00D05D33" w:rsidRDefault="00D05D33" w:rsidP="00D05D33">
      <w:r>
        <w:t xml:space="preserve">Rückert - Seitz - Storni (con riserva) - Terraneo - </w:t>
      </w:r>
    </w:p>
    <w:p w:rsidR="00260C8C" w:rsidRDefault="00260C8C" w:rsidP="0022151C">
      <w:pPr>
        <w:rPr>
          <w:szCs w:val="24"/>
        </w:rPr>
      </w:pPr>
    </w:p>
    <w:p w:rsidR="00260C8C" w:rsidRDefault="00260C8C" w:rsidP="0022151C">
      <w:pPr>
        <w:rPr>
          <w:szCs w:val="24"/>
        </w:rPr>
      </w:pPr>
    </w:p>
    <w:sectPr w:rsidR="00260C8C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E5" w:rsidRDefault="00AB04E5" w:rsidP="008E77C6">
      <w:r>
        <w:separator/>
      </w:r>
    </w:p>
  </w:endnote>
  <w:endnote w:type="continuationSeparator" w:id="0">
    <w:p w:rsidR="00AB04E5" w:rsidRDefault="00AB04E5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247266" w:rsidRPr="00247266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E5" w:rsidRDefault="00AB04E5" w:rsidP="008E77C6">
      <w:r>
        <w:separator/>
      </w:r>
    </w:p>
  </w:footnote>
  <w:footnote w:type="continuationSeparator" w:id="0">
    <w:p w:rsidR="00AB04E5" w:rsidRDefault="00AB04E5" w:rsidP="008E77C6">
      <w:r>
        <w:continuationSeparator/>
      </w:r>
    </w:p>
  </w:footnote>
  <w:footnote w:id="1">
    <w:p w:rsidR="00A8345E" w:rsidRPr="0022151C" w:rsidRDefault="00A8345E" w:rsidP="0022151C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2151C">
        <w:rPr>
          <w:rStyle w:val="Rimandonotaapidipagina"/>
          <w:rFonts w:cs="Arial"/>
          <w:sz w:val="18"/>
          <w:szCs w:val="18"/>
        </w:rPr>
        <w:footnoteRef/>
      </w:r>
      <w:r w:rsidRPr="0022151C">
        <w:rPr>
          <w:rFonts w:ascii="Arial" w:hAnsi="Arial" w:cs="Arial"/>
          <w:sz w:val="18"/>
          <w:szCs w:val="18"/>
        </w:rPr>
        <w:t xml:space="preserve"> Messaggio 7140 del 4 novembre 2015, del Consiglio di stato, </w:t>
      </w:r>
      <w:r w:rsidRPr="0022151C">
        <w:rPr>
          <w:rFonts w:ascii="Arial" w:hAnsi="Arial" w:cs="Arial"/>
          <w:i/>
          <w:sz w:val="18"/>
          <w:szCs w:val="18"/>
        </w:rPr>
        <w:t>Richiesta di stanziamento di un credito quadro di 290.4 milioni di franchi, di cui 226.8 milioni a carico del Cantone, per il finanziamento delle prestazioni di trasporto pubblico per il quadriennio 2016-2019</w:t>
      </w:r>
      <w:r w:rsidRPr="0022151C">
        <w:rPr>
          <w:rFonts w:ascii="Arial" w:hAnsi="Arial" w:cs="Arial"/>
          <w:sz w:val="18"/>
          <w:szCs w:val="18"/>
        </w:rPr>
        <w:t>, pag. 2.</w:t>
      </w:r>
    </w:p>
  </w:footnote>
  <w:footnote w:id="2">
    <w:p w:rsidR="00A8345E" w:rsidRPr="0022151C" w:rsidRDefault="00A8345E" w:rsidP="0022151C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2151C">
        <w:rPr>
          <w:rStyle w:val="Rimandonotaapidipagina"/>
          <w:rFonts w:cs="Arial"/>
          <w:sz w:val="18"/>
          <w:szCs w:val="18"/>
        </w:rPr>
        <w:footnoteRef/>
      </w:r>
      <w:r w:rsidRPr="0022151C">
        <w:rPr>
          <w:rFonts w:ascii="Arial" w:hAnsi="Arial" w:cs="Arial"/>
          <w:sz w:val="18"/>
          <w:szCs w:val="18"/>
        </w:rPr>
        <w:t xml:space="preserve"> Dipartimento del territorio, </w:t>
      </w:r>
      <w:r w:rsidRPr="0022151C">
        <w:rPr>
          <w:rFonts w:ascii="Arial" w:hAnsi="Arial" w:cs="Arial"/>
          <w:i/>
          <w:sz w:val="18"/>
          <w:szCs w:val="18"/>
        </w:rPr>
        <w:t>La mobilità in Ticino</w:t>
      </w:r>
      <w:r w:rsidRPr="0022151C">
        <w:rPr>
          <w:rFonts w:ascii="Arial" w:hAnsi="Arial" w:cs="Arial"/>
          <w:sz w:val="18"/>
          <w:szCs w:val="18"/>
        </w:rPr>
        <w:t>, Rapporto annuale 2016</w:t>
      </w:r>
      <w:r w:rsidRPr="0022151C">
        <w:rPr>
          <w:rFonts w:ascii="Arial" w:hAnsi="Arial" w:cs="Arial"/>
          <w:i/>
          <w:sz w:val="18"/>
          <w:szCs w:val="18"/>
        </w:rPr>
        <w:t xml:space="preserve">, </w:t>
      </w:r>
      <w:r w:rsidRPr="0022151C">
        <w:rPr>
          <w:rFonts w:ascii="Arial" w:hAnsi="Arial" w:cs="Arial"/>
          <w:sz w:val="18"/>
          <w:szCs w:val="18"/>
        </w:rPr>
        <w:t>pag. 3; Ufficio di statistica del Canton Ticino, Annuario statistico ticinese 2017, pag. 242.</w:t>
      </w:r>
    </w:p>
  </w:footnote>
  <w:footnote w:id="3">
    <w:p w:rsidR="00A8345E" w:rsidRPr="00D05D33" w:rsidRDefault="00A8345E" w:rsidP="00A8345E">
      <w:pPr>
        <w:pStyle w:val="Testonotaapidipagin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05D33">
        <w:rPr>
          <w:rStyle w:val="Rimandonotaapidipagina"/>
          <w:rFonts w:cs="Arial"/>
          <w:sz w:val="18"/>
          <w:szCs w:val="18"/>
        </w:rPr>
        <w:footnoteRef/>
      </w:r>
      <w:r w:rsidRPr="00D05D33">
        <w:rPr>
          <w:rFonts w:ascii="Arial" w:hAnsi="Arial" w:cs="Arial"/>
          <w:sz w:val="18"/>
          <w:szCs w:val="18"/>
        </w:rPr>
        <w:t xml:space="preserve"> Dipartimento del territorio, </w:t>
      </w:r>
      <w:r w:rsidRPr="00D05D33">
        <w:rPr>
          <w:rFonts w:ascii="Arial" w:hAnsi="Arial" w:cs="Arial"/>
          <w:i/>
          <w:sz w:val="18"/>
          <w:szCs w:val="18"/>
        </w:rPr>
        <w:t>La mobilità in Ticino</w:t>
      </w:r>
      <w:r w:rsidRPr="00D05D33">
        <w:rPr>
          <w:rFonts w:ascii="Arial" w:hAnsi="Arial" w:cs="Arial"/>
          <w:sz w:val="18"/>
          <w:szCs w:val="18"/>
        </w:rPr>
        <w:t>, Rapporto annuale 2016</w:t>
      </w:r>
      <w:r w:rsidRPr="00D05D33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D05D33">
        <w:rPr>
          <w:rFonts w:ascii="Arial" w:hAnsi="Arial" w:cs="Arial"/>
          <w:sz w:val="18"/>
          <w:szCs w:val="18"/>
        </w:rPr>
        <w:t>pagg</w:t>
      </w:r>
      <w:proofErr w:type="spellEnd"/>
      <w:r w:rsidRPr="00D05D33">
        <w:rPr>
          <w:rFonts w:ascii="Arial" w:hAnsi="Arial" w:cs="Arial"/>
          <w:sz w:val="18"/>
          <w:szCs w:val="18"/>
        </w:rPr>
        <w:t>. 9, 15, 33.</w:t>
      </w:r>
    </w:p>
  </w:footnote>
  <w:footnote w:id="4">
    <w:p w:rsidR="00A8345E" w:rsidRPr="00D05D33" w:rsidRDefault="00A8345E" w:rsidP="00A8345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05D33">
        <w:rPr>
          <w:rStyle w:val="Rimandonotaapidipagina"/>
          <w:rFonts w:cs="Arial"/>
          <w:sz w:val="18"/>
          <w:szCs w:val="18"/>
        </w:rPr>
        <w:footnoteRef/>
      </w:r>
      <w:r w:rsidRPr="00D05D33">
        <w:rPr>
          <w:rFonts w:ascii="Arial" w:hAnsi="Arial" w:cs="Arial"/>
          <w:sz w:val="18"/>
          <w:szCs w:val="18"/>
        </w:rPr>
        <w:t xml:space="preserve"> Divisione dello sviluppo territoriale e della mobilità, </w:t>
      </w:r>
      <w:r w:rsidRPr="00D05D33">
        <w:rPr>
          <w:rFonts w:ascii="Arial" w:hAnsi="Arial" w:cs="Arial"/>
          <w:i/>
          <w:sz w:val="18"/>
          <w:szCs w:val="18"/>
        </w:rPr>
        <w:t xml:space="preserve">Programma di agglomerato del Locarnese di terza generazione </w:t>
      </w:r>
      <w:r w:rsidRPr="00D05D33">
        <w:rPr>
          <w:rFonts w:ascii="Arial" w:hAnsi="Arial" w:cs="Arial"/>
          <w:sz w:val="18"/>
          <w:szCs w:val="18"/>
        </w:rPr>
        <w:t>(</w:t>
      </w:r>
      <w:proofErr w:type="spellStart"/>
      <w:r w:rsidRPr="00D05D33">
        <w:rPr>
          <w:rFonts w:ascii="Arial" w:hAnsi="Arial" w:cs="Arial"/>
          <w:sz w:val="18"/>
          <w:szCs w:val="18"/>
        </w:rPr>
        <w:t>PALoc</w:t>
      </w:r>
      <w:proofErr w:type="spellEnd"/>
      <w:r w:rsidRPr="00D05D33">
        <w:rPr>
          <w:rFonts w:ascii="Arial" w:hAnsi="Arial" w:cs="Arial"/>
          <w:sz w:val="18"/>
          <w:szCs w:val="18"/>
        </w:rPr>
        <w:t xml:space="preserve"> 3), Rapporto esplicativo finale, </w:t>
      </w:r>
      <w:proofErr w:type="spellStart"/>
      <w:r w:rsidRPr="00D05D33">
        <w:rPr>
          <w:rFonts w:ascii="Arial" w:hAnsi="Arial" w:cs="Arial"/>
          <w:sz w:val="18"/>
          <w:szCs w:val="18"/>
        </w:rPr>
        <w:t>pagg</w:t>
      </w:r>
      <w:proofErr w:type="spellEnd"/>
      <w:r w:rsidRPr="00D05D33">
        <w:rPr>
          <w:rFonts w:ascii="Arial" w:hAnsi="Arial" w:cs="Arial"/>
          <w:sz w:val="18"/>
          <w:szCs w:val="18"/>
        </w:rPr>
        <w:t>. 79, 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E9B"/>
    <w:multiLevelType w:val="hybridMultilevel"/>
    <w:tmpl w:val="76865004"/>
    <w:lvl w:ilvl="0" w:tplc="102A73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4051BE"/>
    <w:multiLevelType w:val="hybridMultilevel"/>
    <w:tmpl w:val="59E07B42"/>
    <w:lvl w:ilvl="0" w:tplc="347E1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145D"/>
    <w:multiLevelType w:val="hybridMultilevel"/>
    <w:tmpl w:val="AD32D27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2B52"/>
    <w:multiLevelType w:val="hybridMultilevel"/>
    <w:tmpl w:val="0C8CA63A"/>
    <w:lvl w:ilvl="0" w:tplc="DC1A5F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77C92"/>
    <w:multiLevelType w:val="hybridMultilevel"/>
    <w:tmpl w:val="FD9CD878"/>
    <w:lvl w:ilvl="0" w:tplc="EEACCF82">
      <w:start w:val="1"/>
      <w:numFmt w:val="lowerLetter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1574D7"/>
    <w:rsid w:val="0022151C"/>
    <w:rsid w:val="00247266"/>
    <w:rsid w:val="00260C8C"/>
    <w:rsid w:val="002E5E40"/>
    <w:rsid w:val="0052425A"/>
    <w:rsid w:val="00586A8D"/>
    <w:rsid w:val="006D7A3B"/>
    <w:rsid w:val="007352D3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5465F"/>
    <w:rsid w:val="00A77678"/>
    <w:rsid w:val="00A8345E"/>
    <w:rsid w:val="00AB04E5"/>
    <w:rsid w:val="00BC4C95"/>
    <w:rsid w:val="00BD5944"/>
    <w:rsid w:val="00C2522E"/>
    <w:rsid w:val="00CF6858"/>
    <w:rsid w:val="00D05D33"/>
    <w:rsid w:val="00D377B5"/>
    <w:rsid w:val="00D93B31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151C"/>
    <w:pPr>
      <w:keepNext/>
      <w:numPr>
        <w:numId w:val="11"/>
      </w:numPr>
      <w:tabs>
        <w:tab w:val="left" w:pos="567"/>
      </w:tabs>
      <w:spacing w:after="120"/>
      <w:ind w:left="567" w:hanging="567"/>
      <w:outlineLvl w:val="1"/>
    </w:pPr>
    <w:rPr>
      <w:b/>
      <w:sz w:val="23"/>
      <w:szCs w:val="23"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22151C"/>
    <w:rPr>
      <w:rFonts w:ascii="Arial" w:hAnsi="Arial"/>
      <w:b/>
      <w:sz w:val="23"/>
      <w:szCs w:val="23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45E"/>
    <w:pPr>
      <w:jc w:val="left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4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45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151C"/>
    <w:pPr>
      <w:keepNext/>
      <w:numPr>
        <w:numId w:val="11"/>
      </w:numPr>
      <w:tabs>
        <w:tab w:val="left" w:pos="567"/>
      </w:tabs>
      <w:spacing w:after="120"/>
      <w:ind w:left="567" w:hanging="567"/>
      <w:outlineLvl w:val="1"/>
    </w:pPr>
    <w:rPr>
      <w:b/>
      <w:sz w:val="23"/>
      <w:szCs w:val="23"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22151C"/>
    <w:rPr>
      <w:rFonts w:ascii="Arial" w:hAnsi="Arial"/>
      <w:b/>
      <w:sz w:val="23"/>
      <w:szCs w:val="23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45E"/>
    <w:pPr>
      <w:jc w:val="left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4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45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4F6D-36D3-47EE-AF72-3755308F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6</cp:revision>
  <cp:lastPrinted>2018-11-07T11:35:00Z</cp:lastPrinted>
  <dcterms:created xsi:type="dcterms:W3CDTF">2018-10-25T15:29:00Z</dcterms:created>
  <dcterms:modified xsi:type="dcterms:W3CDTF">2018-11-07T11:50:00Z</dcterms:modified>
</cp:coreProperties>
</file>