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67805" w:rsidP="00076E70">
      <w:r w:rsidRPr="008D2C4C">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70161C" w:rsidP="00260C8C">
      <w:pPr>
        <w:tabs>
          <w:tab w:val="left" w:pos="2098"/>
          <w:tab w:val="left" w:pos="4933"/>
        </w:tabs>
        <w:rPr>
          <w:rFonts w:cs="Arial"/>
          <w:szCs w:val="24"/>
        </w:rPr>
      </w:pPr>
      <w:r>
        <w:rPr>
          <w:rFonts w:cs="Arial"/>
          <w:b/>
          <w:sz w:val="32"/>
          <w:szCs w:val="32"/>
        </w:rPr>
        <w:t>7541</w:t>
      </w:r>
      <w:r w:rsidR="00260C8C" w:rsidRPr="008B4137">
        <w:rPr>
          <w:rFonts w:cs="Arial"/>
          <w:b/>
          <w:sz w:val="32"/>
          <w:szCs w:val="32"/>
        </w:rPr>
        <w:t xml:space="preserve"> R</w:t>
      </w:r>
      <w:r w:rsidR="00260C8C" w:rsidRPr="008B4137">
        <w:rPr>
          <w:rFonts w:cs="Arial"/>
          <w:sz w:val="28"/>
          <w:szCs w:val="28"/>
        </w:rPr>
        <w:tab/>
      </w:r>
      <w:r>
        <w:rPr>
          <w:rFonts w:cs="Arial"/>
          <w:sz w:val="28"/>
          <w:szCs w:val="28"/>
        </w:rPr>
        <w:t>13 novembre 2018</w:t>
      </w:r>
      <w:r w:rsidR="00260C8C" w:rsidRPr="008B4137">
        <w:rPr>
          <w:rFonts w:cs="Arial"/>
          <w:sz w:val="28"/>
          <w:szCs w:val="28"/>
        </w:rPr>
        <w:tab/>
      </w:r>
      <w:r>
        <w:rPr>
          <w:rFonts w:cs="Arial"/>
          <w:sz w:val="28"/>
          <w:szCs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70161C" w:rsidRPr="0070161C" w:rsidRDefault="0070161C" w:rsidP="0070161C">
      <w:pPr>
        <w:rPr>
          <w:rFonts w:cs="Arial"/>
          <w:b/>
          <w:sz w:val="28"/>
          <w:szCs w:val="28"/>
        </w:rPr>
      </w:pPr>
      <w:r w:rsidRPr="0070161C">
        <w:rPr>
          <w:rFonts w:cs="Arial"/>
          <w:b/>
          <w:sz w:val="28"/>
          <w:szCs w:val="28"/>
        </w:rPr>
        <w:t>della Commissione speciale energia</w:t>
      </w:r>
    </w:p>
    <w:p w:rsidR="0070161C" w:rsidRPr="0070161C" w:rsidRDefault="0070161C" w:rsidP="0070161C">
      <w:pPr>
        <w:rPr>
          <w:rFonts w:cs="Arial"/>
          <w:b/>
          <w:color w:val="262626"/>
          <w:sz w:val="28"/>
          <w:szCs w:val="28"/>
          <w:lang w:val="it-IT"/>
        </w:rPr>
      </w:pPr>
      <w:r w:rsidRPr="0070161C">
        <w:rPr>
          <w:rFonts w:cs="Arial"/>
          <w:b/>
          <w:sz w:val="28"/>
          <w:szCs w:val="28"/>
        </w:rPr>
        <w:t xml:space="preserve">sul messaggio 6 giugno 2018 concernente la richiesta di aggiunta ai contratti di costituzione in relazione alla domanda di trasferimento da </w:t>
      </w:r>
      <w:proofErr w:type="spellStart"/>
      <w:r w:rsidRPr="0070161C">
        <w:rPr>
          <w:rFonts w:cs="Arial"/>
          <w:b/>
          <w:sz w:val="28"/>
          <w:szCs w:val="28"/>
        </w:rPr>
        <w:t>Alpiq</w:t>
      </w:r>
      <w:proofErr w:type="spellEnd"/>
      <w:r w:rsidRPr="0070161C">
        <w:rPr>
          <w:rFonts w:cs="Arial"/>
          <w:b/>
          <w:sz w:val="28"/>
          <w:szCs w:val="28"/>
        </w:rPr>
        <w:t xml:space="preserve"> AG ad </w:t>
      </w:r>
      <w:proofErr w:type="spellStart"/>
      <w:r w:rsidRPr="0070161C">
        <w:rPr>
          <w:rFonts w:cs="Arial"/>
          <w:b/>
          <w:sz w:val="28"/>
          <w:szCs w:val="28"/>
        </w:rPr>
        <w:t>Alpiq</w:t>
      </w:r>
      <w:proofErr w:type="spellEnd"/>
      <w:r w:rsidRPr="0070161C">
        <w:rPr>
          <w:rFonts w:cs="Arial"/>
          <w:b/>
          <w:sz w:val="28"/>
          <w:szCs w:val="28"/>
        </w:rPr>
        <w:t xml:space="preserve"> </w:t>
      </w:r>
      <w:proofErr w:type="spellStart"/>
      <w:r w:rsidRPr="0070161C">
        <w:rPr>
          <w:rFonts w:cs="Arial"/>
          <w:b/>
          <w:sz w:val="28"/>
          <w:szCs w:val="28"/>
        </w:rPr>
        <w:t>Suisse</w:t>
      </w:r>
      <w:proofErr w:type="spellEnd"/>
      <w:r w:rsidRPr="0070161C">
        <w:rPr>
          <w:rFonts w:cs="Arial"/>
          <w:b/>
          <w:sz w:val="28"/>
          <w:szCs w:val="28"/>
        </w:rPr>
        <w:t xml:space="preserve"> SA delle quote di partecipazione in Officine idroelettriche della Maggia SA (12.5%) e in Officine idroelettriche di Blenio SA (17%)</w:t>
      </w:r>
    </w:p>
    <w:p w:rsidR="0070161C" w:rsidRDefault="0070161C" w:rsidP="0070161C">
      <w:pPr>
        <w:contextualSpacing/>
        <w:rPr>
          <w:rFonts w:cs="Arial"/>
          <w:szCs w:val="24"/>
        </w:rPr>
      </w:pPr>
    </w:p>
    <w:p w:rsidR="0070161C" w:rsidRDefault="0070161C" w:rsidP="0070161C">
      <w:pPr>
        <w:contextualSpacing/>
        <w:rPr>
          <w:rFonts w:cs="Arial"/>
          <w:szCs w:val="24"/>
        </w:rPr>
      </w:pPr>
    </w:p>
    <w:p w:rsidR="0070161C" w:rsidRDefault="0070161C" w:rsidP="0070161C">
      <w:pPr>
        <w:contextualSpacing/>
        <w:rPr>
          <w:rFonts w:cs="Arial"/>
          <w:szCs w:val="24"/>
        </w:rPr>
      </w:pPr>
    </w:p>
    <w:p w:rsidR="0070161C" w:rsidRPr="00075437" w:rsidRDefault="0070161C" w:rsidP="0070161C">
      <w:pPr>
        <w:pStyle w:val="Titolo1"/>
      </w:pPr>
      <w:r>
        <w:t>INTRODUZIONE – SITUAZIONE E AZIONARIATO</w:t>
      </w:r>
    </w:p>
    <w:p w:rsidR="0070161C" w:rsidRPr="00F977D9" w:rsidRDefault="0070161C" w:rsidP="0070161C">
      <w:pPr>
        <w:spacing w:after="120"/>
        <w:rPr>
          <w:rFonts w:cs="Arial"/>
          <w:szCs w:val="24"/>
        </w:rPr>
      </w:pPr>
      <w:r w:rsidRPr="00B81EFB">
        <w:rPr>
          <w:rFonts w:cs="Arial"/>
          <w:szCs w:val="24"/>
        </w:rPr>
        <w:t xml:space="preserve">La partecipazione del Cantone quale azionista di </w:t>
      </w:r>
      <w:proofErr w:type="spellStart"/>
      <w:r w:rsidRPr="00B81EFB">
        <w:rPr>
          <w:rFonts w:cs="Arial"/>
          <w:szCs w:val="24"/>
        </w:rPr>
        <w:t>Ofima</w:t>
      </w:r>
      <w:proofErr w:type="spellEnd"/>
      <w:r w:rsidRPr="00B81EFB">
        <w:rPr>
          <w:rFonts w:cs="Arial"/>
          <w:szCs w:val="24"/>
        </w:rPr>
        <w:t xml:space="preserve"> e </w:t>
      </w:r>
      <w:proofErr w:type="spellStart"/>
      <w:r w:rsidRPr="00B81EFB">
        <w:rPr>
          <w:rFonts w:cs="Arial"/>
          <w:szCs w:val="24"/>
        </w:rPr>
        <w:t>Ofible</w:t>
      </w:r>
      <w:proofErr w:type="spellEnd"/>
      <w:r w:rsidRPr="00B81EFB">
        <w:rPr>
          <w:rFonts w:cs="Arial"/>
          <w:szCs w:val="24"/>
        </w:rPr>
        <w:t xml:space="preserve"> è fissata al 20% del capitale azionario di entrambe le società che, è utile ricordarlo, hanno quale scopo </w:t>
      </w:r>
      <w:r w:rsidRPr="00B81EFB">
        <w:rPr>
          <w:rFonts w:cs="Arial"/>
          <w:i/>
          <w:szCs w:val="24"/>
        </w:rPr>
        <w:t>"</w:t>
      </w:r>
      <w:r w:rsidRPr="00F977D9">
        <w:rPr>
          <w:rFonts w:cs="Arial"/>
          <w:i/>
          <w:szCs w:val="24"/>
          <w:u w:val="single"/>
        </w:rPr>
        <w:t>Lo sfruttamento delle forze idriche della Maggia e dei suoi affluenti fino al Verbano</w:t>
      </w:r>
      <w:r w:rsidRPr="00B81EFB">
        <w:rPr>
          <w:rFonts w:cs="Arial"/>
          <w:i/>
          <w:szCs w:val="24"/>
        </w:rPr>
        <w:t xml:space="preserve">, lo sfruttamento delle forze idriche delle vallate vicine, e la partecipazione ad altre società idroelettriche aventi scopi analoghi, il trasporto dell’energia prodotta, se eseguito in comune, pure l’esercizio di teleferiche e la gestione di esercizi pubblici” </w:t>
      </w:r>
      <w:r w:rsidRPr="00B81EFB">
        <w:rPr>
          <w:rFonts w:cs="Arial"/>
          <w:szCs w:val="24"/>
        </w:rPr>
        <w:t>rispettivamente</w:t>
      </w:r>
      <w:r w:rsidRPr="00B81EFB">
        <w:rPr>
          <w:rFonts w:cs="Arial"/>
          <w:i/>
          <w:szCs w:val="24"/>
        </w:rPr>
        <w:t xml:space="preserve"> "</w:t>
      </w:r>
      <w:r w:rsidRPr="00F977D9">
        <w:rPr>
          <w:rFonts w:cs="Arial"/>
          <w:i/>
          <w:szCs w:val="24"/>
          <w:u w:val="single"/>
        </w:rPr>
        <w:t>Lo sfruttamento delle forze idriche della Valle di Blenio</w:t>
      </w:r>
      <w:r w:rsidRPr="00B81EFB">
        <w:rPr>
          <w:rFonts w:cs="Arial"/>
          <w:i/>
          <w:szCs w:val="24"/>
        </w:rPr>
        <w:t xml:space="preserve">, come alla concessione del 3 novembre 1953, lo sfruttamento di acque di vallate vicine e il trasporto dell'energia </w:t>
      </w:r>
      <w:r w:rsidRPr="00F977D9">
        <w:rPr>
          <w:rFonts w:cs="Arial"/>
          <w:i/>
          <w:szCs w:val="24"/>
        </w:rPr>
        <w:t>prodotta.</w:t>
      </w:r>
      <w:r w:rsidRPr="00F977D9">
        <w:rPr>
          <w:rFonts w:cs="Arial"/>
          <w:szCs w:val="24"/>
        </w:rPr>
        <w:t>"</w:t>
      </w:r>
    </w:p>
    <w:p w:rsidR="0070161C" w:rsidRPr="00F977D9" w:rsidRDefault="0070161C" w:rsidP="0070161C">
      <w:pPr>
        <w:spacing w:after="120"/>
        <w:rPr>
          <w:rFonts w:cs="Arial"/>
          <w:szCs w:val="24"/>
        </w:rPr>
      </w:pPr>
      <w:r w:rsidRPr="00F977D9">
        <w:rPr>
          <w:rFonts w:cs="Arial"/>
          <w:szCs w:val="24"/>
        </w:rPr>
        <w:t>Nell’ambito del rilascio della concessione per lo sfruttamento delle acque</w:t>
      </w:r>
      <w:r>
        <w:rPr>
          <w:rFonts w:cs="Arial"/>
          <w:szCs w:val="24"/>
        </w:rPr>
        <w:t xml:space="preserve"> </w:t>
      </w:r>
      <w:r w:rsidRPr="00F977D9">
        <w:rPr>
          <w:rFonts w:cs="Arial"/>
          <w:szCs w:val="24"/>
        </w:rPr>
        <w:t xml:space="preserve">il Gran Consiglio ha approvato i </w:t>
      </w:r>
      <w:r>
        <w:rPr>
          <w:rFonts w:cs="Arial"/>
          <w:szCs w:val="24"/>
        </w:rPr>
        <w:t>C</w:t>
      </w:r>
      <w:r w:rsidRPr="00F977D9">
        <w:rPr>
          <w:rFonts w:cs="Arial"/>
          <w:szCs w:val="24"/>
        </w:rPr>
        <w:t xml:space="preserve">ontratti di costituzione di </w:t>
      </w:r>
      <w:proofErr w:type="spellStart"/>
      <w:r w:rsidRPr="00F977D9">
        <w:rPr>
          <w:rFonts w:cs="Arial"/>
          <w:szCs w:val="24"/>
        </w:rPr>
        <w:t>Ofima</w:t>
      </w:r>
      <w:proofErr w:type="spellEnd"/>
      <w:r w:rsidRPr="00F977D9">
        <w:rPr>
          <w:rFonts w:cs="Arial"/>
          <w:szCs w:val="24"/>
        </w:rPr>
        <w:t xml:space="preserve"> e </w:t>
      </w:r>
      <w:proofErr w:type="spellStart"/>
      <w:r w:rsidRPr="00F977D9">
        <w:rPr>
          <w:rFonts w:cs="Arial"/>
          <w:szCs w:val="24"/>
        </w:rPr>
        <w:t>Ofible</w:t>
      </w:r>
      <w:proofErr w:type="spellEnd"/>
      <w:r w:rsidRPr="00F977D9">
        <w:rPr>
          <w:rFonts w:cs="Arial"/>
          <w:szCs w:val="24"/>
        </w:rPr>
        <w:t>.</w:t>
      </w:r>
    </w:p>
    <w:p w:rsidR="0070161C" w:rsidRPr="00075437" w:rsidRDefault="0070161C" w:rsidP="00B93A45">
      <w:r w:rsidRPr="00F977D9">
        <w:t xml:space="preserve">La società </w:t>
      </w:r>
      <w:proofErr w:type="spellStart"/>
      <w:r w:rsidRPr="00F977D9">
        <w:t>Alpiq</w:t>
      </w:r>
      <w:proofErr w:type="spellEnd"/>
      <w:r w:rsidRPr="00F977D9">
        <w:t xml:space="preserve"> AG, nata dalla fusione fra ATEL ed EOS, detiene una quota azionaria del 17% in </w:t>
      </w:r>
      <w:proofErr w:type="spellStart"/>
      <w:r w:rsidRPr="00F977D9">
        <w:t>Ofible</w:t>
      </w:r>
      <w:proofErr w:type="spellEnd"/>
      <w:r w:rsidRPr="00F977D9">
        <w:t xml:space="preserve"> SA e del 12.5% in </w:t>
      </w:r>
      <w:proofErr w:type="spellStart"/>
      <w:r w:rsidRPr="00F977D9">
        <w:t>Ofima</w:t>
      </w:r>
      <w:proofErr w:type="spellEnd"/>
      <w:r w:rsidRPr="00F977D9">
        <w:t xml:space="preserve"> SA</w:t>
      </w:r>
      <w:r>
        <w:t xml:space="preserve"> ed</w:t>
      </w:r>
      <w:r w:rsidRPr="00F977D9">
        <w:t xml:space="preserve"> è una società anonima con sede a </w:t>
      </w:r>
      <w:proofErr w:type="spellStart"/>
      <w:r w:rsidRPr="00F977D9">
        <w:t>Olten</w:t>
      </w:r>
      <w:proofErr w:type="spellEnd"/>
      <w:r w:rsidRPr="00F977D9">
        <w:t xml:space="preserve">, il cui capitale sociale è detenuto al 100% dalla società </w:t>
      </w:r>
      <w:proofErr w:type="spellStart"/>
      <w:r w:rsidRPr="00F977D9">
        <w:t>Alpiq</w:t>
      </w:r>
      <w:proofErr w:type="spellEnd"/>
      <w:r w:rsidRPr="00F977D9">
        <w:t xml:space="preserve"> Holding SA, con sede a Losanna</w:t>
      </w:r>
      <w:r>
        <w:t>.</w:t>
      </w:r>
    </w:p>
    <w:p w:rsidR="0070161C" w:rsidRDefault="0070161C" w:rsidP="0070161C">
      <w:pPr>
        <w:contextualSpacing/>
        <w:rPr>
          <w:rFonts w:cs="Arial"/>
          <w:szCs w:val="24"/>
        </w:rPr>
      </w:pPr>
    </w:p>
    <w:p w:rsidR="00B93A45" w:rsidRDefault="00B93A45" w:rsidP="0070161C">
      <w:pPr>
        <w:contextualSpacing/>
        <w:rPr>
          <w:rFonts w:cs="Arial"/>
          <w:szCs w:val="24"/>
        </w:rPr>
      </w:pPr>
    </w:p>
    <w:p w:rsidR="0070161C" w:rsidRPr="00075437" w:rsidRDefault="0070161C" w:rsidP="0070161C">
      <w:pPr>
        <w:pStyle w:val="Titolo1"/>
      </w:pPr>
      <w:r>
        <w:t>BASI LEGALI</w:t>
      </w:r>
    </w:p>
    <w:p w:rsidR="0070161C" w:rsidRDefault="0070161C" w:rsidP="0070161C">
      <w:pPr>
        <w:spacing w:after="120"/>
        <w:rPr>
          <w:rFonts w:cs="Arial"/>
          <w:szCs w:val="24"/>
        </w:rPr>
      </w:pPr>
      <w:r w:rsidRPr="00495999">
        <w:rPr>
          <w:rFonts w:cs="Arial"/>
          <w:szCs w:val="24"/>
        </w:rPr>
        <w:t xml:space="preserve">L’approvazione di una domanda di trasferimento di azioni compete ai </w:t>
      </w:r>
      <w:r>
        <w:rPr>
          <w:rFonts w:cs="Arial"/>
          <w:szCs w:val="24"/>
        </w:rPr>
        <w:t xml:space="preserve">rispettivi </w:t>
      </w:r>
      <w:r w:rsidRPr="00495999">
        <w:rPr>
          <w:rFonts w:cs="Arial"/>
          <w:szCs w:val="24"/>
        </w:rPr>
        <w:t xml:space="preserve">Consigli di amministrazione, che devono applicare le regole stabilite </w:t>
      </w:r>
      <w:r>
        <w:rPr>
          <w:rFonts w:cs="Arial"/>
          <w:szCs w:val="24"/>
        </w:rPr>
        <w:t>nei Contratti di costituzione</w:t>
      </w:r>
      <w:r w:rsidRPr="00495999">
        <w:rPr>
          <w:rFonts w:cs="Arial"/>
          <w:szCs w:val="24"/>
        </w:rPr>
        <w:t xml:space="preserve">, rispettivamente dal diritto federale, in particolare dal Codice delle obbligazioni. </w:t>
      </w:r>
      <w:r>
        <w:rPr>
          <w:rFonts w:cs="Arial"/>
          <w:szCs w:val="24"/>
        </w:rPr>
        <w:t>Il lodevole Consiglio di Stato, nel suo Messaggio 7541 sottolinea un aspetto rilevante dei Contratti di costituzione. In particolare l’art. 4, che recita:</w:t>
      </w:r>
    </w:p>
    <w:p w:rsidR="0070161C" w:rsidRDefault="0070161C" w:rsidP="0070161C">
      <w:pPr>
        <w:autoSpaceDE w:val="0"/>
        <w:autoSpaceDN w:val="0"/>
        <w:adjustRightInd w:val="0"/>
        <w:spacing w:after="80"/>
        <w:ind w:left="284"/>
        <w:rPr>
          <w:rFonts w:cs="Arial"/>
          <w:i/>
          <w:sz w:val="23"/>
          <w:szCs w:val="23"/>
        </w:rPr>
      </w:pPr>
      <w:r>
        <w:rPr>
          <w:rFonts w:cs="Arial"/>
          <w:i/>
          <w:sz w:val="23"/>
          <w:szCs w:val="23"/>
        </w:rPr>
        <w:t>L’approvazione può essere negata:</w:t>
      </w:r>
    </w:p>
    <w:p w:rsidR="0070161C" w:rsidRDefault="0070161C" w:rsidP="0070161C">
      <w:pPr>
        <w:numPr>
          <w:ilvl w:val="0"/>
          <w:numId w:val="6"/>
        </w:numPr>
        <w:tabs>
          <w:tab w:val="left" w:pos="709"/>
        </w:tabs>
        <w:autoSpaceDE w:val="0"/>
        <w:autoSpaceDN w:val="0"/>
        <w:adjustRightInd w:val="0"/>
        <w:spacing w:after="60"/>
        <w:ind w:left="709" w:hanging="425"/>
        <w:rPr>
          <w:rFonts w:cs="Arial"/>
          <w:i/>
          <w:sz w:val="23"/>
          <w:szCs w:val="23"/>
        </w:rPr>
      </w:pPr>
      <w:r>
        <w:rPr>
          <w:rFonts w:cs="Arial"/>
          <w:i/>
          <w:sz w:val="23"/>
          <w:szCs w:val="23"/>
        </w:rPr>
        <w:t>se l’acquirente non dichiara espressamente che ha acquistato le azioni in proprio nome e per proprio conto, o</w:t>
      </w:r>
    </w:p>
    <w:p w:rsidR="0070161C" w:rsidRDefault="0070161C" w:rsidP="0070161C">
      <w:pPr>
        <w:numPr>
          <w:ilvl w:val="0"/>
          <w:numId w:val="6"/>
        </w:numPr>
        <w:tabs>
          <w:tab w:val="left" w:pos="709"/>
        </w:tabs>
        <w:autoSpaceDE w:val="0"/>
        <w:autoSpaceDN w:val="0"/>
        <w:adjustRightInd w:val="0"/>
        <w:spacing w:after="60"/>
        <w:ind w:left="709" w:hanging="425"/>
        <w:rPr>
          <w:rFonts w:cs="Arial"/>
          <w:i/>
          <w:sz w:val="23"/>
          <w:szCs w:val="23"/>
        </w:rPr>
      </w:pPr>
      <w:r>
        <w:rPr>
          <w:rFonts w:cs="Arial"/>
          <w:i/>
          <w:sz w:val="23"/>
          <w:szCs w:val="23"/>
        </w:rPr>
        <w:t>quando un motivo grave osta all’approvazione, e, segnatamente quando</w:t>
      </w:r>
    </w:p>
    <w:p w:rsidR="0070161C" w:rsidRDefault="0070161C" w:rsidP="0070161C">
      <w:pPr>
        <w:tabs>
          <w:tab w:val="left" w:pos="1134"/>
        </w:tabs>
        <w:autoSpaceDE w:val="0"/>
        <w:autoSpaceDN w:val="0"/>
        <w:adjustRightInd w:val="0"/>
        <w:spacing w:after="60"/>
        <w:ind w:left="1134" w:hanging="425"/>
        <w:rPr>
          <w:rFonts w:cs="Arial"/>
          <w:i/>
          <w:sz w:val="23"/>
          <w:szCs w:val="23"/>
        </w:rPr>
      </w:pPr>
      <w:r>
        <w:rPr>
          <w:rFonts w:cs="Arial"/>
          <w:i/>
          <w:sz w:val="23"/>
          <w:szCs w:val="23"/>
        </w:rPr>
        <w:t>aa)</w:t>
      </w:r>
      <w:r>
        <w:rPr>
          <w:rFonts w:cs="Arial"/>
          <w:i/>
          <w:sz w:val="23"/>
          <w:szCs w:val="23"/>
        </w:rPr>
        <w:tab/>
        <w:t>non vi sono tutte le garanzie che l’acquirente rispetti tutti gli impegni statutari e contrattuali nei confronti della Società e degli azionisti, o</w:t>
      </w:r>
    </w:p>
    <w:p w:rsidR="0070161C" w:rsidRDefault="0070161C" w:rsidP="0070161C">
      <w:pPr>
        <w:tabs>
          <w:tab w:val="left" w:pos="1134"/>
        </w:tabs>
        <w:autoSpaceDE w:val="0"/>
        <w:autoSpaceDN w:val="0"/>
        <w:adjustRightInd w:val="0"/>
        <w:spacing w:after="60"/>
        <w:ind w:left="1134" w:hanging="425"/>
        <w:rPr>
          <w:rFonts w:cs="Arial"/>
          <w:i/>
          <w:sz w:val="23"/>
          <w:szCs w:val="23"/>
        </w:rPr>
      </w:pPr>
      <w:proofErr w:type="spellStart"/>
      <w:r>
        <w:rPr>
          <w:rFonts w:cs="Arial"/>
          <w:i/>
          <w:sz w:val="23"/>
          <w:szCs w:val="23"/>
        </w:rPr>
        <w:lastRenderedPageBreak/>
        <w:t>bb</w:t>
      </w:r>
      <w:proofErr w:type="spellEnd"/>
      <w:r>
        <w:rPr>
          <w:rFonts w:cs="Arial"/>
          <w:i/>
          <w:sz w:val="23"/>
          <w:szCs w:val="23"/>
        </w:rPr>
        <w:t>)</w:t>
      </w:r>
      <w:r>
        <w:rPr>
          <w:rFonts w:cs="Arial"/>
          <w:i/>
          <w:sz w:val="23"/>
          <w:szCs w:val="23"/>
        </w:rPr>
        <w:tab/>
        <w:t>l’acquirente direttamente o indirettamente svolge un’attività in concorrenza con la Società, od i suoi azionisti, o</w:t>
      </w:r>
    </w:p>
    <w:p w:rsidR="0070161C" w:rsidRDefault="0070161C" w:rsidP="0070161C">
      <w:pPr>
        <w:tabs>
          <w:tab w:val="left" w:pos="1134"/>
        </w:tabs>
        <w:autoSpaceDE w:val="0"/>
        <w:autoSpaceDN w:val="0"/>
        <w:adjustRightInd w:val="0"/>
        <w:spacing w:after="60"/>
        <w:ind w:left="1134" w:hanging="425"/>
        <w:rPr>
          <w:rFonts w:cs="Arial"/>
          <w:i/>
          <w:sz w:val="23"/>
          <w:szCs w:val="23"/>
        </w:rPr>
      </w:pPr>
      <w:r>
        <w:rPr>
          <w:rFonts w:cs="Arial"/>
          <w:i/>
          <w:sz w:val="23"/>
          <w:szCs w:val="23"/>
        </w:rPr>
        <w:t>cc)</w:t>
      </w:r>
      <w:r>
        <w:rPr>
          <w:rFonts w:cs="Arial"/>
          <w:i/>
          <w:sz w:val="23"/>
          <w:szCs w:val="23"/>
        </w:rPr>
        <w:tab/>
      </w:r>
      <w:r w:rsidRPr="00647644">
        <w:rPr>
          <w:rFonts w:cs="Arial"/>
          <w:i/>
          <w:sz w:val="23"/>
          <w:szCs w:val="23"/>
          <w:u w:val="single"/>
        </w:rPr>
        <w:t>con l’acquisto si perseguono scopi estranei all’economia elettrica.</w:t>
      </w:r>
    </w:p>
    <w:p w:rsidR="0070161C" w:rsidRPr="00495999" w:rsidRDefault="0070161C" w:rsidP="00B93A45">
      <w:pPr>
        <w:spacing w:before="120" w:after="120"/>
        <w:rPr>
          <w:rFonts w:cs="Arial"/>
          <w:szCs w:val="24"/>
        </w:rPr>
      </w:pPr>
      <w:r>
        <w:rPr>
          <w:rFonts w:cs="Arial"/>
          <w:szCs w:val="24"/>
        </w:rPr>
        <w:t>E inoltre (art. 6):</w:t>
      </w:r>
    </w:p>
    <w:p w:rsidR="0070161C" w:rsidRPr="00075437" w:rsidRDefault="0070161C" w:rsidP="0070161C">
      <w:pPr>
        <w:spacing w:after="120"/>
        <w:ind w:left="284"/>
        <w:rPr>
          <w:rFonts w:cs="Arial"/>
          <w:szCs w:val="24"/>
        </w:rPr>
      </w:pPr>
      <w:r>
        <w:rPr>
          <w:rFonts w:cs="Arial"/>
          <w:i/>
          <w:sz w:val="23"/>
          <w:szCs w:val="23"/>
        </w:rPr>
        <w:t xml:space="preserve">… Il consenso non può essere rifiutato </w:t>
      </w:r>
      <w:r w:rsidRPr="00647644">
        <w:rPr>
          <w:rFonts w:cs="Arial"/>
          <w:i/>
          <w:sz w:val="23"/>
          <w:szCs w:val="23"/>
          <w:u w:val="single"/>
        </w:rPr>
        <w:t>quando uno degli azionisti intenda trasferire azioni a un ente al quale egli partecipa in modo preponderante, oppure a un ente che avesse partecipazione preponderante alla sua impresa</w:t>
      </w:r>
      <w:r>
        <w:rPr>
          <w:rFonts w:cs="Arial"/>
          <w:i/>
          <w:sz w:val="23"/>
          <w:szCs w:val="23"/>
        </w:rPr>
        <w:t>. Il consenso deve essere accordato anche quando le azioni sono trasferite a un azionista già membro della società anonima.</w:t>
      </w:r>
    </w:p>
    <w:p w:rsidR="0070161C" w:rsidRDefault="0070161C" w:rsidP="0070161C">
      <w:pPr>
        <w:contextualSpacing/>
        <w:rPr>
          <w:rFonts w:cs="Arial"/>
          <w:szCs w:val="24"/>
        </w:rPr>
      </w:pPr>
    </w:p>
    <w:p w:rsidR="00B93A45" w:rsidRDefault="00B93A45" w:rsidP="0070161C">
      <w:pPr>
        <w:contextualSpacing/>
        <w:rPr>
          <w:rFonts w:cs="Arial"/>
          <w:szCs w:val="24"/>
        </w:rPr>
      </w:pPr>
    </w:p>
    <w:p w:rsidR="00B93A45" w:rsidRDefault="00B93A45" w:rsidP="0070161C">
      <w:pPr>
        <w:contextualSpacing/>
        <w:rPr>
          <w:rFonts w:cs="Arial"/>
          <w:szCs w:val="24"/>
        </w:rPr>
      </w:pPr>
    </w:p>
    <w:p w:rsidR="0070161C" w:rsidRDefault="0070161C" w:rsidP="0070161C">
      <w:pPr>
        <w:pStyle w:val="Titolo1"/>
      </w:pPr>
      <w:r>
        <w:t>CRONISTORIA</w:t>
      </w:r>
    </w:p>
    <w:p w:rsidR="0070161C" w:rsidRPr="00B93A45" w:rsidRDefault="00B93A45" w:rsidP="00B93A45">
      <w:pPr>
        <w:pStyle w:val="Titolo2"/>
      </w:pPr>
      <w:r>
        <w:t>3.1</w:t>
      </w:r>
      <w:r>
        <w:tab/>
      </w:r>
      <w:r w:rsidR="0070161C" w:rsidRPr="00B93A45">
        <w:t>La prima richiesta di trasferimento (inizio 2016)</w:t>
      </w:r>
    </w:p>
    <w:p w:rsidR="0070161C" w:rsidRPr="00075437" w:rsidRDefault="0070161C" w:rsidP="0070161C">
      <w:pPr>
        <w:pStyle w:val="Paragrafoelenco"/>
        <w:ind w:left="792"/>
        <w:rPr>
          <w:rFonts w:cs="Arial"/>
          <w:b/>
          <w:szCs w:val="24"/>
        </w:rPr>
      </w:pPr>
    </w:p>
    <w:p w:rsidR="0070161C" w:rsidRDefault="0070161C" w:rsidP="0070161C">
      <w:pPr>
        <w:contextualSpacing/>
        <w:jc w:val="center"/>
        <w:rPr>
          <w:rFonts w:cs="Arial"/>
          <w:szCs w:val="24"/>
        </w:rPr>
      </w:pPr>
      <w:r>
        <w:rPr>
          <w:rFonts w:cs="Arial"/>
          <w:noProof/>
          <w:szCs w:val="24"/>
          <w:lang w:eastAsia="it-CH"/>
        </w:rPr>
        <w:drawing>
          <wp:inline distT="0" distB="0" distL="0" distR="0" wp14:anchorId="4D46EEE0" wp14:editId="3546E530">
            <wp:extent cx="5004368" cy="2828925"/>
            <wp:effectExtent l="0" t="0" r="635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501" cy="2832392"/>
                    </a:xfrm>
                    <a:prstGeom prst="rect">
                      <a:avLst/>
                    </a:prstGeom>
                    <a:noFill/>
                  </pic:spPr>
                </pic:pic>
              </a:graphicData>
            </a:graphic>
          </wp:inline>
        </w:drawing>
      </w:r>
    </w:p>
    <w:p w:rsidR="0070161C" w:rsidRDefault="0070161C" w:rsidP="0070161C">
      <w:pPr>
        <w:contextualSpacing/>
        <w:rPr>
          <w:rFonts w:cs="Arial"/>
          <w:szCs w:val="24"/>
        </w:rPr>
      </w:pPr>
    </w:p>
    <w:p w:rsidR="0070161C" w:rsidRDefault="0070161C" w:rsidP="0070161C">
      <w:pPr>
        <w:contextualSpacing/>
        <w:rPr>
          <w:rFonts w:cs="Arial"/>
          <w:szCs w:val="24"/>
        </w:rPr>
      </w:pPr>
    </w:p>
    <w:p w:rsidR="0070161C" w:rsidRDefault="0070161C" w:rsidP="0070161C">
      <w:pPr>
        <w:contextualSpacing/>
        <w:rPr>
          <w:rFonts w:cs="Arial"/>
          <w:szCs w:val="24"/>
        </w:rPr>
      </w:pPr>
      <w:r>
        <w:rPr>
          <w:rFonts w:cs="Arial"/>
          <w:szCs w:val="24"/>
        </w:rPr>
        <w:t xml:space="preserve">Ad inizio 2016 </w:t>
      </w:r>
      <w:proofErr w:type="spellStart"/>
      <w:r>
        <w:rPr>
          <w:rFonts w:cs="Arial"/>
          <w:szCs w:val="24"/>
        </w:rPr>
        <w:t>Alpiq</w:t>
      </w:r>
      <w:proofErr w:type="spellEnd"/>
      <w:r>
        <w:rPr>
          <w:rFonts w:cs="Arial"/>
          <w:szCs w:val="24"/>
        </w:rPr>
        <w:t xml:space="preserve"> Holding AG ha comunicato, a causa delle forti perdite societarie degli anni precedenti, la sua intenzione di rendere accessibile a potenziali investitori il proprio portafoglio idroelettrico, nella misura del 49%.</w:t>
      </w:r>
    </w:p>
    <w:p w:rsidR="0070161C" w:rsidRDefault="0070161C" w:rsidP="0070161C">
      <w:pPr>
        <w:spacing w:after="120"/>
        <w:rPr>
          <w:rFonts w:cs="Arial"/>
          <w:szCs w:val="24"/>
        </w:rPr>
      </w:pPr>
      <w:r>
        <w:rPr>
          <w:rFonts w:cs="Arial"/>
          <w:szCs w:val="24"/>
        </w:rPr>
        <w:t>Tale messa a disposizione non era tuttavia indirizzata unicamente a imprese attive nel settore dell’energia, ma anche a investitori di natura finanziaria.</w:t>
      </w:r>
    </w:p>
    <w:p w:rsidR="0070161C" w:rsidRDefault="0070161C" w:rsidP="0070161C">
      <w:pPr>
        <w:spacing w:after="120"/>
        <w:rPr>
          <w:rFonts w:cs="Arial"/>
          <w:szCs w:val="24"/>
        </w:rPr>
      </w:pPr>
      <w:r>
        <w:rPr>
          <w:rFonts w:cs="Arial"/>
          <w:szCs w:val="24"/>
        </w:rPr>
        <w:t xml:space="preserve">Il Consiglio di Stato ha immediatamente espresso le sue preoccupazioni, confermando il 6 aprile 2016 la sua contrarietà ad un’eventuale cessione delle partecipazioni a entità non attive nel settore energetico, che per di più non hanno alcun legame diretto con il territorio ticinese (aspetto questo però non fissato nei Contratti di costituzione delle società). In sostanza, le partecipazioni di </w:t>
      </w:r>
      <w:proofErr w:type="spellStart"/>
      <w:r>
        <w:rPr>
          <w:rFonts w:cs="Arial"/>
          <w:szCs w:val="24"/>
        </w:rPr>
        <w:t>Alpiq</w:t>
      </w:r>
      <w:proofErr w:type="spellEnd"/>
      <w:r>
        <w:rPr>
          <w:rFonts w:cs="Arial"/>
          <w:szCs w:val="24"/>
        </w:rPr>
        <w:t xml:space="preserve"> AG sarebbero confluite in una nuova società denominata </w:t>
      </w:r>
      <w:proofErr w:type="spellStart"/>
      <w:r>
        <w:rPr>
          <w:rFonts w:cs="Arial"/>
          <w:szCs w:val="24"/>
        </w:rPr>
        <w:t>HydroCo</w:t>
      </w:r>
      <w:proofErr w:type="spellEnd"/>
      <w:r>
        <w:rPr>
          <w:rFonts w:cs="Arial"/>
          <w:szCs w:val="24"/>
        </w:rPr>
        <w:t xml:space="preserve">; </w:t>
      </w:r>
      <w:proofErr w:type="spellStart"/>
      <w:r>
        <w:rPr>
          <w:rFonts w:cs="Arial"/>
          <w:szCs w:val="24"/>
        </w:rPr>
        <w:t>HydroCo</w:t>
      </w:r>
      <w:proofErr w:type="spellEnd"/>
      <w:r>
        <w:rPr>
          <w:rFonts w:cs="Arial"/>
          <w:szCs w:val="24"/>
        </w:rPr>
        <w:t xml:space="preserve"> in seguito avrebbe potuto cedere fino al 49% delle proprie azioni a terzi.</w:t>
      </w:r>
    </w:p>
    <w:p w:rsidR="0070161C" w:rsidRDefault="0070161C" w:rsidP="0070161C">
      <w:pPr>
        <w:spacing w:after="120"/>
        <w:rPr>
          <w:rFonts w:cs="Arial"/>
          <w:szCs w:val="24"/>
        </w:rPr>
      </w:pPr>
      <w:r>
        <w:rPr>
          <w:rFonts w:cs="Arial"/>
          <w:szCs w:val="24"/>
        </w:rPr>
        <w:t xml:space="preserve">Nemmeno le successive precisazioni di </w:t>
      </w:r>
      <w:proofErr w:type="spellStart"/>
      <w:r>
        <w:rPr>
          <w:rFonts w:cs="Arial"/>
          <w:szCs w:val="24"/>
        </w:rPr>
        <w:t>Alpiq</w:t>
      </w:r>
      <w:proofErr w:type="spellEnd"/>
      <w:r>
        <w:rPr>
          <w:rFonts w:cs="Arial"/>
          <w:szCs w:val="24"/>
        </w:rPr>
        <w:t xml:space="preserve"> Holding AG hanno modificato la visione critica del Consiglio di Stato, trattandosi di fatto di un trasferimento di azioni tra società consorelle, non previsto dai Contratti di costituzione.</w:t>
      </w:r>
    </w:p>
    <w:p w:rsidR="0070161C" w:rsidRPr="000D69D6" w:rsidRDefault="0070161C" w:rsidP="0070161C">
      <w:pPr>
        <w:spacing w:after="120"/>
        <w:rPr>
          <w:rFonts w:cs="Arial"/>
          <w:szCs w:val="24"/>
        </w:rPr>
      </w:pPr>
      <w:r w:rsidRPr="000D69D6">
        <w:rPr>
          <w:rFonts w:cs="Arial"/>
          <w:szCs w:val="24"/>
        </w:rPr>
        <w:lastRenderedPageBreak/>
        <w:t xml:space="preserve">A seguito di un’istanza </w:t>
      </w:r>
      <w:proofErr w:type="spellStart"/>
      <w:r w:rsidRPr="000D69D6">
        <w:rPr>
          <w:rFonts w:cs="Arial"/>
          <w:szCs w:val="24"/>
        </w:rPr>
        <w:t>supercautelare</w:t>
      </w:r>
      <w:proofErr w:type="spellEnd"/>
      <w:r w:rsidRPr="000D69D6">
        <w:rPr>
          <w:rFonts w:cs="Arial"/>
          <w:szCs w:val="24"/>
        </w:rPr>
        <w:t xml:space="preserve"> presentata dall’azionista BKW Ener</w:t>
      </w:r>
      <w:r>
        <w:rPr>
          <w:rFonts w:cs="Arial"/>
          <w:szCs w:val="24"/>
        </w:rPr>
        <w:t>g</w:t>
      </w:r>
      <w:r w:rsidRPr="000D69D6">
        <w:rPr>
          <w:rFonts w:cs="Arial"/>
          <w:szCs w:val="24"/>
        </w:rPr>
        <w:t xml:space="preserve">ie AG, le Preture di Blenio e di Locarno hanno ordinato ai rispettivi </w:t>
      </w:r>
      <w:proofErr w:type="spellStart"/>
      <w:r w:rsidRPr="000D69D6">
        <w:rPr>
          <w:rFonts w:cs="Arial"/>
          <w:szCs w:val="24"/>
        </w:rPr>
        <w:t>CdA</w:t>
      </w:r>
      <w:proofErr w:type="spellEnd"/>
      <w:r w:rsidRPr="000D69D6">
        <w:rPr>
          <w:rFonts w:cs="Arial"/>
          <w:szCs w:val="24"/>
        </w:rPr>
        <w:t xml:space="preserve"> di non autorizzare il trasferimento di azioni ad una nuova entità da parte di </w:t>
      </w:r>
      <w:proofErr w:type="spellStart"/>
      <w:r w:rsidRPr="000D69D6">
        <w:rPr>
          <w:rFonts w:cs="Arial"/>
          <w:szCs w:val="24"/>
        </w:rPr>
        <w:t>Alpiq</w:t>
      </w:r>
      <w:proofErr w:type="spellEnd"/>
      <w:r w:rsidRPr="000D69D6">
        <w:rPr>
          <w:rFonts w:cs="Arial"/>
          <w:szCs w:val="24"/>
        </w:rPr>
        <w:t xml:space="preserve"> AG.</w:t>
      </w:r>
    </w:p>
    <w:p w:rsidR="0070161C" w:rsidRDefault="0070161C" w:rsidP="00B93A45">
      <w:r w:rsidRPr="000D69D6">
        <w:t xml:space="preserve">La prima richiesta di </w:t>
      </w:r>
      <w:proofErr w:type="spellStart"/>
      <w:r w:rsidRPr="000D69D6">
        <w:t>Alpiq</w:t>
      </w:r>
      <w:proofErr w:type="spellEnd"/>
      <w:r w:rsidRPr="000D69D6">
        <w:t xml:space="preserve"> Holding AG è stata quindi di conseguenza</w:t>
      </w:r>
      <w:r>
        <w:t xml:space="preserve"> respinta.</w:t>
      </w:r>
    </w:p>
    <w:p w:rsidR="0070161C" w:rsidRDefault="0070161C" w:rsidP="00B93A45"/>
    <w:p w:rsidR="0070161C" w:rsidRDefault="0070161C" w:rsidP="00B93A45"/>
    <w:p w:rsidR="0070161C" w:rsidRPr="00B93A45" w:rsidRDefault="00B93A45" w:rsidP="00B93A45">
      <w:pPr>
        <w:pStyle w:val="Titolo2"/>
      </w:pPr>
      <w:r>
        <w:t>3.2</w:t>
      </w:r>
      <w:r>
        <w:tab/>
      </w:r>
      <w:r w:rsidR="0070161C" w:rsidRPr="00B93A45">
        <w:t>La seconda richiesta di trasferimento (novembre 2017)</w:t>
      </w:r>
    </w:p>
    <w:p w:rsidR="0070161C" w:rsidRPr="00075437" w:rsidRDefault="0070161C" w:rsidP="0070161C">
      <w:pPr>
        <w:pStyle w:val="Paragrafoelenco"/>
        <w:ind w:left="792"/>
        <w:rPr>
          <w:rFonts w:cs="Arial"/>
          <w:b/>
          <w:szCs w:val="24"/>
        </w:rPr>
      </w:pPr>
    </w:p>
    <w:p w:rsidR="0070161C" w:rsidRDefault="0070161C" w:rsidP="0070161C">
      <w:pPr>
        <w:spacing w:after="120"/>
        <w:jc w:val="center"/>
        <w:rPr>
          <w:rFonts w:cs="Arial"/>
          <w:szCs w:val="24"/>
        </w:rPr>
      </w:pPr>
      <w:r>
        <w:rPr>
          <w:rFonts w:cs="Arial"/>
          <w:noProof/>
          <w:szCs w:val="24"/>
          <w:lang w:eastAsia="it-CH"/>
        </w:rPr>
        <w:drawing>
          <wp:inline distT="0" distB="0" distL="0" distR="0" wp14:anchorId="614054A8" wp14:editId="7BFCA6E4">
            <wp:extent cx="5356800" cy="28296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6800" cy="2829600"/>
                    </a:xfrm>
                    <a:prstGeom prst="rect">
                      <a:avLst/>
                    </a:prstGeom>
                    <a:noFill/>
                  </pic:spPr>
                </pic:pic>
              </a:graphicData>
            </a:graphic>
          </wp:inline>
        </w:drawing>
      </w:r>
    </w:p>
    <w:p w:rsidR="0070161C" w:rsidRDefault="0070161C" w:rsidP="0070161C">
      <w:pPr>
        <w:spacing w:after="120"/>
        <w:rPr>
          <w:rFonts w:cs="Arial"/>
          <w:szCs w:val="24"/>
        </w:rPr>
      </w:pPr>
    </w:p>
    <w:p w:rsidR="0070161C" w:rsidRDefault="0070161C" w:rsidP="0070161C">
      <w:pPr>
        <w:spacing w:after="120"/>
        <w:rPr>
          <w:rFonts w:cs="Arial"/>
          <w:szCs w:val="24"/>
        </w:rPr>
      </w:pPr>
      <w:r>
        <w:rPr>
          <w:rFonts w:cs="Arial"/>
          <w:szCs w:val="24"/>
        </w:rPr>
        <w:t xml:space="preserve">Come già per la prima richiesta, anche in questo secondo caso </w:t>
      </w:r>
      <w:proofErr w:type="spellStart"/>
      <w:r>
        <w:rPr>
          <w:rFonts w:cs="Arial"/>
          <w:szCs w:val="24"/>
        </w:rPr>
        <w:t>Alpiq</w:t>
      </w:r>
      <w:proofErr w:type="spellEnd"/>
      <w:r>
        <w:rPr>
          <w:rFonts w:cs="Arial"/>
          <w:szCs w:val="24"/>
        </w:rPr>
        <w:t xml:space="preserve"> AG è stata avara di informazioni, comunicando succintamente di voler inizialmente attuare il trasferimento delle sue azioni ad </w:t>
      </w:r>
      <w:proofErr w:type="spellStart"/>
      <w:r>
        <w:rPr>
          <w:rFonts w:cs="Arial"/>
          <w:szCs w:val="24"/>
        </w:rPr>
        <w:t>Alpiq</w:t>
      </w:r>
      <w:proofErr w:type="spellEnd"/>
      <w:r>
        <w:rPr>
          <w:rFonts w:cs="Arial"/>
          <w:szCs w:val="24"/>
        </w:rPr>
        <w:t xml:space="preserve"> </w:t>
      </w:r>
      <w:proofErr w:type="spellStart"/>
      <w:r>
        <w:rPr>
          <w:rFonts w:cs="Arial"/>
          <w:szCs w:val="24"/>
        </w:rPr>
        <w:t>Suisse</w:t>
      </w:r>
      <w:proofErr w:type="spellEnd"/>
      <w:r>
        <w:rPr>
          <w:rFonts w:cs="Arial"/>
          <w:szCs w:val="24"/>
        </w:rPr>
        <w:t xml:space="preserve"> SA e solo in un secondo tempo eventualmente cedere una quota minoritaria ad investitori terzi.</w:t>
      </w:r>
    </w:p>
    <w:p w:rsidR="0070161C" w:rsidRDefault="0070161C" w:rsidP="0070161C">
      <w:pPr>
        <w:spacing w:after="120"/>
        <w:rPr>
          <w:rFonts w:cs="Arial"/>
          <w:szCs w:val="24"/>
        </w:rPr>
      </w:pPr>
      <w:r>
        <w:rPr>
          <w:rFonts w:cs="Arial"/>
          <w:szCs w:val="24"/>
        </w:rPr>
        <w:t xml:space="preserve">La sostanza della richiesta non è quindi cambiata. È cambiata tuttavia la motivazione, che risiede nella volontà di </w:t>
      </w:r>
      <w:proofErr w:type="spellStart"/>
      <w:r>
        <w:rPr>
          <w:rFonts w:cs="Arial"/>
          <w:szCs w:val="24"/>
        </w:rPr>
        <w:t>Alpiq</w:t>
      </w:r>
      <w:proofErr w:type="spellEnd"/>
      <w:r>
        <w:rPr>
          <w:rFonts w:cs="Arial"/>
          <w:szCs w:val="24"/>
        </w:rPr>
        <w:t xml:space="preserve"> Holding AG di accentrare in </w:t>
      </w:r>
      <w:proofErr w:type="spellStart"/>
      <w:r>
        <w:rPr>
          <w:rFonts w:cs="Arial"/>
          <w:szCs w:val="24"/>
        </w:rPr>
        <w:t>Alpiq</w:t>
      </w:r>
      <w:proofErr w:type="spellEnd"/>
      <w:r>
        <w:rPr>
          <w:rFonts w:cs="Arial"/>
          <w:szCs w:val="24"/>
        </w:rPr>
        <w:t xml:space="preserve"> </w:t>
      </w:r>
      <w:proofErr w:type="spellStart"/>
      <w:r>
        <w:rPr>
          <w:rFonts w:cs="Arial"/>
          <w:szCs w:val="24"/>
        </w:rPr>
        <w:t>Suisse</w:t>
      </w:r>
      <w:proofErr w:type="spellEnd"/>
      <w:r>
        <w:rPr>
          <w:rFonts w:cs="Arial"/>
          <w:szCs w:val="24"/>
        </w:rPr>
        <w:t xml:space="preserve"> SA tutte le partecipazioni idroelettriche.</w:t>
      </w:r>
    </w:p>
    <w:p w:rsidR="0070161C" w:rsidRDefault="0070161C" w:rsidP="0070161C">
      <w:pPr>
        <w:spacing w:after="120"/>
        <w:rPr>
          <w:rFonts w:cs="Arial"/>
          <w:szCs w:val="24"/>
        </w:rPr>
      </w:pPr>
      <w:r>
        <w:rPr>
          <w:rFonts w:cs="Arial"/>
          <w:szCs w:val="24"/>
        </w:rPr>
        <w:t xml:space="preserve">Nel dicembre 2017 i </w:t>
      </w:r>
      <w:proofErr w:type="spellStart"/>
      <w:r>
        <w:rPr>
          <w:rFonts w:cs="Arial"/>
          <w:szCs w:val="24"/>
        </w:rPr>
        <w:t>CdA</w:t>
      </w:r>
      <w:proofErr w:type="spellEnd"/>
      <w:r>
        <w:rPr>
          <w:rFonts w:cs="Arial"/>
          <w:szCs w:val="24"/>
        </w:rPr>
        <w:t xml:space="preserve"> di </w:t>
      </w:r>
      <w:proofErr w:type="spellStart"/>
      <w:r>
        <w:rPr>
          <w:rFonts w:cs="Arial"/>
          <w:szCs w:val="24"/>
        </w:rPr>
        <w:t>Ofima</w:t>
      </w:r>
      <w:proofErr w:type="spellEnd"/>
      <w:r>
        <w:rPr>
          <w:rFonts w:cs="Arial"/>
          <w:szCs w:val="24"/>
        </w:rPr>
        <w:t xml:space="preserve"> e </w:t>
      </w:r>
      <w:proofErr w:type="spellStart"/>
      <w:r>
        <w:rPr>
          <w:rFonts w:cs="Arial"/>
          <w:szCs w:val="24"/>
        </w:rPr>
        <w:t>Ofible</w:t>
      </w:r>
      <w:proofErr w:type="spellEnd"/>
      <w:r>
        <w:rPr>
          <w:rFonts w:cs="Arial"/>
          <w:szCs w:val="24"/>
        </w:rPr>
        <w:t xml:space="preserve"> hanno approvato, a maggioranza ma con il voto contrario dei rappresentanti del Canton Ticino, la richiesta di trapasso di azioni, con le condizioni presentate da </w:t>
      </w:r>
      <w:proofErr w:type="spellStart"/>
      <w:r>
        <w:rPr>
          <w:rFonts w:cs="Arial"/>
          <w:szCs w:val="24"/>
        </w:rPr>
        <w:t>Alpiq</w:t>
      </w:r>
      <w:proofErr w:type="spellEnd"/>
      <w:r>
        <w:rPr>
          <w:rFonts w:cs="Arial"/>
          <w:szCs w:val="24"/>
        </w:rPr>
        <w:t xml:space="preserve"> AG stessa, e cioè che ci fosse l’accordo di tutti gli azionisti.</w:t>
      </w:r>
    </w:p>
    <w:p w:rsidR="0070161C" w:rsidRDefault="0070161C" w:rsidP="0070161C">
      <w:pPr>
        <w:spacing w:after="120"/>
        <w:rPr>
          <w:rFonts w:cs="Arial"/>
          <w:szCs w:val="24"/>
        </w:rPr>
      </w:pPr>
      <w:r>
        <w:rPr>
          <w:rFonts w:cs="Arial"/>
          <w:szCs w:val="24"/>
        </w:rPr>
        <w:t xml:space="preserve">Anche in questo caso il Consiglio di Stato ha ritenuto opportuno richiedere chiare informazioni sull’operazione. Informazioni formalizzate come segue da </w:t>
      </w:r>
      <w:proofErr w:type="spellStart"/>
      <w:r>
        <w:rPr>
          <w:rFonts w:cs="Arial"/>
          <w:szCs w:val="24"/>
        </w:rPr>
        <w:t>Alpiq</w:t>
      </w:r>
      <w:proofErr w:type="spellEnd"/>
      <w:r>
        <w:rPr>
          <w:rFonts w:cs="Arial"/>
          <w:szCs w:val="24"/>
        </w:rPr>
        <w:t xml:space="preserve"> AG il 13 febbraio 2018.</w:t>
      </w:r>
    </w:p>
    <w:p w:rsidR="0070161C" w:rsidRDefault="0070161C" w:rsidP="0070161C">
      <w:pPr>
        <w:spacing w:after="120"/>
        <w:rPr>
          <w:rFonts w:cs="Arial"/>
          <w:szCs w:val="24"/>
        </w:rPr>
      </w:pPr>
      <w:r w:rsidRPr="00295039">
        <w:rPr>
          <w:rFonts w:cs="Arial"/>
          <w:i/>
        </w:rPr>
        <w:t xml:space="preserve">Nel 2015 </w:t>
      </w:r>
      <w:proofErr w:type="spellStart"/>
      <w:r w:rsidRPr="00295039">
        <w:rPr>
          <w:rFonts w:cs="Arial"/>
          <w:i/>
        </w:rPr>
        <w:t>Alpiq</w:t>
      </w:r>
      <w:proofErr w:type="spellEnd"/>
      <w:r w:rsidRPr="00295039">
        <w:rPr>
          <w:rFonts w:cs="Arial"/>
          <w:i/>
        </w:rPr>
        <w:t xml:space="preserve"> ha deciso di semplificare la struttura societaria e, con ciò, </w:t>
      </w:r>
      <w:r w:rsidRPr="00A16A24">
        <w:rPr>
          <w:rFonts w:cs="Arial"/>
          <w:i/>
          <w:u w:val="single"/>
        </w:rPr>
        <w:t>di incrementare anche l'attrattività per le partecipazioni di terzi</w:t>
      </w:r>
      <w:r w:rsidRPr="00295039">
        <w:rPr>
          <w:rFonts w:cs="Arial"/>
          <w:i/>
        </w:rPr>
        <w:t xml:space="preserve">. Le partecipazioni all'energia idroelettrica dovranno essere riunite nella </w:t>
      </w:r>
      <w:proofErr w:type="spellStart"/>
      <w:r w:rsidRPr="00295039">
        <w:rPr>
          <w:rFonts w:cs="Arial"/>
          <w:i/>
        </w:rPr>
        <w:t>Alpiq</w:t>
      </w:r>
      <w:proofErr w:type="spellEnd"/>
      <w:r w:rsidRPr="00295039">
        <w:rPr>
          <w:rFonts w:cs="Arial"/>
          <w:i/>
        </w:rPr>
        <w:t xml:space="preserve"> </w:t>
      </w:r>
      <w:proofErr w:type="spellStart"/>
      <w:r w:rsidRPr="00295039">
        <w:rPr>
          <w:rFonts w:cs="Arial"/>
          <w:i/>
        </w:rPr>
        <w:t>Suisse</w:t>
      </w:r>
      <w:proofErr w:type="spellEnd"/>
      <w:r w:rsidRPr="00295039">
        <w:rPr>
          <w:rFonts w:cs="Arial"/>
          <w:i/>
        </w:rPr>
        <w:t xml:space="preserve"> SA, con l'obiettivo di costituire una società esclusivamente votata alla produzione di energia idroelettrica. Originariamente era anche previsto di vendere una quota minoritaria di questa nuova </w:t>
      </w:r>
      <w:proofErr w:type="spellStart"/>
      <w:r w:rsidRPr="00295039">
        <w:rPr>
          <w:rFonts w:cs="Arial"/>
          <w:i/>
        </w:rPr>
        <w:t>Alpi</w:t>
      </w:r>
      <w:r>
        <w:rPr>
          <w:rFonts w:cs="Arial"/>
          <w:i/>
        </w:rPr>
        <w:t>q</w:t>
      </w:r>
      <w:proofErr w:type="spellEnd"/>
      <w:r w:rsidRPr="00295039">
        <w:rPr>
          <w:rFonts w:cs="Arial"/>
          <w:i/>
        </w:rPr>
        <w:t xml:space="preserve"> </w:t>
      </w:r>
      <w:proofErr w:type="spellStart"/>
      <w:r w:rsidRPr="00295039">
        <w:rPr>
          <w:rFonts w:cs="Arial"/>
          <w:i/>
        </w:rPr>
        <w:t>Suisse</w:t>
      </w:r>
      <w:proofErr w:type="spellEnd"/>
      <w:r w:rsidRPr="00295039">
        <w:rPr>
          <w:rFonts w:cs="Arial"/>
          <w:i/>
        </w:rPr>
        <w:t xml:space="preserve"> </w:t>
      </w:r>
      <w:r w:rsidRPr="00A16A24">
        <w:rPr>
          <w:rFonts w:cs="Arial"/>
          <w:i/>
        </w:rPr>
        <w:t xml:space="preserve">SA. </w:t>
      </w:r>
      <w:r w:rsidRPr="00A16A24">
        <w:rPr>
          <w:rFonts w:cs="Arial"/>
          <w:i/>
          <w:u w:val="single"/>
        </w:rPr>
        <w:t>Tale progetto fu tuttavia sospeso lo scorso anno</w:t>
      </w:r>
      <w:r w:rsidRPr="00A16A24">
        <w:rPr>
          <w:rFonts w:cs="Arial"/>
          <w:i/>
        </w:rPr>
        <w:t xml:space="preserve"> (comunicato stampa di </w:t>
      </w:r>
      <w:proofErr w:type="spellStart"/>
      <w:r w:rsidRPr="00A16A24">
        <w:rPr>
          <w:rFonts w:cs="Arial"/>
          <w:i/>
        </w:rPr>
        <w:t>Alpiq</w:t>
      </w:r>
      <w:proofErr w:type="spellEnd"/>
      <w:r w:rsidRPr="00A16A24">
        <w:rPr>
          <w:rFonts w:cs="Arial"/>
          <w:i/>
        </w:rPr>
        <w:t xml:space="preserve"> del 28 agosto 2017)</w:t>
      </w:r>
      <w:r w:rsidRPr="00A16A24">
        <w:rPr>
          <w:rFonts w:cs="Arial"/>
        </w:rPr>
        <w:t>.</w:t>
      </w:r>
    </w:p>
    <w:p w:rsidR="0070161C" w:rsidRDefault="0070161C" w:rsidP="0070161C">
      <w:pPr>
        <w:spacing w:after="120"/>
        <w:rPr>
          <w:rFonts w:cs="Arial"/>
          <w:szCs w:val="24"/>
        </w:rPr>
      </w:pPr>
      <w:r>
        <w:rPr>
          <w:rFonts w:cs="Arial"/>
          <w:szCs w:val="24"/>
        </w:rPr>
        <w:t xml:space="preserve">Secondo </w:t>
      </w:r>
      <w:proofErr w:type="spellStart"/>
      <w:r>
        <w:rPr>
          <w:rFonts w:cs="Arial"/>
          <w:szCs w:val="24"/>
        </w:rPr>
        <w:t>Alpiq</w:t>
      </w:r>
      <w:proofErr w:type="spellEnd"/>
      <w:r>
        <w:rPr>
          <w:rFonts w:cs="Arial"/>
          <w:szCs w:val="24"/>
        </w:rPr>
        <w:t xml:space="preserve"> Holding SA, questa operazione costituisce solo un trasferimento all’interno del gruppo e, considerato che </w:t>
      </w:r>
      <w:r w:rsidRPr="00A16A24">
        <w:rPr>
          <w:rFonts w:cs="Arial"/>
          <w:i/>
          <w:szCs w:val="24"/>
        </w:rPr>
        <w:t>al momento</w:t>
      </w:r>
      <w:r>
        <w:rPr>
          <w:rFonts w:cs="Arial"/>
          <w:szCs w:val="24"/>
        </w:rPr>
        <w:t xml:space="preserve"> non vi è nessuna intenzione di cedere anche </w:t>
      </w:r>
      <w:r>
        <w:rPr>
          <w:rFonts w:cs="Arial"/>
          <w:szCs w:val="24"/>
        </w:rPr>
        <w:lastRenderedPageBreak/>
        <w:t>solo parte del controllo a terzi, i diritti e i doveri concernenti le centrali partner non sono compromessi.</w:t>
      </w:r>
    </w:p>
    <w:p w:rsidR="0070161C" w:rsidRDefault="0070161C" w:rsidP="00B93A45">
      <w:r>
        <w:t xml:space="preserve">Tra i diversi partner, le voci critiche sono state sollevate dalla città di Zurigo, che ritiene il trasferimento richiesto non conforme ai Contratti di costituzione (confermando tuttavia come il suo consenso valga solo nel caso specifico e non possa costituire un precedente) e la AXPO </w:t>
      </w:r>
      <w:proofErr w:type="spellStart"/>
      <w:r>
        <w:t>Power</w:t>
      </w:r>
      <w:proofErr w:type="spellEnd"/>
      <w:r>
        <w:t xml:space="preserve"> AG, che ha condizionato il suo accordo al fatto che il trasferimento avvenga entro la metà del 2019.</w:t>
      </w:r>
    </w:p>
    <w:p w:rsidR="0070161C" w:rsidRDefault="0070161C" w:rsidP="0070161C">
      <w:pPr>
        <w:contextualSpacing/>
        <w:rPr>
          <w:rFonts w:cs="Arial"/>
          <w:szCs w:val="24"/>
        </w:rPr>
      </w:pPr>
    </w:p>
    <w:p w:rsidR="00B93A45" w:rsidRPr="00075437" w:rsidRDefault="00B93A45" w:rsidP="0070161C">
      <w:pPr>
        <w:contextualSpacing/>
        <w:rPr>
          <w:rFonts w:cs="Arial"/>
          <w:szCs w:val="24"/>
        </w:rPr>
      </w:pPr>
    </w:p>
    <w:p w:rsidR="0070161C" w:rsidRPr="00075437" w:rsidRDefault="0070161C" w:rsidP="0070161C">
      <w:pPr>
        <w:pStyle w:val="Titolo1"/>
      </w:pPr>
      <w:r>
        <w:t>LA POSIZIONE DEL CONSIGLIO DI STATO</w:t>
      </w:r>
    </w:p>
    <w:p w:rsidR="0070161C" w:rsidRPr="00B31075" w:rsidRDefault="0070161C" w:rsidP="0070161C">
      <w:pPr>
        <w:spacing w:after="120"/>
        <w:contextualSpacing/>
        <w:rPr>
          <w:rFonts w:cs="Arial"/>
          <w:szCs w:val="24"/>
        </w:rPr>
      </w:pPr>
      <w:r>
        <w:rPr>
          <w:rFonts w:cs="Arial"/>
          <w:szCs w:val="24"/>
        </w:rPr>
        <w:t xml:space="preserve">Il Consiglio di </w:t>
      </w:r>
      <w:r w:rsidRPr="00B31075">
        <w:rPr>
          <w:rFonts w:cs="Arial"/>
          <w:szCs w:val="24"/>
        </w:rPr>
        <w:t>Stato si è adoperato affinché le partecipazioni rimanessero in società svizzere. Il</w:t>
      </w:r>
      <w:r>
        <w:rPr>
          <w:rFonts w:cs="Arial"/>
          <w:szCs w:val="24"/>
        </w:rPr>
        <w:t xml:space="preserve"> </w:t>
      </w:r>
      <w:r w:rsidRPr="00B31075">
        <w:rPr>
          <w:rFonts w:cs="Arial"/>
          <w:szCs w:val="24"/>
        </w:rPr>
        <w:t xml:space="preserve">mantenimento in mani svizzere delle infrastrutture strategiche del settore energetico è diventato a livello federale un tema politico attuale e molto delicato, tanto che nel 2017 è divenuto oggetto dell’iniziativa parlamentare “Assoggettare le infrastrutture strategiche dell'economia energetica alla </w:t>
      </w:r>
      <w:proofErr w:type="spellStart"/>
      <w:r w:rsidRPr="00B31075">
        <w:rPr>
          <w:rFonts w:cs="Arial"/>
          <w:szCs w:val="24"/>
        </w:rPr>
        <w:t>lex</w:t>
      </w:r>
      <w:proofErr w:type="spellEnd"/>
      <w:r w:rsidRPr="00B31075">
        <w:rPr>
          <w:rFonts w:cs="Arial"/>
          <w:szCs w:val="24"/>
        </w:rPr>
        <w:t xml:space="preserve"> Koller”.</w:t>
      </w:r>
    </w:p>
    <w:p w:rsidR="0070161C" w:rsidRDefault="0070161C" w:rsidP="0070161C">
      <w:pPr>
        <w:spacing w:after="120"/>
        <w:contextualSpacing/>
        <w:rPr>
          <w:rFonts w:cs="Arial"/>
          <w:szCs w:val="24"/>
        </w:rPr>
      </w:pPr>
      <w:r w:rsidRPr="00B31075">
        <w:rPr>
          <w:rFonts w:cs="Arial"/>
          <w:szCs w:val="24"/>
        </w:rPr>
        <w:t>L’iniziativa chiede che le infrastrutture strategiche del settore energetico, segnatamente le centrali idroelettriche, le reti di trasporto dell’energia elettrica e le reti del gas, siano assoggettate alla legge federale sull’acquisto di fondi da parte di persone all’estero (</w:t>
      </w:r>
      <w:proofErr w:type="spellStart"/>
      <w:r w:rsidRPr="00B31075">
        <w:rPr>
          <w:rFonts w:cs="Arial"/>
          <w:szCs w:val="24"/>
        </w:rPr>
        <w:t>Lex</w:t>
      </w:r>
      <w:proofErr w:type="spellEnd"/>
      <w:r w:rsidRPr="00B31075">
        <w:rPr>
          <w:rFonts w:cs="Arial"/>
          <w:szCs w:val="24"/>
        </w:rPr>
        <w:t xml:space="preserve"> Koller). </w:t>
      </w:r>
    </w:p>
    <w:p w:rsidR="00B93A45" w:rsidRDefault="00B93A45" w:rsidP="0070161C">
      <w:pPr>
        <w:spacing w:after="120"/>
        <w:contextualSpacing/>
        <w:rPr>
          <w:rFonts w:cs="Arial"/>
          <w:szCs w:val="24"/>
        </w:rPr>
      </w:pPr>
    </w:p>
    <w:p w:rsidR="0070161C" w:rsidRPr="00B31075" w:rsidRDefault="0070161C" w:rsidP="00B93A45">
      <w:r w:rsidRPr="00B31075">
        <w:t>L’iniziativa mira così a mantenere sotto controllo l’acquisto da parte di imprese o Stati stranieri di queste infrastrutture d’importanza vitale per il buon funzionamento del Paese.</w:t>
      </w:r>
    </w:p>
    <w:p w:rsidR="00B93A45" w:rsidRDefault="00B93A45" w:rsidP="00B93A45"/>
    <w:p w:rsidR="0070161C" w:rsidRDefault="0070161C" w:rsidP="00B93A45">
      <w:r>
        <w:t>Sulla base dell’</w:t>
      </w:r>
      <w:r w:rsidRPr="00B31075">
        <w:t xml:space="preserve">apparentemente mutata strategia di </w:t>
      </w:r>
      <w:proofErr w:type="spellStart"/>
      <w:r w:rsidRPr="00B31075">
        <w:t>Alpiq</w:t>
      </w:r>
      <w:proofErr w:type="spellEnd"/>
      <w:r w:rsidRPr="00B31075">
        <w:t xml:space="preserve"> Holding AG, che ora vuole concentrare in un’unica società le partecipazioni in centrali di produzione idroelettrica, separandole da quelle in impianti di altro tipo, </w:t>
      </w:r>
      <w:r>
        <w:t xml:space="preserve">il </w:t>
      </w:r>
      <w:r w:rsidRPr="00B31075">
        <w:t xml:space="preserve">Consiglio di Stato ritiene di poter aderire alla richiesta di trasferimento delle azioni da </w:t>
      </w:r>
      <w:proofErr w:type="spellStart"/>
      <w:r w:rsidRPr="00B31075">
        <w:t>Alpiq</w:t>
      </w:r>
      <w:proofErr w:type="spellEnd"/>
      <w:r w:rsidRPr="00B31075">
        <w:t xml:space="preserve"> AG a </w:t>
      </w:r>
      <w:proofErr w:type="spellStart"/>
      <w:r w:rsidRPr="00B31075">
        <w:t>Alpiq</w:t>
      </w:r>
      <w:proofErr w:type="spellEnd"/>
      <w:r w:rsidRPr="00B31075">
        <w:t xml:space="preserve"> </w:t>
      </w:r>
      <w:proofErr w:type="spellStart"/>
      <w:r w:rsidRPr="00B31075">
        <w:t>Suisse</w:t>
      </w:r>
      <w:proofErr w:type="spellEnd"/>
      <w:r w:rsidRPr="00B31075">
        <w:t xml:space="preserve"> SA, sottolineando tuttavia quanto segue:</w:t>
      </w:r>
    </w:p>
    <w:p w:rsidR="0070161C" w:rsidRPr="00B31075" w:rsidRDefault="0070161C" w:rsidP="00B93A45">
      <w:pPr>
        <w:pStyle w:val="Paragrafoelenco"/>
        <w:numPr>
          <w:ilvl w:val="0"/>
          <w:numId w:val="7"/>
        </w:numPr>
        <w:spacing w:before="100"/>
        <w:ind w:left="284" w:hanging="284"/>
        <w:rPr>
          <w:rFonts w:cs="Arial"/>
          <w:szCs w:val="24"/>
        </w:rPr>
      </w:pPr>
      <w:r w:rsidRPr="00B31075">
        <w:rPr>
          <w:rFonts w:cs="Arial"/>
          <w:szCs w:val="24"/>
        </w:rPr>
        <w:t xml:space="preserve">l’Art. 6 degli </w:t>
      </w:r>
      <w:r>
        <w:rPr>
          <w:rFonts w:cs="Arial"/>
          <w:szCs w:val="24"/>
        </w:rPr>
        <w:t xml:space="preserve">dei Contratti di costituzione </w:t>
      </w:r>
      <w:r w:rsidRPr="00B31075">
        <w:rPr>
          <w:rFonts w:cs="Arial"/>
          <w:szCs w:val="24"/>
        </w:rPr>
        <w:t xml:space="preserve">non impone di approvare la richiesta di </w:t>
      </w:r>
      <w:proofErr w:type="spellStart"/>
      <w:r w:rsidRPr="00B31075">
        <w:rPr>
          <w:rFonts w:cs="Arial"/>
          <w:szCs w:val="24"/>
        </w:rPr>
        <w:t>Alpiq</w:t>
      </w:r>
      <w:proofErr w:type="spellEnd"/>
      <w:r w:rsidRPr="00B31075">
        <w:rPr>
          <w:rFonts w:cs="Arial"/>
          <w:szCs w:val="24"/>
        </w:rPr>
        <w:t xml:space="preserve"> AG, trattandosi nella fattispecie di un passaggio tra società sorelle.</w:t>
      </w:r>
      <w:r>
        <w:rPr>
          <w:rFonts w:cs="Arial"/>
          <w:szCs w:val="24"/>
        </w:rPr>
        <w:t xml:space="preserve"> Tuttavia, nulla </w:t>
      </w:r>
      <w:r w:rsidRPr="001C7645">
        <w:rPr>
          <w:rFonts w:cs="Arial"/>
        </w:rPr>
        <w:t xml:space="preserve">impedirebbe ad </w:t>
      </w:r>
      <w:proofErr w:type="spellStart"/>
      <w:r w:rsidRPr="001C7645">
        <w:rPr>
          <w:rFonts w:cs="Arial"/>
        </w:rPr>
        <w:t>Alpiq</w:t>
      </w:r>
      <w:proofErr w:type="spellEnd"/>
      <w:r w:rsidRPr="001C7645">
        <w:rPr>
          <w:rFonts w:cs="Arial"/>
        </w:rPr>
        <w:t xml:space="preserve"> </w:t>
      </w:r>
      <w:r>
        <w:rPr>
          <w:rFonts w:cs="Arial"/>
        </w:rPr>
        <w:t xml:space="preserve">AG </w:t>
      </w:r>
      <w:r w:rsidRPr="001C7645">
        <w:rPr>
          <w:rFonts w:cs="Arial"/>
        </w:rPr>
        <w:t xml:space="preserve">di risolvere indirettamente questa questione, trasferendo prima le azioni </w:t>
      </w:r>
      <w:r w:rsidRPr="002B4EFF">
        <w:rPr>
          <w:rFonts w:cs="Arial"/>
        </w:rPr>
        <w:t xml:space="preserve">da una società figlia </w:t>
      </w:r>
      <w:r w:rsidRPr="00EA106E">
        <w:rPr>
          <w:rFonts w:cs="Arial"/>
        </w:rPr>
        <w:t>alla società madre e da quest’ultima all’altra società figlia</w:t>
      </w:r>
      <w:r>
        <w:rPr>
          <w:rFonts w:cs="Arial"/>
        </w:rPr>
        <w:t>;</w:t>
      </w:r>
    </w:p>
    <w:p w:rsidR="0070161C" w:rsidRPr="00B31075" w:rsidRDefault="0070161C" w:rsidP="00B93A45">
      <w:pPr>
        <w:pStyle w:val="Paragrafoelenco"/>
        <w:numPr>
          <w:ilvl w:val="0"/>
          <w:numId w:val="7"/>
        </w:numPr>
        <w:spacing w:before="100"/>
        <w:ind w:left="284" w:hanging="284"/>
        <w:rPr>
          <w:rFonts w:cs="Arial"/>
          <w:szCs w:val="24"/>
        </w:rPr>
      </w:pPr>
      <w:r>
        <w:rPr>
          <w:rFonts w:cs="Arial"/>
        </w:rPr>
        <w:t>un’eventuale riattivazione degli obiettivi della prima richiesta (tutt’altro che scontata a mente della Commissione speciale energia), che prevedeva la creazione di una nuova entità accessibile a investitori esteri non direttamente attivi sul mercato idroelettrico, non può essere esclusa a priori. Il Consiglio di Stato valuterà evidentemente con l’opportuna attenzione l’evolversi della situazione. I margini di manovra sono comunque limitati, considerato che di fatto non può essere impedito che quote siano vendute a investitori esteri e/o società non attive nel settore.</w:t>
      </w:r>
    </w:p>
    <w:p w:rsidR="0070161C" w:rsidRDefault="0070161C" w:rsidP="0070161C">
      <w:pPr>
        <w:contextualSpacing/>
        <w:rPr>
          <w:rFonts w:cs="Arial"/>
          <w:szCs w:val="24"/>
        </w:rPr>
      </w:pPr>
    </w:p>
    <w:p w:rsidR="0070161C" w:rsidRDefault="0070161C" w:rsidP="0070161C">
      <w:pPr>
        <w:contextualSpacing/>
        <w:rPr>
          <w:rFonts w:cs="Arial"/>
          <w:szCs w:val="24"/>
        </w:rPr>
      </w:pPr>
    </w:p>
    <w:p w:rsidR="0070161C" w:rsidRPr="00075437" w:rsidRDefault="0070161C" w:rsidP="0070161C">
      <w:pPr>
        <w:pStyle w:val="Titolo1"/>
      </w:pPr>
      <w:r>
        <w:t>VALUTAZIONI DELLA COMMISSIONE SPECIALE ENERGIA</w:t>
      </w:r>
    </w:p>
    <w:p w:rsidR="0070161C" w:rsidRDefault="0070161C" w:rsidP="0070161C">
      <w:pPr>
        <w:contextualSpacing/>
        <w:rPr>
          <w:rFonts w:cs="Arial"/>
          <w:szCs w:val="24"/>
        </w:rPr>
      </w:pPr>
      <w:r w:rsidRPr="001D4580">
        <w:rPr>
          <w:rFonts w:cs="Arial"/>
          <w:szCs w:val="24"/>
        </w:rPr>
        <w:t xml:space="preserve">Il 23 ottobre 2018 la Commissione speciale energia ha incontrato il Direttore del Dipartimento </w:t>
      </w:r>
      <w:r>
        <w:rPr>
          <w:rFonts w:cs="Arial"/>
          <w:szCs w:val="24"/>
        </w:rPr>
        <w:t>f</w:t>
      </w:r>
      <w:r w:rsidRPr="001D4580">
        <w:rPr>
          <w:rFonts w:cs="Arial"/>
          <w:szCs w:val="24"/>
        </w:rPr>
        <w:t xml:space="preserve">inanze ed </w:t>
      </w:r>
      <w:r>
        <w:rPr>
          <w:rFonts w:cs="Arial"/>
          <w:szCs w:val="24"/>
        </w:rPr>
        <w:t>e</w:t>
      </w:r>
      <w:r w:rsidRPr="001D4580">
        <w:rPr>
          <w:rFonts w:cs="Arial"/>
          <w:szCs w:val="24"/>
        </w:rPr>
        <w:t>conomia, Christian Vitta, e il Capo dell’</w:t>
      </w:r>
      <w:r>
        <w:rPr>
          <w:rFonts w:cs="Arial"/>
          <w:szCs w:val="24"/>
        </w:rPr>
        <w:t>U</w:t>
      </w:r>
      <w:r w:rsidRPr="001D4580">
        <w:rPr>
          <w:rFonts w:cs="Arial"/>
          <w:szCs w:val="24"/>
        </w:rPr>
        <w:t xml:space="preserve">fficio dell’energia Sandro Pitozzi. Nell’ambito dell’audizione sono stati approfonditi i temi della situazione delle partecipazioni delle officine idroelettriche </w:t>
      </w:r>
      <w:proofErr w:type="spellStart"/>
      <w:r>
        <w:rPr>
          <w:rFonts w:cs="Arial"/>
          <w:szCs w:val="24"/>
        </w:rPr>
        <w:t>O</w:t>
      </w:r>
      <w:r w:rsidRPr="001D4580">
        <w:rPr>
          <w:rFonts w:cs="Arial"/>
          <w:szCs w:val="24"/>
        </w:rPr>
        <w:t>fible</w:t>
      </w:r>
      <w:proofErr w:type="spellEnd"/>
      <w:r w:rsidRPr="001D4580">
        <w:rPr>
          <w:rFonts w:cs="Arial"/>
          <w:szCs w:val="24"/>
        </w:rPr>
        <w:t xml:space="preserve"> e </w:t>
      </w:r>
      <w:proofErr w:type="spellStart"/>
      <w:r>
        <w:rPr>
          <w:rFonts w:cs="Arial"/>
          <w:szCs w:val="24"/>
        </w:rPr>
        <w:t>O</w:t>
      </w:r>
      <w:r w:rsidRPr="001D4580">
        <w:rPr>
          <w:rFonts w:cs="Arial"/>
          <w:szCs w:val="24"/>
        </w:rPr>
        <w:t>fima</w:t>
      </w:r>
      <w:proofErr w:type="spellEnd"/>
      <w:r w:rsidRPr="001D4580">
        <w:rPr>
          <w:rFonts w:cs="Arial"/>
          <w:szCs w:val="24"/>
        </w:rPr>
        <w:t xml:space="preserve">, dei </w:t>
      </w:r>
      <w:r>
        <w:rPr>
          <w:rFonts w:cs="Arial"/>
          <w:szCs w:val="24"/>
        </w:rPr>
        <w:t>C</w:t>
      </w:r>
      <w:r w:rsidRPr="001D4580">
        <w:rPr>
          <w:rFonts w:cs="Arial"/>
          <w:szCs w:val="24"/>
        </w:rPr>
        <w:t xml:space="preserve">ontratti di costituzione delle stesse e la possibile evoluzione legislativa (iniziativa </w:t>
      </w:r>
      <w:proofErr w:type="spellStart"/>
      <w:r w:rsidRPr="001D4580">
        <w:rPr>
          <w:rFonts w:cs="Arial"/>
          <w:szCs w:val="24"/>
        </w:rPr>
        <w:t>Badran</w:t>
      </w:r>
      <w:proofErr w:type="spellEnd"/>
      <w:r w:rsidRPr="001D4580">
        <w:rPr>
          <w:rFonts w:cs="Arial"/>
          <w:szCs w:val="24"/>
        </w:rPr>
        <w:t>).</w:t>
      </w:r>
    </w:p>
    <w:p w:rsidR="0070161C" w:rsidRPr="001D4580" w:rsidRDefault="0070161C" w:rsidP="0070161C">
      <w:pPr>
        <w:contextualSpacing/>
        <w:rPr>
          <w:rFonts w:cs="Arial"/>
          <w:szCs w:val="24"/>
        </w:rPr>
      </w:pPr>
      <w:r>
        <w:rPr>
          <w:rFonts w:cs="Arial"/>
          <w:szCs w:val="24"/>
        </w:rPr>
        <w:lastRenderedPageBreak/>
        <w:t>In particolare, la Commissione speciale energia è stata informata del fatto che attualmente sono in corso delle discussioni tra i diversi partner circa un possibile aggiornamento degli atti costitutivi.</w:t>
      </w:r>
    </w:p>
    <w:p w:rsidR="0070161C" w:rsidRDefault="0070161C" w:rsidP="0070161C">
      <w:pPr>
        <w:contextualSpacing/>
        <w:rPr>
          <w:rFonts w:cs="Arial"/>
          <w:szCs w:val="24"/>
        </w:rPr>
      </w:pPr>
    </w:p>
    <w:p w:rsidR="0070161C" w:rsidRPr="006810AB" w:rsidRDefault="0070161C" w:rsidP="00B93A45">
      <w:pPr>
        <w:pStyle w:val="Titolo3"/>
      </w:pPr>
      <w:r w:rsidRPr="006810AB">
        <w:t xml:space="preserve">Gli </w:t>
      </w:r>
      <w:r>
        <w:t>azionisti</w:t>
      </w:r>
    </w:p>
    <w:p w:rsidR="0070161C" w:rsidRPr="00B93A45" w:rsidRDefault="0070161C" w:rsidP="0070161C">
      <w:pPr>
        <w:contextualSpacing/>
        <w:rPr>
          <w:rFonts w:cs="Arial"/>
          <w:b/>
          <w:sz w:val="23"/>
          <w:szCs w:val="23"/>
          <w:u w:val="single"/>
        </w:rPr>
      </w:pPr>
      <w:proofErr w:type="spellStart"/>
      <w:r w:rsidRPr="00B93A45">
        <w:rPr>
          <w:rFonts w:cs="Arial"/>
          <w:b/>
          <w:sz w:val="23"/>
          <w:szCs w:val="23"/>
          <w:u w:val="single"/>
        </w:rPr>
        <w:t>Ofible</w:t>
      </w:r>
      <w:proofErr w:type="spellEnd"/>
    </w:p>
    <w:p w:rsidR="0070161C" w:rsidRPr="00E73C73" w:rsidRDefault="0070161C" w:rsidP="0070161C">
      <w:pPr>
        <w:contextualSpacing/>
        <w:rPr>
          <w:rFonts w:cs="Arial"/>
          <w:b/>
          <w:color w:val="4F81BD" w:themeColor="accent1"/>
          <w:szCs w:val="24"/>
        </w:rPr>
      </w:pPr>
    </w:p>
    <w:tbl>
      <w:tblPr>
        <w:tblStyle w:val="Grigliatabella"/>
        <w:tblW w:w="0" w:type="auto"/>
        <w:tblLook w:val="04A0" w:firstRow="1" w:lastRow="0" w:firstColumn="1" w:lastColumn="0" w:noHBand="0" w:noVBand="1"/>
      </w:tblPr>
      <w:tblGrid>
        <w:gridCol w:w="3227"/>
        <w:gridCol w:w="6095"/>
      </w:tblGrid>
      <w:tr w:rsidR="0070161C" w:rsidRPr="00E73C73" w:rsidTr="008741EA">
        <w:tc>
          <w:tcPr>
            <w:tcW w:w="3227" w:type="dxa"/>
          </w:tcPr>
          <w:p w:rsidR="0070161C" w:rsidRPr="00E73C73" w:rsidRDefault="0070161C" w:rsidP="008741EA">
            <w:pPr>
              <w:contextualSpacing/>
              <w:jc w:val="both"/>
              <w:rPr>
                <w:rFonts w:cs="Arial"/>
                <w:b/>
                <w:color w:val="4F81BD" w:themeColor="accent1"/>
                <w:sz w:val="20"/>
                <w:szCs w:val="20"/>
              </w:rPr>
            </w:pPr>
            <w:r w:rsidRPr="00E73C73">
              <w:rPr>
                <w:rFonts w:cs="Arial"/>
                <w:b/>
                <w:color w:val="4F81BD" w:themeColor="accent1"/>
                <w:sz w:val="20"/>
                <w:szCs w:val="20"/>
              </w:rPr>
              <w:t>Quota d’azionariato</w:t>
            </w:r>
          </w:p>
        </w:tc>
        <w:tc>
          <w:tcPr>
            <w:tcW w:w="6095" w:type="dxa"/>
          </w:tcPr>
          <w:p w:rsidR="0070161C" w:rsidRPr="00E73C73" w:rsidRDefault="0070161C" w:rsidP="008741EA">
            <w:pPr>
              <w:contextualSpacing/>
              <w:jc w:val="both"/>
              <w:rPr>
                <w:rFonts w:cs="Arial"/>
                <w:b/>
                <w:color w:val="4F81BD" w:themeColor="accent1"/>
                <w:sz w:val="20"/>
                <w:szCs w:val="20"/>
              </w:rPr>
            </w:pPr>
            <w:r w:rsidRPr="00E73C73">
              <w:rPr>
                <w:rFonts w:cs="Arial"/>
                <w:b/>
                <w:color w:val="4F81BD" w:themeColor="accent1"/>
                <w:sz w:val="20"/>
                <w:szCs w:val="20"/>
              </w:rPr>
              <w:t>Azionista</w:t>
            </w:r>
          </w:p>
          <w:p w:rsidR="0070161C" w:rsidRPr="00E73C73" w:rsidRDefault="0070161C" w:rsidP="008741EA">
            <w:pPr>
              <w:contextualSpacing/>
              <w:jc w:val="both"/>
              <w:rPr>
                <w:rFonts w:cs="Arial"/>
                <w:b/>
                <w:color w:val="4F81BD" w:themeColor="accent1"/>
                <w:sz w:val="20"/>
                <w:szCs w:val="20"/>
              </w:rPr>
            </w:pP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20%</w:t>
            </w:r>
          </w:p>
        </w:tc>
        <w:tc>
          <w:tcPr>
            <w:tcW w:w="6095" w:type="dxa"/>
          </w:tcPr>
          <w:p w:rsidR="0070161C" w:rsidRPr="003E4F46" w:rsidRDefault="0070161C" w:rsidP="008741EA">
            <w:pPr>
              <w:contextualSpacing/>
              <w:jc w:val="both"/>
              <w:rPr>
                <w:rFonts w:cs="Arial"/>
                <w:sz w:val="20"/>
                <w:szCs w:val="20"/>
              </w:rPr>
            </w:pPr>
            <w:r>
              <w:rPr>
                <w:rFonts w:cs="Arial"/>
                <w:sz w:val="20"/>
                <w:szCs w:val="20"/>
              </w:rPr>
              <w:t>Cantone Ticino</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17%</w:t>
            </w:r>
          </w:p>
        </w:tc>
        <w:tc>
          <w:tcPr>
            <w:tcW w:w="6095" w:type="dxa"/>
          </w:tcPr>
          <w:p w:rsidR="0070161C" w:rsidRPr="003E4F46" w:rsidRDefault="0070161C" w:rsidP="008741EA">
            <w:pPr>
              <w:contextualSpacing/>
              <w:jc w:val="both"/>
              <w:rPr>
                <w:rFonts w:cs="Arial"/>
                <w:sz w:val="20"/>
                <w:szCs w:val="20"/>
              </w:rPr>
            </w:pPr>
            <w:proofErr w:type="spellStart"/>
            <w:r>
              <w:rPr>
                <w:rFonts w:cs="Arial"/>
                <w:sz w:val="20"/>
                <w:szCs w:val="20"/>
              </w:rPr>
              <w:t>Axpo</w:t>
            </w:r>
            <w:proofErr w:type="spellEnd"/>
            <w:r>
              <w:rPr>
                <w:rFonts w:cs="Arial"/>
                <w:sz w:val="20"/>
                <w:szCs w:val="20"/>
              </w:rPr>
              <w:t xml:space="preserve"> </w:t>
            </w:r>
            <w:proofErr w:type="spellStart"/>
            <w:r>
              <w:rPr>
                <w:rFonts w:cs="Arial"/>
                <w:sz w:val="20"/>
                <w:szCs w:val="20"/>
              </w:rPr>
              <w:t>Power</w:t>
            </w:r>
            <w:proofErr w:type="spellEnd"/>
            <w:r>
              <w:rPr>
                <w:rFonts w:cs="Arial"/>
                <w:sz w:val="20"/>
                <w:szCs w:val="20"/>
              </w:rPr>
              <w:t xml:space="preserve"> AG, Baden</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17%</w:t>
            </w:r>
          </w:p>
        </w:tc>
        <w:tc>
          <w:tcPr>
            <w:tcW w:w="6095" w:type="dxa"/>
          </w:tcPr>
          <w:p w:rsidR="0070161C" w:rsidRPr="003E4F46" w:rsidRDefault="0070161C" w:rsidP="008741EA">
            <w:pPr>
              <w:contextualSpacing/>
              <w:jc w:val="both"/>
              <w:rPr>
                <w:rFonts w:cs="Arial"/>
                <w:sz w:val="20"/>
                <w:szCs w:val="20"/>
              </w:rPr>
            </w:pPr>
            <w:r>
              <w:rPr>
                <w:rFonts w:cs="Arial"/>
                <w:sz w:val="20"/>
                <w:szCs w:val="20"/>
              </w:rPr>
              <w:t>Città di Zurigo</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17%</w:t>
            </w:r>
          </w:p>
        </w:tc>
        <w:tc>
          <w:tcPr>
            <w:tcW w:w="6095" w:type="dxa"/>
          </w:tcPr>
          <w:p w:rsidR="0070161C" w:rsidRPr="003E4F46" w:rsidRDefault="0070161C" w:rsidP="008741EA">
            <w:pPr>
              <w:contextualSpacing/>
              <w:jc w:val="both"/>
              <w:rPr>
                <w:rFonts w:cs="Arial"/>
                <w:sz w:val="20"/>
                <w:szCs w:val="20"/>
              </w:rPr>
            </w:pPr>
            <w:proofErr w:type="spellStart"/>
            <w:r>
              <w:rPr>
                <w:rFonts w:cs="Arial"/>
                <w:sz w:val="20"/>
                <w:szCs w:val="20"/>
              </w:rPr>
              <w:t>Alpiq</w:t>
            </w:r>
            <w:proofErr w:type="spellEnd"/>
            <w:r>
              <w:rPr>
                <w:rFonts w:cs="Arial"/>
                <w:sz w:val="20"/>
                <w:szCs w:val="20"/>
              </w:rPr>
              <w:t xml:space="preserve"> AG, </w:t>
            </w:r>
            <w:proofErr w:type="spellStart"/>
            <w:r>
              <w:rPr>
                <w:rFonts w:cs="Arial"/>
                <w:sz w:val="20"/>
                <w:szCs w:val="20"/>
              </w:rPr>
              <w:t>Olten</w:t>
            </w:r>
            <w:proofErr w:type="spellEnd"/>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12%</w:t>
            </w:r>
          </w:p>
        </w:tc>
        <w:tc>
          <w:tcPr>
            <w:tcW w:w="6095" w:type="dxa"/>
          </w:tcPr>
          <w:p w:rsidR="0070161C" w:rsidRPr="003E4F46" w:rsidRDefault="0070161C" w:rsidP="008741EA">
            <w:pPr>
              <w:contextualSpacing/>
              <w:jc w:val="both"/>
              <w:rPr>
                <w:rFonts w:cs="Arial"/>
                <w:sz w:val="20"/>
                <w:szCs w:val="20"/>
              </w:rPr>
            </w:pPr>
            <w:r>
              <w:rPr>
                <w:rFonts w:cs="Arial"/>
                <w:sz w:val="20"/>
                <w:szCs w:val="20"/>
              </w:rPr>
              <w:t xml:space="preserve">IWB </w:t>
            </w:r>
            <w:proofErr w:type="spellStart"/>
            <w:r>
              <w:rPr>
                <w:rFonts w:cs="Arial"/>
                <w:sz w:val="20"/>
                <w:szCs w:val="20"/>
              </w:rPr>
              <w:t>Industrielle</w:t>
            </w:r>
            <w:proofErr w:type="spellEnd"/>
            <w:r>
              <w:rPr>
                <w:rFonts w:cs="Arial"/>
                <w:sz w:val="20"/>
                <w:szCs w:val="20"/>
              </w:rPr>
              <w:t xml:space="preserve"> </w:t>
            </w:r>
            <w:proofErr w:type="spellStart"/>
            <w:r>
              <w:rPr>
                <w:rFonts w:cs="Arial"/>
                <w:sz w:val="20"/>
                <w:szCs w:val="20"/>
              </w:rPr>
              <w:t>Werke</w:t>
            </w:r>
            <w:proofErr w:type="spellEnd"/>
            <w:r>
              <w:rPr>
                <w:rFonts w:cs="Arial"/>
                <w:sz w:val="20"/>
                <w:szCs w:val="20"/>
              </w:rPr>
              <w:t xml:space="preserve"> Basel, Basilea</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12%</w:t>
            </w:r>
          </w:p>
        </w:tc>
        <w:tc>
          <w:tcPr>
            <w:tcW w:w="6095" w:type="dxa"/>
          </w:tcPr>
          <w:p w:rsidR="0070161C" w:rsidRPr="003E4F46" w:rsidRDefault="0070161C" w:rsidP="008741EA">
            <w:pPr>
              <w:contextualSpacing/>
              <w:jc w:val="both"/>
              <w:rPr>
                <w:rFonts w:cs="Arial"/>
                <w:sz w:val="20"/>
                <w:szCs w:val="20"/>
              </w:rPr>
            </w:pPr>
            <w:r>
              <w:rPr>
                <w:rFonts w:cs="Arial"/>
                <w:sz w:val="20"/>
                <w:szCs w:val="20"/>
              </w:rPr>
              <w:t>BKW Energie AG, Berna</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5%</w:t>
            </w:r>
          </w:p>
        </w:tc>
        <w:tc>
          <w:tcPr>
            <w:tcW w:w="6095" w:type="dxa"/>
          </w:tcPr>
          <w:p w:rsidR="0070161C" w:rsidRPr="003E4F46" w:rsidRDefault="0070161C" w:rsidP="008741EA">
            <w:pPr>
              <w:contextualSpacing/>
              <w:jc w:val="both"/>
              <w:rPr>
                <w:rFonts w:cs="Arial"/>
                <w:sz w:val="20"/>
                <w:szCs w:val="20"/>
              </w:rPr>
            </w:pPr>
            <w:r>
              <w:rPr>
                <w:rFonts w:cs="Arial"/>
                <w:sz w:val="20"/>
                <w:szCs w:val="20"/>
              </w:rPr>
              <w:t xml:space="preserve">Energie </w:t>
            </w:r>
            <w:proofErr w:type="spellStart"/>
            <w:r>
              <w:rPr>
                <w:rFonts w:cs="Arial"/>
                <w:sz w:val="20"/>
                <w:szCs w:val="20"/>
              </w:rPr>
              <w:t>Wasser</w:t>
            </w:r>
            <w:proofErr w:type="spellEnd"/>
            <w:r>
              <w:rPr>
                <w:rFonts w:cs="Arial"/>
                <w:sz w:val="20"/>
                <w:szCs w:val="20"/>
              </w:rPr>
              <w:t xml:space="preserve"> Bern, Berna</w:t>
            </w:r>
          </w:p>
        </w:tc>
      </w:tr>
    </w:tbl>
    <w:p w:rsidR="0070161C" w:rsidRPr="00B93A45" w:rsidRDefault="0070161C" w:rsidP="0070161C">
      <w:pPr>
        <w:contextualSpacing/>
        <w:rPr>
          <w:rFonts w:cs="Arial"/>
          <w:sz w:val="28"/>
          <w:szCs w:val="28"/>
        </w:rPr>
      </w:pPr>
    </w:p>
    <w:p w:rsidR="0070161C" w:rsidRPr="00B93A45" w:rsidRDefault="0070161C" w:rsidP="0070161C">
      <w:pPr>
        <w:contextualSpacing/>
        <w:rPr>
          <w:rFonts w:cs="Arial"/>
          <w:b/>
          <w:sz w:val="23"/>
          <w:szCs w:val="23"/>
          <w:u w:val="single"/>
        </w:rPr>
      </w:pPr>
      <w:proofErr w:type="spellStart"/>
      <w:r w:rsidRPr="00B93A45">
        <w:rPr>
          <w:rFonts w:cs="Arial"/>
          <w:b/>
          <w:sz w:val="23"/>
          <w:szCs w:val="23"/>
          <w:u w:val="single"/>
        </w:rPr>
        <w:t>Ofima</w:t>
      </w:r>
      <w:proofErr w:type="spellEnd"/>
    </w:p>
    <w:p w:rsidR="0070161C" w:rsidRPr="00B93A45" w:rsidRDefault="0070161C" w:rsidP="0070161C">
      <w:pPr>
        <w:contextualSpacing/>
        <w:rPr>
          <w:rFonts w:cs="Arial"/>
          <w:b/>
          <w:color w:val="4F81BD" w:themeColor="accent1"/>
          <w:sz w:val="16"/>
          <w:szCs w:val="16"/>
        </w:rPr>
      </w:pPr>
    </w:p>
    <w:tbl>
      <w:tblPr>
        <w:tblStyle w:val="Grigliatabella"/>
        <w:tblW w:w="0" w:type="auto"/>
        <w:tblLook w:val="04A0" w:firstRow="1" w:lastRow="0" w:firstColumn="1" w:lastColumn="0" w:noHBand="0" w:noVBand="1"/>
      </w:tblPr>
      <w:tblGrid>
        <w:gridCol w:w="3227"/>
        <w:gridCol w:w="6095"/>
      </w:tblGrid>
      <w:tr w:rsidR="0070161C" w:rsidRPr="00E73C73" w:rsidTr="008741EA">
        <w:tc>
          <w:tcPr>
            <w:tcW w:w="3227" w:type="dxa"/>
          </w:tcPr>
          <w:p w:rsidR="0070161C" w:rsidRPr="00E73C73" w:rsidRDefault="0070161C" w:rsidP="008741EA">
            <w:pPr>
              <w:contextualSpacing/>
              <w:jc w:val="both"/>
              <w:rPr>
                <w:rFonts w:cs="Arial"/>
                <w:b/>
                <w:color w:val="4F81BD" w:themeColor="accent1"/>
                <w:sz w:val="20"/>
                <w:szCs w:val="20"/>
              </w:rPr>
            </w:pPr>
            <w:r w:rsidRPr="00E73C73">
              <w:rPr>
                <w:rFonts w:cs="Arial"/>
                <w:b/>
                <w:color w:val="4F81BD" w:themeColor="accent1"/>
                <w:sz w:val="20"/>
                <w:szCs w:val="20"/>
              </w:rPr>
              <w:t>Quota d’azionariato</w:t>
            </w:r>
          </w:p>
        </w:tc>
        <w:tc>
          <w:tcPr>
            <w:tcW w:w="6095" w:type="dxa"/>
          </w:tcPr>
          <w:p w:rsidR="0070161C" w:rsidRPr="00E73C73" w:rsidRDefault="0070161C" w:rsidP="008741EA">
            <w:pPr>
              <w:contextualSpacing/>
              <w:jc w:val="both"/>
              <w:rPr>
                <w:rFonts w:cs="Arial"/>
                <w:b/>
                <w:color w:val="4F81BD" w:themeColor="accent1"/>
                <w:sz w:val="20"/>
                <w:szCs w:val="20"/>
              </w:rPr>
            </w:pPr>
            <w:r w:rsidRPr="00E73C73">
              <w:rPr>
                <w:rFonts w:cs="Arial"/>
                <w:b/>
                <w:color w:val="4F81BD" w:themeColor="accent1"/>
                <w:sz w:val="20"/>
                <w:szCs w:val="20"/>
              </w:rPr>
              <w:t>Azionista</w:t>
            </w:r>
          </w:p>
          <w:p w:rsidR="0070161C" w:rsidRPr="00E73C73" w:rsidRDefault="0070161C" w:rsidP="008741EA">
            <w:pPr>
              <w:contextualSpacing/>
              <w:jc w:val="both"/>
              <w:rPr>
                <w:rFonts w:cs="Arial"/>
                <w:b/>
                <w:color w:val="4F81BD" w:themeColor="accent1"/>
                <w:sz w:val="20"/>
                <w:szCs w:val="20"/>
              </w:rPr>
            </w:pP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30%</w:t>
            </w:r>
          </w:p>
        </w:tc>
        <w:tc>
          <w:tcPr>
            <w:tcW w:w="6095" w:type="dxa"/>
          </w:tcPr>
          <w:p w:rsidR="0070161C" w:rsidRPr="003E4F46" w:rsidRDefault="0070161C" w:rsidP="008741EA">
            <w:pPr>
              <w:contextualSpacing/>
              <w:jc w:val="both"/>
              <w:rPr>
                <w:rFonts w:cs="Arial"/>
                <w:sz w:val="20"/>
                <w:szCs w:val="20"/>
              </w:rPr>
            </w:pPr>
            <w:proofErr w:type="spellStart"/>
            <w:r>
              <w:rPr>
                <w:rFonts w:cs="Arial"/>
                <w:sz w:val="20"/>
                <w:szCs w:val="20"/>
              </w:rPr>
              <w:t>Axpo</w:t>
            </w:r>
            <w:proofErr w:type="spellEnd"/>
            <w:r>
              <w:rPr>
                <w:rFonts w:cs="Arial"/>
                <w:sz w:val="20"/>
                <w:szCs w:val="20"/>
              </w:rPr>
              <w:t xml:space="preserve"> </w:t>
            </w:r>
            <w:proofErr w:type="spellStart"/>
            <w:r>
              <w:rPr>
                <w:rFonts w:cs="Arial"/>
                <w:sz w:val="20"/>
                <w:szCs w:val="20"/>
              </w:rPr>
              <w:t>Power</w:t>
            </w:r>
            <w:proofErr w:type="spellEnd"/>
            <w:r>
              <w:rPr>
                <w:rFonts w:cs="Arial"/>
                <w:sz w:val="20"/>
                <w:szCs w:val="20"/>
              </w:rPr>
              <w:t xml:space="preserve"> AG, Baden</w:t>
            </w:r>
          </w:p>
        </w:tc>
      </w:tr>
      <w:tr w:rsidR="0070161C" w:rsidTr="008741EA">
        <w:tc>
          <w:tcPr>
            <w:tcW w:w="3227" w:type="dxa"/>
          </w:tcPr>
          <w:p w:rsidR="0070161C" w:rsidRDefault="0070161C" w:rsidP="008741EA">
            <w:pPr>
              <w:contextualSpacing/>
              <w:jc w:val="both"/>
              <w:rPr>
                <w:rFonts w:cs="Arial"/>
                <w:sz w:val="20"/>
                <w:szCs w:val="20"/>
              </w:rPr>
            </w:pPr>
            <w:r>
              <w:rPr>
                <w:rFonts w:cs="Arial"/>
                <w:sz w:val="20"/>
                <w:szCs w:val="20"/>
              </w:rPr>
              <w:t>20%</w:t>
            </w:r>
          </w:p>
        </w:tc>
        <w:tc>
          <w:tcPr>
            <w:tcW w:w="6095" w:type="dxa"/>
          </w:tcPr>
          <w:p w:rsidR="0070161C" w:rsidRDefault="0070161C" w:rsidP="008741EA">
            <w:pPr>
              <w:contextualSpacing/>
              <w:jc w:val="both"/>
              <w:rPr>
                <w:rFonts w:cs="Arial"/>
                <w:sz w:val="20"/>
                <w:szCs w:val="20"/>
              </w:rPr>
            </w:pPr>
            <w:r>
              <w:rPr>
                <w:rFonts w:cs="Arial"/>
                <w:sz w:val="20"/>
                <w:szCs w:val="20"/>
              </w:rPr>
              <w:t>Cantone Ticino</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12,5%</w:t>
            </w:r>
          </w:p>
        </w:tc>
        <w:tc>
          <w:tcPr>
            <w:tcW w:w="6095" w:type="dxa"/>
          </w:tcPr>
          <w:p w:rsidR="0070161C" w:rsidRPr="003E4F46" w:rsidRDefault="0070161C" w:rsidP="008741EA">
            <w:pPr>
              <w:contextualSpacing/>
              <w:jc w:val="both"/>
              <w:rPr>
                <w:rFonts w:cs="Arial"/>
                <w:sz w:val="20"/>
                <w:szCs w:val="20"/>
              </w:rPr>
            </w:pPr>
            <w:proofErr w:type="spellStart"/>
            <w:r>
              <w:rPr>
                <w:rFonts w:cs="Arial"/>
                <w:sz w:val="20"/>
                <w:szCs w:val="20"/>
              </w:rPr>
              <w:t>Alpiq</w:t>
            </w:r>
            <w:proofErr w:type="spellEnd"/>
            <w:r>
              <w:rPr>
                <w:rFonts w:cs="Arial"/>
                <w:sz w:val="20"/>
                <w:szCs w:val="20"/>
              </w:rPr>
              <w:t xml:space="preserve"> AG, </w:t>
            </w:r>
            <w:proofErr w:type="spellStart"/>
            <w:r>
              <w:rPr>
                <w:rFonts w:cs="Arial"/>
                <w:sz w:val="20"/>
                <w:szCs w:val="20"/>
              </w:rPr>
              <w:t>Olten</w:t>
            </w:r>
            <w:proofErr w:type="spellEnd"/>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12,5%</w:t>
            </w:r>
          </w:p>
        </w:tc>
        <w:tc>
          <w:tcPr>
            <w:tcW w:w="6095" w:type="dxa"/>
          </w:tcPr>
          <w:p w:rsidR="0070161C" w:rsidRPr="003E4F46" w:rsidRDefault="0070161C" w:rsidP="008741EA">
            <w:pPr>
              <w:contextualSpacing/>
              <w:jc w:val="both"/>
              <w:rPr>
                <w:rFonts w:cs="Arial"/>
                <w:sz w:val="20"/>
                <w:szCs w:val="20"/>
              </w:rPr>
            </w:pPr>
            <w:r>
              <w:rPr>
                <w:rFonts w:cs="Arial"/>
                <w:sz w:val="20"/>
                <w:szCs w:val="20"/>
              </w:rPr>
              <w:t xml:space="preserve">IWB </w:t>
            </w:r>
            <w:proofErr w:type="spellStart"/>
            <w:r>
              <w:rPr>
                <w:rFonts w:cs="Arial"/>
                <w:sz w:val="20"/>
                <w:szCs w:val="20"/>
              </w:rPr>
              <w:t>Industrielle</w:t>
            </w:r>
            <w:proofErr w:type="spellEnd"/>
            <w:r>
              <w:rPr>
                <w:rFonts w:cs="Arial"/>
                <w:sz w:val="20"/>
                <w:szCs w:val="20"/>
              </w:rPr>
              <w:t xml:space="preserve"> </w:t>
            </w:r>
            <w:proofErr w:type="spellStart"/>
            <w:r>
              <w:rPr>
                <w:rFonts w:cs="Arial"/>
                <w:sz w:val="20"/>
                <w:szCs w:val="20"/>
              </w:rPr>
              <w:t>Werke</w:t>
            </w:r>
            <w:proofErr w:type="spellEnd"/>
            <w:r>
              <w:rPr>
                <w:rFonts w:cs="Arial"/>
                <w:sz w:val="20"/>
                <w:szCs w:val="20"/>
              </w:rPr>
              <w:t xml:space="preserve"> Basel, Basilea</w:t>
            </w:r>
          </w:p>
        </w:tc>
      </w:tr>
      <w:tr w:rsidR="0070161C" w:rsidTr="008741EA">
        <w:tc>
          <w:tcPr>
            <w:tcW w:w="3227" w:type="dxa"/>
          </w:tcPr>
          <w:p w:rsidR="0070161C" w:rsidRDefault="0070161C" w:rsidP="008741EA">
            <w:pPr>
              <w:contextualSpacing/>
              <w:jc w:val="both"/>
              <w:rPr>
                <w:rFonts w:cs="Arial"/>
                <w:sz w:val="20"/>
                <w:szCs w:val="20"/>
              </w:rPr>
            </w:pPr>
            <w:r>
              <w:rPr>
                <w:rFonts w:cs="Arial"/>
                <w:sz w:val="20"/>
                <w:szCs w:val="20"/>
              </w:rPr>
              <w:t>10%</w:t>
            </w:r>
          </w:p>
        </w:tc>
        <w:tc>
          <w:tcPr>
            <w:tcW w:w="6095" w:type="dxa"/>
          </w:tcPr>
          <w:p w:rsidR="0070161C" w:rsidRDefault="0070161C" w:rsidP="008741EA">
            <w:pPr>
              <w:contextualSpacing/>
              <w:jc w:val="both"/>
              <w:rPr>
                <w:rFonts w:cs="Arial"/>
                <w:sz w:val="20"/>
                <w:szCs w:val="20"/>
              </w:rPr>
            </w:pPr>
            <w:r>
              <w:rPr>
                <w:rFonts w:cs="Arial"/>
                <w:sz w:val="20"/>
                <w:szCs w:val="20"/>
              </w:rPr>
              <w:t>Città di Zurigo</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10%</w:t>
            </w:r>
          </w:p>
        </w:tc>
        <w:tc>
          <w:tcPr>
            <w:tcW w:w="6095" w:type="dxa"/>
          </w:tcPr>
          <w:p w:rsidR="0070161C" w:rsidRPr="003E4F46" w:rsidRDefault="0070161C" w:rsidP="008741EA">
            <w:pPr>
              <w:contextualSpacing/>
              <w:jc w:val="both"/>
              <w:rPr>
                <w:rFonts w:cs="Arial"/>
                <w:sz w:val="20"/>
                <w:szCs w:val="20"/>
              </w:rPr>
            </w:pPr>
            <w:r>
              <w:rPr>
                <w:rFonts w:cs="Arial"/>
                <w:sz w:val="20"/>
                <w:szCs w:val="20"/>
              </w:rPr>
              <w:t>BKW Energie AG, Berna</w:t>
            </w:r>
          </w:p>
        </w:tc>
      </w:tr>
      <w:tr w:rsidR="0070161C" w:rsidTr="008741EA">
        <w:tc>
          <w:tcPr>
            <w:tcW w:w="3227" w:type="dxa"/>
          </w:tcPr>
          <w:p w:rsidR="0070161C" w:rsidRPr="003E4F46" w:rsidRDefault="0070161C" w:rsidP="008741EA">
            <w:pPr>
              <w:contextualSpacing/>
              <w:jc w:val="both"/>
              <w:rPr>
                <w:rFonts w:cs="Arial"/>
                <w:sz w:val="20"/>
                <w:szCs w:val="20"/>
              </w:rPr>
            </w:pPr>
            <w:r>
              <w:rPr>
                <w:rFonts w:cs="Arial"/>
                <w:sz w:val="20"/>
                <w:szCs w:val="20"/>
              </w:rPr>
              <w:t>5%</w:t>
            </w:r>
          </w:p>
        </w:tc>
        <w:tc>
          <w:tcPr>
            <w:tcW w:w="6095" w:type="dxa"/>
          </w:tcPr>
          <w:p w:rsidR="0070161C" w:rsidRPr="003E4F46" w:rsidRDefault="0070161C" w:rsidP="008741EA">
            <w:pPr>
              <w:contextualSpacing/>
              <w:jc w:val="both"/>
              <w:rPr>
                <w:rFonts w:cs="Arial"/>
                <w:sz w:val="20"/>
                <w:szCs w:val="20"/>
              </w:rPr>
            </w:pPr>
            <w:r>
              <w:rPr>
                <w:rFonts w:cs="Arial"/>
                <w:sz w:val="20"/>
                <w:szCs w:val="20"/>
              </w:rPr>
              <w:t xml:space="preserve">Energie </w:t>
            </w:r>
            <w:proofErr w:type="spellStart"/>
            <w:r>
              <w:rPr>
                <w:rFonts w:cs="Arial"/>
                <w:sz w:val="20"/>
                <w:szCs w:val="20"/>
              </w:rPr>
              <w:t>Wasser</w:t>
            </w:r>
            <w:proofErr w:type="spellEnd"/>
            <w:r>
              <w:rPr>
                <w:rFonts w:cs="Arial"/>
                <w:sz w:val="20"/>
                <w:szCs w:val="20"/>
              </w:rPr>
              <w:t xml:space="preserve"> Bern, Berna</w:t>
            </w:r>
          </w:p>
        </w:tc>
      </w:tr>
    </w:tbl>
    <w:p w:rsidR="0070161C" w:rsidRPr="00B93A45" w:rsidRDefault="0070161C" w:rsidP="0070161C">
      <w:pPr>
        <w:contextualSpacing/>
        <w:rPr>
          <w:rFonts w:cs="Arial"/>
          <w:sz w:val="28"/>
          <w:szCs w:val="28"/>
        </w:rPr>
      </w:pPr>
    </w:p>
    <w:p w:rsidR="0070161C" w:rsidRDefault="0070161C" w:rsidP="0070161C">
      <w:pPr>
        <w:contextualSpacing/>
        <w:rPr>
          <w:rFonts w:cs="Arial"/>
          <w:szCs w:val="24"/>
        </w:rPr>
      </w:pPr>
      <w:r>
        <w:rPr>
          <w:rFonts w:cs="Arial"/>
          <w:szCs w:val="24"/>
        </w:rPr>
        <w:t xml:space="preserve">Attualmente l’azionariato delle </w:t>
      </w:r>
      <w:proofErr w:type="spellStart"/>
      <w:r>
        <w:rPr>
          <w:rFonts w:cs="Arial"/>
          <w:szCs w:val="24"/>
        </w:rPr>
        <w:t>Ofible</w:t>
      </w:r>
      <w:proofErr w:type="spellEnd"/>
      <w:r>
        <w:rPr>
          <w:rFonts w:cs="Arial"/>
          <w:szCs w:val="24"/>
        </w:rPr>
        <w:t xml:space="preserve"> e </w:t>
      </w:r>
      <w:proofErr w:type="spellStart"/>
      <w:r>
        <w:rPr>
          <w:rFonts w:cs="Arial"/>
          <w:szCs w:val="24"/>
        </w:rPr>
        <w:t>Ofima</w:t>
      </w:r>
      <w:proofErr w:type="spellEnd"/>
      <w:r>
        <w:rPr>
          <w:rFonts w:cs="Arial"/>
          <w:szCs w:val="24"/>
        </w:rPr>
        <w:t xml:space="preserve"> è composto da società o enti svizzeri direttamente o indirettamente (Cantone Ticino e Città di Zurigo) legati all’economia elettrica. </w:t>
      </w:r>
    </w:p>
    <w:p w:rsidR="0070161C" w:rsidRPr="00B93A45" w:rsidRDefault="0070161C" w:rsidP="0070161C">
      <w:pPr>
        <w:contextualSpacing/>
        <w:rPr>
          <w:rFonts w:cs="Arial"/>
          <w:sz w:val="18"/>
          <w:szCs w:val="18"/>
        </w:rPr>
      </w:pPr>
    </w:p>
    <w:p w:rsidR="0070161C" w:rsidRDefault="0070161C" w:rsidP="0070161C">
      <w:pPr>
        <w:contextualSpacing/>
        <w:rPr>
          <w:rFonts w:cs="Arial"/>
          <w:szCs w:val="24"/>
        </w:rPr>
      </w:pPr>
      <w:r>
        <w:rPr>
          <w:rFonts w:cs="Arial"/>
          <w:szCs w:val="24"/>
        </w:rPr>
        <w:t>A mente della Commissione speciale energia un’apertura dell’azionariato a terzi (che non è comunque oggetto del messaggio in questione), siano essi lontani dal mercato dell’economia elettrica o esteri, dovrebbe essere evitata.</w:t>
      </w:r>
    </w:p>
    <w:p w:rsidR="0070161C" w:rsidRDefault="0070161C" w:rsidP="0070161C">
      <w:pPr>
        <w:contextualSpacing/>
        <w:rPr>
          <w:rFonts w:cs="Arial"/>
          <w:szCs w:val="24"/>
        </w:rPr>
      </w:pPr>
      <w:r>
        <w:rPr>
          <w:rFonts w:cs="Arial"/>
          <w:szCs w:val="24"/>
        </w:rPr>
        <w:t xml:space="preserve">Ciò permetterebbe di garantire un impegno da parte degli azionisti nel salvaguardare prioritariamente gli interessi (economici, ma anche in termini di forza lavoro indigena) delle officine idroelettriche e non perseguire meri obiettivi finanziari. </w:t>
      </w:r>
    </w:p>
    <w:p w:rsidR="0070161C" w:rsidRDefault="0070161C" w:rsidP="0070161C">
      <w:pPr>
        <w:contextualSpacing/>
        <w:rPr>
          <w:rFonts w:cs="Arial"/>
          <w:szCs w:val="24"/>
        </w:rPr>
      </w:pPr>
    </w:p>
    <w:p w:rsidR="0070161C" w:rsidRPr="006810AB" w:rsidRDefault="0070161C" w:rsidP="00B93A45">
      <w:pPr>
        <w:pStyle w:val="Titolo3"/>
      </w:pPr>
      <w:r>
        <w:t>I Contratti di costituzione</w:t>
      </w:r>
    </w:p>
    <w:p w:rsidR="0070161C" w:rsidRDefault="0070161C" w:rsidP="0070161C">
      <w:pPr>
        <w:contextualSpacing/>
        <w:rPr>
          <w:rFonts w:cs="Arial"/>
          <w:szCs w:val="24"/>
        </w:rPr>
      </w:pPr>
      <w:r>
        <w:rPr>
          <w:rFonts w:cs="Arial"/>
          <w:szCs w:val="24"/>
        </w:rPr>
        <w:t>Non essendo a conoscenza delle considerazioni originarie alla base dei Contratti di costituzione delle Officine idroelettriche non è semplice, per la Commissione speciale energia, farsi un’idea completa del quadro della situazione e degli accordi presi.</w:t>
      </w:r>
    </w:p>
    <w:p w:rsidR="0070161C" w:rsidRPr="00B93A45" w:rsidRDefault="0070161C" w:rsidP="0070161C">
      <w:pPr>
        <w:contextualSpacing/>
        <w:rPr>
          <w:rFonts w:cs="Arial"/>
          <w:sz w:val="18"/>
          <w:szCs w:val="18"/>
        </w:rPr>
      </w:pPr>
    </w:p>
    <w:p w:rsidR="0070161C" w:rsidRDefault="0070161C" w:rsidP="0070161C">
      <w:pPr>
        <w:contextualSpacing/>
        <w:rPr>
          <w:rFonts w:cs="Arial"/>
          <w:szCs w:val="24"/>
        </w:rPr>
      </w:pPr>
      <w:r>
        <w:rPr>
          <w:rFonts w:cs="Arial"/>
          <w:szCs w:val="24"/>
        </w:rPr>
        <w:t xml:space="preserve">Appare tuttavia quantomeno singolare che i Contratti di costituzione prevedano la possibilità di passaggio di azioni tra società madre a società figlia, ma non quello tra società sorelle. Aspetto questo che, come sottolineato dal Consiglio di Stato, può facilmente essere aggirato </w:t>
      </w:r>
      <w:r w:rsidRPr="001C7645">
        <w:rPr>
          <w:rFonts w:cs="Arial"/>
        </w:rPr>
        <w:t xml:space="preserve">trasferendo prima le azioni </w:t>
      </w:r>
      <w:r w:rsidRPr="002B4EFF">
        <w:rPr>
          <w:rFonts w:cs="Arial"/>
        </w:rPr>
        <w:t xml:space="preserve">da una società figlia </w:t>
      </w:r>
      <w:r w:rsidRPr="00EA106E">
        <w:rPr>
          <w:rFonts w:cs="Arial"/>
        </w:rPr>
        <w:t>alla società madre e da quest’ultima all’altra società figlia</w:t>
      </w:r>
      <w:r>
        <w:rPr>
          <w:rFonts w:cs="Arial"/>
          <w:szCs w:val="24"/>
        </w:rPr>
        <w:t>.</w:t>
      </w:r>
    </w:p>
    <w:p w:rsidR="0070161C" w:rsidRPr="00B93A45" w:rsidRDefault="0070161C" w:rsidP="0070161C">
      <w:pPr>
        <w:contextualSpacing/>
        <w:rPr>
          <w:rFonts w:cs="Arial"/>
          <w:sz w:val="18"/>
          <w:szCs w:val="18"/>
        </w:rPr>
      </w:pPr>
    </w:p>
    <w:p w:rsidR="0070161C" w:rsidRDefault="0070161C" w:rsidP="0070161C">
      <w:pPr>
        <w:contextualSpacing/>
        <w:rPr>
          <w:rFonts w:cs="Arial"/>
          <w:szCs w:val="24"/>
        </w:rPr>
      </w:pPr>
      <w:r>
        <w:rPr>
          <w:rFonts w:cs="Arial"/>
          <w:szCs w:val="24"/>
        </w:rPr>
        <w:lastRenderedPageBreak/>
        <w:t xml:space="preserve">Va sottolineato inoltre che i Contratti di costituzione definiscono che l’approvazione della vendita di azioni </w:t>
      </w:r>
      <w:r w:rsidRPr="006810AB">
        <w:rPr>
          <w:rFonts w:cs="Arial"/>
          <w:i/>
          <w:szCs w:val="24"/>
        </w:rPr>
        <w:t>può</w:t>
      </w:r>
      <w:r>
        <w:rPr>
          <w:rFonts w:cs="Arial"/>
          <w:szCs w:val="24"/>
        </w:rPr>
        <w:t xml:space="preserve"> (ma non deve) essere negata se con l’acquisto si perseguono scopi estranei all’economia elettrica.</w:t>
      </w:r>
    </w:p>
    <w:p w:rsidR="0070161C" w:rsidRPr="00B93A45" w:rsidRDefault="0070161C" w:rsidP="0070161C">
      <w:pPr>
        <w:contextualSpacing/>
        <w:rPr>
          <w:rFonts w:cs="Arial"/>
          <w:sz w:val="18"/>
          <w:szCs w:val="18"/>
        </w:rPr>
      </w:pPr>
    </w:p>
    <w:p w:rsidR="0070161C" w:rsidRDefault="0070161C" w:rsidP="0070161C">
      <w:pPr>
        <w:contextualSpacing/>
        <w:rPr>
          <w:rFonts w:cs="Arial"/>
          <w:szCs w:val="24"/>
        </w:rPr>
      </w:pPr>
      <w:r>
        <w:rPr>
          <w:rFonts w:cs="Arial"/>
          <w:szCs w:val="24"/>
        </w:rPr>
        <w:t>Da ultimo, nei Contratti di costituzione non si fa menzione di una potenziale vendita ad investitori stranieri.</w:t>
      </w:r>
    </w:p>
    <w:p w:rsidR="0070161C" w:rsidRDefault="0070161C" w:rsidP="0070161C">
      <w:pPr>
        <w:contextualSpacing/>
        <w:rPr>
          <w:rFonts w:cs="Arial"/>
          <w:szCs w:val="24"/>
        </w:rPr>
      </w:pPr>
    </w:p>
    <w:p w:rsidR="0070161C" w:rsidRPr="00B93A45" w:rsidRDefault="0070161C" w:rsidP="00B93A45">
      <w:pPr>
        <w:pStyle w:val="Titolo3"/>
      </w:pPr>
      <w:r w:rsidRPr="00B93A45">
        <w:t>Evoluzione legislativa federale</w:t>
      </w:r>
    </w:p>
    <w:p w:rsidR="0070161C" w:rsidRDefault="0070161C" w:rsidP="0070161C">
      <w:pPr>
        <w:contextualSpacing/>
        <w:rPr>
          <w:rFonts w:cs="Arial"/>
          <w:szCs w:val="24"/>
        </w:rPr>
      </w:pPr>
      <w:r w:rsidRPr="00DE5AB8">
        <w:rPr>
          <w:rFonts w:cs="Arial"/>
          <w:szCs w:val="24"/>
        </w:rPr>
        <w:t xml:space="preserve">L’iniziativa </w:t>
      </w:r>
      <w:proofErr w:type="spellStart"/>
      <w:r w:rsidRPr="00DE5AB8">
        <w:rPr>
          <w:rFonts w:cs="Arial"/>
          <w:szCs w:val="24"/>
        </w:rPr>
        <w:t>Badran</w:t>
      </w:r>
      <w:proofErr w:type="spellEnd"/>
      <w:r w:rsidRPr="00DE5AB8">
        <w:rPr>
          <w:rFonts w:cs="Arial"/>
          <w:szCs w:val="24"/>
        </w:rPr>
        <w:t xml:space="preserve"> chiede che le infrastrutture strategiche del settore energetico, segnatamente le centrali idroelettriche, le reti di trasporto dell’energia elettrica e le reti del gas, siano assoggettate alla legge federale sull’acquisto di fondi da parte di persone all’estero (</w:t>
      </w:r>
      <w:proofErr w:type="spellStart"/>
      <w:r w:rsidRPr="00DE5AB8">
        <w:rPr>
          <w:rFonts w:cs="Arial"/>
          <w:szCs w:val="24"/>
        </w:rPr>
        <w:t>Lex</w:t>
      </w:r>
      <w:proofErr w:type="spellEnd"/>
      <w:r w:rsidRPr="00DE5AB8">
        <w:rPr>
          <w:rFonts w:cs="Arial"/>
          <w:szCs w:val="24"/>
        </w:rPr>
        <w:t xml:space="preserve"> Koller). L’iniziativa mira così a mantenere sotto controllo l’acquisto da parte di imprese o Stati stranieri di queste infrastrutture d’importanza vitale per il buon funzionamento del Paese</w:t>
      </w:r>
      <w:r>
        <w:rPr>
          <w:rFonts w:cs="Arial"/>
          <w:szCs w:val="24"/>
        </w:rPr>
        <w:t>.</w:t>
      </w:r>
    </w:p>
    <w:p w:rsidR="0070161C" w:rsidRDefault="0070161C" w:rsidP="0070161C">
      <w:pPr>
        <w:contextualSpacing/>
        <w:rPr>
          <w:rFonts w:cs="Arial"/>
          <w:szCs w:val="24"/>
        </w:rPr>
      </w:pPr>
      <w:r>
        <w:rPr>
          <w:rFonts w:cs="Arial"/>
          <w:szCs w:val="24"/>
        </w:rPr>
        <w:t>Le Commissioni dell’ambiente, della pianificazione del territorio e dell’energia dei due rami del Parlamento nazionale hanno dato seguito all’iniziativa e il legislatore federale è chiamato a dibattere il tema nell’ambito dell’applicazione nella Strategia Energetica 2050.</w:t>
      </w:r>
    </w:p>
    <w:p w:rsidR="0070161C" w:rsidRPr="00B93A45" w:rsidRDefault="0070161C" w:rsidP="0070161C">
      <w:pPr>
        <w:contextualSpacing/>
        <w:rPr>
          <w:rFonts w:cs="Arial"/>
          <w:sz w:val="18"/>
          <w:szCs w:val="18"/>
        </w:rPr>
      </w:pPr>
    </w:p>
    <w:p w:rsidR="0070161C" w:rsidRDefault="0070161C" w:rsidP="0070161C">
      <w:pPr>
        <w:contextualSpacing/>
        <w:rPr>
          <w:rFonts w:cs="Arial"/>
          <w:szCs w:val="24"/>
        </w:rPr>
      </w:pPr>
      <w:r>
        <w:rPr>
          <w:rFonts w:cs="Arial"/>
          <w:szCs w:val="24"/>
        </w:rPr>
        <w:t>L’auspicio è che questa modifica legislativa possa essere introdotta nei prossimi anni affinché il mondo della produzione di energia nazionale, e in particolare quello delle centrali idroelettriche, possa essere tutelato da interventi di terzi con meri interessi finanziari, a discapito della manodopera locale.</w:t>
      </w:r>
    </w:p>
    <w:p w:rsidR="0070161C" w:rsidRPr="00DE5AB8" w:rsidRDefault="0070161C" w:rsidP="0070161C">
      <w:pPr>
        <w:contextualSpacing/>
        <w:rPr>
          <w:rFonts w:cs="Arial"/>
          <w:szCs w:val="24"/>
        </w:rPr>
      </w:pPr>
    </w:p>
    <w:p w:rsidR="0070161C" w:rsidRDefault="0070161C" w:rsidP="0070161C">
      <w:pPr>
        <w:contextualSpacing/>
        <w:rPr>
          <w:rFonts w:cs="Arial"/>
          <w:szCs w:val="24"/>
        </w:rPr>
      </w:pPr>
    </w:p>
    <w:p w:rsidR="0070161C" w:rsidRPr="00075437" w:rsidRDefault="0070161C" w:rsidP="0070161C">
      <w:pPr>
        <w:pStyle w:val="Titolo1"/>
      </w:pPr>
      <w:r>
        <w:t>CONCLUSIONI</w:t>
      </w:r>
    </w:p>
    <w:p w:rsidR="0070161C" w:rsidRDefault="0070161C" w:rsidP="0070161C">
      <w:pPr>
        <w:contextualSpacing/>
        <w:rPr>
          <w:rFonts w:cs="Arial"/>
          <w:szCs w:val="24"/>
        </w:rPr>
      </w:pPr>
      <w:r>
        <w:rPr>
          <w:rFonts w:cs="Arial"/>
          <w:szCs w:val="24"/>
        </w:rPr>
        <w:t xml:space="preserve">Sulla base delle considerazioni precedenti, la Commissione speciale energia apprezza gli sforzi del Consiglio di Stato a tutela degli interessi del Cantone nelle officine idroelettriche e sostiene le conclusioni del Messaggio n. 7541 del Consiglio di Stato che chiedono di vincolare l’approvazione del trasferimento di azioni da </w:t>
      </w:r>
      <w:proofErr w:type="spellStart"/>
      <w:r>
        <w:rPr>
          <w:rFonts w:cs="Arial"/>
          <w:szCs w:val="24"/>
        </w:rPr>
        <w:t>Alpiq</w:t>
      </w:r>
      <w:proofErr w:type="spellEnd"/>
      <w:r>
        <w:rPr>
          <w:rFonts w:cs="Arial"/>
          <w:szCs w:val="24"/>
        </w:rPr>
        <w:t xml:space="preserve"> AG ad </w:t>
      </w:r>
      <w:proofErr w:type="spellStart"/>
      <w:r>
        <w:rPr>
          <w:rFonts w:cs="Arial"/>
          <w:szCs w:val="24"/>
        </w:rPr>
        <w:t>Alpiq</w:t>
      </w:r>
      <w:proofErr w:type="spellEnd"/>
      <w:r>
        <w:rPr>
          <w:rFonts w:cs="Arial"/>
          <w:szCs w:val="24"/>
        </w:rPr>
        <w:t xml:space="preserve"> </w:t>
      </w:r>
      <w:proofErr w:type="spellStart"/>
      <w:r>
        <w:rPr>
          <w:rFonts w:cs="Arial"/>
          <w:szCs w:val="24"/>
        </w:rPr>
        <w:t>Suisse</w:t>
      </w:r>
      <w:proofErr w:type="spellEnd"/>
      <w:r>
        <w:rPr>
          <w:rFonts w:cs="Arial"/>
          <w:szCs w:val="24"/>
        </w:rPr>
        <w:t xml:space="preserve"> SA alla riserva seguente:</w:t>
      </w:r>
    </w:p>
    <w:p w:rsidR="0070161C" w:rsidRDefault="0070161C" w:rsidP="0070161C">
      <w:pPr>
        <w:pStyle w:val="Paragrafoelenco"/>
        <w:numPr>
          <w:ilvl w:val="0"/>
          <w:numId w:val="8"/>
        </w:numPr>
        <w:spacing w:before="80"/>
        <w:ind w:left="284" w:hanging="284"/>
        <w:rPr>
          <w:rFonts w:cs="Arial"/>
          <w:szCs w:val="24"/>
        </w:rPr>
      </w:pPr>
      <w:r>
        <w:rPr>
          <w:rFonts w:cs="Arial"/>
          <w:szCs w:val="24"/>
        </w:rPr>
        <w:t>l</w:t>
      </w:r>
      <w:r w:rsidRPr="004F5D20">
        <w:rPr>
          <w:rFonts w:cs="Arial"/>
          <w:szCs w:val="24"/>
        </w:rPr>
        <w:t>’approvazione non può essere considerata un precedente per la valutazione di futuri casi analoghi</w:t>
      </w:r>
      <w:r>
        <w:rPr>
          <w:rFonts w:cs="Arial"/>
          <w:szCs w:val="24"/>
        </w:rPr>
        <w:t>.</w:t>
      </w:r>
    </w:p>
    <w:p w:rsidR="0070161C" w:rsidRDefault="0070161C" w:rsidP="0070161C">
      <w:pPr>
        <w:rPr>
          <w:rFonts w:cs="Arial"/>
          <w:szCs w:val="24"/>
        </w:rPr>
      </w:pPr>
    </w:p>
    <w:p w:rsidR="0070161C" w:rsidRDefault="0070161C" w:rsidP="0070161C">
      <w:pPr>
        <w:contextualSpacing/>
        <w:rPr>
          <w:rFonts w:cs="Arial"/>
          <w:szCs w:val="24"/>
        </w:rPr>
      </w:pPr>
      <w:r>
        <w:rPr>
          <w:rFonts w:cs="Arial"/>
          <w:szCs w:val="24"/>
        </w:rPr>
        <w:t>Inoltre la Commissione speciale energia invita il Consiglio di Stato ad attivarsi ulteriormente affinché i Contratti di costituzione e gli statuti vengano discussi con i diversi partner e aggiornati ponendo quale priorità, nel limite di quanto permesso in un ambito di diritto privato, la tutela degli interessi del mercato dell’energia nazionale e della sua manodopera, così come una maggiore trasparenza da parte dei partner nell’ambito delle richieste di trasferimento di azioni e delle relative risposte.</w:t>
      </w:r>
    </w:p>
    <w:p w:rsidR="0070161C" w:rsidRDefault="0070161C" w:rsidP="0070161C">
      <w:pPr>
        <w:contextualSpacing/>
        <w:rPr>
          <w:rFonts w:cs="Arial"/>
          <w:szCs w:val="24"/>
        </w:rPr>
      </w:pPr>
    </w:p>
    <w:p w:rsidR="00B93A45" w:rsidRDefault="00B93A45" w:rsidP="0070161C">
      <w:pPr>
        <w:contextualSpacing/>
        <w:rPr>
          <w:rFonts w:cs="Arial"/>
          <w:szCs w:val="24"/>
        </w:rPr>
      </w:pPr>
    </w:p>
    <w:p w:rsidR="0070161C" w:rsidRPr="00075437" w:rsidRDefault="0070161C" w:rsidP="0070161C">
      <w:pPr>
        <w:contextualSpacing/>
        <w:rPr>
          <w:rFonts w:cs="Arial"/>
          <w:szCs w:val="24"/>
        </w:rPr>
      </w:pPr>
    </w:p>
    <w:p w:rsidR="0070161C" w:rsidRPr="00075437" w:rsidRDefault="00B93A45" w:rsidP="0070161C">
      <w:pPr>
        <w:spacing w:after="120"/>
        <w:rPr>
          <w:rFonts w:cs="Arial"/>
          <w:szCs w:val="24"/>
        </w:rPr>
      </w:pPr>
      <w:r>
        <w:rPr>
          <w:rFonts w:cs="Arial"/>
          <w:szCs w:val="24"/>
        </w:rPr>
        <w:t>Per la C</w:t>
      </w:r>
      <w:r w:rsidR="0070161C" w:rsidRPr="00075437">
        <w:rPr>
          <w:rFonts w:cs="Arial"/>
          <w:szCs w:val="24"/>
        </w:rPr>
        <w:t>ommissione speciale energia</w:t>
      </w:r>
      <w:r>
        <w:rPr>
          <w:rFonts w:cs="Arial"/>
          <w:szCs w:val="24"/>
        </w:rPr>
        <w:t>:</w:t>
      </w:r>
    </w:p>
    <w:p w:rsidR="0070161C" w:rsidRDefault="0070161C" w:rsidP="0070161C">
      <w:pPr>
        <w:contextualSpacing/>
        <w:rPr>
          <w:rFonts w:cs="Arial"/>
          <w:szCs w:val="24"/>
        </w:rPr>
      </w:pPr>
      <w:r>
        <w:rPr>
          <w:rFonts w:cs="Arial"/>
          <w:szCs w:val="24"/>
        </w:rPr>
        <w:t>Graziano Crugnola, relatore</w:t>
      </w:r>
    </w:p>
    <w:p w:rsidR="00B93A45" w:rsidRDefault="00B93A45" w:rsidP="00B93A45">
      <w:r>
        <w:t xml:space="preserve">Badasci - Bang - Bignasca - Dadò - </w:t>
      </w:r>
    </w:p>
    <w:p w:rsidR="00B93A45" w:rsidRDefault="00B93A45" w:rsidP="00B93A45">
      <w:r>
        <w:t xml:space="preserve">Filippini - Gianora - Jelmini - Käppeli - </w:t>
      </w:r>
    </w:p>
    <w:p w:rsidR="00B93A45" w:rsidRDefault="00B93A45" w:rsidP="00B93A45">
      <w:r>
        <w:t>Lepori - Maggi - Minotti - Robbiani - Storni</w:t>
      </w:r>
    </w:p>
    <w:p w:rsidR="00B93A45" w:rsidRDefault="00B93A45" w:rsidP="0070161C">
      <w:pPr>
        <w:contextualSpacing/>
        <w:rPr>
          <w:rFonts w:cs="Arial"/>
          <w:szCs w:val="24"/>
        </w:rPr>
      </w:pPr>
    </w:p>
    <w:sectPr w:rsidR="00B93A45"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F4" w:rsidRDefault="00D01FF4" w:rsidP="008E77C6">
      <w:r>
        <w:separator/>
      </w:r>
    </w:p>
  </w:endnote>
  <w:endnote w:type="continuationSeparator" w:id="0">
    <w:p w:rsidR="00D01FF4" w:rsidRDefault="00D01FF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67805" w:rsidRPr="00967805">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F4" w:rsidRDefault="00D01FF4" w:rsidP="008E77C6">
      <w:r>
        <w:separator/>
      </w:r>
    </w:p>
  </w:footnote>
  <w:footnote w:type="continuationSeparator" w:id="0">
    <w:p w:rsidR="00D01FF4" w:rsidRDefault="00D01FF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multilevel"/>
    <w:tmpl w:val="67CA46F8"/>
    <w:lvl w:ilvl="0">
      <w:start w:val="1"/>
      <w:numFmt w:val="decimal"/>
      <w:pStyle w:val="Titolo1"/>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1C9E0875"/>
    <w:multiLevelType w:val="hybridMultilevel"/>
    <w:tmpl w:val="E5628740"/>
    <w:lvl w:ilvl="0" w:tplc="079EA06C">
      <w:start w:val="32"/>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2F7E261A"/>
    <w:multiLevelType w:val="hybridMultilevel"/>
    <w:tmpl w:val="F0ACBCB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E003BC3"/>
    <w:multiLevelType w:val="hybridMultilevel"/>
    <w:tmpl w:val="6CA8F2FA"/>
    <w:lvl w:ilvl="0" w:tplc="E99487A6">
      <w:start w:val="1"/>
      <w:numFmt w:val="lowerLetter"/>
      <w:lvlText w:val="%1)"/>
      <w:lvlJc w:val="left"/>
      <w:pPr>
        <w:ind w:left="644" w:hanging="360"/>
      </w:pPr>
    </w:lvl>
    <w:lvl w:ilvl="1" w:tplc="08100019">
      <w:start w:val="1"/>
      <w:numFmt w:val="lowerLetter"/>
      <w:lvlText w:val="%2."/>
      <w:lvlJc w:val="left"/>
      <w:pPr>
        <w:ind w:left="1364" w:hanging="360"/>
      </w:pPr>
    </w:lvl>
    <w:lvl w:ilvl="2" w:tplc="0810001B">
      <w:start w:val="1"/>
      <w:numFmt w:val="lowerRoman"/>
      <w:lvlText w:val="%3."/>
      <w:lvlJc w:val="right"/>
      <w:pPr>
        <w:ind w:left="2084" w:hanging="180"/>
      </w:pPr>
    </w:lvl>
    <w:lvl w:ilvl="3" w:tplc="0810000F">
      <w:start w:val="1"/>
      <w:numFmt w:val="decimal"/>
      <w:lvlText w:val="%4."/>
      <w:lvlJc w:val="left"/>
      <w:pPr>
        <w:ind w:left="2804" w:hanging="360"/>
      </w:pPr>
    </w:lvl>
    <w:lvl w:ilvl="4" w:tplc="08100019">
      <w:start w:val="1"/>
      <w:numFmt w:val="lowerLetter"/>
      <w:lvlText w:val="%5."/>
      <w:lvlJc w:val="left"/>
      <w:pPr>
        <w:ind w:left="3524" w:hanging="360"/>
      </w:pPr>
    </w:lvl>
    <w:lvl w:ilvl="5" w:tplc="0810001B">
      <w:start w:val="1"/>
      <w:numFmt w:val="lowerRoman"/>
      <w:lvlText w:val="%6."/>
      <w:lvlJc w:val="right"/>
      <w:pPr>
        <w:ind w:left="4244" w:hanging="180"/>
      </w:pPr>
    </w:lvl>
    <w:lvl w:ilvl="6" w:tplc="0810000F">
      <w:start w:val="1"/>
      <w:numFmt w:val="decimal"/>
      <w:lvlText w:val="%7."/>
      <w:lvlJc w:val="left"/>
      <w:pPr>
        <w:ind w:left="4964" w:hanging="360"/>
      </w:pPr>
    </w:lvl>
    <w:lvl w:ilvl="7" w:tplc="08100019">
      <w:start w:val="1"/>
      <w:numFmt w:val="lowerLetter"/>
      <w:lvlText w:val="%8."/>
      <w:lvlJc w:val="left"/>
      <w:pPr>
        <w:ind w:left="5684" w:hanging="360"/>
      </w:pPr>
    </w:lvl>
    <w:lvl w:ilvl="8" w:tplc="0810001B">
      <w:start w:val="1"/>
      <w:numFmt w:val="lowerRoman"/>
      <w:lvlText w:val="%9."/>
      <w:lvlJc w:val="right"/>
      <w:pPr>
        <w:ind w:left="6404" w:hanging="180"/>
      </w:pPr>
    </w:lvl>
  </w:abstractNum>
  <w:abstractNum w:abstractNumId="4">
    <w:nsid w:val="41E06018"/>
    <w:multiLevelType w:val="multilevel"/>
    <w:tmpl w:val="08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A2C1416"/>
    <w:multiLevelType w:val="hybridMultilevel"/>
    <w:tmpl w:val="7AF0EC3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FDC4EA9"/>
    <w:multiLevelType w:val="hybridMultilevel"/>
    <w:tmpl w:val="136EC4A6"/>
    <w:lvl w:ilvl="0" w:tplc="CAB8B2FE">
      <w:start w:val="4"/>
      <w:numFmt w:val="bullet"/>
      <w:lvlText w:val="-"/>
      <w:lvlJc w:val="left"/>
      <w:pPr>
        <w:tabs>
          <w:tab w:val="num" w:pos="1068"/>
        </w:tabs>
        <w:ind w:left="1068" w:hanging="360"/>
      </w:pPr>
      <w:rPr>
        <w:rFonts w:ascii="Arial" w:eastAsia="Times New Roman" w:hAnsi="Arial" w:cs="Arial" w:hint="default"/>
        <w:b w:val="0"/>
        <w:sz w:val="24"/>
        <w:szCs w:val="24"/>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D7A3B"/>
    <w:rsid w:val="0070161C"/>
    <w:rsid w:val="007352D3"/>
    <w:rsid w:val="007B5462"/>
    <w:rsid w:val="008034BD"/>
    <w:rsid w:val="00876352"/>
    <w:rsid w:val="008B2655"/>
    <w:rsid w:val="008B4137"/>
    <w:rsid w:val="008C767A"/>
    <w:rsid w:val="008E77C6"/>
    <w:rsid w:val="00967805"/>
    <w:rsid w:val="009770BB"/>
    <w:rsid w:val="009E008D"/>
    <w:rsid w:val="00A5465F"/>
    <w:rsid w:val="00A77678"/>
    <w:rsid w:val="00B93A45"/>
    <w:rsid w:val="00BC4C95"/>
    <w:rsid w:val="00BD5944"/>
    <w:rsid w:val="00CF6858"/>
    <w:rsid w:val="00D01FF4"/>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B93A45"/>
    <w:pPr>
      <w:keepNext/>
      <w:tabs>
        <w:tab w:val="left" w:pos="709"/>
      </w:tabs>
      <w:spacing w:before="120" w:after="120"/>
      <w:outlineLvl w:val="2"/>
    </w:pPr>
    <w:rPr>
      <w:b/>
      <w:i/>
      <w:sz w:val="23"/>
      <w:szCs w:val="23"/>
      <w:u w:val="single"/>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B93A45"/>
    <w:rPr>
      <w:rFonts w:ascii="Arial" w:hAnsi="Arial"/>
      <w:b/>
      <w:i/>
      <w:sz w:val="23"/>
      <w:szCs w:val="23"/>
      <w:u w:val="single"/>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016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B93A45"/>
    <w:pPr>
      <w:keepNext/>
      <w:tabs>
        <w:tab w:val="left" w:pos="709"/>
      </w:tabs>
      <w:spacing w:before="120" w:after="120"/>
      <w:outlineLvl w:val="2"/>
    </w:pPr>
    <w:rPr>
      <w:b/>
      <w:i/>
      <w:sz w:val="23"/>
      <w:szCs w:val="23"/>
      <w:u w:val="single"/>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B93A45"/>
    <w:rPr>
      <w:rFonts w:ascii="Arial" w:hAnsi="Arial"/>
      <w:b/>
      <w:i/>
      <w:sz w:val="23"/>
      <w:szCs w:val="23"/>
      <w:u w:val="single"/>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016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E938-218B-4942-94E5-249110C7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2130</Words>
  <Characters>11974</Characters>
  <Application>Microsoft Office Word</Application>
  <DocSecurity>0</DocSecurity>
  <Lines>427</Lines>
  <Paragraphs>287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2018-11-15T16:53:00Z</cp:lastPrinted>
  <dcterms:created xsi:type="dcterms:W3CDTF">2018-11-15T16:45:00Z</dcterms:created>
  <dcterms:modified xsi:type="dcterms:W3CDTF">2018-11-28T10:54:00Z</dcterms:modified>
</cp:coreProperties>
</file>