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50A31" w:rsidP="00076E70">
      <w:r w:rsidRPr="004C79B7">
        <w:rPr>
          <w:rFonts w:ascii="Gill Sans MT" w:hAnsi="Gill Sans MT"/>
          <w:b/>
          <w:sz w:val="52"/>
          <w:szCs w:val="52"/>
        </w:rPr>
        <w:t>Rapporto</w:t>
      </w:r>
      <w:bookmarkStart w:id="0" w:name="_GoBack"/>
      <w:bookmarkEnd w:id="0"/>
    </w:p>
    <w:p w:rsidR="008B4137" w:rsidRDefault="008B4137">
      <w:pPr>
        <w:rPr>
          <w:rFonts w:cs="Arial"/>
          <w:szCs w:val="24"/>
        </w:rPr>
      </w:pPr>
    </w:p>
    <w:p w:rsidR="006473E5" w:rsidRDefault="006473E5">
      <w:pPr>
        <w:rPr>
          <w:rFonts w:cs="Arial"/>
          <w:szCs w:val="24"/>
        </w:rPr>
      </w:pPr>
    </w:p>
    <w:p w:rsidR="00076E70" w:rsidRDefault="00076E70">
      <w:pPr>
        <w:rPr>
          <w:rFonts w:cs="Arial"/>
          <w:szCs w:val="24"/>
        </w:rPr>
      </w:pPr>
    </w:p>
    <w:p w:rsidR="005C535A" w:rsidRPr="001C6E74" w:rsidRDefault="005C535A" w:rsidP="005C535A">
      <w:pPr>
        <w:tabs>
          <w:tab w:val="left" w:pos="2098"/>
          <w:tab w:val="left" w:pos="4933"/>
        </w:tabs>
        <w:rPr>
          <w:sz w:val="28"/>
        </w:rPr>
      </w:pPr>
      <w:r w:rsidRPr="001C6E74">
        <w:rPr>
          <w:sz w:val="28"/>
        </w:rPr>
        <w:tab/>
      </w:r>
      <w:r>
        <w:rPr>
          <w:sz w:val="28"/>
        </w:rPr>
        <w:t xml:space="preserve">20 </w:t>
      </w:r>
      <w:r w:rsidRPr="001C6E74">
        <w:rPr>
          <w:sz w:val="28"/>
        </w:rPr>
        <w:t>dicembre 2018</w:t>
      </w:r>
      <w:r w:rsidRPr="001C6E74">
        <w:rPr>
          <w:sz w:val="28"/>
        </w:rPr>
        <w:tab/>
        <w:t>GRAN CONSIGLIO</w:t>
      </w:r>
    </w:p>
    <w:p w:rsidR="005C535A" w:rsidRPr="006473E5" w:rsidRDefault="005C535A" w:rsidP="005C535A">
      <w:pPr>
        <w:pStyle w:val="Intestazione"/>
        <w:tabs>
          <w:tab w:val="clear" w:pos="4819"/>
          <w:tab w:val="clear" w:pos="9638"/>
        </w:tabs>
        <w:rPr>
          <w:sz w:val="22"/>
        </w:rPr>
      </w:pPr>
    </w:p>
    <w:p w:rsidR="005C535A" w:rsidRPr="006473E5" w:rsidRDefault="005C535A" w:rsidP="005C535A">
      <w:pPr>
        <w:pStyle w:val="Intestazione"/>
        <w:tabs>
          <w:tab w:val="clear" w:pos="4819"/>
          <w:tab w:val="clear" w:pos="9638"/>
        </w:tabs>
        <w:rPr>
          <w:sz w:val="22"/>
        </w:rPr>
      </w:pPr>
    </w:p>
    <w:p w:rsidR="005C535A" w:rsidRPr="006473E5" w:rsidRDefault="005C535A" w:rsidP="005C535A">
      <w:pPr>
        <w:pStyle w:val="Intestazione"/>
        <w:tabs>
          <w:tab w:val="clear" w:pos="4819"/>
          <w:tab w:val="clear" w:pos="9638"/>
        </w:tabs>
        <w:rPr>
          <w:sz w:val="22"/>
        </w:rPr>
      </w:pPr>
    </w:p>
    <w:p w:rsidR="005C535A" w:rsidRPr="001C6E74" w:rsidRDefault="005C535A" w:rsidP="005C535A">
      <w:pPr>
        <w:rPr>
          <w:b/>
          <w:sz w:val="28"/>
          <w:szCs w:val="28"/>
        </w:rPr>
      </w:pPr>
      <w:r w:rsidRPr="001C6E74">
        <w:rPr>
          <w:b/>
          <w:sz w:val="28"/>
          <w:szCs w:val="28"/>
        </w:rPr>
        <w:t xml:space="preserve">della Commissione </w:t>
      </w:r>
      <w:r>
        <w:rPr>
          <w:b/>
          <w:sz w:val="28"/>
          <w:szCs w:val="28"/>
        </w:rPr>
        <w:t xml:space="preserve">speciale </w:t>
      </w:r>
      <w:r w:rsidRPr="001C6E74">
        <w:rPr>
          <w:b/>
          <w:sz w:val="28"/>
          <w:szCs w:val="28"/>
        </w:rPr>
        <w:t xml:space="preserve">Costituzione e diritti politici </w:t>
      </w:r>
    </w:p>
    <w:p w:rsidR="005C535A" w:rsidRPr="00EB54A7" w:rsidRDefault="005C535A" w:rsidP="005C535A">
      <w:pPr>
        <w:rPr>
          <w:b/>
          <w:sz w:val="28"/>
          <w:szCs w:val="28"/>
        </w:rPr>
      </w:pPr>
      <w:r w:rsidRPr="00EB54A7">
        <w:rPr>
          <w:b/>
          <w:sz w:val="28"/>
          <w:szCs w:val="28"/>
        </w:rPr>
        <w:t>sull'iniziativa parlamentare</w:t>
      </w:r>
      <w:r>
        <w:rPr>
          <w:b/>
          <w:sz w:val="28"/>
          <w:szCs w:val="28"/>
        </w:rPr>
        <w:t xml:space="preserve"> 17 settembre 2018 presentata nella forma elaborata da Matteo</w:t>
      </w:r>
      <w:r w:rsidRPr="00EB54A7">
        <w:rPr>
          <w:b/>
          <w:sz w:val="28"/>
          <w:szCs w:val="28"/>
        </w:rPr>
        <w:t xml:space="preserve"> Pronzini</w:t>
      </w:r>
      <w:r>
        <w:rPr>
          <w:b/>
          <w:sz w:val="28"/>
          <w:szCs w:val="28"/>
        </w:rPr>
        <w:t xml:space="preserve"> </w:t>
      </w:r>
      <w:r w:rsidRPr="00EB54A7">
        <w:rPr>
          <w:b/>
          <w:sz w:val="28"/>
          <w:szCs w:val="28"/>
        </w:rPr>
        <w:t>"Modifica della LGC. Presidenza del Gran Consiglio e presenza nella Commissione della gestione e delle finanze: il piede in due scarpe non va mai bene!"</w:t>
      </w:r>
    </w:p>
    <w:p w:rsidR="005C535A" w:rsidRPr="006473E5" w:rsidRDefault="005C535A" w:rsidP="005C535A">
      <w:pPr>
        <w:pStyle w:val="Intestazione"/>
        <w:tabs>
          <w:tab w:val="clear" w:pos="4819"/>
          <w:tab w:val="clear" w:pos="9638"/>
        </w:tabs>
        <w:rPr>
          <w:sz w:val="22"/>
        </w:rPr>
      </w:pPr>
    </w:p>
    <w:p w:rsidR="005C535A" w:rsidRPr="006473E5" w:rsidRDefault="005C535A" w:rsidP="005C535A">
      <w:pPr>
        <w:pStyle w:val="Intestazione"/>
        <w:tabs>
          <w:tab w:val="clear" w:pos="4819"/>
          <w:tab w:val="clear" w:pos="9638"/>
        </w:tabs>
        <w:rPr>
          <w:sz w:val="22"/>
        </w:rPr>
      </w:pPr>
    </w:p>
    <w:p w:rsidR="005C535A" w:rsidRPr="006473E5" w:rsidRDefault="005C535A" w:rsidP="005C535A">
      <w:pPr>
        <w:pStyle w:val="Intestazione"/>
        <w:tabs>
          <w:tab w:val="clear" w:pos="4819"/>
          <w:tab w:val="clear" w:pos="9638"/>
        </w:tabs>
        <w:rPr>
          <w:sz w:val="22"/>
        </w:rPr>
      </w:pPr>
    </w:p>
    <w:p w:rsidR="005C535A" w:rsidRPr="00DF6DD1" w:rsidRDefault="005C535A" w:rsidP="005C535A">
      <w:pPr>
        <w:widowControl w:val="0"/>
        <w:autoSpaceDE w:val="0"/>
        <w:autoSpaceDN w:val="0"/>
        <w:adjustRightInd w:val="0"/>
        <w:rPr>
          <w:rFonts w:cs="Arial"/>
          <w:lang w:val="it-IT"/>
        </w:rPr>
      </w:pPr>
      <w:r>
        <w:rPr>
          <w:rFonts w:cs="Arial"/>
          <w:lang w:val="it-IT"/>
        </w:rPr>
        <w:t>L</w:t>
      </w:r>
      <w:r w:rsidRPr="00DF6DD1">
        <w:rPr>
          <w:rFonts w:cs="Arial"/>
          <w:lang w:val="it-IT"/>
        </w:rPr>
        <w:t xml:space="preserve">'iniziativa parlamentare in oggetto è stata inoltrata in forma elaborata in data </w:t>
      </w:r>
      <w:r>
        <w:rPr>
          <w:rFonts w:cs="Arial"/>
          <w:lang w:val="it-IT"/>
        </w:rPr>
        <w:br/>
      </w:r>
      <w:r w:rsidRPr="00DF6DD1">
        <w:rPr>
          <w:rFonts w:cs="Arial"/>
          <w:lang w:val="it-IT"/>
        </w:rPr>
        <w:t>17 settembre 2018 dal collega Matteo Pronzini, il quale chiede che la Legge sul Gran Consiglio e sui rapporti con il Consiglio di Stato (LGC) venga modificata come segue:</w:t>
      </w:r>
    </w:p>
    <w:p w:rsidR="005C535A" w:rsidRPr="00AD42DC" w:rsidRDefault="005C535A" w:rsidP="005C535A">
      <w:pPr>
        <w:widowControl w:val="0"/>
        <w:tabs>
          <w:tab w:val="left" w:pos="9639"/>
        </w:tabs>
        <w:autoSpaceDE w:val="0"/>
        <w:autoSpaceDN w:val="0"/>
        <w:adjustRightInd w:val="0"/>
        <w:spacing w:before="120"/>
        <w:ind w:left="567" w:right="561"/>
        <w:rPr>
          <w:rFonts w:cs="Arial"/>
          <w:b/>
          <w:i/>
          <w:sz w:val="22"/>
          <w:lang w:val="it-IT"/>
        </w:rPr>
      </w:pPr>
      <w:r w:rsidRPr="00AD42DC">
        <w:rPr>
          <w:rFonts w:cs="Arial"/>
          <w:b/>
          <w:i/>
          <w:sz w:val="22"/>
          <w:lang w:val="it-IT"/>
        </w:rPr>
        <w:t>Art. 18 cpv. 2 (nuovo)</w:t>
      </w:r>
    </w:p>
    <w:p w:rsidR="005C535A" w:rsidRPr="00AD42DC" w:rsidRDefault="005C535A" w:rsidP="005C535A">
      <w:pPr>
        <w:widowControl w:val="0"/>
        <w:tabs>
          <w:tab w:val="left" w:pos="9639"/>
        </w:tabs>
        <w:autoSpaceDE w:val="0"/>
        <w:autoSpaceDN w:val="0"/>
        <w:adjustRightInd w:val="0"/>
        <w:ind w:left="567" w:right="560"/>
        <w:rPr>
          <w:rFonts w:cs="Arial"/>
          <w:i/>
          <w:sz w:val="22"/>
          <w:lang w:val="it-IT"/>
        </w:rPr>
      </w:pPr>
      <w:r w:rsidRPr="00AD42DC">
        <w:rPr>
          <w:rFonts w:cs="Arial"/>
          <w:i/>
          <w:sz w:val="22"/>
          <w:lang w:val="it-IT"/>
        </w:rPr>
        <w:t>La carica di Presidente è incompatibile con quella di membro di una Commissione permanente del Gran Consiglio e di capogruppo.</w:t>
      </w:r>
    </w:p>
    <w:p w:rsidR="005C535A" w:rsidRDefault="005C535A" w:rsidP="005C535A">
      <w:pPr>
        <w:widowControl w:val="0"/>
        <w:tabs>
          <w:tab w:val="left" w:pos="9639"/>
        </w:tabs>
        <w:autoSpaceDE w:val="0"/>
        <w:autoSpaceDN w:val="0"/>
        <w:adjustRightInd w:val="0"/>
        <w:ind w:left="567" w:right="560"/>
        <w:rPr>
          <w:rFonts w:cs="Arial"/>
          <w:i/>
          <w:sz w:val="22"/>
          <w:lang w:val="it-IT"/>
        </w:rPr>
      </w:pPr>
    </w:p>
    <w:p w:rsidR="005C535A" w:rsidRPr="00AD42DC" w:rsidRDefault="005C535A" w:rsidP="005C535A">
      <w:pPr>
        <w:widowControl w:val="0"/>
        <w:tabs>
          <w:tab w:val="left" w:pos="9639"/>
        </w:tabs>
        <w:autoSpaceDE w:val="0"/>
        <w:autoSpaceDN w:val="0"/>
        <w:adjustRightInd w:val="0"/>
        <w:ind w:left="567" w:right="560"/>
        <w:rPr>
          <w:rFonts w:cs="Arial"/>
          <w:i/>
          <w:sz w:val="22"/>
          <w:lang w:val="it-IT"/>
        </w:rPr>
      </w:pPr>
      <w:r w:rsidRPr="00AD42DC">
        <w:rPr>
          <w:rFonts w:cs="Arial"/>
          <w:i/>
          <w:sz w:val="22"/>
          <w:lang w:val="it-IT"/>
        </w:rPr>
        <w:t>II.</w:t>
      </w:r>
    </w:p>
    <w:p w:rsidR="005C535A" w:rsidRPr="00AD42DC" w:rsidRDefault="005C535A" w:rsidP="005C535A">
      <w:pPr>
        <w:widowControl w:val="0"/>
        <w:tabs>
          <w:tab w:val="left" w:pos="9639"/>
        </w:tabs>
        <w:autoSpaceDE w:val="0"/>
        <w:autoSpaceDN w:val="0"/>
        <w:adjustRightInd w:val="0"/>
        <w:ind w:left="567" w:right="560"/>
        <w:rPr>
          <w:rFonts w:cs="Arial"/>
          <w:i/>
          <w:sz w:val="22"/>
          <w:lang w:val="it-IT"/>
        </w:rPr>
      </w:pPr>
      <w:r w:rsidRPr="00AD42DC">
        <w:rPr>
          <w:rFonts w:cs="Arial"/>
          <w:i/>
          <w:sz w:val="22"/>
          <w:lang w:val="it-IT"/>
        </w:rPr>
        <w:t>Trascorsi i termini per l'esercizio del diritto di referendum, la presente modifica di legge è pubblicata nel Bollettino ufficiale delle leggi ed entra immediatamente in vigore.</w:t>
      </w:r>
    </w:p>
    <w:p w:rsidR="005C535A" w:rsidRDefault="005C535A" w:rsidP="005C535A">
      <w:pPr>
        <w:widowControl w:val="0"/>
        <w:tabs>
          <w:tab w:val="left" w:pos="9639"/>
        </w:tabs>
        <w:autoSpaceDE w:val="0"/>
        <w:autoSpaceDN w:val="0"/>
        <w:adjustRightInd w:val="0"/>
        <w:ind w:left="567" w:right="560"/>
        <w:rPr>
          <w:rFonts w:cs="Arial"/>
          <w:i/>
          <w:sz w:val="22"/>
          <w:lang w:val="it-IT"/>
        </w:rPr>
      </w:pPr>
    </w:p>
    <w:p w:rsidR="005C535A" w:rsidRPr="00AD42DC" w:rsidRDefault="005C535A" w:rsidP="005C535A">
      <w:pPr>
        <w:widowControl w:val="0"/>
        <w:tabs>
          <w:tab w:val="left" w:pos="9639"/>
        </w:tabs>
        <w:autoSpaceDE w:val="0"/>
        <w:autoSpaceDN w:val="0"/>
        <w:adjustRightInd w:val="0"/>
        <w:ind w:left="567" w:right="560"/>
        <w:rPr>
          <w:rFonts w:cs="Arial"/>
          <w:i/>
          <w:sz w:val="22"/>
          <w:lang w:val="it-IT"/>
        </w:rPr>
      </w:pPr>
      <w:r w:rsidRPr="00AD42DC">
        <w:rPr>
          <w:rFonts w:cs="Arial"/>
          <w:i/>
          <w:sz w:val="22"/>
          <w:lang w:val="it-IT"/>
        </w:rPr>
        <w:t>III.</w:t>
      </w:r>
    </w:p>
    <w:p w:rsidR="005C535A" w:rsidRPr="00AD42DC" w:rsidRDefault="005C535A" w:rsidP="005C535A">
      <w:pPr>
        <w:widowControl w:val="0"/>
        <w:tabs>
          <w:tab w:val="left" w:pos="9639"/>
        </w:tabs>
        <w:autoSpaceDE w:val="0"/>
        <w:autoSpaceDN w:val="0"/>
        <w:adjustRightInd w:val="0"/>
        <w:ind w:left="567" w:right="560"/>
        <w:rPr>
          <w:rFonts w:cs="Arial"/>
          <w:i/>
          <w:sz w:val="22"/>
          <w:lang w:val="it-IT"/>
        </w:rPr>
      </w:pPr>
      <w:r w:rsidRPr="00AD42DC">
        <w:rPr>
          <w:rFonts w:cs="Arial"/>
          <w:i/>
          <w:sz w:val="22"/>
          <w:lang w:val="it-IT"/>
        </w:rPr>
        <w:t>Con l'entrata in vigore, il 1° maggio 2019, delle modifiche della presente legge adottate dal Gran Consiglio nella seduta del 9 aprile 2018, la modifica di cui al punto I. sarà integrata nel nuovo tenore dell'art. 18, come segue:</w:t>
      </w:r>
    </w:p>
    <w:p w:rsidR="005C535A" w:rsidRPr="00AD42DC" w:rsidRDefault="005C535A" w:rsidP="005C535A">
      <w:pPr>
        <w:widowControl w:val="0"/>
        <w:tabs>
          <w:tab w:val="left" w:pos="9639"/>
        </w:tabs>
        <w:autoSpaceDE w:val="0"/>
        <w:autoSpaceDN w:val="0"/>
        <w:adjustRightInd w:val="0"/>
        <w:spacing w:before="120"/>
        <w:ind w:left="567" w:right="561"/>
        <w:rPr>
          <w:rFonts w:cs="Arial"/>
          <w:b/>
          <w:i/>
          <w:sz w:val="22"/>
          <w:lang w:val="it-IT"/>
        </w:rPr>
      </w:pPr>
      <w:r w:rsidRPr="00AD42DC">
        <w:rPr>
          <w:rFonts w:cs="Arial"/>
          <w:b/>
          <w:i/>
          <w:sz w:val="22"/>
          <w:lang w:val="it-IT"/>
        </w:rPr>
        <w:t>Art. 18 cpv. 3</w:t>
      </w:r>
    </w:p>
    <w:p w:rsidR="005C535A" w:rsidRPr="00AD42DC" w:rsidRDefault="005C535A" w:rsidP="005C535A">
      <w:pPr>
        <w:widowControl w:val="0"/>
        <w:tabs>
          <w:tab w:val="left" w:pos="9639"/>
        </w:tabs>
        <w:autoSpaceDE w:val="0"/>
        <w:autoSpaceDN w:val="0"/>
        <w:adjustRightInd w:val="0"/>
        <w:ind w:left="567" w:right="560"/>
        <w:rPr>
          <w:rFonts w:cs="Arial"/>
          <w:i/>
          <w:sz w:val="22"/>
          <w:lang w:val="it-IT"/>
        </w:rPr>
      </w:pPr>
      <w:r w:rsidRPr="00AD42DC">
        <w:rPr>
          <w:rFonts w:cs="Arial"/>
          <w:i/>
          <w:sz w:val="22"/>
          <w:lang w:val="it-IT"/>
        </w:rPr>
        <w:t xml:space="preserve">La carica di Presidente è incompatibile con quella di membro di una Commissione generale del </w:t>
      </w:r>
      <w:r>
        <w:rPr>
          <w:rFonts w:cs="Arial"/>
          <w:i/>
          <w:sz w:val="22"/>
          <w:lang w:val="it-IT"/>
        </w:rPr>
        <w:t>Gran Consiglio e di capogruppo.</w:t>
      </w:r>
    </w:p>
    <w:p w:rsidR="005C535A" w:rsidRPr="006473E5" w:rsidRDefault="005C535A" w:rsidP="005C535A">
      <w:pPr>
        <w:widowControl w:val="0"/>
        <w:autoSpaceDE w:val="0"/>
        <w:autoSpaceDN w:val="0"/>
        <w:adjustRightInd w:val="0"/>
        <w:rPr>
          <w:rFonts w:cs="Arial"/>
          <w:sz w:val="22"/>
          <w:lang w:val="it-IT"/>
        </w:rPr>
      </w:pPr>
    </w:p>
    <w:p w:rsidR="005C535A" w:rsidRPr="006473E5" w:rsidRDefault="005C535A" w:rsidP="005C535A">
      <w:pPr>
        <w:widowControl w:val="0"/>
        <w:autoSpaceDE w:val="0"/>
        <w:autoSpaceDN w:val="0"/>
        <w:adjustRightInd w:val="0"/>
        <w:rPr>
          <w:rFonts w:cs="Arial"/>
          <w:sz w:val="22"/>
          <w:lang w:val="it-IT"/>
        </w:rPr>
      </w:pPr>
    </w:p>
    <w:p w:rsidR="005C535A" w:rsidRPr="006473E5" w:rsidRDefault="005C535A" w:rsidP="005C535A">
      <w:pPr>
        <w:widowControl w:val="0"/>
        <w:autoSpaceDE w:val="0"/>
        <w:autoSpaceDN w:val="0"/>
        <w:adjustRightInd w:val="0"/>
        <w:rPr>
          <w:rFonts w:cs="Arial"/>
          <w:sz w:val="22"/>
          <w:lang w:val="it-IT"/>
        </w:rPr>
      </w:pPr>
    </w:p>
    <w:p w:rsidR="005C535A" w:rsidRPr="00AD42DC" w:rsidRDefault="005C535A" w:rsidP="005C535A">
      <w:pPr>
        <w:pStyle w:val="Titolo1"/>
        <w:rPr>
          <w:rFonts w:cs="Arial"/>
        </w:rPr>
      </w:pPr>
      <w:r>
        <w:rPr>
          <w:rFonts w:cs="Arial"/>
        </w:rPr>
        <w:t>MOTIVAZIONI DELL'INIZIATIVA</w:t>
      </w:r>
    </w:p>
    <w:p w:rsidR="005C535A" w:rsidRPr="00DF6DD1" w:rsidRDefault="005C535A" w:rsidP="005C535A">
      <w:pPr>
        <w:widowControl w:val="0"/>
        <w:autoSpaceDE w:val="0"/>
        <w:autoSpaceDN w:val="0"/>
        <w:adjustRightInd w:val="0"/>
        <w:spacing w:before="120"/>
        <w:rPr>
          <w:rFonts w:cs="Arial"/>
          <w:lang w:val="it-IT"/>
        </w:rPr>
      </w:pPr>
      <w:r w:rsidRPr="00DF6DD1">
        <w:rPr>
          <w:rFonts w:cs="Arial"/>
          <w:lang w:val="it-IT"/>
        </w:rPr>
        <w:t>Essendo le proposte dell'iniziativa abbastanza chiare per potersene fare un giudizio, la scrivente Commissione ha rinunciato all'audizione dell'</w:t>
      </w:r>
      <w:proofErr w:type="spellStart"/>
      <w:r w:rsidRPr="00DF6DD1">
        <w:rPr>
          <w:rFonts w:cs="Arial"/>
          <w:lang w:val="it-IT"/>
        </w:rPr>
        <w:t>iniziativista</w:t>
      </w:r>
      <w:proofErr w:type="spellEnd"/>
      <w:r w:rsidRPr="00DF6DD1">
        <w:rPr>
          <w:rFonts w:cs="Arial"/>
          <w:lang w:val="it-IT"/>
        </w:rPr>
        <w:t>, dando tuttavia mandato al sottoscritto relatore di conferire con lo stesso, al fine di meglio conoscerne le motivazioni, ciò che è avvenuto in margine alla seduta di Gran Consiglio dell'11 dicembre u.s.</w:t>
      </w:r>
    </w:p>
    <w:p w:rsidR="005C535A" w:rsidRPr="00DF6DD1" w:rsidRDefault="005C535A" w:rsidP="005C535A">
      <w:pPr>
        <w:widowControl w:val="0"/>
        <w:autoSpaceDE w:val="0"/>
        <w:autoSpaceDN w:val="0"/>
        <w:adjustRightInd w:val="0"/>
        <w:spacing w:before="120"/>
        <w:rPr>
          <w:rFonts w:cs="Arial"/>
          <w:lang w:val="it-IT"/>
        </w:rPr>
      </w:pPr>
      <w:r w:rsidRPr="00DF6DD1">
        <w:rPr>
          <w:rFonts w:cs="Arial"/>
          <w:lang w:val="it-IT"/>
        </w:rPr>
        <w:t>In tale occasione, l'</w:t>
      </w:r>
      <w:proofErr w:type="spellStart"/>
      <w:r w:rsidRPr="00DF6DD1">
        <w:rPr>
          <w:rFonts w:cs="Arial"/>
          <w:lang w:val="it-IT"/>
        </w:rPr>
        <w:t>iniziativista</w:t>
      </w:r>
      <w:proofErr w:type="spellEnd"/>
      <w:r w:rsidRPr="00DF6DD1">
        <w:rPr>
          <w:rFonts w:cs="Arial"/>
          <w:lang w:val="it-IT"/>
        </w:rPr>
        <w:t xml:space="preserve"> ha motivato la sua proposta essenzialmente con tre ragioni:</w:t>
      </w:r>
    </w:p>
    <w:p w:rsidR="005C535A" w:rsidRPr="00DF6DD1" w:rsidRDefault="005C535A" w:rsidP="006473E5">
      <w:pPr>
        <w:pStyle w:val="Paragrafoelenco"/>
        <w:widowControl w:val="0"/>
        <w:numPr>
          <w:ilvl w:val="0"/>
          <w:numId w:val="5"/>
        </w:numPr>
        <w:autoSpaceDE w:val="0"/>
        <w:autoSpaceDN w:val="0"/>
        <w:adjustRightInd w:val="0"/>
        <w:spacing w:before="60"/>
        <w:ind w:left="284" w:hanging="284"/>
        <w:rPr>
          <w:rFonts w:cs="Arial"/>
          <w:lang w:val="it-IT"/>
        </w:rPr>
      </w:pPr>
      <w:r>
        <w:rPr>
          <w:rFonts w:cs="Arial"/>
          <w:lang w:val="it-IT"/>
        </w:rPr>
        <w:t>il P</w:t>
      </w:r>
      <w:r w:rsidRPr="00DF6DD1">
        <w:rPr>
          <w:rFonts w:cs="Arial"/>
          <w:lang w:val="it-IT"/>
        </w:rPr>
        <w:t>residente deve avere un ruolo sopra le parti (tanto che non vota neppure)</w:t>
      </w:r>
      <w:r>
        <w:rPr>
          <w:rFonts w:cs="Arial"/>
          <w:lang w:val="it-IT"/>
        </w:rPr>
        <w:t>;</w:t>
      </w:r>
    </w:p>
    <w:p w:rsidR="005C535A" w:rsidRPr="00DF6DD1" w:rsidRDefault="005C535A" w:rsidP="006473E5">
      <w:pPr>
        <w:pStyle w:val="Paragrafoelenco"/>
        <w:widowControl w:val="0"/>
        <w:numPr>
          <w:ilvl w:val="0"/>
          <w:numId w:val="5"/>
        </w:numPr>
        <w:autoSpaceDE w:val="0"/>
        <w:autoSpaceDN w:val="0"/>
        <w:adjustRightInd w:val="0"/>
        <w:spacing w:before="60"/>
        <w:ind w:left="284" w:hanging="284"/>
        <w:rPr>
          <w:rFonts w:cs="Arial"/>
          <w:lang w:val="it-IT"/>
        </w:rPr>
      </w:pPr>
      <w:r>
        <w:rPr>
          <w:rFonts w:cs="Arial"/>
          <w:lang w:val="it-IT"/>
        </w:rPr>
        <w:t>la nuova LGC</w:t>
      </w:r>
      <w:r w:rsidRPr="00DF6DD1">
        <w:rPr>
          <w:rFonts w:cs="Arial"/>
          <w:lang w:val="it-IT"/>
        </w:rPr>
        <w:t xml:space="preserve"> ha peraltro accentuato l'importanza della funzione presidenziale</w:t>
      </w:r>
      <w:r>
        <w:rPr>
          <w:rFonts w:cs="Arial"/>
          <w:lang w:val="it-IT"/>
        </w:rPr>
        <w:t>;</w:t>
      </w:r>
    </w:p>
    <w:p w:rsidR="005C535A" w:rsidRPr="006473E5" w:rsidRDefault="005C535A" w:rsidP="006473E5">
      <w:pPr>
        <w:pStyle w:val="Paragrafoelenco"/>
        <w:widowControl w:val="0"/>
        <w:numPr>
          <w:ilvl w:val="0"/>
          <w:numId w:val="5"/>
        </w:numPr>
        <w:autoSpaceDE w:val="0"/>
        <w:autoSpaceDN w:val="0"/>
        <w:adjustRightInd w:val="0"/>
        <w:spacing w:before="60"/>
        <w:ind w:left="284" w:hanging="284"/>
        <w:rPr>
          <w:rFonts w:cs="Arial"/>
          <w:lang w:val="it-IT"/>
        </w:rPr>
      </w:pPr>
      <w:r w:rsidRPr="006473E5">
        <w:rPr>
          <w:rFonts w:cs="Arial"/>
          <w:lang w:val="it-IT"/>
        </w:rPr>
        <w:t xml:space="preserve">quella da lui proposta è ormai una norma consolidata dagli ultimi Presidenti già membri della Commissione della gestione e delle finanze (Walter Gianora e Pelin </w:t>
      </w:r>
      <w:r w:rsidR="006473E5" w:rsidRPr="006473E5">
        <w:rPr>
          <w:rFonts w:cs="Arial"/>
          <w:lang w:val="it-IT"/>
        </w:rPr>
        <w:t xml:space="preserve">Kandemir </w:t>
      </w:r>
      <w:r w:rsidRPr="006473E5">
        <w:rPr>
          <w:rFonts w:cs="Arial"/>
          <w:lang w:val="it-IT"/>
        </w:rPr>
        <w:t>Bordoli), che al momento in cui hanno assunto la carica hanno in effetti lasciato la Commissione.</w:t>
      </w:r>
      <w:r w:rsidR="006473E5" w:rsidRPr="006473E5">
        <w:rPr>
          <w:rFonts w:cs="Arial"/>
          <w:lang w:val="it-IT"/>
        </w:rPr>
        <w:t xml:space="preserve"> </w:t>
      </w:r>
      <w:r w:rsidR="006473E5" w:rsidRPr="006473E5">
        <w:rPr>
          <w:rFonts w:cs="Arial"/>
          <w:lang w:val="it-IT"/>
        </w:rPr>
        <w:br w:type="page"/>
      </w:r>
    </w:p>
    <w:p w:rsidR="005C535A" w:rsidRPr="00AD42DC" w:rsidRDefault="005C535A" w:rsidP="005C535A">
      <w:pPr>
        <w:pStyle w:val="Titolo1"/>
        <w:rPr>
          <w:rFonts w:cs="Arial"/>
        </w:rPr>
      </w:pPr>
      <w:r w:rsidRPr="00DF6DD1">
        <w:rPr>
          <w:rFonts w:cs="Arial"/>
        </w:rPr>
        <w:lastRenderedPageBreak/>
        <w:t>C</w:t>
      </w:r>
      <w:r>
        <w:rPr>
          <w:rFonts w:cs="Arial"/>
        </w:rPr>
        <w:t>ONSIDERAZIONI COMMISSIONALI</w:t>
      </w:r>
    </w:p>
    <w:p w:rsidR="005C535A" w:rsidRPr="00DF6DD1" w:rsidRDefault="005C535A" w:rsidP="006473E5">
      <w:pPr>
        <w:rPr>
          <w:lang w:val="it-IT"/>
        </w:rPr>
      </w:pPr>
      <w:r w:rsidRPr="00DF6DD1">
        <w:rPr>
          <w:lang w:val="it-IT"/>
        </w:rPr>
        <w:t>Rileviamo in primo luogo</w:t>
      </w:r>
      <w:r>
        <w:rPr>
          <w:lang w:val="it-IT"/>
        </w:rPr>
        <w:t xml:space="preserve"> un'</w:t>
      </w:r>
      <w:r w:rsidRPr="00DF6DD1">
        <w:rPr>
          <w:lang w:val="it-IT"/>
        </w:rPr>
        <w:t>incongruenza fra il titolo dell'iniziativa, nel quale si parla specificamente di Commissione della gestione e delle finanze, e il testo della proposta, nel quale ci si riferisce</w:t>
      </w:r>
      <w:r>
        <w:rPr>
          <w:lang w:val="it-IT"/>
        </w:rPr>
        <w:t xml:space="preserve"> più genericamente a </w:t>
      </w:r>
      <w:r w:rsidRPr="00804EBC">
        <w:rPr>
          <w:lang w:val="it-IT"/>
        </w:rPr>
        <w:t>Commissione «</w:t>
      </w:r>
      <w:r w:rsidRPr="00804EBC">
        <w:rPr>
          <w:i/>
          <w:lang w:val="it-IT"/>
        </w:rPr>
        <w:t>permanente</w:t>
      </w:r>
      <w:r w:rsidRPr="00804EBC">
        <w:rPr>
          <w:lang w:val="it-IT"/>
        </w:rPr>
        <w:t>», formulazione che, dal 1° maggio 2019, con l'entrata in vigore della nuova LGC (adottata di recente), sarà sostituita dalla dicitura «</w:t>
      </w:r>
      <w:r w:rsidRPr="00804EBC">
        <w:rPr>
          <w:i/>
          <w:lang w:val="it-IT"/>
        </w:rPr>
        <w:t>Commissione generale</w:t>
      </w:r>
      <w:r w:rsidRPr="00804EBC">
        <w:rPr>
          <w:lang w:val="it-IT"/>
        </w:rPr>
        <w:t>»</w:t>
      </w:r>
      <w:r>
        <w:rPr>
          <w:lang w:val="it-IT"/>
        </w:rPr>
        <w:t>.</w:t>
      </w:r>
    </w:p>
    <w:p w:rsidR="006473E5" w:rsidRPr="006473E5" w:rsidRDefault="006473E5" w:rsidP="006473E5">
      <w:pPr>
        <w:rPr>
          <w:sz w:val="20"/>
          <w:szCs w:val="20"/>
          <w:lang w:val="it-IT"/>
        </w:rPr>
      </w:pPr>
    </w:p>
    <w:p w:rsidR="005C535A" w:rsidRPr="00DF6DD1" w:rsidRDefault="005C535A" w:rsidP="006473E5">
      <w:pPr>
        <w:rPr>
          <w:lang w:val="it-IT"/>
        </w:rPr>
      </w:pPr>
      <w:r>
        <w:rPr>
          <w:lang w:val="it-IT"/>
        </w:rPr>
        <w:t>Qualora</w:t>
      </w:r>
      <w:r w:rsidRPr="00DF6DD1">
        <w:rPr>
          <w:lang w:val="it-IT"/>
        </w:rPr>
        <w:t xml:space="preserve"> si volesse adottare</w:t>
      </w:r>
      <w:r>
        <w:rPr>
          <w:lang w:val="it-IT"/>
        </w:rPr>
        <w:t xml:space="preserve"> l'iniziativa</w:t>
      </w:r>
      <w:r w:rsidRPr="00DF6DD1">
        <w:rPr>
          <w:lang w:val="it-IT"/>
        </w:rPr>
        <w:t xml:space="preserve">, </w:t>
      </w:r>
      <w:r>
        <w:rPr>
          <w:lang w:val="it-IT"/>
        </w:rPr>
        <w:t>essa</w:t>
      </w:r>
      <w:r w:rsidRPr="00DF6DD1">
        <w:rPr>
          <w:lang w:val="it-IT"/>
        </w:rPr>
        <w:t xml:space="preserve"> richiederebbe </w:t>
      </w:r>
      <w:r>
        <w:rPr>
          <w:lang w:val="it-IT"/>
        </w:rPr>
        <w:t>d</w:t>
      </w:r>
      <w:r w:rsidRPr="00DF6DD1">
        <w:rPr>
          <w:lang w:val="it-IT"/>
        </w:rPr>
        <w:t xml:space="preserve">unque una scelta più precisa delle definizioni e un loro allineamento. A mente della scrivente Commissione, comunque, la proposta non si giustifica, per le </w:t>
      </w:r>
      <w:r>
        <w:rPr>
          <w:lang w:val="it-IT"/>
        </w:rPr>
        <w:t xml:space="preserve">seguenti </w:t>
      </w:r>
      <w:r w:rsidRPr="00DF6DD1">
        <w:rPr>
          <w:lang w:val="it-IT"/>
        </w:rPr>
        <w:t>ragioni:</w:t>
      </w:r>
    </w:p>
    <w:p w:rsidR="005C535A" w:rsidRPr="00AD42DC" w:rsidRDefault="005C535A" w:rsidP="006473E5">
      <w:pPr>
        <w:widowControl w:val="0"/>
        <w:tabs>
          <w:tab w:val="left" w:pos="426"/>
        </w:tabs>
        <w:autoSpaceDE w:val="0"/>
        <w:autoSpaceDN w:val="0"/>
        <w:adjustRightInd w:val="0"/>
        <w:spacing w:before="80"/>
        <w:ind w:left="425" w:hanging="425"/>
        <w:rPr>
          <w:rFonts w:cs="Arial"/>
          <w:lang w:val="it-IT"/>
        </w:rPr>
      </w:pPr>
      <w:r>
        <w:rPr>
          <w:rFonts w:cs="Arial"/>
          <w:lang w:val="it-IT"/>
        </w:rPr>
        <w:t>1.</w:t>
      </w:r>
      <w:r>
        <w:rPr>
          <w:rFonts w:cs="Arial"/>
          <w:lang w:val="it-IT"/>
        </w:rPr>
        <w:tab/>
        <w:t>a</w:t>
      </w:r>
      <w:r w:rsidRPr="00AD42DC">
        <w:rPr>
          <w:rFonts w:cs="Arial"/>
          <w:lang w:val="it-IT"/>
        </w:rPr>
        <w:t xml:space="preserve"> nostro modo di vedere, occorre essere molto cauti prima di in</w:t>
      </w:r>
      <w:r>
        <w:rPr>
          <w:rFonts w:cs="Arial"/>
          <w:lang w:val="it-IT"/>
        </w:rPr>
        <w:t xml:space="preserve">trodurre nuove incompatibilità </w:t>
      </w:r>
      <w:r w:rsidRPr="00AD42DC">
        <w:rPr>
          <w:rFonts w:cs="Arial"/>
          <w:lang w:val="it-IT"/>
        </w:rPr>
        <w:t>che</w:t>
      </w:r>
      <w:r>
        <w:rPr>
          <w:rFonts w:cs="Arial"/>
          <w:lang w:val="it-IT"/>
        </w:rPr>
        <w:t>, sempre a nostro avviso,</w:t>
      </w:r>
      <w:r w:rsidRPr="00AD42DC">
        <w:rPr>
          <w:rFonts w:cs="Arial"/>
          <w:lang w:val="it-IT"/>
        </w:rPr>
        <w:t xml:space="preserve"> andrebbero limitate alle sole situazioni in cui un eventua</w:t>
      </w:r>
      <w:r>
        <w:rPr>
          <w:rFonts w:cs="Arial"/>
          <w:lang w:val="it-IT"/>
        </w:rPr>
        <w:t>le conflitto di interessi potrebbe</w:t>
      </w:r>
      <w:r w:rsidRPr="00AD42DC">
        <w:rPr>
          <w:rFonts w:cs="Arial"/>
          <w:lang w:val="it-IT"/>
        </w:rPr>
        <w:t xml:space="preserve"> effettivamente manifestarsi;</w:t>
      </w:r>
    </w:p>
    <w:p w:rsidR="005C535A" w:rsidRPr="00DF6DD1" w:rsidRDefault="005C535A" w:rsidP="006473E5">
      <w:pPr>
        <w:widowControl w:val="0"/>
        <w:tabs>
          <w:tab w:val="left" w:pos="426"/>
        </w:tabs>
        <w:autoSpaceDE w:val="0"/>
        <w:autoSpaceDN w:val="0"/>
        <w:adjustRightInd w:val="0"/>
        <w:spacing w:before="80"/>
        <w:ind w:left="425" w:hanging="425"/>
        <w:rPr>
          <w:rFonts w:cs="Arial"/>
          <w:lang w:val="it-IT"/>
        </w:rPr>
      </w:pPr>
      <w:r>
        <w:rPr>
          <w:rFonts w:cs="Arial"/>
          <w:lang w:val="it-IT"/>
        </w:rPr>
        <w:t>2.</w:t>
      </w:r>
      <w:r>
        <w:rPr>
          <w:rFonts w:cs="Arial"/>
          <w:lang w:val="it-IT"/>
        </w:rPr>
        <w:tab/>
      </w:r>
      <w:r w:rsidRPr="00DF6DD1">
        <w:rPr>
          <w:rFonts w:cs="Arial"/>
          <w:lang w:val="it-IT"/>
        </w:rPr>
        <w:t>nel caso in oggetto, non si tratta affatto di compiti "in rotta di collisione", da cui potrebbero scaturire eventuali conflitti d'interesse. Infatti il Presidente ha il compito di dirigere le sedute e di rappresentare il Legislativo in determinate manifestazioni ufficiali a cui viene invitato. Le Commissioni, per contro, hanno essenzialmente il compito di dare al Gran C</w:t>
      </w:r>
      <w:r>
        <w:rPr>
          <w:rFonts w:cs="Arial"/>
          <w:lang w:val="it-IT"/>
        </w:rPr>
        <w:t>onsiglio il loro preavviso sui m</w:t>
      </w:r>
      <w:r w:rsidRPr="00DF6DD1">
        <w:rPr>
          <w:rFonts w:cs="Arial"/>
          <w:lang w:val="it-IT"/>
        </w:rPr>
        <w:t>essaggi proposti dal Consiglio di Stato;</w:t>
      </w:r>
    </w:p>
    <w:p w:rsidR="005C535A" w:rsidRPr="00DF6DD1" w:rsidRDefault="005C535A" w:rsidP="006473E5">
      <w:pPr>
        <w:widowControl w:val="0"/>
        <w:tabs>
          <w:tab w:val="left" w:pos="426"/>
        </w:tabs>
        <w:autoSpaceDE w:val="0"/>
        <w:autoSpaceDN w:val="0"/>
        <w:adjustRightInd w:val="0"/>
        <w:spacing w:before="80"/>
        <w:ind w:left="425" w:hanging="425"/>
        <w:rPr>
          <w:rFonts w:cs="Arial"/>
          <w:lang w:val="it-IT"/>
        </w:rPr>
      </w:pPr>
      <w:r>
        <w:rPr>
          <w:rFonts w:cs="Arial"/>
          <w:lang w:val="it-IT"/>
        </w:rPr>
        <w:t>3.</w:t>
      </w:r>
      <w:r>
        <w:rPr>
          <w:rFonts w:cs="Arial"/>
          <w:lang w:val="it-IT"/>
        </w:rPr>
        <w:tab/>
        <w:t>l</w:t>
      </w:r>
      <w:r w:rsidRPr="00DF6DD1">
        <w:rPr>
          <w:rFonts w:cs="Arial"/>
          <w:lang w:val="it-IT"/>
        </w:rPr>
        <w:t xml:space="preserve">a carica di Presidente dura peraltro un solo anno, mentre le Commissioni sono designate all'inizio della legislatura, e i membri nominati ne fanno parte, di regola, per l'intera durata della stessa, ovvero per quattro anni; </w:t>
      </w:r>
    </w:p>
    <w:p w:rsidR="005C535A" w:rsidRPr="00DF6DD1" w:rsidRDefault="005C535A" w:rsidP="006473E5">
      <w:pPr>
        <w:widowControl w:val="0"/>
        <w:tabs>
          <w:tab w:val="left" w:pos="426"/>
        </w:tabs>
        <w:autoSpaceDE w:val="0"/>
        <w:autoSpaceDN w:val="0"/>
        <w:adjustRightInd w:val="0"/>
        <w:spacing w:before="80"/>
        <w:ind w:left="425" w:hanging="425"/>
        <w:rPr>
          <w:rFonts w:cs="Arial"/>
          <w:lang w:val="it-IT"/>
        </w:rPr>
      </w:pPr>
      <w:r>
        <w:rPr>
          <w:rFonts w:cs="Arial"/>
          <w:lang w:val="it-IT"/>
        </w:rPr>
        <w:t>4.</w:t>
      </w:r>
      <w:r>
        <w:rPr>
          <w:rFonts w:cs="Arial"/>
          <w:lang w:val="it-IT"/>
        </w:rPr>
        <w:tab/>
        <w:t>c</w:t>
      </w:r>
      <w:r w:rsidRPr="00DF6DD1">
        <w:rPr>
          <w:rFonts w:cs="Arial"/>
          <w:lang w:val="it-IT"/>
        </w:rPr>
        <w:t>he poi gli interessati possano decidere di lasciare l'ev</w:t>
      </w:r>
      <w:r>
        <w:rPr>
          <w:rFonts w:cs="Arial"/>
          <w:lang w:val="it-IT"/>
        </w:rPr>
        <w:t>entuale "doppio ruolo"</w:t>
      </w:r>
      <w:r w:rsidRPr="00DF6DD1">
        <w:rPr>
          <w:rFonts w:cs="Arial"/>
          <w:lang w:val="it-IT"/>
        </w:rPr>
        <w:t xml:space="preserve"> va ovviamente da sé, ma non ci sembra il caso di imporre una scelta derivante semmai da valutazioni di tipo personale o di </w:t>
      </w:r>
      <w:r>
        <w:rPr>
          <w:rFonts w:cs="Arial"/>
          <w:lang w:val="it-IT"/>
        </w:rPr>
        <w:t>g</w:t>
      </w:r>
      <w:r w:rsidRPr="00DF6DD1">
        <w:rPr>
          <w:rFonts w:cs="Arial"/>
          <w:lang w:val="it-IT"/>
        </w:rPr>
        <w:t xml:space="preserve">ruppo; </w:t>
      </w:r>
    </w:p>
    <w:p w:rsidR="005C535A" w:rsidRPr="00DF6DD1" w:rsidRDefault="005C535A" w:rsidP="006473E5">
      <w:pPr>
        <w:widowControl w:val="0"/>
        <w:tabs>
          <w:tab w:val="left" w:pos="426"/>
        </w:tabs>
        <w:autoSpaceDE w:val="0"/>
        <w:autoSpaceDN w:val="0"/>
        <w:adjustRightInd w:val="0"/>
        <w:spacing w:before="80"/>
        <w:ind w:left="425" w:hanging="425"/>
        <w:rPr>
          <w:rFonts w:cs="Arial"/>
          <w:lang w:val="it-IT"/>
        </w:rPr>
      </w:pPr>
      <w:r>
        <w:rPr>
          <w:rFonts w:cs="Arial"/>
          <w:lang w:val="it-IT"/>
        </w:rPr>
        <w:t>5.</w:t>
      </w:r>
      <w:r>
        <w:rPr>
          <w:rFonts w:cs="Arial"/>
          <w:lang w:val="it-IT"/>
        </w:rPr>
        <w:tab/>
      </w:r>
      <w:r w:rsidRPr="00DF6DD1">
        <w:rPr>
          <w:rFonts w:cs="Arial"/>
          <w:lang w:val="it-IT"/>
        </w:rPr>
        <w:t xml:space="preserve">la designazione dei membri delle Commissioni sottostà infine a una decisione autonoma dei </w:t>
      </w:r>
      <w:r>
        <w:rPr>
          <w:rFonts w:cs="Arial"/>
          <w:lang w:val="it-IT"/>
        </w:rPr>
        <w:t>g</w:t>
      </w:r>
      <w:r w:rsidRPr="00DF6DD1">
        <w:rPr>
          <w:rFonts w:cs="Arial"/>
          <w:lang w:val="it-IT"/>
        </w:rPr>
        <w:t>ruppi parlamentari; subordinarla a condizioni come quelle proposte nell'iniziativa in oggetto, significherebbe ridurne l'autonomia, il che appare perlomeno inopportuno.</w:t>
      </w:r>
    </w:p>
    <w:p w:rsidR="005C535A" w:rsidRPr="006473E5" w:rsidRDefault="005C535A" w:rsidP="005C535A">
      <w:pPr>
        <w:widowControl w:val="0"/>
        <w:autoSpaceDE w:val="0"/>
        <w:autoSpaceDN w:val="0"/>
        <w:adjustRightInd w:val="0"/>
        <w:rPr>
          <w:rFonts w:cs="Arial"/>
          <w:sz w:val="20"/>
          <w:szCs w:val="20"/>
          <w:lang w:val="it-IT"/>
        </w:rPr>
      </w:pPr>
    </w:p>
    <w:p w:rsidR="005C535A" w:rsidRPr="00DF6DD1" w:rsidRDefault="005C535A" w:rsidP="005C535A">
      <w:pPr>
        <w:widowControl w:val="0"/>
        <w:autoSpaceDE w:val="0"/>
        <w:autoSpaceDN w:val="0"/>
        <w:adjustRightInd w:val="0"/>
        <w:rPr>
          <w:rFonts w:cs="Arial"/>
          <w:lang w:val="it-IT"/>
        </w:rPr>
      </w:pPr>
      <w:r w:rsidRPr="00DF6DD1">
        <w:rPr>
          <w:rFonts w:cs="Arial"/>
          <w:lang w:val="it-IT"/>
        </w:rPr>
        <w:t>Per quanto riguarda infine la proposta incompatibilità fra la carica di Presidente e quella di capogruppo, ricordiamo che il Presidente, di re</w:t>
      </w:r>
      <w:r>
        <w:rPr>
          <w:rFonts w:cs="Arial"/>
          <w:lang w:val="it-IT"/>
        </w:rPr>
        <w:t>gola, né partecipa ai dibattiti</w:t>
      </w:r>
      <w:r w:rsidRPr="00DF6DD1">
        <w:rPr>
          <w:rFonts w:cs="Arial"/>
          <w:lang w:val="it-IT"/>
        </w:rPr>
        <w:t xml:space="preserve"> né vota. Non sarebbe quindi nell'interesse di nessun </w:t>
      </w:r>
      <w:r>
        <w:rPr>
          <w:rFonts w:cs="Arial"/>
          <w:lang w:val="it-IT"/>
        </w:rPr>
        <w:t>g</w:t>
      </w:r>
      <w:r w:rsidRPr="00DF6DD1">
        <w:rPr>
          <w:rFonts w:cs="Arial"/>
          <w:lang w:val="it-IT"/>
        </w:rPr>
        <w:t>ruppo privare il proprio rappresentante principale di queste possibilità. Legiferare su situazioni puramente ipotetiche, che non hanno nessuna possibilità di concretizzarsi di fatto, ci sembra pertanto del tutto inutile.</w:t>
      </w:r>
    </w:p>
    <w:p w:rsidR="005C535A" w:rsidRPr="006473E5" w:rsidRDefault="005C535A" w:rsidP="005C535A">
      <w:pPr>
        <w:widowControl w:val="0"/>
        <w:autoSpaceDE w:val="0"/>
        <w:autoSpaceDN w:val="0"/>
        <w:adjustRightInd w:val="0"/>
        <w:rPr>
          <w:rFonts w:cs="Arial"/>
          <w:sz w:val="20"/>
          <w:szCs w:val="20"/>
          <w:lang w:val="it-IT"/>
        </w:rPr>
      </w:pPr>
    </w:p>
    <w:p w:rsidR="005C535A" w:rsidRPr="006473E5" w:rsidRDefault="005C535A" w:rsidP="005C535A">
      <w:pPr>
        <w:widowControl w:val="0"/>
        <w:autoSpaceDE w:val="0"/>
        <w:autoSpaceDN w:val="0"/>
        <w:adjustRightInd w:val="0"/>
        <w:rPr>
          <w:rFonts w:cs="Arial"/>
          <w:sz w:val="20"/>
          <w:szCs w:val="20"/>
          <w:lang w:val="it-IT"/>
        </w:rPr>
      </w:pPr>
    </w:p>
    <w:p w:rsidR="005C535A" w:rsidRPr="006473E5" w:rsidRDefault="005C535A" w:rsidP="005C535A">
      <w:pPr>
        <w:widowControl w:val="0"/>
        <w:autoSpaceDE w:val="0"/>
        <w:autoSpaceDN w:val="0"/>
        <w:adjustRightInd w:val="0"/>
        <w:rPr>
          <w:rFonts w:cs="Arial"/>
          <w:sz w:val="20"/>
          <w:szCs w:val="20"/>
          <w:lang w:val="it-IT"/>
        </w:rPr>
      </w:pPr>
    </w:p>
    <w:p w:rsidR="005C535A" w:rsidRPr="009679AE" w:rsidRDefault="005C535A" w:rsidP="005C535A">
      <w:pPr>
        <w:pStyle w:val="Titolo1"/>
        <w:rPr>
          <w:rFonts w:cs="Arial"/>
        </w:rPr>
      </w:pPr>
      <w:r>
        <w:rPr>
          <w:rFonts w:cs="Arial"/>
        </w:rPr>
        <w:t>CONCLUSIONI</w:t>
      </w:r>
    </w:p>
    <w:p w:rsidR="005C535A" w:rsidRPr="009679AE" w:rsidRDefault="005C535A" w:rsidP="005C535A">
      <w:pPr>
        <w:widowControl w:val="0"/>
        <w:autoSpaceDE w:val="0"/>
        <w:autoSpaceDN w:val="0"/>
        <w:adjustRightInd w:val="0"/>
        <w:spacing w:before="120"/>
        <w:rPr>
          <w:rFonts w:cs="Arial"/>
        </w:rPr>
      </w:pPr>
      <w:r w:rsidRPr="009679AE">
        <w:rPr>
          <w:rFonts w:cs="Arial"/>
        </w:rPr>
        <w:t xml:space="preserve">Per i motivi detti, invitiamo il Gran Consiglio ad archiviare l'iniziativa in parola senza darvi seguito. </w:t>
      </w:r>
    </w:p>
    <w:p w:rsidR="005C535A" w:rsidRDefault="005C535A" w:rsidP="005C535A">
      <w:pPr>
        <w:pStyle w:val="Default"/>
        <w:rPr>
          <w:lang w:val="it-CH"/>
        </w:rPr>
      </w:pPr>
    </w:p>
    <w:p w:rsidR="005C535A" w:rsidRDefault="005C535A" w:rsidP="005C535A">
      <w:pPr>
        <w:pStyle w:val="Default"/>
        <w:rPr>
          <w:lang w:val="it-CH"/>
        </w:rPr>
      </w:pPr>
    </w:p>
    <w:p w:rsidR="005C535A" w:rsidRPr="009679AE" w:rsidRDefault="005C535A" w:rsidP="005C535A">
      <w:pPr>
        <w:pStyle w:val="Default"/>
        <w:rPr>
          <w:lang w:val="it-CH"/>
        </w:rPr>
      </w:pPr>
    </w:p>
    <w:p w:rsidR="005C535A" w:rsidRPr="001C6E74" w:rsidRDefault="005C535A" w:rsidP="005C535A">
      <w:pPr>
        <w:rPr>
          <w:rFonts w:cs="Arial"/>
          <w:lang w:val="it-IT"/>
        </w:rPr>
      </w:pPr>
      <w:r w:rsidRPr="001C6E74">
        <w:rPr>
          <w:rFonts w:cs="Arial"/>
          <w:lang w:val="it-IT"/>
        </w:rPr>
        <w:t xml:space="preserve">Per la </w:t>
      </w:r>
      <w:r>
        <w:rPr>
          <w:rFonts w:cs="Arial"/>
          <w:lang w:val="it-IT"/>
        </w:rPr>
        <w:t>Commissione speciale Costituzione e diritti politici:</w:t>
      </w:r>
    </w:p>
    <w:p w:rsidR="005C535A" w:rsidRPr="009679AE" w:rsidRDefault="005C535A" w:rsidP="005C535A">
      <w:pPr>
        <w:spacing w:before="120"/>
        <w:rPr>
          <w:rFonts w:cs="Arial"/>
          <w:lang w:val="it-IT"/>
        </w:rPr>
      </w:pPr>
      <w:r>
        <w:rPr>
          <w:rFonts w:cs="Arial"/>
          <w:lang w:val="it-IT"/>
        </w:rPr>
        <w:t>Franco Celio, relatore</w:t>
      </w:r>
    </w:p>
    <w:p w:rsidR="006473E5" w:rsidRDefault="006473E5" w:rsidP="006473E5">
      <w:pPr>
        <w:rPr>
          <w:rFonts w:cs="Arial"/>
        </w:rPr>
      </w:pPr>
      <w:r>
        <w:rPr>
          <w:rFonts w:cs="Arial"/>
        </w:rPr>
        <w:t xml:space="preserve">Agustoni - Aldi - Bacchetta-Cattori - Bignasca - </w:t>
      </w:r>
    </w:p>
    <w:p w:rsidR="006473E5" w:rsidRDefault="006473E5" w:rsidP="006473E5">
      <w:pPr>
        <w:rPr>
          <w:rFonts w:cs="Arial"/>
        </w:rPr>
      </w:pPr>
      <w:r>
        <w:rPr>
          <w:rFonts w:cs="Arial"/>
        </w:rPr>
        <w:t xml:space="preserve">Filippini - Käppeli - Lepori - Merlo - Ortelli - </w:t>
      </w:r>
    </w:p>
    <w:p w:rsidR="006473E5" w:rsidRDefault="006473E5" w:rsidP="006473E5">
      <w:pPr>
        <w:rPr>
          <w:rFonts w:cs="Arial"/>
        </w:rPr>
      </w:pPr>
      <w:r>
        <w:rPr>
          <w:rFonts w:cs="Arial"/>
        </w:rPr>
        <w:t>Pedrazzini - Petrini - Quadranti - Viscardi</w:t>
      </w:r>
    </w:p>
    <w:p w:rsidR="00076E70" w:rsidRDefault="00076E70" w:rsidP="00076E70">
      <w:pPr>
        <w:rPr>
          <w:rFonts w:cs="Arial"/>
          <w:szCs w:val="24"/>
        </w:rPr>
      </w:pPr>
    </w:p>
    <w:sectPr w:rsidR="00076E70" w:rsidSect="006473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3B" w:rsidRDefault="00D0103B" w:rsidP="008E77C6">
      <w:r>
        <w:separator/>
      </w:r>
    </w:p>
  </w:endnote>
  <w:endnote w:type="continuationSeparator" w:id="0">
    <w:p w:rsidR="00D0103B" w:rsidRDefault="00D0103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50A31" w:rsidRPr="00750A3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3B" w:rsidRDefault="00D0103B" w:rsidP="008E77C6">
      <w:r>
        <w:separator/>
      </w:r>
    </w:p>
  </w:footnote>
  <w:footnote w:type="continuationSeparator" w:id="0">
    <w:p w:rsidR="00D0103B" w:rsidRDefault="00D0103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FF1"/>
    <w:multiLevelType w:val="hybridMultilevel"/>
    <w:tmpl w:val="DC1E0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86A8D"/>
    <w:rsid w:val="005C535A"/>
    <w:rsid w:val="006473E5"/>
    <w:rsid w:val="006D7A3B"/>
    <w:rsid w:val="007352D3"/>
    <w:rsid w:val="00750A31"/>
    <w:rsid w:val="007B5462"/>
    <w:rsid w:val="008034BD"/>
    <w:rsid w:val="00876352"/>
    <w:rsid w:val="008B2655"/>
    <w:rsid w:val="008B4137"/>
    <w:rsid w:val="008C767A"/>
    <w:rsid w:val="008E77C6"/>
    <w:rsid w:val="009770BB"/>
    <w:rsid w:val="009E008D"/>
    <w:rsid w:val="00A5465F"/>
    <w:rsid w:val="00A77678"/>
    <w:rsid w:val="00BC4C95"/>
    <w:rsid w:val="00BD5944"/>
    <w:rsid w:val="00CF6858"/>
    <w:rsid w:val="00D0103B"/>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5C535A"/>
    <w:pPr>
      <w:widowControl w:val="0"/>
      <w:autoSpaceDE w:val="0"/>
      <w:autoSpaceDN w:val="0"/>
      <w:adjustRightInd w:val="0"/>
      <w:jc w:val="left"/>
    </w:pPr>
    <w:rPr>
      <w:rFonts w:ascii="Arial" w:eastAsiaTheme="minorEastAsia" w:hAnsi="Arial" w:cs="Arial"/>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5C535A"/>
    <w:pPr>
      <w:widowControl w:val="0"/>
      <w:autoSpaceDE w:val="0"/>
      <w:autoSpaceDN w:val="0"/>
      <w:adjustRightInd w:val="0"/>
      <w:jc w:val="left"/>
    </w:pPr>
    <w:rPr>
      <w:rFonts w:ascii="Arial" w:eastAsiaTheme="minorEastAsia"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317A-DC48-4B30-88F4-CCFDA2C0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764</Words>
  <Characters>4359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2019-01-07T10:13:00Z</cp:lastPrinted>
  <dcterms:created xsi:type="dcterms:W3CDTF">2019-01-07T10:06:00Z</dcterms:created>
  <dcterms:modified xsi:type="dcterms:W3CDTF">2019-01-09T11:54:00Z</dcterms:modified>
</cp:coreProperties>
</file>