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DC6776">
      <w:pPr>
        <w:rPr>
          <w:rFonts w:cs="Arial"/>
          <w:sz w:val="20"/>
          <w:szCs w:val="20"/>
        </w:rPr>
      </w:pPr>
      <w:r w:rsidRPr="00A13E93">
        <w:rPr>
          <w:rFonts w:ascii="Gill Sans MT" w:hAnsi="Gill Sans MT"/>
          <w:b/>
          <w:sz w:val="52"/>
          <w:szCs w:val="52"/>
        </w:rPr>
        <w:t>Rapporto</w:t>
      </w:r>
    </w:p>
    <w:p w:rsidR="008B4137" w:rsidRDefault="008B4137" w:rsidP="00076E70"/>
    <w:p w:rsidR="00076E70" w:rsidRDefault="00076E70">
      <w:pPr>
        <w:rPr>
          <w:rFonts w:cs="Arial"/>
          <w:szCs w:val="24"/>
        </w:rPr>
      </w:pPr>
    </w:p>
    <w:p w:rsidR="00260C8C" w:rsidRDefault="0057584D" w:rsidP="00260C8C">
      <w:pPr>
        <w:tabs>
          <w:tab w:val="left" w:pos="2098"/>
          <w:tab w:val="left" w:pos="4933"/>
        </w:tabs>
        <w:rPr>
          <w:rFonts w:cs="Arial"/>
          <w:szCs w:val="24"/>
        </w:rPr>
      </w:pPr>
      <w:r>
        <w:rPr>
          <w:rFonts w:cs="Arial"/>
          <w:b/>
          <w:sz w:val="32"/>
          <w:szCs w:val="32"/>
        </w:rPr>
        <w:t>7625</w:t>
      </w:r>
      <w:r w:rsidR="00260C8C" w:rsidRPr="008B4137">
        <w:rPr>
          <w:rFonts w:cs="Arial"/>
          <w:b/>
          <w:sz w:val="32"/>
          <w:szCs w:val="32"/>
        </w:rPr>
        <w:t xml:space="preserve"> R</w:t>
      </w:r>
      <w:r w:rsidR="00260C8C" w:rsidRPr="008B4137">
        <w:rPr>
          <w:rFonts w:cs="Arial"/>
          <w:sz w:val="28"/>
          <w:szCs w:val="28"/>
        </w:rPr>
        <w:tab/>
      </w:r>
      <w:r>
        <w:rPr>
          <w:rFonts w:cs="Arial"/>
          <w:sz w:val="28"/>
          <w:szCs w:val="28"/>
        </w:rPr>
        <w:t>19 febbraio 2019</w:t>
      </w:r>
      <w:r w:rsidR="00260C8C" w:rsidRPr="008B4137">
        <w:rPr>
          <w:rFonts w:cs="Arial"/>
          <w:sz w:val="28"/>
          <w:szCs w:val="28"/>
        </w:rPr>
        <w:tab/>
      </w:r>
      <w:r>
        <w:rPr>
          <w:sz w:val="28"/>
        </w:rPr>
        <w:t>SANITÀ E SOCIALITÀ</w:t>
      </w:r>
    </w:p>
    <w:p w:rsidR="00260C8C" w:rsidRPr="0006584D" w:rsidRDefault="00260C8C" w:rsidP="00260C8C">
      <w:pPr>
        <w:rPr>
          <w:rFonts w:cs="Arial"/>
          <w:sz w:val="20"/>
          <w:szCs w:val="20"/>
        </w:rPr>
      </w:pPr>
    </w:p>
    <w:p w:rsidR="00260C8C" w:rsidRPr="0006584D" w:rsidRDefault="00260C8C" w:rsidP="00260C8C">
      <w:pPr>
        <w:rPr>
          <w:rFonts w:cs="Arial"/>
          <w:sz w:val="20"/>
          <w:szCs w:val="20"/>
        </w:rPr>
      </w:pPr>
    </w:p>
    <w:p w:rsidR="00260C8C" w:rsidRPr="0006584D" w:rsidRDefault="00260C8C" w:rsidP="00260C8C">
      <w:pPr>
        <w:rPr>
          <w:rFonts w:cs="Arial"/>
          <w:sz w:val="20"/>
          <w:szCs w:val="20"/>
        </w:rPr>
      </w:pPr>
    </w:p>
    <w:p w:rsidR="00260C8C" w:rsidRPr="000C4AF4" w:rsidRDefault="00260C8C" w:rsidP="00260C8C">
      <w:pPr>
        <w:rPr>
          <w:rFonts w:cs="Arial"/>
          <w:b/>
          <w:sz w:val="28"/>
          <w:szCs w:val="28"/>
        </w:rPr>
      </w:pPr>
      <w:r w:rsidRPr="000C4AF4">
        <w:rPr>
          <w:rFonts w:cs="Arial"/>
          <w:b/>
          <w:sz w:val="28"/>
          <w:szCs w:val="28"/>
        </w:rPr>
        <w:t xml:space="preserve">della Commissione della </w:t>
      </w:r>
      <w:r w:rsidR="00E505DB" w:rsidRPr="000C4AF4">
        <w:rPr>
          <w:rFonts w:cs="Arial"/>
          <w:b/>
          <w:sz w:val="28"/>
          <w:szCs w:val="28"/>
        </w:rPr>
        <w:t>gestione e delle finanze</w:t>
      </w:r>
    </w:p>
    <w:p w:rsidR="00260C8C" w:rsidRPr="000C4AF4" w:rsidRDefault="001574D7" w:rsidP="00E765A9">
      <w:pPr>
        <w:rPr>
          <w:rFonts w:cs="Arial"/>
          <w:b/>
          <w:sz w:val="28"/>
          <w:szCs w:val="28"/>
        </w:rPr>
      </w:pPr>
      <w:r w:rsidRPr="000C4AF4">
        <w:rPr>
          <w:rFonts w:cs="Arial"/>
          <w:b/>
          <w:sz w:val="28"/>
          <w:szCs w:val="28"/>
        </w:rPr>
        <w:t>sul</w:t>
      </w:r>
      <w:r w:rsidR="00E765A9" w:rsidRPr="000C4AF4">
        <w:rPr>
          <w:rFonts w:cs="Arial"/>
          <w:b/>
          <w:sz w:val="28"/>
          <w:szCs w:val="28"/>
        </w:rPr>
        <w:t xml:space="preserve"> messaggio</w:t>
      </w:r>
      <w:r w:rsidR="007352D3" w:rsidRPr="000C4AF4">
        <w:rPr>
          <w:rFonts w:cs="Arial"/>
          <w:b/>
          <w:sz w:val="28"/>
          <w:szCs w:val="28"/>
        </w:rPr>
        <w:t xml:space="preserve"> </w:t>
      </w:r>
      <w:r w:rsidR="0006584D" w:rsidRPr="000C4AF4">
        <w:rPr>
          <w:rFonts w:cs="Arial"/>
          <w:b/>
          <w:sz w:val="28"/>
          <w:szCs w:val="28"/>
        </w:rPr>
        <w:t xml:space="preserve">22 gennaio 2019 concernente la </w:t>
      </w:r>
      <w:r w:rsidR="0006584D" w:rsidRPr="000C4AF4">
        <w:rPr>
          <w:rFonts w:cs="Calibri"/>
          <w:b/>
          <w:sz w:val="28"/>
          <w:szCs w:val="28"/>
        </w:rPr>
        <w:t xml:space="preserve">concessione al Comune di Mendrisio di un contributo unico a fondo perso di </w:t>
      </w:r>
      <w:proofErr w:type="spellStart"/>
      <w:r w:rsidR="0006584D" w:rsidRPr="000C4AF4">
        <w:rPr>
          <w:rFonts w:cs="Calibri"/>
          <w:b/>
          <w:sz w:val="28"/>
          <w:szCs w:val="28"/>
        </w:rPr>
        <w:t>fr</w:t>
      </w:r>
      <w:proofErr w:type="spellEnd"/>
      <w:r w:rsidR="0006584D" w:rsidRPr="000C4AF4">
        <w:rPr>
          <w:rFonts w:cs="Calibri"/>
          <w:b/>
          <w:sz w:val="28"/>
          <w:szCs w:val="28"/>
        </w:rPr>
        <w:t>. 3'050'000.00 per le opere di ampliamento e ristrutturazione della Casa anziani “Santa Lucia</w:t>
      </w:r>
      <w:r w:rsidR="000C4AF4">
        <w:rPr>
          <w:rFonts w:cs="Calibri"/>
          <w:b/>
          <w:sz w:val="28"/>
          <w:szCs w:val="28"/>
        </w:rPr>
        <w:t>” di Arzo</w:t>
      </w:r>
    </w:p>
    <w:p w:rsidR="00260C8C" w:rsidRPr="0006584D" w:rsidRDefault="00260C8C" w:rsidP="00260C8C">
      <w:pPr>
        <w:rPr>
          <w:rFonts w:cs="Arial"/>
          <w:sz w:val="20"/>
          <w:szCs w:val="20"/>
        </w:rPr>
      </w:pPr>
    </w:p>
    <w:p w:rsidR="00260C8C" w:rsidRPr="0006584D" w:rsidRDefault="00260C8C" w:rsidP="00260C8C">
      <w:pPr>
        <w:rPr>
          <w:rFonts w:cs="Arial"/>
          <w:sz w:val="20"/>
          <w:szCs w:val="20"/>
        </w:rPr>
      </w:pPr>
    </w:p>
    <w:p w:rsidR="00260C8C" w:rsidRPr="0006584D" w:rsidRDefault="00260C8C" w:rsidP="00260C8C">
      <w:pPr>
        <w:rPr>
          <w:rFonts w:cs="Arial"/>
          <w:sz w:val="20"/>
          <w:szCs w:val="20"/>
        </w:rPr>
      </w:pPr>
    </w:p>
    <w:p w:rsidR="0057584D" w:rsidRPr="00BB7632" w:rsidRDefault="0057584D" w:rsidP="0006584D">
      <w:pPr>
        <w:pStyle w:val="Titolo1"/>
      </w:pPr>
      <w:r w:rsidRPr="00BB7632">
        <w:t>Oggetto del messaggio</w:t>
      </w:r>
    </w:p>
    <w:p w:rsidR="0057584D" w:rsidRPr="00BB7632" w:rsidRDefault="0057584D" w:rsidP="0006584D">
      <w:r w:rsidRPr="00BB7632">
        <w:t xml:space="preserve">Con il presente messaggio si chiede l’approvazione di un contributo a fondo perso di </w:t>
      </w:r>
      <w:proofErr w:type="spellStart"/>
      <w:r w:rsidRPr="00BB7632">
        <w:t>fr</w:t>
      </w:r>
      <w:proofErr w:type="spellEnd"/>
      <w:r w:rsidRPr="00BB7632">
        <w:t>. 3'050'000.00 a favore del Comune di Mendrisio per le opere di ampliamento e di ristrutturazione della Casa per anziani “Santa Lucia” di Arzo.</w:t>
      </w:r>
    </w:p>
    <w:p w:rsidR="0057584D" w:rsidRPr="00DC6776" w:rsidRDefault="0057584D" w:rsidP="0006584D">
      <w:pPr>
        <w:rPr>
          <w:sz w:val="20"/>
          <w:szCs w:val="20"/>
          <w:u w:val="single"/>
        </w:rPr>
      </w:pPr>
      <w:bookmarkStart w:id="0" w:name="_GoBack"/>
    </w:p>
    <w:p w:rsidR="0006584D" w:rsidRPr="00DC6776" w:rsidRDefault="0006584D" w:rsidP="0006584D">
      <w:pPr>
        <w:rPr>
          <w:sz w:val="20"/>
          <w:szCs w:val="20"/>
          <w:u w:val="single"/>
        </w:rPr>
      </w:pPr>
    </w:p>
    <w:bookmarkEnd w:id="0"/>
    <w:p w:rsidR="0057584D" w:rsidRPr="00BB7632" w:rsidRDefault="0057584D" w:rsidP="0006584D">
      <w:pPr>
        <w:pStyle w:val="Titolo1"/>
      </w:pPr>
      <w:r w:rsidRPr="00BB7632">
        <w:t>Le tappe del progetto in breve</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 xml:space="preserve">18.10.2010: messaggio n. 3/2010 della Delegazione consortile, “Casa per anziani Santa Lucia”, che descrive il progetto di ampliamento e indica il costo di progettazione di </w:t>
      </w:r>
      <w:proofErr w:type="spellStart"/>
      <w:r w:rsidRPr="0006584D">
        <w:rPr>
          <w:rFonts w:cs="Calibri"/>
          <w:szCs w:val="24"/>
        </w:rPr>
        <w:t>fr</w:t>
      </w:r>
      <w:proofErr w:type="spellEnd"/>
      <w:r w:rsidRPr="0006584D">
        <w:rPr>
          <w:rFonts w:cs="Calibri"/>
          <w:szCs w:val="24"/>
        </w:rPr>
        <w:t>. 340'000.00 e la chiave di ripartizione dell’investimento secondo l’art. 23 dello statuto del Consorzio;</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 xml:space="preserve">12.11.2010: messaggio n. 64/2010 della Città di Mendrisio per la richiesta di un credito di </w:t>
      </w:r>
      <w:proofErr w:type="spellStart"/>
      <w:r w:rsidRPr="0006584D">
        <w:rPr>
          <w:rFonts w:cs="Calibri"/>
          <w:szCs w:val="24"/>
        </w:rPr>
        <w:t>fr</w:t>
      </w:r>
      <w:proofErr w:type="spellEnd"/>
      <w:r w:rsidRPr="0006584D">
        <w:rPr>
          <w:rFonts w:cs="Calibri"/>
          <w:szCs w:val="24"/>
        </w:rPr>
        <w:t>. 222'000.- per la progettazione dell’ampliamento Casa Anziani Santa Lucia;</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 xml:space="preserve">2.3.2012: pubblicazione concorso d’onorario per l’assegnazione del mandato di prestazioni per la progettazione definitiva, progettazione esecutiva e direzione lavori dei lavori di ampliamento e la creazione di un’unità abitativa della Casa per anziani Santa Lucia; al concorso indetto secondo la procedura libera in ambito </w:t>
      </w:r>
      <w:proofErr w:type="spellStart"/>
      <w:r w:rsidRPr="0006584D">
        <w:rPr>
          <w:rFonts w:cs="Calibri"/>
          <w:szCs w:val="24"/>
        </w:rPr>
        <w:t>LCPubb</w:t>
      </w:r>
      <w:proofErr w:type="spellEnd"/>
      <w:r w:rsidRPr="0006584D">
        <w:rPr>
          <w:rFonts w:cs="Calibri"/>
          <w:szCs w:val="24"/>
        </w:rPr>
        <w:t xml:space="preserve"> hanno partecipato 10 progettisti e la gara ha premiato lo studio </w:t>
      </w:r>
      <w:proofErr w:type="spellStart"/>
      <w:r w:rsidRPr="0006584D">
        <w:rPr>
          <w:rFonts w:cs="Calibri"/>
          <w:szCs w:val="24"/>
        </w:rPr>
        <w:t>Anchora</w:t>
      </w:r>
      <w:proofErr w:type="spellEnd"/>
      <w:r w:rsidRPr="0006584D">
        <w:rPr>
          <w:rFonts w:cs="Calibri"/>
          <w:szCs w:val="24"/>
        </w:rPr>
        <w:t xml:space="preserve"> Urban </w:t>
      </w:r>
      <w:proofErr w:type="spellStart"/>
      <w:r w:rsidRPr="0006584D">
        <w:rPr>
          <w:rFonts w:cs="Calibri"/>
          <w:szCs w:val="24"/>
        </w:rPr>
        <w:t>Architects</w:t>
      </w:r>
      <w:proofErr w:type="spellEnd"/>
      <w:r w:rsidRPr="0006584D">
        <w:rPr>
          <w:rFonts w:cs="Calibri"/>
          <w:szCs w:val="24"/>
        </w:rPr>
        <w:t>, Mendrisio consorziato con lo studio di architettura Diego Ostinelli, Chiasso (cfr. aggiornamento preavviso sussidio dell’ULSA, 3.11.2016);</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16.2.2015: pubblicazione della domanda di costruzione per l’ampliamento, la ristrutturazione e la sistemazione esterna al mappale n. 690 RFPD Mendrisio/Sezione Arzo, della Casa per anziani Santa Lucia;</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30.7.2015: complemento atti richiesto dai servizi dell’Amministrazione cantonale;</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14.9.2015: trasmissione complemento atti richiesto dai servizi dell’Amministrazione cantonale relativo all’organizzazione interna degli spazi e la disposizione ai piani;</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19.1.2016: trasmissione complemento atti relativo alla compartimentazione tagliafuoco;</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22.1.2016: preavviso cantonale;</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10.2.2016: licenza edilizia comunale per l’ampliamento, la ristrutturazione e la sistemazione esterna al mappale n. 690 RFPD Mendrisio/Sezione Arzo, della Casa per anziani Santa Lucia;</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lastRenderedPageBreak/>
        <w:t>24.2.2016: inoltro al DSS dell’istanza di finanziamento da parte del Municipio di Mendrisio;</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21.3.2016: conferma da parte del DSS del ricevimento della richiesta e dell’inizio dell’analisi dell’istanza di finanziamento;</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27.6.2016: consegna al DSS delle ulteriori modifiche di progetto richieste dall’Ufficio del medico cantonale e dall’Ufficio della sanità sull’organizzazione interna degli spazi, soprattutto dell’edificio esistente con relativo aggiornamento del preventivo;</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11.10.2016: sollecito da parte della Città di Mendrisio al DSS per l’evasione della richiesta di istanza di finanziamento;</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2.11.2016: trasmissione al DT/USLA di un ulteriore complemento atti relativo alle procedure e al preventivo;</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3.11.2016: aggiornamento del preavviso di sussidio da parte del DT/USLA;</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 xml:space="preserve">10.1.2017: riconoscimento del contributo unico di investimento da parte dell’UACD per un importo di </w:t>
      </w:r>
      <w:proofErr w:type="spellStart"/>
      <w:r w:rsidRPr="0006584D">
        <w:rPr>
          <w:rFonts w:cs="Calibri"/>
          <w:szCs w:val="24"/>
        </w:rPr>
        <w:t>fr</w:t>
      </w:r>
      <w:proofErr w:type="spellEnd"/>
      <w:r w:rsidRPr="0006584D">
        <w:rPr>
          <w:rFonts w:cs="Calibri"/>
          <w:szCs w:val="24"/>
        </w:rPr>
        <w:t>. 3 milioni a fondo perso;</w:t>
      </w:r>
    </w:p>
    <w:p w:rsidR="0057584D" w:rsidRPr="0006584D" w:rsidRDefault="0057584D" w:rsidP="0006584D">
      <w:pPr>
        <w:numPr>
          <w:ilvl w:val="0"/>
          <w:numId w:val="5"/>
        </w:numPr>
        <w:spacing w:before="120"/>
        <w:ind w:left="284" w:hanging="284"/>
        <w:rPr>
          <w:rFonts w:cs="Calibri"/>
          <w:szCs w:val="24"/>
        </w:rPr>
      </w:pPr>
      <w:r w:rsidRPr="0006584D">
        <w:rPr>
          <w:rFonts w:cs="Calibri"/>
          <w:szCs w:val="24"/>
        </w:rPr>
        <w:t xml:space="preserve">4.4.2017: messaggio n. 24/2017 del Comune di Mendrisio concernente la richiesta di un credito di costruzione di </w:t>
      </w:r>
      <w:proofErr w:type="spellStart"/>
      <w:r w:rsidRPr="0006584D">
        <w:rPr>
          <w:rFonts w:cs="Calibri"/>
          <w:szCs w:val="24"/>
        </w:rPr>
        <w:t>fr</w:t>
      </w:r>
      <w:proofErr w:type="spellEnd"/>
      <w:r w:rsidRPr="0006584D">
        <w:rPr>
          <w:rFonts w:cs="Calibri"/>
          <w:szCs w:val="24"/>
        </w:rPr>
        <w:t>. 8'515'000.00 per l’ampliamento e la ristrutturazione della Casa per anziani Santa Lucia, Arzo; nel frattempo approvato dal legislativo comunale.</w:t>
      </w:r>
    </w:p>
    <w:p w:rsidR="0057584D" w:rsidRDefault="0057584D" w:rsidP="0057584D">
      <w:pPr>
        <w:rPr>
          <w:rFonts w:cs="Calibri"/>
          <w:sz w:val="28"/>
        </w:rPr>
      </w:pPr>
    </w:p>
    <w:p w:rsidR="0006584D" w:rsidRPr="00BB7632" w:rsidRDefault="0006584D" w:rsidP="0057584D">
      <w:pPr>
        <w:rPr>
          <w:rFonts w:cs="Calibri"/>
          <w:sz w:val="28"/>
        </w:rPr>
      </w:pPr>
    </w:p>
    <w:p w:rsidR="0057584D" w:rsidRPr="00BB7632" w:rsidRDefault="0057584D" w:rsidP="0006584D">
      <w:pPr>
        <w:pStyle w:val="Titolo1"/>
      </w:pPr>
      <w:r w:rsidRPr="00BB7632">
        <w:t>Capacità dell’istituto e compatibilità con la pianificazione settoriale</w:t>
      </w:r>
    </w:p>
    <w:p w:rsidR="0057584D" w:rsidRPr="00BB7632" w:rsidRDefault="0057584D" w:rsidP="0006584D">
      <w:r w:rsidRPr="00BB7632">
        <w:t xml:space="preserve">L’istituto dispone oggi di 48 posti letto. </w:t>
      </w:r>
      <w:r w:rsidRPr="00FC7AEB">
        <w:t>In precedenza,</w:t>
      </w:r>
      <w:r w:rsidRPr="00BB7632">
        <w:t xml:space="preserve"> era autorizzata per 15 posti CAT/STT e 33 per lungo degenza. Di fronte a una dichiarata necessità da parte di istituti nella regione di disporre in tempi brevi di posti dedicati alla degenza post-acuta, </w:t>
      </w:r>
      <w:r w:rsidRPr="00FC7AEB">
        <w:t>tenuto</w:t>
      </w:r>
      <w:r w:rsidRPr="00BB7632">
        <w:t xml:space="preserve"> conto che i RAMI previsti dalla pianificazione ospedaliera all’ORBV sarebbero stati operativi solo tra qualche anno, il CdS con risoluzione 26.9.2018 ha accordato di convertire 5 posti letto da soggiorni di lunga degenza a soggiorni CAT/STT.</w:t>
      </w:r>
    </w:p>
    <w:p w:rsidR="0057584D" w:rsidRPr="00BB7632" w:rsidRDefault="0057584D" w:rsidP="0006584D"/>
    <w:p w:rsidR="0057584D" w:rsidRPr="00BB7632" w:rsidRDefault="0057584D" w:rsidP="0006584D">
      <w:r w:rsidRPr="00BB7632">
        <w:t>Ultimati i lavori la Casa anziani Santa Lucia di Arzo disporrà di +20 posti letto per un totale di 68 che saranno così suddivisi.</w:t>
      </w:r>
    </w:p>
    <w:p w:rsidR="0057584D" w:rsidRPr="00BB7632" w:rsidRDefault="0057584D" w:rsidP="0006584D">
      <w:pPr>
        <w:rPr>
          <w:highlight w:val="yellow"/>
          <w:lang w:val="it-IT"/>
        </w:rPr>
      </w:pPr>
    </w:p>
    <w:tbl>
      <w:tblPr>
        <w:tblW w:w="5000" w:type="pct"/>
        <w:tblCellMar>
          <w:left w:w="70" w:type="dxa"/>
          <w:right w:w="70" w:type="dxa"/>
        </w:tblCellMar>
        <w:tblLook w:val="04A0" w:firstRow="1" w:lastRow="0" w:firstColumn="1" w:lastColumn="0" w:noHBand="0" w:noVBand="1"/>
      </w:tblPr>
      <w:tblGrid>
        <w:gridCol w:w="2235"/>
        <w:gridCol w:w="1146"/>
        <w:gridCol w:w="1369"/>
        <w:gridCol w:w="1107"/>
        <w:gridCol w:w="1408"/>
        <w:gridCol w:w="1107"/>
        <w:gridCol w:w="1406"/>
      </w:tblGrid>
      <w:tr w:rsidR="0057584D" w:rsidRPr="0006584D" w:rsidTr="008A6D59">
        <w:trPr>
          <w:trHeight w:val="285"/>
        </w:trPr>
        <w:tc>
          <w:tcPr>
            <w:tcW w:w="1143" w:type="pct"/>
            <w:tcBorders>
              <w:top w:val="nil"/>
              <w:left w:val="nil"/>
              <w:bottom w:val="nil"/>
              <w:right w:val="nil"/>
            </w:tcBorders>
            <w:shd w:val="clear" w:color="auto" w:fill="auto"/>
            <w:noWrap/>
            <w:vAlign w:val="bottom"/>
            <w:hideMark/>
          </w:tcPr>
          <w:p w:rsidR="0057584D" w:rsidRPr="0006584D" w:rsidRDefault="0057584D" w:rsidP="008A6D59">
            <w:pPr>
              <w:rPr>
                <w:rFonts w:cs="Calibri"/>
                <w:color w:val="000000"/>
                <w:sz w:val="22"/>
                <w:lang w:val="it-IT"/>
              </w:rPr>
            </w:pPr>
          </w:p>
        </w:tc>
        <w:tc>
          <w:tcPr>
            <w:tcW w:w="128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ESISTENTE</w:t>
            </w:r>
          </w:p>
        </w:tc>
        <w:tc>
          <w:tcPr>
            <w:tcW w:w="1286" w:type="pct"/>
            <w:gridSpan w:val="2"/>
            <w:tcBorders>
              <w:top w:val="single" w:sz="4" w:space="0" w:color="auto"/>
              <w:left w:val="nil"/>
              <w:bottom w:val="single" w:sz="4" w:space="0" w:color="auto"/>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AMPLIAMENTO </w:t>
            </w:r>
          </w:p>
        </w:tc>
        <w:tc>
          <w:tcPr>
            <w:tcW w:w="128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TOTALE</w:t>
            </w:r>
          </w:p>
        </w:tc>
      </w:tr>
      <w:tr w:rsidR="0057584D" w:rsidRPr="0006584D" w:rsidTr="008A6D59">
        <w:trPr>
          <w:trHeight w:val="285"/>
        </w:trPr>
        <w:tc>
          <w:tcPr>
            <w:tcW w:w="1143" w:type="pct"/>
            <w:tcBorders>
              <w:top w:val="nil"/>
              <w:left w:val="nil"/>
              <w:bottom w:val="nil"/>
              <w:right w:val="nil"/>
            </w:tcBorders>
            <w:shd w:val="clear" w:color="auto" w:fill="auto"/>
            <w:noWrap/>
            <w:vAlign w:val="bottom"/>
            <w:hideMark/>
          </w:tcPr>
          <w:p w:rsidR="0057584D" w:rsidRPr="0006584D" w:rsidRDefault="0057584D" w:rsidP="008A6D59">
            <w:pPr>
              <w:rPr>
                <w:rFonts w:cs="Calibri"/>
                <w:color w:val="000000"/>
                <w:sz w:val="22"/>
                <w:lang w:val="it-IT"/>
              </w:rPr>
            </w:pP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camere</w:t>
            </w:r>
          </w:p>
        </w:tc>
        <w:tc>
          <w:tcPr>
            <w:tcW w:w="700" w:type="pct"/>
            <w:tcBorders>
              <w:top w:val="nil"/>
              <w:left w:val="nil"/>
              <w:bottom w:val="single" w:sz="4" w:space="0" w:color="auto"/>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posti letto</w:t>
            </w:r>
          </w:p>
        </w:tc>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camere</w:t>
            </w:r>
          </w:p>
        </w:tc>
        <w:tc>
          <w:tcPr>
            <w:tcW w:w="720" w:type="pct"/>
            <w:tcBorders>
              <w:top w:val="nil"/>
              <w:left w:val="nil"/>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posti letto</w:t>
            </w:r>
          </w:p>
        </w:tc>
        <w:tc>
          <w:tcPr>
            <w:tcW w:w="566" w:type="pct"/>
            <w:tcBorders>
              <w:top w:val="nil"/>
              <w:left w:val="nil"/>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camere </w:t>
            </w:r>
          </w:p>
        </w:tc>
        <w:tc>
          <w:tcPr>
            <w:tcW w:w="719" w:type="pct"/>
            <w:tcBorders>
              <w:top w:val="nil"/>
              <w:left w:val="nil"/>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posti letto</w:t>
            </w:r>
          </w:p>
        </w:tc>
      </w:tr>
      <w:tr w:rsidR="0057584D" w:rsidRPr="0006584D" w:rsidTr="008A6D59">
        <w:trPr>
          <w:trHeight w:val="285"/>
        </w:trPr>
        <w:tc>
          <w:tcPr>
            <w:tcW w:w="1143" w:type="pct"/>
            <w:tcBorders>
              <w:top w:val="single" w:sz="4" w:space="0" w:color="auto"/>
              <w:left w:val="single" w:sz="4" w:space="0" w:color="auto"/>
              <w:bottom w:val="nil"/>
              <w:right w:val="single" w:sz="4" w:space="0" w:color="auto"/>
            </w:tcBorders>
            <w:shd w:val="clear" w:color="auto" w:fill="auto"/>
            <w:noWrap/>
            <w:vAlign w:val="bottom"/>
            <w:hideMark/>
          </w:tcPr>
          <w:p w:rsidR="0057584D" w:rsidRPr="0006584D" w:rsidRDefault="0057584D" w:rsidP="008A6D59">
            <w:pPr>
              <w:rPr>
                <w:rFonts w:cs="Calibri"/>
                <w:color w:val="000000"/>
                <w:sz w:val="22"/>
                <w:lang w:val="it-IT"/>
              </w:rPr>
            </w:pPr>
            <w:r w:rsidRPr="0006584D">
              <w:rPr>
                <w:rFonts w:cs="Calibri"/>
                <w:color w:val="000000"/>
                <w:sz w:val="22"/>
                <w:lang w:val="it-IT"/>
              </w:rPr>
              <w:t>Livello -1</w:t>
            </w:r>
          </w:p>
        </w:tc>
        <w:tc>
          <w:tcPr>
            <w:tcW w:w="586"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70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72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719"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r>
      <w:tr w:rsidR="0057584D" w:rsidRPr="0006584D" w:rsidTr="008A6D59">
        <w:trPr>
          <w:trHeight w:val="285"/>
        </w:trPr>
        <w:tc>
          <w:tcPr>
            <w:tcW w:w="1143"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rPr>
                <w:rFonts w:cs="Calibri"/>
                <w:color w:val="000000"/>
                <w:sz w:val="22"/>
                <w:lang w:val="it-IT"/>
              </w:rPr>
            </w:pPr>
            <w:r w:rsidRPr="0006584D">
              <w:rPr>
                <w:rFonts w:cs="Calibri"/>
                <w:color w:val="000000"/>
                <w:sz w:val="22"/>
                <w:lang w:val="it-IT"/>
              </w:rPr>
              <w:t>Livello   0</w:t>
            </w:r>
          </w:p>
        </w:tc>
        <w:tc>
          <w:tcPr>
            <w:tcW w:w="586"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70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72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719"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r>
      <w:tr w:rsidR="0057584D" w:rsidRPr="0006584D" w:rsidTr="008A6D59">
        <w:trPr>
          <w:trHeight w:val="285"/>
        </w:trPr>
        <w:tc>
          <w:tcPr>
            <w:tcW w:w="1143"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rPr>
                <w:rFonts w:cs="Calibri"/>
                <w:color w:val="000000"/>
                <w:sz w:val="22"/>
                <w:lang w:val="it-IT"/>
              </w:rPr>
            </w:pPr>
            <w:r w:rsidRPr="0006584D">
              <w:rPr>
                <w:rFonts w:cs="Calibri"/>
                <w:color w:val="000000"/>
                <w:sz w:val="22"/>
                <w:lang w:val="it-IT"/>
              </w:rPr>
              <w:t>Livello +1</w:t>
            </w:r>
          </w:p>
        </w:tc>
        <w:tc>
          <w:tcPr>
            <w:tcW w:w="586"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10</w:t>
            </w:r>
          </w:p>
        </w:tc>
        <w:tc>
          <w:tcPr>
            <w:tcW w:w="70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10</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10</w:t>
            </w:r>
          </w:p>
        </w:tc>
        <w:tc>
          <w:tcPr>
            <w:tcW w:w="72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10</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20</w:t>
            </w:r>
          </w:p>
        </w:tc>
        <w:tc>
          <w:tcPr>
            <w:tcW w:w="719"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20</w:t>
            </w:r>
          </w:p>
        </w:tc>
      </w:tr>
      <w:tr w:rsidR="0057584D" w:rsidRPr="0006584D" w:rsidTr="008A6D59">
        <w:trPr>
          <w:trHeight w:val="285"/>
        </w:trPr>
        <w:tc>
          <w:tcPr>
            <w:tcW w:w="1143"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rPr>
                <w:rFonts w:cs="Calibri"/>
                <w:color w:val="000000"/>
                <w:sz w:val="22"/>
                <w:lang w:val="it-IT"/>
              </w:rPr>
            </w:pPr>
            <w:r w:rsidRPr="0006584D">
              <w:rPr>
                <w:rFonts w:cs="Calibri"/>
                <w:color w:val="000000"/>
                <w:sz w:val="22"/>
                <w:lang w:val="it-IT"/>
              </w:rPr>
              <w:t>Livello +2</w:t>
            </w:r>
          </w:p>
        </w:tc>
        <w:tc>
          <w:tcPr>
            <w:tcW w:w="586"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12</w:t>
            </w:r>
          </w:p>
        </w:tc>
        <w:tc>
          <w:tcPr>
            <w:tcW w:w="70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12</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10</w:t>
            </w:r>
          </w:p>
        </w:tc>
        <w:tc>
          <w:tcPr>
            <w:tcW w:w="72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10</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22</w:t>
            </w:r>
          </w:p>
        </w:tc>
        <w:tc>
          <w:tcPr>
            <w:tcW w:w="719"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22</w:t>
            </w:r>
          </w:p>
        </w:tc>
      </w:tr>
      <w:tr w:rsidR="0057584D" w:rsidRPr="0006584D" w:rsidTr="008A6D59">
        <w:trPr>
          <w:trHeight w:val="285"/>
        </w:trPr>
        <w:tc>
          <w:tcPr>
            <w:tcW w:w="1143"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rPr>
                <w:rFonts w:cs="Calibri"/>
                <w:color w:val="000000"/>
                <w:sz w:val="22"/>
                <w:lang w:val="it-IT"/>
              </w:rPr>
            </w:pPr>
            <w:r w:rsidRPr="0006584D">
              <w:rPr>
                <w:rFonts w:cs="Calibri"/>
                <w:color w:val="000000"/>
                <w:sz w:val="22"/>
                <w:lang w:val="it-IT"/>
              </w:rPr>
              <w:t>Livello +3*</w:t>
            </w:r>
          </w:p>
        </w:tc>
        <w:tc>
          <w:tcPr>
            <w:tcW w:w="586"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10</w:t>
            </w:r>
          </w:p>
        </w:tc>
        <w:tc>
          <w:tcPr>
            <w:tcW w:w="70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10</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72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proofErr w:type="spellStart"/>
            <w:r w:rsidRPr="0006584D">
              <w:rPr>
                <w:rFonts w:cs="Calibri"/>
                <w:color w:val="000000"/>
                <w:sz w:val="22"/>
                <w:lang w:val="it-IT"/>
              </w:rPr>
              <w:t>Alz</w:t>
            </w:r>
            <w:proofErr w:type="spellEnd"/>
            <w:r w:rsidRPr="0006584D">
              <w:rPr>
                <w:rFonts w:cs="Calibri"/>
                <w:color w:val="000000"/>
                <w:sz w:val="22"/>
                <w:lang w:val="it-IT"/>
              </w:rPr>
              <w:t>/10</w:t>
            </w:r>
          </w:p>
        </w:tc>
        <w:tc>
          <w:tcPr>
            <w:tcW w:w="719"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10</w:t>
            </w:r>
          </w:p>
        </w:tc>
      </w:tr>
      <w:tr w:rsidR="0057584D" w:rsidRPr="0006584D" w:rsidTr="008A6D59">
        <w:trPr>
          <w:trHeight w:val="285"/>
        </w:trPr>
        <w:tc>
          <w:tcPr>
            <w:tcW w:w="1143"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rPr>
                <w:rFonts w:cs="Calibri"/>
                <w:color w:val="000000"/>
                <w:sz w:val="22"/>
                <w:lang w:val="it-IT"/>
              </w:rPr>
            </w:pPr>
            <w:r w:rsidRPr="0006584D">
              <w:rPr>
                <w:rFonts w:cs="Calibri"/>
                <w:color w:val="000000"/>
                <w:sz w:val="22"/>
                <w:lang w:val="it-IT"/>
              </w:rPr>
              <w:t>Livello +4</w:t>
            </w:r>
          </w:p>
        </w:tc>
        <w:tc>
          <w:tcPr>
            <w:tcW w:w="586"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CAT/8</w:t>
            </w:r>
          </w:p>
        </w:tc>
        <w:tc>
          <w:tcPr>
            <w:tcW w:w="70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16</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72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CAT/8</w:t>
            </w:r>
          </w:p>
        </w:tc>
        <w:tc>
          <w:tcPr>
            <w:tcW w:w="719"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16</w:t>
            </w:r>
          </w:p>
        </w:tc>
      </w:tr>
      <w:tr w:rsidR="0057584D" w:rsidRPr="0006584D" w:rsidTr="008A6D59">
        <w:trPr>
          <w:trHeight w:val="285"/>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rsidR="0057584D" w:rsidRPr="0006584D" w:rsidRDefault="0057584D" w:rsidP="008A6D59">
            <w:pPr>
              <w:rPr>
                <w:rFonts w:cs="Calibri"/>
                <w:color w:val="000000"/>
                <w:sz w:val="22"/>
                <w:lang w:val="it-IT"/>
              </w:rPr>
            </w:pPr>
            <w:r w:rsidRPr="0006584D">
              <w:rPr>
                <w:rFonts w:cs="Calibri"/>
                <w:color w:val="000000"/>
                <w:sz w:val="22"/>
                <w:lang w:val="it-IT"/>
              </w:rPr>
              <w:t>Livello +5</w:t>
            </w:r>
          </w:p>
        </w:tc>
        <w:tc>
          <w:tcPr>
            <w:tcW w:w="586" w:type="pct"/>
            <w:tcBorders>
              <w:top w:val="nil"/>
              <w:left w:val="nil"/>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700" w:type="pct"/>
            <w:tcBorders>
              <w:top w:val="nil"/>
              <w:left w:val="nil"/>
              <w:bottom w:val="single" w:sz="4" w:space="0" w:color="auto"/>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720" w:type="pct"/>
            <w:tcBorders>
              <w:top w:val="nil"/>
              <w:left w:val="nil"/>
              <w:bottom w:val="single" w:sz="4" w:space="0" w:color="auto"/>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c>
          <w:tcPr>
            <w:tcW w:w="719" w:type="pct"/>
            <w:tcBorders>
              <w:top w:val="nil"/>
              <w:left w:val="nil"/>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w:t>
            </w:r>
          </w:p>
        </w:tc>
      </w:tr>
      <w:tr w:rsidR="0057584D" w:rsidRPr="0006584D" w:rsidTr="008A6D59">
        <w:trPr>
          <w:trHeight w:val="285"/>
        </w:trPr>
        <w:tc>
          <w:tcPr>
            <w:tcW w:w="1143"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rPr>
                <w:rFonts w:cs="Calibri"/>
                <w:color w:val="000000"/>
                <w:sz w:val="22"/>
                <w:lang w:val="it-IT"/>
              </w:rPr>
            </w:pPr>
            <w:r w:rsidRPr="0006584D">
              <w:rPr>
                <w:rFonts w:cs="Calibri"/>
                <w:color w:val="000000"/>
                <w:sz w:val="22"/>
                <w:lang w:val="it-IT"/>
              </w:rPr>
              <w:t>Lungo degenti</w:t>
            </w:r>
          </w:p>
        </w:tc>
        <w:tc>
          <w:tcPr>
            <w:tcW w:w="586"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32</w:t>
            </w:r>
          </w:p>
        </w:tc>
        <w:tc>
          <w:tcPr>
            <w:tcW w:w="70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32</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w:t>
            </w:r>
          </w:p>
        </w:tc>
        <w:tc>
          <w:tcPr>
            <w:tcW w:w="72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10 </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42</w:t>
            </w:r>
          </w:p>
        </w:tc>
        <w:tc>
          <w:tcPr>
            <w:tcW w:w="719"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42</w:t>
            </w:r>
          </w:p>
        </w:tc>
      </w:tr>
      <w:tr w:rsidR="0057584D" w:rsidRPr="0006584D" w:rsidTr="008A6D59">
        <w:trPr>
          <w:trHeight w:val="285"/>
        </w:trPr>
        <w:tc>
          <w:tcPr>
            <w:tcW w:w="1143"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rPr>
                <w:rFonts w:cs="Calibri"/>
                <w:color w:val="000000"/>
                <w:sz w:val="22"/>
                <w:lang w:val="it-IT"/>
              </w:rPr>
            </w:pPr>
            <w:r w:rsidRPr="0006584D">
              <w:rPr>
                <w:rFonts w:cs="Calibri"/>
                <w:color w:val="000000"/>
                <w:sz w:val="22"/>
                <w:lang w:val="it-IT"/>
              </w:rPr>
              <w:t>Alzheimer</w:t>
            </w:r>
          </w:p>
        </w:tc>
        <w:tc>
          <w:tcPr>
            <w:tcW w:w="586"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w:t>
            </w:r>
          </w:p>
        </w:tc>
        <w:tc>
          <w:tcPr>
            <w:tcW w:w="70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w:t>
            </w:r>
          </w:p>
        </w:tc>
        <w:tc>
          <w:tcPr>
            <w:tcW w:w="720" w:type="pct"/>
            <w:tcBorders>
              <w:top w:val="nil"/>
              <w:left w:val="nil"/>
              <w:bottom w:val="nil"/>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10</w:t>
            </w:r>
          </w:p>
        </w:tc>
        <w:tc>
          <w:tcPr>
            <w:tcW w:w="566" w:type="pct"/>
            <w:tcBorders>
              <w:top w:val="nil"/>
              <w:left w:val="single" w:sz="4" w:space="0" w:color="auto"/>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xml:space="preserve"> 10 </w:t>
            </w:r>
          </w:p>
        </w:tc>
        <w:tc>
          <w:tcPr>
            <w:tcW w:w="719" w:type="pct"/>
            <w:tcBorders>
              <w:top w:val="nil"/>
              <w:left w:val="nil"/>
              <w:bottom w:val="nil"/>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10</w:t>
            </w:r>
          </w:p>
        </w:tc>
      </w:tr>
      <w:tr w:rsidR="0057584D" w:rsidRPr="0006584D" w:rsidTr="008A6D59">
        <w:trPr>
          <w:trHeight w:val="285"/>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rsidR="0057584D" w:rsidRPr="0006584D" w:rsidRDefault="0057584D" w:rsidP="008A6D59">
            <w:pPr>
              <w:rPr>
                <w:rFonts w:cs="Calibri"/>
                <w:color w:val="000000"/>
                <w:sz w:val="22"/>
                <w:lang w:val="it-IT"/>
              </w:rPr>
            </w:pPr>
            <w:r w:rsidRPr="0006584D">
              <w:rPr>
                <w:rFonts w:cs="Calibri"/>
                <w:color w:val="000000"/>
                <w:sz w:val="22"/>
                <w:lang w:val="it-IT"/>
              </w:rPr>
              <w:t>CAT/STT*</w:t>
            </w:r>
          </w:p>
        </w:tc>
        <w:tc>
          <w:tcPr>
            <w:tcW w:w="586" w:type="pct"/>
            <w:tcBorders>
              <w:top w:val="nil"/>
              <w:left w:val="nil"/>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8</w:t>
            </w:r>
          </w:p>
        </w:tc>
        <w:tc>
          <w:tcPr>
            <w:tcW w:w="700" w:type="pct"/>
            <w:tcBorders>
              <w:top w:val="nil"/>
              <w:left w:val="nil"/>
              <w:bottom w:val="single" w:sz="4" w:space="0" w:color="auto"/>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16</w:t>
            </w:r>
          </w:p>
        </w:tc>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w:t>
            </w:r>
          </w:p>
        </w:tc>
        <w:tc>
          <w:tcPr>
            <w:tcW w:w="720" w:type="pct"/>
            <w:tcBorders>
              <w:top w:val="nil"/>
              <w:left w:val="nil"/>
              <w:bottom w:val="single" w:sz="4" w:space="0" w:color="auto"/>
              <w:right w:val="nil"/>
            </w:tcBorders>
            <w:shd w:val="clear" w:color="auto" w:fill="auto"/>
            <w:noWrap/>
            <w:vAlign w:val="bottom"/>
            <w:hideMark/>
          </w:tcPr>
          <w:p w:rsidR="0057584D" w:rsidRPr="0006584D" w:rsidRDefault="0057584D" w:rsidP="008A6D59">
            <w:pPr>
              <w:jc w:val="center"/>
              <w:rPr>
                <w:rFonts w:cs="Calibri"/>
                <w:color w:val="000000"/>
                <w:sz w:val="22"/>
                <w:lang w:val="it-IT"/>
              </w:rPr>
            </w:pPr>
          </w:p>
        </w:tc>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8 </w:t>
            </w:r>
          </w:p>
        </w:tc>
        <w:tc>
          <w:tcPr>
            <w:tcW w:w="719" w:type="pct"/>
            <w:tcBorders>
              <w:top w:val="nil"/>
              <w:left w:val="nil"/>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16</w:t>
            </w:r>
          </w:p>
        </w:tc>
      </w:tr>
      <w:tr w:rsidR="0057584D" w:rsidRPr="0006584D" w:rsidTr="008A6D59">
        <w:trPr>
          <w:trHeight w:val="285"/>
        </w:trPr>
        <w:tc>
          <w:tcPr>
            <w:tcW w:w="11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84D" w:rsidRPr="0006584D" w:rsidRDefault="0057584D" w:rsidP="008A6D59">
            <w:pPr>
              <w:rPr>
                <w:rFonts w:cs="Calibri"/>
                <w:color w:val="000000"/>
                <w:sz w:val="22"/>
                <w:lang w:val="it-IT"/>
              </w:rPr>
            </w:pPr>
            <w:r w:rsidRPr="0006584D">
              <w:rPr>
                <w:rFonts w:cs="Calibri"/>
                <w:color w:val="000000"/>
                <w:sz w:val="22"/>
                <w:lang w:val="it-IT"/>
              </w:rPr>
              <w:t xml:space="preserve">Totale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40</w:t>
            </w:r>
          </w:p>
        </w:tc>
        <w:tc>
          <w:tcPr>
            <w:tcW w:w="700" w:type="pct"/>
            <w:tcBorders>
              <w:top w:val="single" w:sz="4" w:space="0" w:color="auto"/>
              <w:left w:val="nil"/>
              <w:bottom w:val="single" w:sz="4" w:space="0" w:color="auto"/>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48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20</w:t>
            </w:r>
          </w:p>
        </w:tc>
        <w:tc>
          <w:tcPr>
            <w:tcW w:w="720" w:type="pct"/>
            <w:tcBorders>
              <w:top w:val="single" w:sz="4" w:space="0" w:color="auto"/>
              <w:left w:val="nil"/>
              <w:bottom w:val="single" w:sz="4" w:space="0" w:color="auto"/>
              <w:right w:val="nil"/>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20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60</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68</w:t>
            </w:r>
          </w:p>
        </w:tc>
      </w:tr>
    </w:tbl>
    <w:p w:rsidR="0057584D" w:rsidRPr="00BB7632" w:rsidRDefault="0057584D" w:rsidP="0057584D">
      <w:pPr>
        <w:rPr>
          <w:rFonts w:cs="Calibri"/>
          <w:lang w:val="it-IT"/>
        </w:rPr>
      </w:pPr>
    </w:p>
    <w:p w:rsidR="0057584D" w:rsidRPr="0006584D" w:rsidRDefault="0057584D" w:rsidP="0057584D">
      <w:pPr>
        <w:rPr>
          <w:rFonts w:cs="Calibri"/>
          <w:i/>
          <w:sz w:val="20"/>
          <w:szCs w:val="20"/>
          <w:lang w:val="it-IT"/>
        </w:rPr>
      </w:pPr>
      <w:r w:rsidRPr="0006584D">
        <w:rPr>
          <w:rFonts w:cs="Calibri"/>
          <w:i/>
          <w:sz w:val="20"/>
          <w:szCs w:val="20"/>
          <w:lang w:val="it-IT"/>
        </w:rPr>
        <w:t>*compatibilmente con il turn over dei residenti, alcune camere del Livello +3 vengono adibite a CAT/STT, secondo quanto previsto dalla RG del Consiglio di Stato del 26 settembre 2018 (stato: gennaio 2019).</w:t>
      </w:r>
    </w:p>
    <w:p w:rsidR="0057584D" w:rsidRPr="0006584D" w:rsidRDefault="0057584D" w:rsidP="0006584D">
      <w:pPr>
        <w:rPr>
          <w:szCs w:val="24"/>
          <w:lang w:val="it-IT"/>
        </w:rPr>
      </w:pPr>
    </w:p>
    <w:p w:rsidR="0057584D" w:rsidRPr="0006584D" w:rsidRDefault="0057584D" w:rsidP="0006584D">
      <w:pPr>
        <w:rPr>
          <w:szCs w:val="24"/>
        </w:rPr>
      </w:pPr>
      <w:r w:rsidRPr="0006584D">
        <w:rPr>
          <w:szCs w:val="24"/>
        </w:rPr>
        <w:t>A mente dell’esecutivo cantonale “questa iniziativa è in sintonia con la vigente pianificazione settoriale: Pianificazione 2010-2020 della capacità d’accoglienza degli istituti per anziani nel Canton Ticino, approvata dal Parlamento in data 23.9.2013 e con gli intendimenti cantonali indicati nelle Linee direttive 2015-2019, Prima parte, “Bisogni della popolazione e sfida demografica”, area di intervento 2.4 “Servizi e prestazioni per anziani e invalidi” (cfr. comunicato stampa 22.1.2019).</w:t>
      </w:r>
    </w:p>
    <w:p w:rsidR="0057584D" w:rsidRPr="0006584D" w:rsidRDefault="0057584D" w:rsidP="0006584D">
      <w:pPr>
        <w:rPr>
          <w:szCs w:val="24"/>
        </w:rPr>
      </w:pPr>
    </w:p>
    <w:p w:rsidR="0057584D" w:rsidRPr="0006584D" w:rsidRDefault="0057584D" w:rsidP="0006584D">
      <w:pPr>
        <w:rPr>
          <w:szCs w:val="24"/>
        </w:rPr>
      </w:pPr>
      <w:r w:rsidRPr="0006584D">
        <w:rPr>
          <w:szCs w:val="24"/>
        </w:rPr>
        <w:t xml:space="preserve">Nel dicembre 2016 il Consiglio Comunale della Città di Mendrisio ha votato il messaggio municipale 7/2016 riguardante la costituzione dell’Ente autonomo Case per Anziani Mendrisiotto (ECAM), che ha rappresentato un passo importante per la messa in rete delle Case anziani della città </w:t>
      </w:r>
      <w:proofErr w:type="spellStart"/>
      <w:r w:rsidRPr="0006584D">
        <w:rPr>
          <w:szCs w:val="24"/>
        </w:rPr>
        <w:t>Torriani</w:t>
      </w:r>
      <w:proofErr w:type="spellEnd"/>
      <w:r w:rsidRPr="0006584D">
        <w:rPr>
          <w:szCs w:val="24"/>
        </w:rPr>
        <w:t>, Cabrini, Girotondo, Quiete e Santa Lucia. Quest’ultima è l’unica struttura che dispone attualmente e probabilmente anche in futuro di 15 posti letti per soggiorni terapeutici temporanei (</w:t>
      </w:r>
      <w:r w:rsidRPr="0006584D">
        <w:rPr>
          <w:b/>
          <w:szCs w:val="24"/>
        </w:rPr>
        <w:t>CAT</w:t>
      </w:r>
      <w:r w:rsidRPr="0006584D">
        <w:rPr>
          <w:szCs w:val="24"/>
        </w:rPr>
        <w:t>) a disposizione dei pazienti provenienti dall’ospedale per cure post-acute. Nel messaggio si ricordava come nel contesto di quel momento dei servizi a disposizione della popolazione anziana sul territorio di Mendrisio l’intervento di ampliamento della Casa per anziani Santa Lucia fosse necessario e urgente.</w:t>
      </w:r>
    </w:p>
    <w:p w:rsidR="0057584D" w:rsidRPr="0006584D" w:rsidRDefault="0057584D" w:rsidP="0006584D">
      <w:pPr>
        <w:rPr>
          <w:szCs w:val="24"/>
        </w:rPr>
      </w:pPr>
    </w:p>
    <w:p w:rsidR="0057584D" w:rsidRPr="0006584D" w:rsidRDefault="0057584D" w:rsidP="0006584D">
      <w:pPr>
        <w:rPr>
          <w:szCs w:val="24"/>
        </w:rPr>
      </w:pPr>
      <w:r w:rsidRPr="0006584D">
        <w:rPr>
          <w:szCs w:val="24"/>
        </w:rPr>
        <w:t xml:space="preserve">Come già espresso in relazione ai messaggi 7457 del 15 novembre 2017 e 7532 del 2.5.2018 per la concernenti la concessione di contributi unici a fondo perso per le opere di ristrutturazione e ampliamento, </w:t>
      </w:r>
      <w:proofErr w:type="spellStart"/>
      <w:r w:rsidRPr="0006584D">
        <w:rPr>
          <w:szCs w:val="24"/>
        </w:rPr>
        <w:t>risp</w:t>
      </w:r>
      <w:proofErr w:type="spellEnd"/>
      <w:r w:rsidRPr="0006584D">
        <w:rPr>
          <w:szCs w:val="24"/>
        </w:rPr>
        <w:t>. di realizzazione delle case anziani Cottolengo e Ricovero Malcantonese, la Commissione non può che accogliere favorevolmente la realizzazione/il potenziamento di una nuova struttura per la presa a carico della popolazione anziana.</w:t>
      </w:r>
    </w:p>
    <w:p w:rsidR="0057584D" w:rsidRPr="0006584D" w:rsidRDefault="0057584D" w:rsidP="0006584D">
      <w:pPr>
        <w:rPr>
          <w:szCs w:val="24"/>
        </w:rPr>
      </w:pPr>
    </w:p>
    <w:p w:rsidR="0057584D" w:rsidRPr="0006584D" w:rsidRDefault="0057584D" w:rsidP="0006584D">
      <w:pPr>
        <w:rPr>
          <w:szCs w:val="24"/>
        </w:rPr>
      </w:pPr>
      <w:r w:rsidRPr="0006584D">
        <w:rPr>
          <w:szCs w:val="24"/>
        </w:rPr>
        <w:t>Dopo un lungo periodo di profondo torpore sembra che in Ticino vi sia una presa di coscienza sull’importanza di potenziare l’offerta nel settore degli anziani sia dal profilo quantitativo sia dal profilo qualitativo adeguando i servizi all’evoluzione dei bisogni, segnatamente differenziando l’offerta in base alle diverse patologie (demenze senili, morbo di Alzheimer).</w:t>
      </w:r>
    </w:p>
    <w:p w:rsidR="0057584D" w:rsidRPr="0006584D" w:rsidRDefault="0057584D" w:rsidP="0006584D">
      <w:pPr>
        <w:rPr>
          <w:szCs w:val="24"/>
        </w:rPr>
      </w:pPr>
    </w:p>
    <w:p w:rsidR="0057584D" w:rsidRPr="0006584D" w:rsidRDefault="0057584D" w:rsidP="0006584D">
      <w:pPr>
        <w:rPr>
          <w:szCs w:val="24"/>
        </w:rPr>
      </w:pPr>
      <w:r w:rsidRPr="0006584D">
        <w:rPr>
          <w:szCs w:val="24"/>
        </w:rPr>
        <w:t xml:space="preserve">In questo senso, accanto al progetto oggetto della presente domanda di finanziamento, altri ne stanno venendo alla luce, o sono stati recentemente realizzati: citiamo per esempio la nuova Casa anziani di Bellinzona “Residenza Pedemonte”, la riattivazione del Centro </w:t>
      </w:r>
      <w:proofErr w:type="spellStart"/>
      <w:r w:rsidRPr="0006584D">
        <w:rPr>
          <w:szCs w:val="24"/>
        </w:rPr>
        <w:t>Somen</w:t>
      </w:r>
      <w:proofErr w:type="spellEnd"/>
      <w:r w:rsidRPr="0006584D">
        <w:rPr>
          <w:szCs w:val="24"/>
        </w:rPr>
        <w:t xml:space="preserve"> a Sementina, le diverse iniziative del Gruppo </w:t>
      </w:r>
      <w:proofErr w:type="spellStart"/>
      <w:r w:rsidRPr="0006584D">
        <w:rPr>
          <w:szCs w:val="24"/>
        </w:rPr>
        <w:t>Tertianum</w:t>
      </w:r>
      <w:proofErr w:type="spellEnd"/>
      <w:r w:rsidRPr="0006584D">
        <w:rPr>
          <w:szCs w:val="24"/>
        </w:rPr>
        <w:t xml:space="preserve">, la prevista ristrutturazione della casa per anziani “Cottolengo” e la prospettata realizzazione del centro polivalente per anziani a </w:t>
      </w:r>
      <w:proofErr w:type="spellStart"/>
      <w:r w:rsidRPr="0006584D">
        <w:rPr>
          <w:szCs w:val="24"/>
        </w:rPr>
        <w:t>Losone</w:t>
      </w:r>
      <w:proofErr w:type="spellEnd"/>
      <w:r w:rsidRPr="0006584D">
        <w:rPr>
          <w:szCs w:val="24"/>
        </w:rPr>
        <w:t>.</w:t>
      </w:r>
    </w:p>
    <w:p w:rsidR="0057584D" w:rsidRPr="0006584D" w:rsidRDefault="0057584D" w:rsidP="0006584D">
      <w:pPr>
        <w:rPr>
          <w:szCs w:val="24"/>
        </w:rPr>
      </w:pPr>
    </w:p>
    <w:p w:rsidR="0057584D" w:rsidRPr="0006584D" w:rsidRDefault="0057584D" w:rsidP="0006584D">
      <w:pPr>
        <w:rPr>
          <w:szCs w:val="24"/>
        </w:rPr>
      </w:pPr>
      <w:r w:rsidRPr="0006584D">
        <w:rPr>
          <w:szCs w:val="24"/>
        </w:rPr>
        <w:t>Tuttavia, non possiamo non mettere in evidenza che a livello politico e di pianificazione strategica vi sia un enorme ritardo (nessuna pianificazione per il 2021-2030) tanto che stiamo approvando crediti per la realizzazione di strutture senza conoscere il reale fabbisogno presente e futuro, né i costi che ne derivano.</w:t>
      </w:r>
    </w:p>
    <w:p w:rsidR="0057584D" w:rsidRPr="0006584D" w:rsidRDefault="0057584D" w:rsidP="0006584D">
      <w:pPr>
        <w:rPr>
          <w:szCs w:val="24"/>
        </w:rPr>
      </w:pPr>
    </w:p>
    <w:p w:rsidR="0057584D" w:rsidRPr="0006584D" w:rsidRDefault="0057584D" w:rsidP="0006584D">
      <w:pPr>
        <w:rPr>
          <w:szCs w:val="24"/>
        </w:rPr>
      </w:pPr>
      <w:r w:rsidRPr="0006584D">
        <w:rPr>
          <w:szCs w:val="24"/>
        </w:rPr>
        <w:t>Infatti, oggi stiamo discutendo il finanziamento di strutture per anziani calibrate sulla “Pianificazione 2010-2020 della capacità d’accoglienza degli istituti per anziani in Ticino”, che oramai risulta essere superata, poiché non più coerente né con l’evoluzione demografica, né con le nuove esigenze di presa a carico.</w:t>
      </w:r>
    </w:p>
    <w:p w:rsidR="0057584D" w:rsidRPr="0006584D" w:rsidRDefault="0057584D" w:rsidP="0006584D">
      <w:pPr>
        <w:rPr>
          <w:szCs w:val="24"/>
        </w:rPr>
      </w:pPr>
    </w:p>
    <w:p w:rsidR="0057584D" w:rsidRPr="0006584D" w:rsidRDefault="0057584D" w:rsidP="0006584D">
      <w:pPr>
        <w:rPr>
          <w:szCs w:val="24"/>
        </w:rPr>
      </w:pPr>
      <w:r w:rsidRPr="0006584D">
        <w:rPr>
          <w:szCs w:val="24"/>
        </w:rPr>
        <w:lastRenderedPageBreak/>
        <w:t>In questo settore manca completamente la visione strategica “post 2020”; ciò che fa risultare difficile determinarsi sull’adeguatezza dei progetti sottoposti al Parlamento cantonale per lo stanziamento dei relativi sussidi.</w:t>
      </w:r>
    </w:p>
    <w:p w:rsidR="0057584D" w:rsidRPr="0006584D" w:rsidRDefault="0057584D" w:rsidP="0006584D">
      <w:pPr>
        <w:rPr>
          <w:szCs w:val="24"/>
        </w:rPr>
      </w:pPr>
    </w:p>
    <w:p w:rsidR="0057584D" w:rsidRPr="0006584D" w:rsidRDefault="0057584D" w:rsidP="0006584D">
      <w:pPr>
        <w:rPr>
          <w:szCs w:val="24"/>
        </w:rPr>
      </w:pPr>
      <w:r w:rsidRPr="0006584D">
        <w:rPr>
          <w:szCs w:val="24"/>
        </w:rPr>
        <w:t>Le pianificazioni tecniche devono essere precedute da chiari indirizzi politici. Ricordiamo a questo proposito che la nostra generazione è la prima che dovrà occuparsi degli anziani ultra 85enni. Le statistiche prevedono infatti che oltre 100'000 ticinesi avranno più di 65 anni nel 2030 e che l’8% della popolazione nel 2030 avrà superato gli 85 anni. La piramide demografica si è ribaltata ed è giunto il momento di affrontare i problemi connessi a ciò.</w:t>
      </w:r>
    </w:p>
    <w:p w:rsidR="0057584D" w:rsidRPr="0006584D" w:rsidRDefault="0057584D" w:rsidP="0006584D">
      <w:pPr>
        <w:rPr>
          <w:szCs w:val="24"/>
        </w:rPr>
      </w:pPr>
    </w:p>
    <w:p w:rsidR="0057584D" w:rsidRPr="0006584D" w:rsidRDefault="0057584D" w:rsidP="0006584D">
      <w:pPr>
        <w:rPr>
          <w:szCs w:val="24"/>
        </w:rPr>
      </w:pPr>
      <w:r w:rsidRPr="0006584D">
        <w:rPr>
          <w:szCs w:val="24"/>
        </w:rPr>
        <w:t>La civiltà di un popolo si misura dall’attenzione che sa rivolgere alla parte più debole della popolazione. Il tema degli anziani deve costituire una priorità politica e fondarsi sul principio del mantenimento al domicilio, a cominciare dal favorire occasioni socio ricreative per chi è ancora in grado di partecipare attivamente alla vita sociale, passando dall’assistenza medico-sanitaria capillare sul territorio, al potenziamento delle cure a domicilio e ancora ad un ampio sostegno alle operatrici a domicilio (badanti).</w:t>
      </w:r>
    </w:p>
    <w:p w:rsidR="0057584D" w:rsidRPr="0006584D" w:rsidRDefault="0057584D" w:rsidP="0006584D">
      <w:pPr>
        <w:rPr>
          <w:szCs w:val="24"/>
        </w:rPr>
      </w:pPr>
    </w:p>
    <w:p w:rsidR="0057584D" w:rsidRPr="0006584D" w:rsidRDefault="0057584D" w:rsidP="0006584D">
      <w:pPr>
        <w:rPr>
          <w:szCs w:val="24"/>
        </w:rPr>
      </w:pPr>
      <w:r w:rsidRPr="0006584D">
        <w:rPr>
          <w:szCs w:val="24"/>
        </w:rPr>
        <w:t>Ancora una volta la Commissione torna a dire che non si può prescindere dall’affrontare nell’imminenza una vera e propria riforma nel settore dei servizi agli anziani, partendo dall’elaborazione di un piano specifico relativo all’invecchiamento della popolazione, che affronti l’indispensabile contributo dello Stato per i prossimi 20-40 anni nel risolvere i problemi di presa a carico sociale, economica, sanitaria, assistenziale, abitativa e famigliare. Per fare ciò si dovrà superare il concetto di pianificazione settoriale per affrontare il problema dell’offerta agli anziani in maniera globale e complessiva, coordinando sul territorio gli interventi e le prestazioni in un concetto di rete e di cure integrate (case anziani, CAT, istituti di cura, assistenza al domicilio, badanti, spazi abitativi attrezzati, ecc.).</w:t>
      </w:r>
    </w:p>
    <w:p w:rsidR="0057584D" w:rsidRDefault="0057584D" w:rsidP="0006584D">
      <w:pPr>
        <w:rPr>
          <w:szCs w:val="24"/>
        </w:rPr>
      </w:pPr>
    </w:p>
    <w:p w:rsidR="0006584D" w:rsidRPr="0006584D" w:rsidRDefault="0006584D" w:rsidP="0006584D">
      <w:pPr>
        <w:rPr>
          <w:szCs w:val="24"/>
        </w:rPr>
      </w:pPr>
    </w:p>
    <w:p w:rsidR="0057584D" w:rsidRPr="00BB7632" w:rsidRDefault="0057584D" w:rsidP="0006584D">
      <w:pPr>
        <w:pStyle w:val="Titolo1"/>
      </w:pPr>
      <w:r w:rsidRPr="00BB7632">
        <w:t>Il costo e il contributo cantonale</w:t>
      </w:r>
    </w:p>
    <w:p w:rsidR="0057584D" w:rsidRPr="0006584D" w:rsidRDefault="0057584D" w:rsidP="0057584D">
      <w:pPr>
        <w:rPr>
          <w:rFonts w:cs="Calibri"/>
          <w:szCs w:val="24"/>
          <w:lang w:val="it-IT"/>
        </w:rPr>
      </w:pPr>
      <w:r w:rsidRPr="0006584D">
        <w:rPr>
          <w:rFonts w:cs="Calibri"/>
          <w:szCs w:val="24"/>
          <w:lang w:val="it-IT"/>
        </w:rPr>
        <w:t xml:space="preserve">La realizzazione dei lavori di ristrutturazione e di ampliamento della Casa per anziani Santa Lucia di Arzo secondo l’aggiornamento di preavviso n. 1566 dell’Ufficio di consulenza tecnica e dei lavori sussidiati del 28 giugno 2018 comporta un investimento complessivo arrotondato di </w:t>
      </w:r>
      <w:proofErr w:type="spellStart"/>
      <w:r w:rsidRPr="0006584D">
        <w:rPr>
          <w:rFonts w:cs="Calibri"/>
          <w:szCs w:val="24"/>
          <w:lang w:val="it-IT"/>
        </w:rPr>
        <w:t>Fr</w:t>
      </w:r>
      <w:proofErr w:type="spellEnd"/>
      <w:r w:rsidRPr="0006584D">
        <w:rPr>
          <w:rFonts w:cs="Calibri"/>
          <w:szCs w:val="24"/>
          <w:lang w:val="it-IT"/>
        </w:rPr>
        <w:t>. 8'500'000.00 (IVA 7.7% inclusa), così suddiviso:</w:t>
      </w:r>
    </w:p>
    <w:p w:rsidR="0057584D" w:rsidRPr="0006584D" w:rsidRDefault="0057584D" w:rsidP="0057584D">
      <w:pPr>
        <w:rPr>
          <w:rFonts w:cs="Calibri"/>
          <w:sz w:val="22"/>
          <w:lang w:val="it-IT"/>
        </w:rPr>
      </w:pPr>
    </w:p>
    <w:tbl>
      <w:tblPr>
        <w:tblW w:w="5002" w:type="pct"/>
        <w:tblInd w:w="70" w:type="dxa"/>
        <w:tblLayout w:type="fixed"/>
        <w:tblCellMar>
          <w:left w:w="70" w:type="dxa"/>
          <w:right w:w="70" w:type="dxa"/>
        </w:tblCellMar>
        <w:tblLook w:val="04A0" w:firstRow="1" w:lastRow="0" w:firstColumn="1" w:lastColumn="0" w:noHBand="0" w:noVBand="1"/>
      </w:tblPr>
      <w:tblGrid>
        <w:gridCol w:w="627"/>
        <w:gridCol w:w="3358"/>
        <w:gridCol w:w="1551"/>
        <w:gridCol w:w="1416"/>
        <w:gridCol w:w="1414"/>
        <w:gridCol w:w="1416"/>
      </w:tblGrid>
      <w:tr w:rsidR="0057584D" w:rsidRPr="0006584D" w:rsidTr="008A6D59">
        <w:trPr>
          <w:trHeight w:val="340"/>
        </w:trPr>
        <w:tc>
          <w:tcPr>
            <w:tcW w:w="320" w:type="pct"/>
            <w:shd w:val="clear" w:color="auto" w:fill="auto"/>
            <w:noWrap/>
            <w:vAlign w:val="bottom"/>
            <w:hideMark/>
          </w:tcPr>
          <w:p w:rsidR="0057584D" w:rsidRPr="0006584D" w:rsidRDefault="0057584D" w:rsidP="008A6D59">
            <w:pPr>
              <w:jc w:val="center"/>
              <w:rPr>
                <w:rFonts w:cs="Calibri"/>
                <w:b/>
                <w:bCs/>
                <w:color w:val="000000"/>
                <w:sz w:val="22"/>
                <w:lang w:val="it-IT"/>
              </w:rPr>
            </w:pPr>
            <w:r w:rsidRPr="0006584D">
              <w:rPr>
                <w:rFonts w:cs="Calibri"/>
                <w:b/>
                <w:bCs/>
                <w:color w:val="000000"/>
                <w:sz w:val="22"/>
                <w:lang w:val="it-IT"/>
              </w:rPr>
              <w:t>CCC</w:t>
            </w:r>
          </w:p>
        </w:tc>
        <w:tc>
          <w:tcPr>
            <w:tcW w:w="1716" w:type="pct"/>
            <w:shd w:val="clear" w:color="auto" w:fill="auto"/>
            <w:noWrap/>
            <w:vAlign w:val="bottom"/>
            <w:hideMark/>
          </w:tcPr>
          <w:p w:rsidR="0057584D" w:rsidRPr="0006584D" w:rsidRDefault="0057584D" w:rsidP="008A6D59">
            <w:pPr>
              <w:rPr>
                <w:rFonts w:cs="Calibri"/>
                <w:b/>
                <w:bCs/>
                <w:color w:val="000000"/>
                <w:sz w:val="22"/>
                <w:lang w:val="it-IT"/>
              </w:rPr>
            </w:pPr>
            <w:r w:rsidRPr="0006584D">
              <w:rPr>
                <w:rFonts w:cs="Calibri"/>
                <w:b/>
                <w:bCs/>
                <w:color w:val="000000"/>
                <w:sz w:val="22"/>
                <w:lang w:val="it-IT"/>
              </w:rPr>
              <w:t>GENERE DI LAVORO</w:t>
            </w:r>
          </w:p>
        </w:tc>
        <w:tc>
          <w:tcPr>
            <w:tcW w:w="793" w:type="pct"/>
            <w:shd w:val="clear" w:color="auto" w:fill="auto"/>
            <w:noWrap/>
            <w:vAlign w:val="bottom"/>
            <w:hideMark/>
          </w:tcPr>
          <w:p w:rsidR="0057584D" w:rsidRPr="0006584D" w:rsidRDefault="0057584D" w:rsidP="008A6D59">
            <w:pPr>
              <w:jc w:val="right"/>
              <w:rPr>
                <w:rFonts w:cs="Calibri"/>
                <w:b/>
                <w:bCs/>
                <w:color w:val="000000"/>
                <w:sz w:val="22"/>
                <w:lang w:val="it-IT"/>
              </w:rPr>
            </w:pPr>
            <w:r w:rsidRPr="0006584D">
              <w:rPr>
                <w:rFonts w:cs="Calibri"/>
                <w:b/>
                <w:bCs/>
                <w:color w:val="000000"/>
                <w:sz w:val="22"/>
                <w:lang w:val="it-IT"/>
              </w:rPr>
              <w:t>AMPLIAM.</w:t>
            </w:r>
          </w:p>
        </w:tc>
        <w:tc>
          <w:tcPr>
            <w:tcW w:w="724" w:type="pct"/>
            <w:shd w:val="clear" w:color="auto" w:fill="auto"/>
            <w:noWrap/>
            <w:vAlign w:val="bottom"/>
            <w:hideMark/>
          </w:tcPr>
          <w:p w:rsidR="0057584D" w:rsidRPr="0006584D" w:rsidRDefault="0057584D" w:rsidP="008A6D59">
            <w:pPr>
              <w:jc w:val="right"/>
              <w:rPr>
                <w:rFonts w:cs="Calibri"/>
                <w:b/>
                <w:bCs/>
                <w:color w:val="000000"/>
                <w:sz w:val="22"/>
                <w:lang w:val="it-IT"/>
              </w:rPr>
            </w:pPr>
            <w:r w:rsidRPr="0006584D">
              <w:rPr>
                <w:rFonts w:cs="Calibri"/>
                <w:b/>
                <w:bCs/>
                <w:color w:val="000000"/>
                <w:sz w:val="22"/>
                <w:lang w:val="it-IT"/>
              </w:rPr>
              <w:t xml:space="preserve">ESISTENTE </w:t>
            </w:r>
          </w:p>
        </w:tc>
        <w:tc>
          <w:tcPr>
            <w:tcW w:w="723" w:type="pct"/>
            <w:shd w:val="clear" w:color="auto" w:fill="auto"/>
            <w:noWrap/>
            <w:vAlign w:val="bottom"/>
            <w:hideMark/>
          </w:tcPr>
          <w:p w:rsidR="0057584D" w:rsidRPr="0006584D" w:rsidRDefault="0057584D" w:rsidP="008A6D59">
            <w:pPr>
              <w:jc w:val="right"/>
              <w:rPr>
                <w:rFonts w:cs="Calibri"/>
                <w:b/>
                <w:bCs/>
                <w:color w:val="000000"/>
                <w:sz w:val="22"/>
                <w:lang w:val="it-IT"/>
              </w:rPr>
            </w:pPr>
            <w:r w:rsidRPr="0006584D">
              <w:rPr>
                <w:rFonts w:cs="Calibri"/>
                <w:b/>
                <w:bCs/>
                <w:color w:val="000000"/>
                <w:sz w:val="22"/>
                <w:lang w:val="it-IT"/>
              </w:rPr>
              <w:t>ESTERNO</w:t>
            </w:r>
          </w:p>
        </w:tc>
        <w:tc>
          <w:tcPr>
            <w:tcW w:w="724" w:type="pct"/>
            <w:shd w:val="clear" w:color="auto" w:fill="auto"/>
            <w:noWrap/>
            <w:vAlign w:val="bottom"/>
            <w:hideMark/>
          </w:tcPr>
          <w:p w:rsidR="0057584D" w:rsidRPr="0006584D" w:rsidRDefault="0057584D" w:rsidP="008A6D59">
            <w:pPr>
              <w:jc w:val="right"/>
              <w:rPr>
                <w:rFonts w:cs="Calibri"/>
                <w:b/>
                <w:bCs/>
                <w:color w:val="000000"/>
                <w:sz w:val="22"/>
                <w:lang w:val="it-IT"/>
              </w:rPr>
            </w:pPr>
            <w:r w:rsidRPr="0006584D">
              <w:rPr>
                <w:rFonts w:cs="Calibri"/>
                <w:b/>
                <w:bCs/>
                <w:color w:val="000000"/>
                <w:sz w:val="22"/>
                <w:lang w:val="it-IT"/>
              </w:rPr>
              <w:t>TOTALE</w:t>
            </w:r>
          </w:p>
        </w:tc>
      </w:tr>
      <w:tr w:rsidR="0057584D" w:rsidRPr="0006584D" w:rsidTr="008A6D59">
        <w:trPr>
          <w:trHeight w:val="340"/>
        </w:trPr>
        <w:tc>
          <w:tcPr>
            <w:tcW w:w="320" w:type="pct"/>
            <w:shd w:val="clear" w:color="auto" w:fill="auto"/>
            <w:noWrap/>
            <w:vAlign w:val="center"/>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1</w:t>
            </w:r>
          </w:p>
        </w:tc>
        <w:tc>
          <w:tcPr>
            <w:tcW w:w="1716" w:type="pct"/>
            <w:shd w:val="clear" w:color="auto" w:fill="auto"/>
            <w:noWrap/>
            <w:vAlign w:val="center"/>
            <w:hideMark/>
          </w:tcPr>
          <w:p w:rsidR="0057584D" w:rsidRPr="0006584D" w:rsidRDefault="0057584D" w:rsidP="008A6D59">
            <w:pPr>
              <w:rPr>
                <w:rFonts w:cs="Calibri"/>
                <w:color w:val="000000"/>
                <w:sz w:val="22"/>
                <w:lang w:val="it-IT"/>
              </w:rPr>
            </w:pPr>
            <w:r w:rsidRPr="0006584D">
              <w:rPr>
                <w:rFonts w:cs="Calibri"/>
                <w:color w:val="000000"/>
                <w:sz w:val="22"/>
                <w:lang w:val="it-IT"/>
              </w:rPr>
              <w:t>LAVORI PRELIMINARI</w:t>
            </w:r>
          </w:p>
        </w:tc>
        <w:tc>
          <w:tcPr>
            <w:tcW w:w="79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121'000.00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165'000.00</w:t>
            </w:r>
          </w:p>
        </w:tc>
        <w:tc>
          <w:tcPr>
            <w:tcW w:w="72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22'000.00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308'000.00</w:t>
            </w:r>
          </w:p>
        </w:tc>
      </w:tr>
      <w:tr w:rsidR="0057584D" w:rsidRPr="0006584D" w:rsidTr="008A6D59">
        <w:trPr>
          <w:trHeight w:val="340"/>
        </w:trPr>
        <w:tc>
          <w:tcPr>
            <w:tcW w:w="320" w:type="pct"/>
            <w:shd w:val="clear" w:color="auto" w:fill="auto"/>
            <w:noWrap/>
            <w:vAlign w:val="center"/>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2</w:t>
            </w:r>
          </w:p>
        </w:tc>
        <w:tc>
          <w:tcPr>
            <w:tcW w:w="1716" w:type="pct"/>
            <w:shd w:val="clear" w:color="auto" w:fill="auto"/>
            <w:noWrap/>
            <w:vAlign w:val="center"/>
            <w:hideMark/>
          </w:tcPr>
          <w:p w:rsidR="0057584D" w:rsidRPr="0006584D" w:rsidRDefault="0057584D" w:rsidP="008A6D59">
            <w:pPr>
              <w:rPr>
                <w:rFonts w:cs="Calibri"/>
                <w:color w:val="000000"/>
                <w:sz w:val="22"/>
                <w:lang w:val="it-IT"/>
              </w:rPr>
            </w:pPr>
            <w:r w:rsidRPr="0006584D">
              <w:rPr>
                <w:rFonts w:cs="Calibri"/>
                <w:color w:val="000000"/>
                <w:sz w:val="22"/>
                <w:lang w:val="it-IT"/>
              </w:rPr>
              <w:t>EDIFICIO</w:t>
            </w:r>
          </w:p>
        </w:tc>
        <w:tc>
          <w:tcPr>
            <w:tcW w:w="79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5'139'900.00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1'294'500.00</w:t>
            </w:r>
          </w:p>
        </w:tc>
        <w:tc>
          <w:tcPr>
            <w:tcW w:w="72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124'500.00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6'558'900.00</w:t>
            </w:r>
          </w:p>
        </w:tc>
      </w:tr>
      <w:tr w:rsidR="0057584D" w:rsidRPr="0006584D" w:rsidTr="008A6D59">
        <w:trPr>
          <w:trHeight w:val="340"/>
        </w:trPr>
        <w:tc>
          <w:tcPr>
            <w:tcW w:w="320" w:type="pct"/>
            <w:shd w:val="clear" w:color="auto" w:fill="auto"/>
            <w:noWrap/>
            <w:vAlign w:val="center"/>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3</w:t>
            </w:r>
          </w:p>
        </w:tc>
        <w:tc>
          <w:tcPr>
            <w:tcW w:w="1716" w:type="pct"/>
            <w:shd w:val="clear" w:color="auto" w:fill="auto"/>
            <w:noWrap/>
            <w:vAlign w:val="center"/>
            <w:hideMark/>
          </w:tcPr>
          <w:p w:rsidR="0057584D" w:rsidRPr="0006584D" w:rsidRDefault="0057584D" w:rsidP="008A6D59">
            <w:pPr>
              <w:rPr>
                <w:rFonts w:cs="Calibri"/>
                <w:color w:val="000000"/>
                <w:sz w:val="22"/>
                <w:lang w:val="it-IT"/>
              </w:rPr>
            </w:pPr>
            <w:r w:rsidRPr="0006584D">
              <w:rPr>
                <w:rFonts w:cs="Calibri"/>
                <w:color w:val="000000"/>
                <w:sz w:val="22"/>
                <w:lang w:val="it-IT"/>
              </w:rPr>
              <w:t>ATTREZZATURE D'ESERCIZIO</w:t>
            </w:r>
          </w:p>
        </w:tc>
        <w:tc>
          <w:tcPr>
            <w:tcW w:w="79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20'000.00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132'000.00</w:t>
            </w:r>
          </w:p>
        </w:tc>
        <w:tc>
          <w:tcPr>
            <w:tcW w:w="72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0.00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152'000.00</w:t>
            </w:r>
          </w:p>
        </w:tc>
      </w:tr>
      <w:tr w:rsidR="0057584D" w:rsidRPr="0006584D" w:rsidTr="008A6D59">
        <w:trPr>
          <w:trHeight w:val="340"/>
        </w:trPr>
        <w:tc>
          <w:tcPr>
            <w:tcW w:w="320" w:type="pct"/>
            <w:shd w:val="clear" w:color="auto" w:fill="auto"/>
            <w:noWrap/>
            <w:vAlign w:val="center"/>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4</w:t>
            </w:r>
          </w:p>
        </w:tc>
        <w:tc>
          <w:tcPr>
            <w:tcW w:w="1716" w:type="pct"/>
            <w:shd w:val="clear" w:color="auto" w:fill="auto"/>
            <w:noWrap/>
            <w:vAlign w:val="center"/>
            <w:hideMark/>
          </w:tcPr>
          <w:p w:rsidR="0057584D" w:rsidRPr="0006584D" w:rsidRDefault="0057584D" w:rsidP="008A6D59">
            <w:pPr>
              <w:rPr>
                <w:rFonts w:cs="Calibri"/>
                <w:color w:val="000000"/>
                <w:sz w:val="22"/>
                <w:lang w:val="it-IT"/>
              </w:rPr>
            </w:pPr>
            <w:r w:rsidRPr="0006584D">
              <w:rPr>
                <w:rFonts w:cs="Calibri"/>
                <w:color w:val="000000"/>
                <w:sz w:val="22"/>
                <w:lang w:val="it-IT"/>
              </w:rPr>
              <w:t>LAVORI ESTERNI</w:t>
            </w:r>
          </w:p>
        </w:tc>
        <w:tc>
          <w:tcPr>
            <w:tcW w:w="79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34'000.00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8'000.00</w:t>
            </w:r>
          </w:p>
        </w:tc>
        <w:tc>
          <w:tcPr>
            <w:tcW w:w="72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557'000.00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599'000.00</w:t>
            </w:r>
          </w:p>
        </w:tc>
      </w:tr>
      <w:tr w:rsidR="0057584D" w:rsidRPr="0006584D" w:rsidTr="008A6D59">
        <w:trPr>
          <w:trHeight w:val="340"/>
        </w:trPr>
        <w:tc>
          <w:tcPr>
            <w:tcW w:w="320" w:type="pct"/>
            <w:shd w:val="clear" w:color="auto" w:fill="auto"/>
            <w:noWrap/>
            <w:vAlign w:val="center"/>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5</w:t>
            </w:r>
          </w:p>
        </w:tc>
        <w:tc>
          <w:tcPr>
            <w:tcW w:w="1716" w:type="pct"/>
            <w:shd w:val="clear" w:color="auto" w:fill="auto"/>
            <w:noWrap/>
            <w:vAlign w:val="center"/>
            <w:hideMark/>
          </w:tcPr>
          <w:p w:rsidR="0057584D" w:rsidRPr="0006584D" w:rsidRDefault="0057584D" w:rsidP="008A6D59">
            <w:pPr>
              <w:rPr>
                <w:rFonts w:cs="Calibri"/>
                <w:color w:val="000000"/>
                <w:sz w:val="22"/>
                <w:lang w:val="it-IT"/>
              </w:rPr>
            </w:pPr>
            <w:r w:rsidRPr="0006584D">
              <w:rPr>
                <w:rFonts w:cs="Calibri"/>
                <w:color w:val="000000"/>
                <w:sz w:val="22"/>
                <w:lang w:val="it-IT"/>
              </w:rPr>
              <w:t>COSTI SECONDARI</w:t>
            </w:r>
          </w:p>
        </w:tc>
        <w:tc>
          <w:tcPr>
            <w:tcW w:w="79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43'000.00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9'000.00</w:t>
            </w:r>
          </w:p>
        </w:tc>
        <w:tc>
          <w:tcPr>
            <w:tcW w:w="72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0.00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52'000.00</w:t>
            </w:r>
          </w:p>
        </w:tc>
      </w:tr>
      <w:tr w:rsidR="0057584D" w:rsidRPr="0006584D" w:rsidTr="008A6D59">
        <w:trPr>
          <w:trHeight w:val="340"/>
        </w:trPr>
        <w:tc>
          <w:tcPr>
            <w:tcW w:w="320" w:type="pct"/>
            <w:shd w:val="clear" w:color="auto" w:fill="auto"/>
            <w:noWrap/>
            <w:vAlign w:val="center"/>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9</w:t>
            </w:r>
          </w:p>
        </w:tc>
        <w:tc>
          <w:tcPr>
            <w:tcW w:w="1716" w:type="pct"/>
            <w:shd w:val="clear" w:color="auto" w:fill="auto"/>
            <w:noWrap/>
            <w:vAlign w:val="center"/>
            <w:hideMark/>
          </w:tcPr>
          <w:p w:rsidR="0057584D" w:rsidRPr="0006584D" w:rsidRDefault="0057584D" w:rsidP="008A6D59">
            <w:pPr>
              <w:rPr>
                <w:rFonts w:cs="Calibri"/>
                <w:color w:val="000000"/>
                <w:sz w:val="22"/>
                <w:lang w:val="it-IT"/>
              </w:rPr>
            </w:pPr>
            <w:r w:rsidRPr="0006584D">
              <w:rPr>
                <w:rFonts w:cs="Calibri"/>
                <w:color w:val="000000"/>
                <w:sz w:val="22"/>
                <w:lang w:val="it-IT"/>
              </w:rPr>
              <w:t>ARREDAMENTO</w:t>
            </w:r>
          </w:p>
        </w:tc>
        <w:tc>
          <w:tcPr>
            <w:tcW w:w="79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188'000.00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20'000.00</w:t>
            </w:r>
          </w:p>
        </w:tc>
        <w:tc>
          <w:tcPr>
            <w:tcW w:w="72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6'000.00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214'000.00</w:t>
            </w:r>
          </w:p>
        </w:tc>
      </w:tr>
      <w:tr w:rsidR="0057584D" w:rsidRPr="0006584D" w:rsidTr="008A6D59">
        <w:trPr>
          <w:trHeight w:val="284"/>
        </w:trPr>
        <w:tc>
          <w:tcPr>
            <w:tcW w:w="320" w:type="pct"/>
            <w:shd w:val="clear" w:color="auto" w:fill="auto"/>
            <w:noWrap/>
            <w:vAlign w:val="bottom"/>
            <w:hideMark/>
          </w:tcPr>
          <w:p w:rsidR="0057584D" w:rsidRPr="0006584D" w:rsidRDefault="0057584D" w:rsidP="008A6D59">
            <w:pPr>
              <w:jc w:val="center"/>
              <w:rPr>
                <w:rFonts w:cs="Calibri"/>
                <w:color w:val="000000"/>
                <w:sz w:val="22"/>
                <w:lang w:val="it-IT"/>
              </w:rPr>
            </w:pPr>
            <w:r w:rsidRPr="0006584D">
              <w:rPr>
                <w:rFonts w:cs="Calibri"/>
                <w:color w:val="000000"/>
                <w:sz w:val="22"/>
                <w:lang w:val="it-IT"/>
              </w:rPr>
              <w:t> </w:t>
            </w:r>
          </w:p>
        </w:tc>
        <w:tc>
          <w:tcPr>
            <w:tcW w:w="1716" w:type="pct"/>
            <w:shd w:val="clear" w:color="auto" w:fill="auto"/>
            <w:noWrap/>
            <w:vAlign w:val="bottom"/>
            <w:hideMark/>
          </w:tcPr>
          <w:p w:rsidR="0057584D" w:rsidRPr="0006584D" w:rsidRDefault="0057584D" w:rsidP="008A6D59">
            <w:pPr>
              <w:rPr>
                <w:rFonts w:cs="Calibri"/>
                <w:color w:val="000000"/>
                <w:sz w:val="22"/>
                <w:lang w:val="it-IT"/>
              </w:rPr>
            </w:pPr>
            <w:r w:rsidRPr="0006584D">
              <w:rPr>
                <w:rFonts w:cs="Calibri"/>
                <w:color w:val="000000"/>
                <w:sz w:val="22"/>
                <w:lang w:val="it-IT"/>
              </w:rPr>
              <w:t>Totale parziale (IVA esclusa)</w:t>
            </w:r>
          </w:p>
        </w:tc>
        <w:tc>
          <w:tcPr>
            <w:tcW w:w="793" w:type="pct"/>
            <w:shd w:val="clear" w:color="auto" w:fill="auto"/>
            <w:noWrap/>
            <w:vAlign w:val="bottom"/>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5'545'900.00</w:t>
            </w:r>
          </w:p>
        </w:tc>
        <w:tc>
          <w:tcPr>
            <w:tcW w:w="724" w:type="pct"/>
            <w:shd w:val="clear" w:color="auto" w:fill="auto"/>
            <w:noWrap/>
            <w:vAlign w:val="bottom"/>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 xml:space="preserve">                       1'628'500.00</w:t>
            </w:r>
          </w:p>
        </w:tc>
        <w:tc>
          <w:tcPr>
            <w:tcW w:w="723" w:type="pct"/>
            <w:shd w:val="clear" w:color="auto" w:fill="auto"/>
            <w:noWrap/>
            <w:vAlign w:val="bottom"/>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709'500.00</w:t>
            </w:r>
          </w:p>
        </w:tc>
        <w:tc>
          <w:tcPr>
            <w:tcW w:w="724" w:type="pct"/>
            <w:shd w:val="clear" w:color="auto" w:fill="auto"/>
            <w:noWrap/>
            <w:vAlign w:val="bottom"/>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7'883'900.00</w:t>
            </w:r>
          </w:p>
        </w:tc>
      </w:tr>
      <w:tr w:rsidR="0057584D" w:rsidRPr="0006584D" w:rsidTr="008A6D59">
        <w:trPr>
          <w:trHeight w:val="340"/>
        </w:trPr>
        <w:tc>
          <w:tcPr>
            <w:tcW w:w="320" w:type="pct"/>
            <w:shd w:val="clear" w:color="auto" w:fill="auto"/>
            <w:noWrap/>
            <w:vAlign w:val="center"/>
            <w:hideMark/>
          </w:tcPr>
          <w:p w:rsidR="0057584D" w:rsidRPr="0006584D" w:rsidRDefault="0057584D" w:rsidP="008A6D59">
            <w:pPr>
              <w:jc w:val="center"/>
              <w:rPr>
                <w:rFonts w:cs="Calibri"/>
                <w:color w:val="000000"/>
                <w:sz w:val="22"/>
                <w:lang w:val="it-IT"/>
              </w:rPr>
            </w:pPr>
          </w:p>
        </w:tc>
        <w:tc>
          <w:tcPr>
            <w:tcW w:w="1716" w:type="pct"/>
            <w:shd w:val="clear" w:color="auto" w:fill="auto"/>
            <w:noWrap/>
            <w:vAlign w:val="center"/>
            <w:hideMark/>
          </w:tcPr>
          <w:p w:rsidR="0057584D" w:rsidRPr="0006584D" w:rsidRDefault="0057584D" w:rsidP="008A6D59">
            <w:pPr>
              <w:rPr>
                <w:rFonts w:cs="Calibri"/>
                <w:color w:val="000000"/>
                <w:sz w:val="22"/>
                <w:lang w:val="it-IT"/>
              </w:rPr>
            </w:pPr>
            <w:r w:rsidRPr="0006584D">
              <w:rPr>
                <w:rFonts w:cs="Calibri"/>
                <w:color w:val="000000"/>
                <w:sz w:val="22"/>
                <w:lang w:val="it-IT"/>
              </w:rPr>
              <w:t>IVA (7.7%)</w:t>
            </w:r>
          </w:p>
        </w:tc>
        <w:tc>
          <w:tcPr>
            <w:tcW w:w="79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427’034.30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125’394.50</w:t>
            </w:r>
          </w:p>
        </w:tc>
        <w:tc>
          <w:tcPr>
            <w:tcW w:w="723"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54’631.50</w:t>
            </w:r>
          </w:p>
        </w:tc>
        <w:tc>
          <w:tcPr>
            <w:tcW w:w="724" w:type="pct"/>
            <w:shd w:val="clear" w:color="auto" w:fill="auto"/>
            <w:noWrap/>
            <w:vAlign w:val="center"/>
            <w:hideMark/>
          </w:tcPr>
          <w:p w:rsidR="0057584D" w:rsidRPr="0006584D" w:rsidRDefault="0057584D" w:rsidP="008A6D59">
            <w:pPr>
              <w:jc w:val="right"/>
              <w:rPr>
                <w:rFonts w:cs="Calibri"/>
                <w:color w:val="000000"/>
                <w:sz w:val="22"/>
                <w:lang w:val="it-IT"/>
              </w:rPr>
            </w:pPr>
            <w:r w:rsidRPr="0006584D">
              <w:rPr>
                <w:rFonts w:cs="Calibri"/>
                <w:color w:val="000000"/>
                <w:sz w:val="22"/>
                <w:lang w:val="it-IT"/>
              </w:rPr>
              <w:t>607’060.30</w:t>
            </w:r>
          </w:p>
        </w:tc>
      </w:tr>
      <w:tr w:rsidR="0057584D" w:rsidRPr="0006584D" w:rsidTr="008A6D59">
        <w:trPr>
          <w:trHeight w:val="340"/>
        </w:trPr>
        <w:tc>
          <w:tcPr>
            <w:tcW w:w="320" w:type="pct"/>
            <w:shd w:val="clear" w:color="auto" w:fill="auto"/>
            <w:noWrap/>
            <w:vAlign w:val="center"/>
            <w:hideMark/>
          </w:tcPr>
          <w:p w:rsidR="0057584D" w:rsidRPr="0006584D" w:rsidRDefault="0057584D" w:rsidP="008A6D59">
            <w:pPr>
              <w:jc w:val="center"/>
              <w:rPr>
                <w:rFonts w:cs="Calibri"/>
                <w:b/>
                <w:color w:val="000000"/>
                <w:sz w:val="22"/>
                <w:lang w:val="it-IT"/>
              </w:rPr>
            </w:pPr>
            <w:r w:rsidRPr="0006584D">
              <w:rPr>
                <w:rFonts w:cs="Calibri"/>
                <w:b/>
                <w:color w:val="000000"/>
                <w:sz w:val="22"/>
                <w:lang w:val="it-IT"/>
              </w:rPr>
              <w:t> </w:t>
            </w:r>
          </w:p>
        </w:tc>
        <w:tc>
          <w:tcPr>
            <w:tcW w:w="1716" w:type="pct"/>
            <w:shd w:val="clear" w:color="auto" w:fill="auto"/>
            <w:noWrap/>
            <w:vAlign w:val="center"/>
            <w:hideMark/>
          </w:tcPr>
          <w:p w:rsidR="0057584D" w:rsidRPr="0006584D" w:rsidRDefault="0057584D" w:rsidP="008A6D59">
            <w:pPr>
              <w:rPr>
                <w:rFonts w:cs="Calibri"/>
                <w:b/>
                <w:color w:val="000000"/>
                <w:sz w:val="22"/>
                <w:lang w:val="it-IT"/>
              </w:rPr>
            </w:pPr>
            <w:r w:rsidRPr="0006584D">
              <w:rPr>
                <w:rFonts w:cs="Calibri"/>
                <w:b/>
                <w:bCs/>
                <w:color w:val="000000"/>
                <w:sz w:val="22"/>
                <w:lang w:val="it-IT"/>
              </w:rPr>
              <w:t>Totale IVA inclusa</w:t>
            </w:r>
          </w:p>
        </w:tc>
        <w:tc>
          <w:tcPr>
            <w:tcW w:w="793" w:type="pct"/>
            <w:shd w:val="clear" w:color="auto" w:fill="auto"/>
            <w:noWrap/>
            <w:vAlign w:val="center"/>
            <w:hideMark/>
          </w:tcPr>
          <w:p w:rsidR="0057584D" w:rsidRPr="0006584D" w:rsidRDefault="0057584D" w:rsidP="008A6D59">
            <w:pPr>
              <w:jc w:val="right"/>
              <w:rPr>
                <w:rFonts w:cs="Calibri"/>
                <w:b/>
                <w:color w:val="000000"/>
                <w:sz w:val="22"/>
                <w:lang w:val="it-IT"/>
              </w:rPr>
            </w:pPr>
            <w:r w:rsidRPr="0006584D">
              <w:rPr>
                <w:rFonts w:cs="Calibri"/>
                <w:b/>
                <w:color w:val="000000"/>
                <w:sz w:val="22"/>
                <w:lang w:val="it-IT"/>
              </w:rPr>
              <w:t>5'972’934.30</w:t>
            </w:r>
          </w:p>
        </w:tc>
        <w:tc>
          <w:tcPr>
            <w:tcW w:w="724" w:type="pct"/>
            <w:shd w:val="clear" w:color="auto" w:fill="auto"/>
            <w:noWrap/>
            <w:vAlign w:val="center"/>
            <w:hideMark/>
          </w:tcPr>
          <w:p w:rsidR="0057584D" w:rsidRPr="0006584D" w:rsidRDefault="0057584D" w:rsidP="008A6D59">
            <w:pPr>
              <w:jc w:val="right"/>
              <w:rPr>
                <w:rFonts w:cs="Calibri"/>
                <w:b/>
                <w:color w:val="000000"/>
                <w:sz w:val="22"/>
                <w:lang w:val="it-IT"/>
              </w:rPr>
            </w:pPr>
            <w:r w:rsidRPr="0006584D">
              <w:rPr>
                <w:rFonts w:cs="Calibri"/>
                <w:b/>
                <w:color w:val="000000"/>
                <w:sz w:val="22"/>
                <w:lang w:val="it-IT"/>
              </w:rPr>
              <w:t>1'753’894.50</w:t>
            </w:r>
          </w:p>
        </w:tc>
        <w:tc>
          <w:tcPr>
            <w:tcW w:w="723" w:type="pct"/>
            <w:shd w:val="clear" w:color="auto" w:fill="auto"/>
            <w:noWrap/>
            <w:vAlign w:val="center"/>
            <w:hideMark/>
          </w:tcPr>
          <w:p w:rsidR="0057584D" w:rsidRPr="0006584D" w:rsidRDefault="0057584D" w:rsidP="008A6D59">
            <w:pPr>
              <w:jc w:val="right"/>
              <w:rPr>
                <w:rFonts w:cs="Calibri"/>
                <w:b/>
                <w:color w:val="000000"/>
                <w:sz w:val="22"/>
                <w:lang w:val="it-IT"/>
              </w:rPr>
            </w:pPr>
            <w:r w:rsidRPr="0006584D">
              <w:rPr>
                <w:rFonts w:cs="Calibri"/>
                <w:b/>
                <w:bCs/>
                <w:color w:val="000000"/>
                <w:sz w:val="22"/>
                <w:lang w:val="it-IT"/>
              </w:rPr>
              <w:t>764’131.50</w:t>
            </w:r>
          </w:p>
        </w:tc>
        <w:tc>
          <w:tcPr>
            <w:tcW w:w="724" w:type="pct"/>
            <w:shd w:val="clear" w:color="auto" w:fill="auto"/>
            <w:noWrap/>
            <w:vAlign w:val="center"/>
            <w:hideMark/>
          </w:tcPr>
          <w:p w:rsidR="0057584D" w:rsidRPr="0006584D" w:rsidRDefault="0057584D" w:rsidP="008A6D59">
            <w:pPr>
              <w:jc w:val="right"/>
              <w:rPr>
                <w:rFonts w:cs="Calibri"/>
                <w:b/>
                <w:color w:val="000000"/>
                <w:sz w:val="22"/>
                <w:lang w:val="it-IT"/>
              </w:rPr>
            </w:pPr>
            <w:r w:rsidRPr="0006584D">
              <w:rPr>
                <w:rFonts w:cs="Calibri"/>
                <w:b/>
                <w:bCs/>
                <w:color w:val="000000"/>
                <w:sz w:val="22"/>
                <w:lang w:val="it-IT"/>
              </w:rPr>
              <w:t>8'490’960.30</w:t>
            </w:r>
          </w:p>
        </w:tc>
      </w:tr>
    </w:tbl>
    <w:p w:rsidR="0057584D" w:rsidRPr="0006584D" w:rsidRDefault="0057584D" w:rsidP="0057584D">
      <w:pPr>
        <w:rPr>
          <w:rFonts w:cs="Calibri"/>
          <w:szCs w:val="24"/>
          <w:lang w:val="it-IT"/>
        </w:rPr>
      </w:pPr>
    </w:p>
    <w:p w:rsidR="0057584D" w:rsidRPr="0006584D" w:rsidRDefault="0057584D" w:rsidP="0057584D">
      <w:pPr>
        <w:rPr>
          <w:rFonts w:cs="Calibri"/>
          <w:szCs w:val="24"/>
          <w:lang w:val="it-IT"/>
        </w:rPr>
      </w:pPr>
      <w:r w:rsidRPr="0006584D">
        <w:rPr>
          <w:rFonts w:cs="Calibri"/>
          <w:szCs w:val="24"/>
          <w:lang w:val="it-IT"/>
        </w:rPr>
        <w:t>L'Ufficio di consulenza tecnica e dei lavori sussidiati, ha preavvisato favorevolmente gli interventi come da piani, relazione tecnica e preventivo presentati e sopra esposti.</w:t>
      </w:r>
    </w:p>
    <w:p w:rsidR="0057584D" w:rsidRPr="0006584D" w:rsidRDefault="0057584D" w:rsidP="0057584D">
      <w:pPr>
        <w:rPr>
          <w:rFonts w:cs="Calibri"/>
          <w:szCs w:val="24"/>
          <w:lang w:val="it-IT"/>
        </w:rPr>
      </w:pPr>
    </w:p>
    <w:p w:rsidR="0057584D" w:rsidRPr="0006584D" w:rsidRDefault="0057584D" w:rsidP="0057584D">
      <w:pPr>
        <w:rPr>
          <w:rFonts w:cs="Calibri"/>
          <w:szCs w:val="24"/>
          <w:lang w:val="it-IT"/>
        </w:rPr>
      </w:pPr>
      <w:r w:rsidRPr="0006584D">
        <w:rPr>
          <w:rFonts w:cs="Calibri"/>
          <w:szCs w:val="24"/>
          <w:lang w:val="it-IT"/>
        </w:rPr>
        <w:t>I costi riconosciuti secondo i parametri cantonali sono i seguenti (importi in Franchi, IVA inclusa):</w:t>
      </w:r>
    </w:p>
    <w:p w:rsidR="0057584D" w:rsidRPr="0006584D" w:rsidRDefault="0057584D" w:rsidP="0057584D">
      <w:pPr>
        <w:rPr>
          <w:rFonts w:cs="Calibri"/>
          <w:szCs w:val="24"/>
          <w:lang w:val="it-IT"/>
        </w:rPr>
      </w:pPr>
    </w:p>
    <w:tbl>
      <w:tblPr>
        <w:tblW w:w="10031" w:type="dxa"/>
        <w:tblLook w:val="04A0" w:firstRow="1" w:lastRow="0" w:firstColumn="1" w:lastColumn="0" w:noHBand="0" w:noVBand="1"/>
      </w:tblPr>
      <w:tblGrid>
        <w:gridCol w:w="7621"/>
        <w:gridCol w:w="2410"/>
      </w:tblGrid>
      <w:tr w:rsidR="0057584D" w:rsidRPr="00BB7632" w:rsidTr="008A6D59">
        <w:tc>
          <w:tcPr>
            <w:tcW w:w="7621" w:type="dxa"/>
            <w:shd w:val="clear" w:color="auto" w:fill="auto"/>
          </w:tcPr>
          <w:p w:rsidR="0057584D" w:rsidRPr="00BB7632" w:rsidRDefault="0057584D" w:rsidP="008A6D59">
            <w:pPr>
              <w:spacing w:before="60"/>
              <w:rPr>
                <w:rFonts w:cs="Calibri"/>
              </w:rPr>
            </w:pPr>
            <w:r w:rsidRPr="00BB7632">
              <w:rPr>
                <w:rFonts w:cs="Calibri"/>
              </w:rPr>
              <w:t>Opere di ampliamento (importo preventivato “Ampliamento”, ma al massimo 250'000.00 / 20 posti letto)</w:t>
            </w:r>
          </w:p>
        </w:tc>
        <w:tc>
          <w:tcPr>
            <w:tcW w:w="2410" w:type="dxa"/>
            <w:shd w:val="clear" w:color="auto" w:fill="auto"/>
          </w:tcPr>
          <w:p w:rsidR="0057584D" w:rsidRPr="00BB7632" w:rsidRDefault="0057584D" w:rsidP="008A6D59">
            <w:pPr>
              <w:spacing w:before="60"/>
              <w:ind w:left="459"/>
              <w:rPr>
                <w:rFonts w:cs="Calibri"/>
              </w:rPr>
            </w:pPr>
            <w:r w:rsidRPr="00BB7632">
              <w:rPr>
                <w:rFonts w:cs="Calibri"/>
              </w:rPr>
              <w:t>5’000'000.00</w:t>
            </w:r>
          </w:p>
        </w:tc>
      </w:tr>
      <w:tr w:rsidR="0057584D" w:rsidRPr="00BB7632" w:rsidTr="008A6D59">
        <w:trPr>
          <w:trHeight w:val="293"/>
        </w:trPr>
        <w:tc>
          <w:tcPr>
            <w:tcW w:w="7621" w:type="dxa"/>
            <w:tcBorders>
              <w:bottom w:val="single" w:sz="4" w:space="0" w:color="auto"/>
            </w:tcBorders>
            <w:shd w:val="clear" w:color="auto" w:fill="auto"/>
          </w:tcPr>
          <w:p w:rsidR="0057584D" w:rsidRPr="00BB7632" w:rsidRDefault="0057584D" w:rsidP="008A6D59">
            <w:pPr>
              <w:spacing w:before="120"/>
              <w:rPr>
                <w:rFonts w:cs="Calibri"/>
              </w:rPr>
            </w:pPr>
            <w:r w:rsidRPr="00BB7632">
              <w:rPr>
                <w:rFonts w:cs="Calibri"/>
              </w:rPr>
              <w:t>Lavori di ristrutturazione (importo preventivato “Esistente + Esterno”, ma al massimo 150'000 / 48 posti letto)</w:t>
            </w:r>
          </w:p>
        </w:tc>
        <w:tc>
          <w:tcPr>
            <w:tcW w:w="2410" w:type="dxa"/>
            <w:tcBorders>
              <w:bottom w:val="single" w:sz="4" w:space="0" w:color="auto"/>
            </w:tcBorders>
            <w:shd w:val="clear" w:color="auto" w:fill="auto"/>
          </w:tcPr>
          <w:p w:rsidR="0057584D" w:rsidRPr="00BB7632" w:rsidRDefault="0057584D" w:rsidP="008A6D59">
            <w:pPr>
              <w:spacing w:before="120"/>
              <w:ind w:left="459"/>
              <w:rPr>
                <w:rFonts w:cs="Calibri"/>
              </w:rPr>
            </w:pPr>
            <w:r w:rsidRPr="00BB7632">
              <w:rPr>
                <w:rFonts w:cs="Calibri"/>
              </w:rPr>
              <w:t>2'518'026.00</w:t>
            </w:r>
          </w:p>
        </w:tc>
      </w:tr>
      <w:tr w:rsidR="0057584D" w:rsidRPr="00BB7632" w:rsidTr="008A6D59">
        <w:tc>
          <w:tcPr>
            <w:tcW w:w="7621" w:type="dxa"/>
            <w:tcBorders>
              <w:top w:val="single" w:sz="4" w:space="0" w:color="auto"/>
            </w:tcBorders>
            <w:shd w:val="clear" w:color="auto" w:fill="auto"/>
          </w:tcPr>
          <w:p w:rsidR="0057584D" w:rsidRPr="00BB7632" w:rsidRDefault="0057584D" w:rsidP="008A6D59">
            <w:pPr>
              <w:spacing w:before="120"/>
              <w:rPr>
                <w:rFonts w:cs="Calibri"/>
                <w:b/>
              </w:rPr>
            </w:pPr>
            <w:r w:rsidRPr="00BB7632">
              <w:rPr>
                <w:rFonts w:cs="Calibri"/>
                <w:b/>
              </w:rPr>
              <w:t>Totale costo riconosciuto</w:t>
            </w:r>
          </w:p>
        </w:tc>
        <w:tc>
          <w:tcPr>
            <w:tcW w:w="2410" w:type="dxa"/>
            <w:tcBorders>
              <w:top w:val="single" w:sz="4" w:space="0" w:color="auto"/>
            </w:tcBorders>
            <w:shd w:val="clear" w:color="auto" w:fill="auto"/>
          </w:tcPr>
          <w:p w:rsidR="0057584D" w:rsidRPr="00BB7632" w:rsidRDefault="0057584D" w:rsidP="008A6D59">
            <w:pPr>
              <w:spacing w:before="120"/>
              <w:ind w:left="459"/>
              <w:rPr>
                <w:rFonts w:cs="Calibri"/>
                <w:b/>
              </w:rPr>
            </w:pPr>
            <w:r w:rsidRPr="00BB7632">
              <w:rPr>
                <w:rFonts w:cs="Calibri"/>
                <w:b/>
              </w:rPr>
              <w:t>7'518'026.00</w:t>
            </w:r>
          </w:p>
        </w:tc>
      </w:tr>
    </w:tbl>
    <w:p w:rsidR="0057584D" w:rsidRPr="0006584D" w:rsidRDefault="0057584D" w:rsidP="0057584D">
      <w:pPr>
        <w:rPr>
          <w:rFonts w:cs="Calibri"/>
          <w:szCs w:val="24"/>
          <w:u w:val="single"/>
        </w:rPr>
      </w:pPr>
    </w:p>
    <w:p w:rsidR="0057584D" w:rsidRPr="0006584D" w:rsidRDefault="0057584D" w:rsidP="0057584D">
      <w:pPr>
        <w:rPr>
          <w:rFonts w:cs="Calibri"/>
          <w:szCs w:val="24"/>
          <w:lang w:val="it-IT"/>
        </w:rPr>
      </w:pPr>
      <w:r w:rsidRPr="0006584D">
        <w:rPr>
          <w:rFonts w:cs="Calibri"/>
          <w:szCs w:val="24"/>
          <w:lang w:val="it-IT"/>
        </w:rPr>
        <w:t>Per la realizzazione dell’opera, richiamato l'art. 7 della Legge concernente il promovimento, il coordinamento e il finanziamento delle attività a favore delle persone anziani (</w:t>
      </w:r>
      <w:proofErr w:type="spellStart"/>
      <w:r w:rsidRPr="0006584D">
        <w:rPr>
          <w:rFonts w:cs="Calibri"/>
          <w:szCs w:val="24"/>
          <w:lang w:val="it-IT"/>
        </w:rPr>
        <w:t>LAnz</w:t>
      </w:r>
      <w:proofErr w:type="spellEnd"/>
      <w:r w:rsidRPr="0006584D">
        <w:rPr>
          <w:rFonts w:cs="Calibri"/>
          <w:szCs w:val="24"/>
          <w:lang w:val="it-IT"/>
        </w:rPr>
        <w:t xml:space="preserve">), del 30 novembre 2010, e ritenuta la forza finanziaria del Comune di Mendrisio, l’Ufficio anziani e delle cure a domicili ha propone la concessione di un contributo complessivo unico a fondo perso, non indicizzabile all'aumento dei costi di costruzione, di </w:t>
      </w:r>
      <w:proofErr w:type="spellStart"/>
      <w:r w:rsidRPr="0006584D">
        <w:rPr>
          <w:rFonts w:cs="Calibri"/>
          <w:szCs w:val="24"/>
          <w:lang w:val="it-IT"/>
        </w:rPr>
        <w:t>fr</w:t>
      </w:r>
      <w:proofErr w:type="spellEnd"/>
      <w:r w:rsidRPr="0006584D">
        <w:rPr>
          <w:rFonts w:cs="Calibri"/>
          <w:szCs w:val="24"/>
          <w:lang w:val="it-IT"/>
        </w:rPr>
        <w:t xml:space="preserve">. 3'000'000.00, pari al 40% del costo riconosciuto per le opere descritte con l’aggiunta del costo di </w:t>
      </w:r>
      <w:proofErr w:type="spellStart"/>
      <w:r w:rsidRPr="0006584D">
        <w:rPr>
          <w:rFonts w:cs="Calibri"/>
          <w:szCs w:val="24"/>
          <w:lang w:val="it-IT"/>
        </w:rPr>
        <w:t>fr</w:t>
      </w:r>
      <w:proofErr w:type="spellEnd"/>
      <w:r w:rsidRPr="0006584D">
        <w:rPr>
          <w:rFonts w:cs="Calibri"/>
          <w:szCs w:val="24"/>
          <w:lang w:val="it-IT"/>
        </w:rPr>
        <w:t xml:space="preserve">. 50'000.00 (IVA inclusa) stimato per le prestazioni di Consulente indipendente ai sensi degli artt. 60 e 60a del Regolamento di applicazione della legge sulle commesse pubbliche e del concordato </w:t>
      </w:r>
      <w:proofErr w:type="spellStart"/>
      <w:r w:rsidRPr="0006584D">
        <w:rPr>
          <w:rFonts w:cs="Calibri"/>
          <w:szCs w:val="24"/>
          <w:lang w:val="it-IT"/>
        </w:rPr>
        <w:t>intercantonale</w:t>
      </w:r>
      <w:proofErr w:type="spellEnd"/>
      <w:r w:rsidRPr="0006584D">
        <w:rPr>
          <w:rFonts w:cs="Calibri"/>
          <w:szCs w:val="24"/>
          <w:lang w:val="it-IT"/>
        </w:rPr>
        <w:t xml:space="preserve"> sugli appalti pubblici (</w:t>
      </w:r>
      <w:proofErr w:type="spellStart"/>
      <w:r w:rsidRPr="0006584D">
        <w:rPr>
          <w:rFonts w:cs="Calibri"/>
          <w:szCs w:val="24"/>
          <w:lang w:val="it-IT"/>
        </w:rPr>
        <w:t>RLCPubb</w:t>
      </w:r>
      <w:proofErr w:type="spellEnd"/>
      <w:r w:rsidRPr="0006584D">
        <w:rPr>
          <w:rFonts w:cs="Calibri"/>
          <w:szCs w:val="24"/>
          <w:lang w:val="it-IT"/>
        </w:rPr>
        <w:t>/CIAP) del 12 settembre 2016.</w:t>
      </w:r>
    </w:p>
    <w:p w:rsidR="0057584D" w:rsidRPr="0006584D" w:rsidRDefault="0057584D" w:rsidP="0057584D">
      <w:pPr>
        <w:rPr>
          <w:rFonts w:cs="Calibri"/>
          <w:szCs w:val="24"/>
          <w:lang w:val="it-IT"/>
        </w:rPr>
      </w:pPr>
    </w:p>
    <w:p w:rsidR="0057584D" w:rsidRPr="0006584D" w:rsidRDefault="0057584D" w:rsidP="0057584D">
      <w:pPr>
        <w:rPr>
          <w:rFonts w:cs="Calibri"/>
          <w:szCs w:val="24"/>
          <w:lang w:val="it-IT"/>
        </w:rPr>
      </w:pPr>
    </w:p>
    <w:p w:rsidR="0057584D" w:rsidRPr="00BB7632" w:rsidRDefault="0057584D" w:rsidP="0006584D">
      <w:pPr>
        <w:pStyle w:val="Titolo1"/>
      </w:pPr>
      <w:r w:rsidRPr="00BB7632">
        <w:t>Finanziamento dell’opera</w:t>
      </w:r>
    </w:p>
    <w:p w:rsidR="0057584D" w:rsidRPr="0006584D" w:rsidRDefault="0057584D" w:rsidP="0057584D">
      <w:pPr>
        <w:rPr>
          <w:rFonts w:cs="Calibri"/>
          <w:szCs w:val="24"/>
          <w:lang w:val="it-IT"/>
        </w:rPr>
      </w:pPr>
      <w:r w:rsidRPr="0006584D">
        <w:rPr>
          <w:rFonts w:cs="Calibri"/>
          <w:szCs w:val="24"/>
          <w:lang w:val="it-IT"/>
        </w:rPr>
        <w:t>Tenuto conto della proposta di contributo a fondo perso di cui sopra, il finanziamento della nuova casa per anziani risulta così assicurato:</w:t>
      </w:r>
    </w:p>
    <w:p w:rsidR="0057584D" w:rsidRPr="00BB7632" w:rsidRDefault="0057584D" w:rsidP="0057584D">
      <w:pPr>
        <w:tabs>
          <w:tab w:val="left" w:pos="284"/>
          <w:tab w:val="left" w:pos="3969"/>
          <w:tab w:val="decimal" w:pos="5670"/>
        </w:tabs>
        <w:rPr>
          <w:rFonts w:eastAsia="Times New Roman" w:cs="Calibri"/>
          <w:b/>
          <w:lang w:val="it-IT" w:eastAsia="it-IT"/>
        </w:rPr>
      </w:pPr>
    </w:p>
    <w:p w:rsidR="0057584D" w:rsidRPr="00BB7632" w:rsidRDefault="0057584D" w:rsidP="0057584D">
      <w:pPr>
        <w:tabs>
          <w:tab w:val="left" w:pos="284"/>
          <w:tab w:val="left" w:pos="6804"/>
        </w:tabs>
        <w:rPr>
          <w:rFonts w:eastAsia="Times New Roman" w:cs="Calibri"/>
          <w:b/>
          <w:lang w:val="it-IT" w:eastAsia="it-IT"/>
        </w:rPr>
      </w:pPr>
      <w:r w:rsidRPr="00BB7632">
        <w:rPr>
          <w:rFonts w:eastAsia="Times New Roman" w:cs="Calibri"/>
          <w:b/>
          <w:lang w:val="it-IT" w:eastAsia="it-IT"/>
        </w:rPr>
        <w:t>Costo complessivo delle opere</w:t>
      </w:r>
      <w:r w:rsidRPr="00BB7632">
        <w:rPr>
          <w:rFonts w:eastAsia="Times New Roman" w:cs="Calibri"/>
          <w:b/>
          <w:lang w:val="it-IT" w:eastAsia="it-IT"/>
        </w:rPr>
        <w:tab/>
      </w:r>
      <w:proofErr w:type="spellStart"/>
      <w:r w:rsidRPr="00BB7632">
        <w:rPr>
          <w:rFonts w:eastAsia="Times New Roman" w:cs="Calibri"/>
          <w:b/>
          <w:lang w:val="it-IT" w:eastAsia="it-IT"/>
        </w:rPr>
        <w:t>fr</w:t>
      </w:r>
      <w:proofErr w:type="spellEnd"/>
      <w:r w:rsidRPr="00BB7632">
        <w:rPr>
          <w:rFonts w:eastAsia="Times New Roman" w:cs="Calibri"/>
          <w:b/>
          <w:lang w:val="it-IT" w:eastAsia="it-IT"/>
        </w:rPr>
        <w:t>. 8'490’960.30</w:t>
      </w:r>
    </w:p>
    <w:p w:rsidR="0057584D" w:rsidRPr="00BB7632" w:rsidRDefault="0057584D" w:rsidP="0057584D">
      <w:pPr>
        <w:tabs>
          <w:tab w:val="left" w:pos="284"/>
          <w:tab w:val="left" w:pos="6804"/>
        </w:tabs>
        <w:spacing w:before="80"/>
        <w:rPr>
          <w:rFonts w:eastAsia="Times New Roman" w:cs="Calibri"/>
          <w:b/>
          <w:lang w:val="it-IT" w:eastAsia="it-IT"/>
        </w:rPr>
      </w:pPr>
      <w:r w:rsidRPr="00BB7632">
        <w:rPr>
          <w:rFonts w:eastAsia="Times New Roman" w:cs="Calibri"/>
          <w:b/>
          <w:lang w:val="it-IT" w:eastAsia="it-IT"/>
        </w:rPr>
        <w:t xml:space="preserve">Costo stimato per il Consulente indipendente </w:t>
      </w:r>
      <w:r w:rsidRPr="00BB7632">
        <w:rPr>
          <w:rFonts w:eastAsia="Times New Roman" w:cs="Calibri"/>
          <w:b/>
          <w:lang w:val="it-IT" w:eastAsia="it-IT"/>
        </w:rPr>
        <w:tab/>
      </w:r>
      <w:proofErr w:type="spellStart"/>
      <w:r w:rsidRPr="00BB7632">
        <w:rPr>
          <w:rFonts w:eastAsia="Times New Roman" w:cs="Calibri"/>
          <w:b/>
          <w:lang w:val="it-IT" w:eastAsia="it-IT"/>
        </w:rPr>
        <w:t>fr</w:t>
      </w:r>
      <w:proofErr w:type="spellEnd"/>
      <w:r w:rsidRPr="00BB7632">
        <w:rPr>
          <w:rFonts w:eastAsia="Times New Roman" w:cs="Calibri"/>
          <w:b/>
          <w:lang w:val="it-IT" w:eastAsia="it-IT"/>
        </w:rPr>
        <w:t>.      50'000.00</w:t>
      </w:r>
    </w:p>
    <w:p w:rsidR="0057584D" w:rsidRPr="00BB7632" w:rsidRDefault="0057584D" w:rsidP="0057584D">
      <w:pPr>
        <w:tabs>
          <w:tab w:val="left" w:pos="284"/>
          <w:tab w:val="left" w:pos="6804"/>
        </w:tabs>
        <w:spacing w:before="80"/>
        <w:rPr>
          <w:rFonts w:eastAsia="Times New Roman" w:cs="Calibri"/>
          <w:b/>
          <w:lang w:val="it-IT" w:eastAsia="it-IT"/>
        </w:rPr>
      </w:pPr>
      <w:r w:rsidRPr="00BB7632">
        <w:rPr>
          <w:rFonts w:eastAsia="Times New Roman" w:cs="Calibri"/>
          <w:b/>
          <w:lang w:val="it-IT" w:eastAsia="it-IT"/>
        </w:rPr>
        <w:t>Costo totale</w:t>
      </w:r>
      <w:r w:rsidRPr="00BB7632">
        <w:rPr>
          <w:rFonts w:eastAsia="Times New Roman" w:cs="Calibri"/>
          <w:b/>
          <w:lang w:val="it-IT" w:eastAsia="it-IT"/>
        </w:rPr>
        <w:tab/>
      </w:r>
      <w:proofErr w:type="spellStart"/>
      <w:r w:rsidRPr="00BB7632">
        <w:rPr>
          <w:rFonts w:eastAsia="Times New Roman" w:cs="Calibri"/>
          <w:b/>
          <w:lang w:val="it-IT" w:eastAsia="it-IT"/>
        </w:rPr>
        <w:t>fr</w:t>
      </w:r>
      <w:proofErr w:type="spellEnd"/>
      <w:r w:rsidRPr="00BB7632">
        <w:rPr>
          <w:rFonts w:eastAsia="Times New Roman" w:cs="Calibri"/>
          <w:b/>
          <w:lang w:val="it-IT" w:eastAsia="it-IT"/>
        </w:rPr>
        <w:t>. 8'540’960.30</w:t>
      </w:r>
    </w:p>
    <w:p w:rsidR="0057584D" w:rsidRPr="00BB7632" w:rsidRDefault="0057584D" w:rsidP="0057584D">
      <w:pPr>
        <w:tabs>
          <w:tab w:val="left" w:pos="284"/>
          <w:tab w:val="left" w:pos="3969"/>
          <w:tab w:val="decimal" w:pos="5670"/>
        </w:tabs>
        <w:rPr>
          <w:rFonts w:eastAsia="Times New Roman" w:cs="Calibri"/>
          <w:lang w:val="it-IT" w:eastAsia="it-IT"/>
        </w:rPr>
      </w:pPr>
    </w:p>
    <w:tbl>
      <w:tblPr>
        <w:tblW w:w="8755" w:type="dxa"/>
        <w:tblLook w:val="04A0" w:firstRow="1" w:lastRow="0" w:firstColumn="1" w:lastColumn="0" w:noHBand="0" w:noVBand="1"/>
      </w:tblPr>
      <w:tblGrid>
        <w:gridCol w:w="6771"/>
        <w:gridCol w:w="1984"/>
      </w:tblGrid>
      <w:tr w:rsidR="0057584D" w:rsidRPr="00BB7632" w:rsidTr="008A6D59">
        <w:trPr>
          <w:trHeight w:val="284"/>
        </w:trPr>
        <w:tc>
          <w:tcPr>
            <w:tcW w:w="6771" w:type="dxa"/>
            <w:shd w:val="clear" w:color="auto" w:fill="auto"/>
          </w:tcPr>
          <w:p w:rsidR="0057584D" w:rsidRPr="00BB7632" w:rsidRDefault="0057584D" w:rsidP="008A6D59">
            <w:pPr>
              <w:tabs>
                <w:tab w:val="left" w:pos="284"/>
                <w:tab w:val="left" w:pos="3969"/>
                <w:tab w:val="decimal" w:pos="5670"/>
              </w:tabs>
              <w:rPr>
                <w:rFonts w:eastAsia="Times New Roman" w:cs="Calibri"/>
                <w:b/>
                <w:lang w:eastAsia="it-IT"/>
              </w:rPr>
            </w:pPr>
            <w:r w:rsidRPr="00BB7632">
              <w:rPr>
                <w:rFonts w:eastAsia="Times New Roman" w:cs="Calibri"/>
                <w:b/>
                <w:lang w:eastAsia="it-IT"/>
              </w:rPr>
              <w:t>Finanziamento</w:t>
            </w:r>
          </w:p>
        </w:tc>
        <w:tc>
          <w:tcPr>
            <w:tcW w:w="1984" w:type="dxa"/>
            <w:shd w:val="clear" w:color="auto" w:fill="auto"/>
          </w:tcPr>
          <w:p w:rsidR="0057584D" w:rsidRPr="00BB7632" w:rsidRDefault="0057584D" w:rsidP="008A6D59">
            <w:pPr>
              <w:tabs>
                <w:tab w:val="left" w:pos="284"/>
                <w:tab w:val="left" w:pos="3969"/>
                <w:tab w:val="decimal" w:pos="5670"/>
              </w:tabs>
              <w:rPr>
                <w:rFonts w:eastAsia="Times New Roman" w:cs="Calibri"/>
                <w:lang w:eastAsia="it-IT"/>
              </w:rPr>
            </w:pPr>
          </w:p>
        </w:tc>
      </w:tr>
      <w:tr w:rsidR="0057584D" w:rsidRPr="00BB7632" w:rsidTr="008A6D59">
        <w:trPr>
          <w:trHeight w:val="454"/>
        </w:trPr>
        <w:tc>
          <w:tcPr>
            <w:tcW w:w="6771" w:type="dxa"/>
            <w:shd w:val="clear" w:color="auto" w:fill="auto"/>
          </w:tcPr>
          <w:p w:rsidR="0057584D" w:rsidRPr="00BB7632" w:rsidRDefault="0057584D" w:rsidP="008A6D59">
            <w:pPr>
              <w:tabs>
                <w:tab w:val="left" w:pos="284"/>
              </w:tabs>
              <w:spacing w:before="80"/>
              <w:rPr>
                <w:rFonts w:eastAsia="Times New Roman" w:cs="Calibri"/>
                <w:lang w:eastAsia="it-IT"/>
              </w:rPr>
            </w:pPr>
            <w:r w:rsidRPr="00BB7632">
              <w:rPr>
                <w:rFonts w:eastAsia="Times New Roman" w:cs="Calibri"/>
                <w:lang w:eastAsia="it-IT"/>
              </w:rPr>
              <w:t>Contributo cantonale</w:t>
            </w:r>
          </w:p>
        </w:tc>
        <w:tc>
          <w:tcPr>
            <w:tcW w:w="1984" w:type="dxa"/>
            <w:shd w:val="clear" w:color="auto" w:fill="auto"/>
          </w:tcPr>
          <w:p w:rsidR="0057584D" w:rsidRPr="00BB7632" w:rsidRDefault="0057584D" w:rsidP="008A6D59">
            <w:pPr>
              <w:tabs>
                <w:tab w:val="left" w:pos="284"/>
                <w:tab w:val="left" w:pos="3969"/>
                <w:tab w:val="decimal" w:pos="5670"/>
              </w:tabs>
              <w:spacing w:before="80"/>
              <w:rPr>
                <w:rFonts w:eastAsia="Times New Roman" w:cs="Calibri"/>
                <w:lang w:eastAsia="it-IT"/>
              </w:rPr>
            </w:pPr>
            <w:proofErr w:type="spellStart"/>
            <w:r w:rsidRPr="00BB7632">
              <w:rPr>
                <w:rFonts w:eastAsia="Times New Roman" w:cs="Calibri"/>
                <w:lang w:eastAsia="it-IT"/>
              </w:rPr>
              <w:t>fr</w:t>
            </w:r>
            <w:proofErr w:type="spellEnd"/>
            <w:r w:rsidRPr="00BB7632">
              <w:rPr>
                <w:rFonts w:eastAsia="Times New Roman" w:cs="Calibri"/>
                <w:lang w:eastAsia="it-IT"/>
              </w:rPr>
              <w:t>. 3'050'000.00</w:t>
            </w:r>
          </w:p>
        </w:tc>
      </w:tr>
      <w:tr w:rsidR="0057584D" w:rsidRPr="00BB7632" w:rsidTr="008A6D59">
        <w:trPr>
          <w:trHeight w:val="454"/>
        </w:trPr>
        <w:tc>
          <w:tcPr>
            <w:tcW w:w="6771" w:type="dxa"/>
            <w:shd w:val="clear" w:color="auto" w:fill="auto"/>
          </w:tcPr>
          <w:p w:rsidR="0057584D" w:rsidRPr="00BB7632" w:rsidRDefault="0057584D" w:rsidP="008A6D59">
            <w:pPr>
              <w:tabs>
                <w:tab w:val="left" w:pos="284"/>
                <w:tab w:val="left" w:pos="3969"/>
                <w:tab w:val="decimal" w:pos="5670"/>
              </w:tabs>
              <w:spacing w:before="80"/>
              <w:rPr>
                <w:rFonts w:eastAsia="Times New Roman" w:cs="Calibri"/>
                <w:lang w:eastAsia="it-IT"/>
              </w:rPr>
            </w:pPr>
            <w:r w:rsidRPr="00BB7632">
              <w:rPr>
                <w:rFonts w:eastAsia="Times New Roman" w:cs="Calibri"/>
                <w:lang w:eastAsia="it-IT"/>
              </w:rPr>
              <w:t>Contributo Comune di Mendrisio</w:t>
            </w:r>
          </w:p>
        </w:tc>
        <w:tc>
          <w:tcPr>
            <w:tcW w:w="1984" w:type="dxa"/>
            <w:shd w:val="clear" w:color="auto" w:fill="auto"/>
          </w:tcPr>
          <w:p w:rsidR="0057584D" w:rsidRPr="00BB7632" w:rsidRDefault="0057584D" w:rsidP="008A6D59">
            <w:pPr>
              <w:tabs>
                <w:tab w:val="left" w:pos="284"/>
                <w:tab w:val="left" w:pos="3969"/>
                <w:tab w:val="decimal" w:pos="5670"/>
              </w:tabs>
              <w:spacing w:before="80"/>
              <w:rPr>
                <w:rFonts w:eastAsia="Times New Roman" w:cs="Calibri"/>
                <w:lang w:eastAsia="it-IT"/>
              </w:rPr>
            </w:pPr>
            <w:proofErr w:type="spellStart"/>
            <w:r w:rsidRPr="00BB7632">
              <w:rPr>
                <w:rFonts w:eastAsia="Times New Roman" w:cs="Calibri"/>
                <w:lang w:eastAsia="it-IT"/>
              </w:rPr>
              <w:t>fr</w:t>
            </w:r>
            <w:proofErr w:type="spellEnd"/>
            <w:r w:rsidRPr="00BB7632">
              <w:rPr>
                <w:rFonts w:eastAsia="Times New Roman" w:cs="Calibri"/>
                <w:lang w:eastAsia="it-IT"/>
              </w:rPr>
              <w:t>. 5'370’960.30</w:t>
            </w:r>
          </w:p>
        </w:tc>
      </w:tr>
      <w:tr w:rsidR="0057584D" w:rsidRPr="00BB7632" w:rsidTr="008A6D59">
        <w:trPr>
          <w:trHeight w:val="454"/>
        </w:trPr>
        <w:tc>
          <w:tcPr>
            <w:tcW w:w="6771" w:type="dxa"/>
            <w:shd w:val="clear" w:color="auto" w:fill="auto"/>
          </w:tcPr>
          <w:p w:rsidR="0057584D" w:rsidRPr="00BB7632" w:rsidRDefault="0057584D" w:rsidP="008A6D59">
            <w:pPr>
              <w:tabs>
                <w:tab w:val="left" w:pos="284"/>
                <w:tab w:val="left" w:pos="3969"/>
                <w:tab w:val="decimal" w:pos="5670"/>
              </w:tabs>
              <w:spacing w:before="80"/>
              <w:rPr>
                <w:rFonts w:eastAsia="Times New Roman" w:cs="Calibri"/>
                <w:lang w:eastAsia="it-IT"/>
              </w:rPr>
            </w:pPr>
            <w:r w:rsidRPr="00BB7632">
              <w:rPr>
                <w:rFonts w:eastAsia="Times New Roman" w:cs="Calibri"/>
                <w:lang w:eastAsia="it-IT"/>
              </w:rPr>
              <w:t>Contributo Fondo Energie Rinnovabili (FER)</w:t>
            </w:r>
          </w:p>
        </w:tc>
        <w:tc>
          <w:tcPr>
            <w:tcW w:w="1984" w:type="dxa"/>
            <w:tcBorders>
              <w:bottom w:val="single" w:sz="4" w:space="0" w:color="auto"/>
            </w:tcBorders>
            <w:shd w:val="clear" w:color="auto" w:fill="auto"/>
          </w:tcPr>
          <w:p w:rsidR="0057584D" w:rsidRPr="00BB7632" w:rsidRDefault="0057584D" w:rsidP="008A6D59">
            <w:pPr>
              <w:tabs>
                <w:tab w:val="left" w:pos="284"/>
                <w:tab w:val="left" w:pos="3969"/>
                <w:tab w:val="decimal" w:pos="5670"/>
              </w:tabs>
              <w:spacing w:before="80"/>
              <w:rPr>
                <w:rFonts w:eastAsia="Times New Roman" w:cs="Calibri"/>
                <w:lang w:eastAsia="it-IT"/>
              </w:rPr>
            </w:pPr>
            <w:proofErr w:type="spellStart"/>
            <w:r w:rsidRPr="00BB7632">
              <w:rPr>
                <w:rFonts w:eastAsia="Times New Roman" w:cs="Calibri"/>
                <w:lang w:eastAsia="it-IT"/>
              </w:rPr>
              <w:t>fr</w:t>
            </w:r>
            <w:proofErr w:type="spellEnd"/>
            <w:r w:rsidRPr="00BB7632">
              <w:rPr>
                <w:rFonts w:eastAsia="Times New Roman" w:cs="Calibri"/>
                <w:lang w:eastAsia="it-IT"/>
              </w:rPr>
              <w:t>.    120'000.00</w:t>
            </w:r>
          </w:p>
        </w:tc>
      </w:tr>
      <w:tr w:rsidR="0057584D" w:rsidRPr="00BB7632" w:rsidTr="008A6D59">
        <w:tc>
          <w:tcPr>
            <w:tcW w:w="6771" w:type="dxa"/>
            <w:shd w:val="clear" w:color="auto" w:fill="auto"/>
          </w:tcPr>
          <w:p w:rsidR="0057584D" w:rsidRPr="00BB7632" w:rsidRDefault="0057584D" w:rsidP="008A6D59">
            <w:pPr>
              <w:tabs>
                <w:tab w:val="left" w:pos="284"/>
                <w:tab w:val="left" w:pos="3969"/>
                <w:tab w:val="decimal" w:pos="5670"/>
              </w:tabs>
              <w:spacing w:before="80"/>
              <w:rPr>
                <w:rFonts w:eastAsia="Times New Roman" w:cs="Calibri"/>
                <w:lang w:eastAsia="it-IT"/>
              </w:rPr>
            </w:pPr>
          </w:p>
        </w:tc>
        <w:tc>
          <w:tcPr>
            <w:tcW w:w="1984" w:type="dxa"/>
            <w:tcBorders>
              <w:top w:val="single" w:sz="4" w:space="0" w:color="auto"/>
            </w:tcBorders>
            <w:shd w:val="clear" w:color="auto" w:fill="auto"/>
          </w:tcPr>
          <w:p w:rsidR="0057584D" w:rsidRPr="00BB7632" w:rsidRDefault="0057584D" w:rsidP="008A6D59">
            <w:pPr>
              <w:tabs>
                <w:tab w:val="left" w:pos="284"/>
                <w:tab w:val="left" w:pos="3969"/>
                <w:tab w:val="decimal" w:pos="5670"/>
              </w:tabs>
              <w:spacing w:before="80"/>
              <w:rPr>
                <w:rFonts w:eastAsia="Times New Roman" w:cs="Calibri"/>
                <w:b/>
                <w:lang w:eastAsia="it-IT"/>
              </w:rPr>
            </w:pPr>
            <w:proofErr w:type="spellStart"/>
            <w:r w:rsidRPr="00BB7632">
              <w:rPr>
                <w:rFonts w:eastAsia="Times New Roman" w:cs="Calibri"/>
                <w:b/>
                <w:lang w:eastAsia="it-IT"/>
              </w:rPr>
              <w:t>fr</w:t>
            </w:r>
            <w:proofErr w:type="spellEnd"/>
            <w:r w:rsidRPr="00BB7632">
              <w:rPr>
                <w:rFonts w:eastAsia="Times New Roman" w:cs="Calibri"/>
                <w:b/>
                <w:lang w:eastAsia="it-IT"/>
              </w:rPr>
              <w:t>. 8'540’960.30</w:t>
            </w:r>
          </w:p>
        </w:tc>
      </w:tr>
    </w:tbl>
    <w:p w:rsidR="0057584D" w:rsidRPr="0006584D" w:rsidRDefault="0057584D" w:rsidP="0006584D">
      <w:pPr>
        <w:rPr>
          <w:szCs w:val="24"/>
          <w:lang w:val="it-IT"/>
        </w:rPr>
      </w:pPr>
    </w:p>
    <w:p w:rsidR="0057584D" w:rsidRPr="0006584D" w:rsidRDefault="0057584D" w:rsidP="0006584D">
      <w:pPr>
        <w:rPr>
          <w:szCs w:val="24"/>
          <w:lang w:val="it-IT"/>
        </w:rPr>
      </w:pPr>
      <w:r w:rsidRPr="0006584D">
        <w:rPr>
          <w:szCs w:val="24"/>
          <w:lang w:val="it-IT"/>
        </w:rPr>
        <w:t xml:space="preserve">Conformemente all'art. 11 cpv. 2 del Regolamento d’applicazione della </w:t>
      </w:r>
      <w:proofErr w:type="spellStart"/>
      <w:r w:rsidRPr="0006584D">
        <w:rPr>
          <w:szCs w:val="24"/>
          <w:lang w:val="it-IT"/>
        </w:rPr>
        <w:t>LAnz</w:t>
      </w:r>
      <w:proofErr w:type="spellEnd"/>
      <w:r w:rsidRPr="0006584D">
        <w:rPr>
          <w:szCs w:val="24"/>
          <w:lang w:val="it-IT"/>
        </w:rPr>
        <w:t>, nelle spese di gestione della casa per anziani non saranno riconosciuti gli eventuali oneri ipotecari (interessi e ammortamenti) derivanti da questa iniziativa, essendo l’ente proprietario un ente pubblico.</w:t>
      </w:r>
    </w:p>
    <w:p w:rsidR="0057584D" w:rsidRPr="0006584D" w:rsidRDefault="0057584D" w:rsidP="0006584D">
      <w:pPr>
        <w:rPr>
          <w:szCs w:val="24"/>
          <w:highlight w:val="yellow"/>
          <w:lang w:val="it-IT"/>
        </w:rPr>
      </w:pPr>
    </w:p>
    <w:p w:rsidR="0057584D" w:rsidRPr="0006584D" w:rsidRDefault="0057584D" w:rsidP="0006584D">
      <w:pPr>
        <w:rPr>
          <w:szCs w:val="24"/>
          <w:lang w:val="it-IT"/>
        </w:rPr>
      </w:pPr>
      <w:r w:rsidRPr="0006584D">
        <w:rPr>
          <w:szCs w:val="24"/>
          <w:lang w:val="it-IT"/>
        </w:rPr>
        <w:t xml:space="preserve">Dal profilo del rispetto della </w:t>
      </w:r>
      <w:proofErr w:type="spellStart"/>
      <w:r w:rsidRPr="0006584D">
        <w:rPr>
          <w:szCs w:val="24"/>
          <w:lang w:val="it-IT"/>
        </w:rPr>
        <w:t>LCPubb</w:t>
      </w:r>
      <w:proofErr w:type="spellEnd"/>
      <w:r w:rsidRPr="0006584D">
        <w:rPr>
          <w:szCs w:val="24"/>
          <w:lang w:val="it-IT"/>
        </w:rPr>
        <w:t xml:space="preserve"> la CGF non intravede irregolarità. </w:t>
      </w:r>
    </w:p>
    <w:p w:rsidR="00076E70" w:rsidRPr="0006584D" w:rsidRDefault="00076E70" w:rsidP="0006584D">
      <w:pPr>
        <w:rPr>
          <w:rFonts w:cs="Arial"/>
          <w:szCs w:val="24"/>
        </w:rPr>
      </w:pPr>
    </w:p>
    <w:p w:rsidR="00E765A9" w:rsidRDefault="00E765A9" w:rsidP="00076E70">
      <w:pPr>
        <w:rPr>
          <w:rFonts w:cs="Arial"/>
          <w:szCs w:val="24"/>
        </w:rPr>
      </w:pPr>
    </w:p>
    <w:p w:rsidR="00E765A9" w:rsidRPr="00E765A9" w:rsidRDefault="00E765A9" w:rsidP="00E765A9">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076E70" w:rsidRPr="00076E70" w:rsidRDefault="00076E70" w:rsidP="00076E70">
      <w:pPr>
        <w:autoSpaceDE w:val="0"/>
        <w:autoSpaceDN w:val="0"/>
        <w:adjustRightInd w:val="0"/>
        <w:rPr>
          <w:rFonts w:cs="Arial"/>
          <w:szCs w:val="24"/>
        </w:rPr>
      </w:pPr>
    </w:p>
    <w:p w:rsidR="00076E70" w:rsidRDefault="00076E70" w:rsidP="00076E70">
      <w:pPr>
        <w:rPr>
          <w:rFonts w:cs="Arial"/>
          <w:szCs w:val="24"/>
        </w:rPr>
      </w:pPr>
    </w:p>
    <w:p w:rsidR="0006584D" w:rsidRDefault="0006584D" w:rsidP="00076E70">
      <w:pPr>
        <w:rPr>
          <w:rFonts w:cs="Arial"/>
          <w:szCs w:val="24"/>
        </w:rPr>
      </w:pPr>
      <w:r>
        <w:rPr>
          <w:rFonts w:cs="Arial"/>
          <w:szCs w:val="24"/>
        </w:rPr>
        <w:lastRenderedPageBreak/>
        <w:t xml:space="preserve">Fatte queste considerazioni, la Commissione della gestione e delle finanze invita il Gran Consiglio ad approvare il messaggio in </w:t>
      </w:r>
      <w:r w:rsidR="000C4AF4">
        <w:rPr>
          <w:rFonts w:cs="Arial"/>
          <w:szCs w:val="24"/>
        </w:rPr>
        <w:t>esame</w:t>
      </w:r>
      <w:r>
        <w:rPr>
          <w:rFonts w:cs="Arial"/>
          <w:szCs w:val="24"/>
        </w:rPr>
        <w:t xml:space="preserve"> e il relativo decreto legislativo.</w:t>
      </w:r>
    </w:p>
    <w:p w:rsidR="0006584D" w:rsidRDefault="0006584D" w:rsidP="00076E70">
      <w:pPr>
        <w:rPr>
          <w:rFonts w:cs="Arial"/>
          <w:szCs w:val="24"/>
        </w:rPr>
      </w:pPr>
    </w:p>
    <w:p w:rsidR="0006584D" w:rsidRDefault="0006584D" w:rsidP="00076E70">
      <w:pPr>
        <w:rPr>
          <w:rFonts w:cs="Arial"/>
          <w:szCs w:val="24"/>
        </w:rPr>
      </w:pPr>
    </w:p>
    <w:p w:rsidR="0006584D" w:rsidRPr="00076E70" w:rsidRDefault="0006584D"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06584D" w:rsidP="00076E70">
      <w:pPr>
        <w:rPr>
          <w:rFonts w:cs="Arial"/>
          <w:szCs w:val="24"/>
        </w:rPr>
      </w:pPr>
      <w:r>
        <w:rPr>
          <w:rFonts w:cs="Arial"/>
          <w:szCs w:val="24"/>
        </w:rPr>
        <w:t>Franco Denti,</w:t>
      </w:r>
      <w:r w:rsidR="00076E70" w:rsidRPr="00076E70">
        <w:rPr>
          <w:rFonts w:cs="Arial"/>
          <w:szCs w:val="24"/>
        </w:rPr>
        <w:t xml:space="preserve"> relatore</w:t>
      </w:r>
    </w:p>
    <w:p w:rsidR="0006584D" w:rsidRDefault="0006584D" w:rsidP="0006584D">
      <w:pPr>
        <w:rPr>
          <w:rFonts w:cs="Arial"/>
        </w:rPr>
      </w:pPr>
      <w:bookmarkStart w:id="1" w:name="OLE_LINK1"/>
      <w:bookmarkStart w:id="2" w:name="OLE_LINK2"/>
      <w:r w:rsidRPr="005E5056">
        <w:rPr>
          <w:rFonts w:cs="Arial"/>
        </w:rPr>
        <w:t xml:space="preserve">Bacchetta-Cattori - </w:t>
      </w:r>
      <w:r>
        <w:rPr>
          <w:rFonts w:cs="Arial"/>
        </w:rPr>
        <w:t xml:space="preserve">Badasci - Bang - Bignasca - </w:t>
      </w:r>
    </w:p>
    <w:p w:rsidR="0006584D" w:rsidRDefault="0006584D" w:rsidP="0006584D">
      <w:pPr>
        <w:rPr>
          <w:rFonts w:cs="Arial"/>
        </w:rPr>
      </w:pPr>
      <w:r>
        <w:rPr>
          <w:rFonts w:cs="Arial"/>
        </w:rPr>
        <w:t xml:space="preserve">Caprara - Caverzasio - Dadò - De Rosa - </w:t>
      </w:r>
    </w:p>
    <w:p w:rsidR="0006584D" w:rsidRDefault="0006584D" w:rsidP="0006584D">
      <w:pPr>
        <w:rPr>
          <w:rFonts w:cs="Arial"/>
        </w:rPr>
      </w:pPr>
      <w:r>
        <w:rPr>
          <w:rFonts w:cs="Arial"/>
        </w:rPr>
        <w:t xml:space="preserve">Durisch - Farinelli - Garobbio - Garzoli - </w:t>
      </w:r>
    </w:p>
    <w:p w:rsidR="0006584D" w:rsidRDefault="0006584D" w:rsidP="0006584D">
      <w:pPr>
        <w:rPr>
          <w:rFonts w:cs="Arial"/>
        </w:rPr>
      </w:pPr>
      <w:r>
        <w:rPr>
          <w:rFonts w:cs="Arial"/>
        </w:rPr>
        <w:t>Guerra - Pini - Quadranti</w:t>
      </w:r>
    </w:p>
    <w:bookmarkEnd w:id="1"/>
    <w:bookmarkEnd w:id="2"/>
    <w:p w:rsidR="0006584D" w:rsidRDefault="0006584D" w:rsidP="0006584D">
      <w:pPr>
        <w:rPr>
          <w:rFonts w:cs="Arial"/>
        </w:rPr>
      </w:pP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FC" w:rsidRDefault="00DB02FC" w:rsidP="008E77C6">
      <w:r>
        <w:separator/>
      </w:r>
    </w:p>
  </w:endnote>
  <w:endnote w:type="continuationSeparator" w:id="0">
    <w:p w:rsidR="00DB02FC" w:rsidRDefault="00DB02F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C6776" w:rsidRPr="00DC677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FC" w:rsidRDefault="00DB02FC" w:rsidP="008E77C6">
      <w:r>
        <w:separator/>
      </w:r>
    </w:p>
  </w:footnote>
  <w:footnote w:type="continuationSeparator" w:id="0">
    <w:p w:rsidR="00DB02FC" w:rsidRDefault="00DB02F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D5C453A"/>
    <w:multiLevelType w:val="hybridMultilevel"/>
    <w:tmpl w:val="C18A621E"/>
    <w:lvl w:ilvl="0" w:tplc="64B03DD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6584D"/>
    <w:rsid w:val="00076E70"/>
    <w:rsid w:val="000C4AF4"/>
    <w:rsid w:val="001574D7"/>
    <w:rsid w:val="00260C8C"/>
    <w:rsid w:val="002E5E40"/>
    <w:rsid w:val="0052425A"/>
    <w:rsid w:val="0057584D"/>
    <w:rsid w:val="00586A8D"/>
    <w:rsid w:val="006D7A3B"/>
    <w:rsid w:val="007352D3"/>
    <w:rsid w:val="007B5462"/>
    <w:rsid w:val="008034BD"/>
    <w:rsid w:val="00876352"/>
    <w:rsid w:val="008B2655"/>
    <w:rsid w:val="008B4137"/>
    <w:rsid w:val="008C767A"/>
    <w:rsid w:val="008E77C6"/>
    <w:rsid w:val="009770BB"/>
    <w:rsid w:val="009E008D"/>
    <w:rsid w:val="00A5465F"/>
    <w:rsid w:val="00A77678"/>
    <w:rsid w:val="00BC4C95"/>
    <w:rsid w:val="00BD5944"/>
    <w:rsid w:val="00CF6858"/>
    <w:rsid w:val="00D377B5"/>
    <w:rsid w:val="00D93B31"/>
    <w:rsid w:val="00DB02FC"/>
    <w:rsid w:val="00DC6776"/>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0658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5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0658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5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E62B-8D46-4BAD-8FC2-385ECBE8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2065</Words>
  <Characters>11773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2019-02-22T17:09:00Z</cp:lastPrinted>
  <dcterms:created xsi:type="dcterms:W3CDTF">2019-02-22T09:58:00Z</dcterms:created>
  <dcterms:modified xsi:type="dcterms:W3CDTF">2019-02-27T09:02:00Z</dcterms:modified>
</cp:coreProperties>
</file>