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4C3217">
      <w:pPr>
        <w:rPr>
          <w:rFonts w:cs="Arial"/>
          <w:sz w:val="20"/>
          <w:szCs w:val="20"/>
        </w:rPr>
      </w:pPr>
      <w:r w:rsidRPr="00A13E93">
        <w:rPr>
          <w:rFonts w:ascii="Gill Sans MT" w:hAnsi="Gill Sans MT"/>
          <w:b/>
          <w:sz w:val="52"/>
          <w:szCs w:val="52"/>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260C8C" w:rsidRDefault="00A15B6C" w:rsidP="00260C8C">
      <w:pPr>
        <w:tabs>
          <w:tab w:val="left" w:pos="2098"/>
          <w:tab w:val="left" w:pos="4933"/>
        </w:tabs>
        <w:rPr>
          <w:rFonts w:cs="Arial"/>
          <w:szCs w:val="24"/>
        </w:rPr>
      </w:pPr>
      <w:r>
        <w:rPr>
          <w:rFonts w:cs="Arial"/>
          <w:b/>
          <w:sz w:val="32"/>
          <w:szCs w:val="32"/>
        </w:rPr>
        <w:t>7619</w:t>
      </w:r>
      <w:r w:rsidR="00260C8C" w:rsidRPr="008B4137">
        <w:rPr>
          <w:rFonts w:cs="Arial"/>
          <w:b/>
          <w:sz w:val="32"/>
          <w:szCs w:val="32"/>
        </w:rPr>
        <w:t xml:space="preserve"> R</w:t>
      </w:r>
      <w:r w:rsidR="00260C8C" w:rsidRPr="008B4137">
        <w:rPr>
          <w:rFonts w:cs="Arial"/>
          <w:sz w:val="28"/>
          <w:szCs w:val="28"/>
        </w:rPr>
        <w:tab/>
      </w:r>
      <w:r>
        <w:rPr>
          <w:rFonts w:cs="Arial"/>
          <w:sz w:val="28"/>
          <w:szCs w:val="28"/>
        </w:rPr>
        <w:t>26 febbraio 2019</w:t>
      </w:r>
      <w:r w:rsidR="00260C8C" w:rsidRPr="008B4137">
        <w:rPr>
          <w:rFonts w:cs="Arial"/>
          <w:sz w:val="28"/>
          <w:szCs w:val="28"/>
        </w:rPr>
        <w:tab/>
      </w:r>
      <w:r>
        <w:rPr>
          <w:sz w:val="28"/>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A15B6C" w:rsidRPr="00A15B6C">
        <w:rPr>
          <w:rFonts w:cs="Arial"/>
          <w:b/>
          <w:sz w:val="28"/>
          <w:szCs w:val="28"/>
        </w:rPr>
        <w:t>19 dicembre 2018 concernente la concessione di un credito di franchi 6'538'000 per il concorso di architettura e la progettazione del nuovo Centro polifunzionale d’istruzione e tiro del Monte Ceneri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A15B6C" w:rsidRPr="00A15B6C" w:rsidRDefault="00A15B6C" w:rsidP="004E3AB2">
      <w:pPr>
        <w:pStyle w:val="Titolo1"/>
      </w:pPr>
      <w:r w:rsidRPr="00A15B6C">
        <w:t>Introduzione</w:t>
      </w:r>
    </w:p>
    <w:p w:rsidR="00A15B6C" w:rsidRPr="00A15B6C" w:rsidRDefault="00A15B6C" w:rsidP="00A15B6C">
      <w:pPr>
        <w:rPr>
          <w:rFonts w:cs="Arial"/>
        </w:rPr>
      </w:pPr>
      <w:r w:rsidRPr="00A15B6C">
        <w:rPr>
          <w:rFonts w:cs="Arial"/>
        </w:rPr>
        <w:t>Con lo studio di fattibilità 2.0 il Dipartimento delle istituzioni (DI), in collaborazione con la Sezione della logistica, ha verificato la possibilità di trasformare l’attuale poligono di tiro dell’Esercito sul Monte Ceneri in un centro polifunzionale d’istruzione e di tiro, destinato a integrare tutte le attività di tiro del comprensorio interessato: da quelle legate alla difesa nazionale, al tiro sportivo, sino a quelle inerenti la polizia e la sicurezza in generale.</w:t>
      </w:r>
    </w:p>
    <w:p w:rsidR="00A15B6C" w:rsidRPr="00A15B6C" w:rsidRDefault="00A15B6C" w:rsidP="004E3AB2">
      <w:pPr>
        <w:spacing w:before="160"/>
        <w:rPr>
          <w:rFonts w:cs="Arial"/>
        </w:rPr>
      </w:pPr>
      <w:r w:rsidRPr="00A15B6C">
        <w:rPr>
          <w:rFonts w:cs="Arial"/>
        </w:rPr>
        <w:t xml:space="preserve">Con l’attuale panificazione si prevede, al termine di concorso di architettura, di entrare nella fase progettuale all’inizio del 2021 e concluderla a fine 2022. Ottenuto il credito di costruzione potrà quindi iniziare la realizzazione che si svilupperà fino alla metà del 2024. </w:t>
      </w:r>
    </w:p>
    <w:p w:rsidR="00A15B6C" w:rsidRPr="00A15B6C" w:rsidRDefault="00A15B6C" w:rsidP="004E3AB2">
      <w:pPr>
        <w:spacing w:before="160"/>
        <w:rPr>
          <w:rFonts w:cs="Arial"/>
        </w:rPr>
      </w:pPr>
      <w:r w:rsidRPr="00A15B6C">
        <w:rPr>
          <w:rFonts w:cs="Arial"/>
        </w:rPr>
        <w:t>Gli utenti interessati da questo progetto, peraltro più volte coinvolti nelle fasi di studio e di simulazione della futura occupazione, sono molto differenziati: Esercito, Polizia cantonale, corpi delle polizie comunali, Corpo guardie di confine, società di tiro e utenza privata.</w:t>
      </w:r>
    </w:p>
    <w:p w:rsidR="00A15B6C" w:rsidRPr="00A15B6C" w:rsidRDefault="00A15B6C" w:rsidP="004E3AB2">
      <w:pPr>
        <w:spacing w:before="160"/>
        <w:rPr>
          <w:rFonts w:cs="Arial"/>
        </w:rPr>
      </w:pPr>
      <w:r w:rsidRPr="00A15B6C">
        <w:rPr>
          <w:rFonts w:cs="Arial"/>
        </w:rPr>
        <w:t>Il nuovo centro d’istruzione, oltre ad essere funzionale e performante per tutti i vari utenti, porterà numerosi vantaggi per tutta la cittadinanza, in particolare eliminando l’inquinamento fonico di alcuni poligoni di tiro attualmente attivi. L’apertura della struttura qui presentata permetterà la chiusura di alcuni poligoni attualmente in funzione</w:t>
      </w:r>
      <w:r w:rsidRPr="004E3AB2">
        <w:rPr>
          <w:rFonts w:cs="Arial"/>
        </w:rPr>
        <w:t xml:space="preserve"> </w:t>
      </w:r>
      <w:r w:rsidRPr="00A15B6C">
        <w:rPr>
          <w:rFonts w:cs="Arial"/>
        </w:rPr>
        <w:t>(</w:t>
      </w:r>
      <w:proofErr w:type="spellStart"/>
      <w:r w:rsidRPr="00A15B6C">
        <w:rPr>
          <w:rFonts w:cs="Arial"/>
        </w:rPr>
        <w:t>Porza</w:t>
      </w:r>
      <w:proofErr w:type="spellEnd"/>
      <w:r w:rsidRPr="00A15B6C">
        <w:rPr>
          <w:rFonts w:cs="Arial"/>
        </w:rPr>
        <w:t xml:space="preserve">-Canobbio in zona </w:t>
      </w:r>
      <w:proofErr w:type="spellStart"/>
      <w:r w:rsidRPr="00A15B6C">
        <w:rPr>
          <w:rFonts w:cs="Arial"/>
        </w:rPr>
        <w:t>Ressiga</w:t>
      </w:r>
      <w:proofErr w:type="spellEnd"/>
      <w:r w:rsidRPr="00A15B6C">
        <w:rPr>
          <w:rFonts w:cs="Arial"/>
        </w:rPr>
        <w:t xml:space="preserve">, di Bellinzona-Giubiasco in zona Saleggi e Origlio-Cureglia) e sarà completamente coperta andando a eliminare le emissioni di rumore anche del settore di Monteceneri. </w:t>
      </w:r>
    </w:p>
    <w:p w:rsidR="00A15B6C" w:rsidRPr="00A15B6C" w:rsidRDefault="00A15B6C" w:rsidP="004E3AB2">
      <w:pPr>
        <w:spacing w:before="160"/>
        <w:rPr>
          <w:rFonts w:cs="Arial"/>
        </w:rPr>
      </w:pPr>
      <w:r w:rsidRPr="00A15B6C">
        <w:rPr>
          <w:rFonts w:cs="Arial"/>
        </w:rPr>
        <w:t xml:space="preserve">Da un punto di vista </w:t>
      </w:r>
      <w:proofErr w:type="spellStart"/>
      <w:r w:rsidRPr="00A15B6C">
        <w:rPr>
          <w:rFonts w:cs="Arial"/>
        </w:rPr>
        <w:t>pianificatorio</w:t>
      </w:r>
      <w:proofErr w:type="spellEnd"/>
      <w:r w:rsidRPr="00A15B6C">
        <w:rPr>
          <w:rFonts w:cs="Arial"/>
        </w:rPr>
        <w:t xml:space="preserve">, trasferire le attività di tiro di Lugano e Bellinzona, nel nuovo centro polifunzionale, permetterà di liberare dei terreni pregiati già previsti dai rispettivi esecutivi comunali per scopi d’interesse pubblico: il nuovo ospedale di Bellinzona nella zona dei Saleggi e il nuovo quartiere di Cornaredo nel settore </w:t>
      </w:r>
      <w:proofErr w:type="spellStart"/>
      <w:r w:rsidRPr="00A15B6C">
        <w:rPr>
          <w:rFonts w:cs="Arial"/>
        </w:rPr>
        <w:t>Ressiga</w:t>
      </w:r>
      <w:proofErr w:type="spellEnd"/>
      <w:r w:rsidRPr="00A15B6C">
        <w:rPr>
          <w:rFonts w:cs="Arial"/>
        </w:rPr>
        <w:t xml:space="preserve"> (</w:t>
      </w:r>
      <w:proofErr w:type="spellStart"/>
      <w:r w:rsidRPr="00A15B6C">
        <w:rPr>
          <w:rFonts w:cs="Arial"/>
        </w:rPr>
        <w:t>Porza</w:t>
      </w:r>
      <w:proofErr w:type="spellEnd"/>
      <w:r w:rsidRPr="00A15B6C">
        <w:rPr>
          <w:rFonts w:cs="Arial"/>
        </w:rPr>
        <w:t>-Canobbio).</w:t>
      </w:r>
    </w:p>
    <w:p w:rsidR="00A15B6C" w:rsidRPr="00A15B6C" w:rsidRDefault="00A15B6C" w:rsidP="004E3AB2">
      <w:pPr>
        <w:spacing w:before="160"/>
        <w:rPr>
          <w:rFonts w:cs="Arial"/>
        </w:rPr>
      </w:pPr>
      <w:r w:rsidRPr="00A15B6C">
        <w:rPr>
          <w:rFonts w:cs="Arial"/>
        </w:rPr>
        <w:t>Dopo più di 4 anni di studi, atti a verificare la fattibilità di realizzazione della nuova struttura, siamo convinti della bontà e dell’efficacia di quanto presentato nel presente studio.</w:t>
      </w:r>
    </w:p>
    <w:p w:rsidR="00A15B6C" w:rsidRPr="00A15B6C" w:rsidRDefault="00A15B6C" w:rsidP="00A15B6C">
      <w:pPr>
        <w:rPr>
          <w:rFonts w:cs="Arial"/>
        </w:rPr>
      </w:pPr>
    </w:p>
    <w:p w:rsidR="00A15B6C" w:rsidRPr="00A15B6C" w:rsidRDefault="00A15B6C" w:rsidP="00A15B6C">
      <w:pPr>
        <w:rPr>
          <w:rFonts w:cs="Arial"/>
        </w:rPr>
      </w:pPr>
    </w:p>
    <w:p w:rsidR="00A15B6C" w:rsidRPr="00A15B6C" w:rsidRDefault="00A15B6C" w:rsidP="004E3AB2">
      <w:pPr>
        <w:pStyle w:val="Titolo1"/>
      </w:pPr>
      <w:r w:rsidRPr="00A15B6C">
        <w:lastRenderedPageBreak/>
        <w:t>ASPETTI FINANZIARI</w:t>
      </w:r>
    </w:p>
    <w:p w:rsidR="00A15B6C" w:rsidRPr="00A15B6C" w:rsidRDefault="00A15B6C" w:rsidP="00A15B6C">
      <w:pPr>
        <w:rPr>
          <w:rFonts w:cs="Arial"/>
        </w:rPr>
      </w:pPr>
      <w:r w:rsidRPr="00A15B6C">
        <w:rPr>
          <w:rFonts w:cs="Arial"/>
        </w:rPr>
        <w:t>Per quanto riguarda gli aspetti finanziari sono già stati trattati i costi relativi all’investimento e quelli di gestione e manutenzione.</w:t>
      </w:r>
    </w:p>
    <w:p w:rsidR="00A15B6C" w:rsidRPr="00A15B6C" w:rsidRDefault="00A15B6C" w:rsidP="00A15B6C">
      <w:pPr>
        <w:rPr>
          <w:rFonts w:cs="Arial"/>
        </w:rPr>
      </w:pPr>
    </w:p>
    <w:p w:rsidR="00A15B6C" w:rsidRPr="00A15B6C" w:rsidRDefault="00A15B6C" w:rsidP="00A15B6C">
      <w:pPr>
        <w:rPr>
          <w:rFonts w:cs="Arial"/>
        </w:rPr>
      </w:pPr>
    </w:p>
    <w:p w:rsidR="00A15B6C" w:rsidRPr="00A15B6C" w:rsidRDefault="00A15B6C" w:rsidP="00A15B6C">
      <w:pPr>
        <w:spacing w:after="120"/>
        <w:rPr>
          <w:rFonts w:cs="Arial"/>
          <w:b/>
        </w:rPr>
      </w:pPr>
      <w:r w:rsidRPr="00A15B6C">
        <w:rPr>
          <w:rFonts w:cs="Arial"/>
          <w:b/>
        </w:rPr>
        <w:t>2.1</w:t>
      </w:r>
      <w:r w:rsidRPr="00A15B6C">
        <w:rPr>
          <w:rFonts w:cs="Arial"/>
          <w:b/>
        </w:rPr>
        <w:tab/>
        <w:t>Costi d’investimento</w:t>
      </w:r>
    </w:p>
    <w:p w:rsidR="00A15B6C" w:rsidRPr="00A15B6C" w:rsidRDefault="00A15B6C" w:rsidP="00A15B6C">
      <w:pPr>
        <w:rPr>
          <w:rFonts w:cs="Arial"/>
        </w:rPr>
      </w:pPr>
      <w:r w:rsidRPr="00A15B6C">
        <w:rPr>
          <w:rFonts w:cs="Arial"/>
        </w:rPr>
        <w:t>I costi d’investimento verranno sostenuti principalmente da Confederazione, la quale finanzierà pure la bonifica del terreno dal piombo, dal Corpo guardie di confine, dal Cantone, dai Comuni, ai quali, per non pesare su un unico anno contabile, potrebbe essere data la possibilità di frazionare il finanziamento su 10 anni.</w:t>
      </w:r>
    </w:p>
    <w:p w:rsidR="00A15B6C" w:rsidRPr="00A15B6C" w:rsidRDefault="00A15B6C" w:rsidP="004E3AB2">
      <w:pPr>
        <w:spacing w:before="160"/>
        <w:rPr>
          <w:rFonts w:cs="Arial"/>
        </w:rPr>
      </w:pPr>
      <w:r w:rsidRPr="00A15B6C">
        <w:rPr>
          <w:rFonts w:cs="Arial"/>
        </w:rPr>
        <w:t>Degno di nota è la sinergia trovata con la costruzione di un rifugio pubblico, sottostante alla nuova struttura, finanziato tramite il fondo dei contributi sostitutivi, che permetterà, in tempo di pace, di sfruttare questi spazi in favore delle società di tiro e delle organizzazioni partner e ridurre il deficit di porti protetti nel Comune di Monteceneri.</w:t>
      </w:r>
    </w:p>
    <w:p w:rsidR="00A15B6C" w:rsidRPr="00A15B6C" w:rsidRDefault="00A15B6C" w:rsidP="004E3AB2">
      <w:pPr>
        <w:spacing w:before="160"/>
        <w:rPr>
          <w:rFonts w:cs="Arial"/>
        </w:rPr>
      </w:pPr>
      <w:r w:rsidRPr="00A15B6C">
        <w:rPr>
          <w:rFonts w:cs="Arial"/>
        </w:rPr>
        <w:t xml:space="preserve">Nella parte fuori terra sarà presente anche uno spazio destinato alla ristorazione. Anche in questo caso è stata individuata una sinergia con un altro progetto che prevede la costruzione, adiacente all’attuale centro d’istruzione della protezione civile di Rivera, di una struttura che accoglierà la scuola di Polizia. Il ristorante presente nel nuovo centro polifunzionale d’istruzione e di tiro, garantirà quindi un servizio di refezione che oggi risulta mancante e sarà necessario a fronte dell’elevato numero dell’utenza. </w:t>
      </w:r>
    </w:p>
    <w:p w:rsidR="00A15B6C" w:rsidRPr="00A15B6C" w:rsidRDefault="00A15B6C" w:rsidP="004E3AB2">
      <w:pPr>
        <w:spacing w:before="160"/>
        <w:rPr>
          <w:rFonts w:cs="Arial"/>
        </w:rPr>
      </w:pPr>
      <w:r w:rsidRPr="00A15B6C">
        <w:rPr>
          <w:rFonts w:cs="Arial"/>
        </w:rPr>
        <w:t xml:space="preserve">Da citare anche i locali previsti per uno spazio di vendita e gestione della clientela privata, per la cui vendita verrà emesso un concorso pubblico. </w:t>
      </w:r>
    </w:p>
    <w:p w:rsidR="00A15B6C" w:rsidRPr="00A15B6C" w:rsidRDefault="00A15B6C" w:rsidP="00A15B6C">
      <w:pPr>
        <w:rPr>
          <w:rFonts w:cs="Arial"/>
        </w:rPr>
      </w:pPr>
    </w:p>
    <w:p w:rsidR="00A15B6C" w:rsidRPr="00A15B6C" w:rsidRDefault="00A15B6C" w:rsidP="00A15B6C">
      <w:pPr>
        <w:rPr>
          <w:rFonts w:cs="Arial"/>
        </w:rPr>
      </w:pPr>
    </w:p>
    <w:p w:rsidR="00A15B6C" w:rsidRPr="00A15B6C" w:rsidRDefault="00A15B6C" w:rsidP="00A15B6C">
      <w:pPr>
        <w:spacing w:after="120"/>
        <w:rPr>
          <w:rFonts w:cs="Arial"/>
          <w:b/>
        </w:rPr>
      </w:pPr>
      <w:r>
        <w:rPr>
          <w:rFonts w:cs="Arial"/>
          <w:b/>
        </w:rPr>
        <w:t>2.2</w:t>
      </w:r>
      <w:r w:rsidRPr="00A15B6C">
        <w:rPr>
          <w:rFonts w:cs="Arial"/>
          <w:b/>
        </w:rPr>
        <w:tab/>
        <w:t>Costi di gestione e manutenzione</w:t>
      </w:r>
    </w:p>
    <w:p w:rsidR="00A15B6C" w:rsidRPr="00A15B6C" w:rsidRDefault="00A15B6C" w:rsidP="00A15B6C">
      <w:pPr>
        <w:rPr>
          <w:rFonts w:cs="Arial"/>
        </w:rPr>
      </w:pPr>
      <w:r w:rsidRPr="00A15B6C">
        <w:rPr>
          <w:rFonts w:cs="Arial"/>
        </w:rPr>
        <w:t>La gestione e la manutenzione dello stabile sarà, proporzionalmente all’utilizzo, a carico del Cantone, dei Comuni, del Corpo guardie di confine e degli affittuari (gestore del ristorante, gestore dello shop, società di tiro e delle federazioni).</w:t>
      </w:r>
    </w:p>
    <w:p w:rsidR="00A15B6C" w:rsidRPr="00A15B6C" w:rsidRDefault="00A15B6C" w:rsidP="004E3AB2">
      <w:pPr>
        <w:spacing w:before="160"/>
        <w:rPr>
          <w:rFonts w:cs="Arial"/>
        </w:rPr>
      </w:pPr>
      <w:r w:rsidRPr="00A15B6C">
        <w:rPr>
          <w:rFonts w:cs="Arial"/>
        </w:rPr>
        <w:t>Per ottimizzare questi costi vi è la possibilità di un accordo con la Base logistica dell’Esercito, organizzazione che già ora si occupa della manutenzione dell’attuale struttura.</w:t>
      </w:r>
    </w:p>
    <w:p w:rsidR="00A15B6C" w:rsidRPr="00A15B6C" w:rsidRDefault="00A15B6C" w:rsidP="004E3AB2">
      <w:pPr>
        <w:spacing w:before="160"/>
        <w:rPr>
          <w:rFonts w:cs="Arial"/>
        </w:rPr>
      </w:pPr>
      <w:r w:rsidRPr="00A15B6C">
        <w:rPr>
          <w:rFonts w:cs="Arial"/>
        </w:rPr>
        <w:t>In merito all’impegno finanziario per i Comuni, a titolo di paragone, citiamo come questo si situerà tra il 10% / 20% della spesa che attualmente un paese destina alla manutenzione e gestione di un campo sportivo.</w:t>
      </w:r>
    </w:p>
    <w:p w:rsidR="00A15B6C" w:rsidRPr="00A15B6C" w:rsidRDefault="00A15B6C" w:rsidP="00A15B6C"/>
    <w:p w:rsidR="00A15B6C" w:rsidRPr="00A15B6C" w:rsidRDefault="00A15B6C" w:rsidP="00A15B6C"/>
    <w:p w:rsidR="004E3AB2" w:rsidRDefault="004E3AB2">
      <w:pPr>
        <w:rPr>
          <w:rFonts w:cs="Arial"/>
          <w:b/>
          <w:caps/>
          <w:szCs w:val="24"/>
          <w:lang w:val="it-IT" w:eastAsia="it-IT"/>
        </w:rPr>
      </w:pPr>
      <w:r>
        <w:rPr>
          <w:rFonts w:cs="Arial"/>
        </w:rPr>
        <w:br w:type="page"/>
      </w:r>
    </w:p>
    <w:p w:rsidR="00A15B6C" w:rsidRPr="00A15B6C" w:rsidRDefault="00A15B6C" w:rsidP="004E3AB2">
      <w:pPr>
        <w:pStyle w:val="Titolo1"/>
      </w:pPr>
      <w:r w:rsidRPr="00A15B6C">
        <w:lastRenderedPageBreak/>
        <w:t>PARTI DI PARTICOLARE INTERESSE</w:t>
      </w:r>
    </w:p>
    <w:p w:rsidR="00A15B6C" w:rsidRPr="00A15B6C" w:rsidRDefault="00A15B6C" w:rsidP="00A15B6C">
      <w:pPr>
        <w:rPr>
          <w:rFonts w:cs="Arial"/>
        </w:rPr>
      </w:pPr>
      <w:r w:rsidRPr="00A15B6C">
        <w:rPr>
          <w:rFonts w:cs="Arial"/>
        </w:rPr>
        <w:t>Nella prossima tabella, così da orientare i lettori all’interno della documentazione, si va ad evidenziare dove trovare le parti ritenute di particolare interesse.</w:t>
      </w:r>
    </w:p>
    <w:p w:rsidR="00A15B6C" w:rsidRPr="00A15B6C" w:rsidRDefault="00A15B6C" w:rsidP="00A15B6C">
      <w:pPr>
        <w:rPr>
          <w:rFonts w:cs="Arial"/>
        </w:rPr>
      </w:pPr>
    </w:p>
    <w:tbl>
      <w:tblPr>
        <w:tblW w:w="9781" w:type="dxa"/>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111"/>
        <w:gridCol w:w="2693"/>
        <w:gridCol w:w="2977"/>
      </w:tblGrid>
      <w:tr w:rsidR="00A15B6C" w:rsidRPr="004E3AB2" w:rsidTr="006A384C">
        <w:trPr>
          <w:trHeight w:val="724"/>
        </w:trPr>
        <w:tc>
          <w:tcPr>
            <w:tcW w:w="4111" w:type="dxa"/>
            <w:tcBorders>
              <w:top w:val="single" w:sz="18" w:space="0" w:color="000000" w:themeColor="text1"/>
            </w:tcBorders>
            <w:shd w:val="clear" w:color="auto" w:fill="808080" w:themeFill="background1" w:themeFillShade="80"/>
            <w:vAlign w:val="center"/>
          </w:tcPr>
          <w:p w:rsidR="00A15B6C" w:rsidRPr="004E3AB2" w:rsidRDefault="00A15B6C" w:rsidP="00A15B6C">
            <w:pPr>
              <w:rPr>
                <w:rFonts w:cs="Arial"/>
                <w:color w:val="FFFFFF" w:themeColor="background1"/>
                <w:sz w:val="22"/>
              </w:rPr>
            </w:pPr>
            <w:r w:rsidRPr="004E3AB2">
              <w:rPr>
                <w:rFonts w:cs="Arial"/>
                <w:color w:val="FFFFFF" w:themeColor="background1"/>
                <w:sz w:val="22"/>
              </w:rPr>
              <w:t>Tema</w:t>
            </w:r>
          </w:p>
        </w:tc>
        <w:tc>
          <w:tcPr>
            <w:tcW w:w="2693" w:type="dxa"/>
            <w:tcBorders>
              <w:top w:val="single" w:sz="18" w:space="0" w:color="000000" w:themeColor="text1"/>
            </w:tcBorders>
            <w:shd w:val="clear" w:color="auto" w:fill="808080" w:themeFill="background1" w:themeFillShade="80"/>
            <w:vAlign w:val="center"/>
          </w:tcPr>
          <w:p w:rsidR="00A15B6C" w:rsidRPr="004E3AB2" w:rsidRDefault="00A15B6C" w:rsidP="004E3AB2">
            <w:pPr>
              <w:jc w:val="center"/>
              <w:rPr>
                <w:rFonts w:cs="Arial"/>
                <w:color w:val="FFFFFF" w:themeColor="background1"/>
                <w:sz w:val="22"/>
              </w:rPr>
            </w:pPr>
            <w:r w:rsidRPr="004E3AB2">
              <w:rPr>
                <w:rFonts w:cs="Arial"/>
                <w:color w:val="FFFFFF" w:themeColor="background1"/>
                <w:sz w:val="22"/>
              </w:rPr>
              <w:t>Rapporto di programmazione</w:t>
            </w:r>
          </w:p>
        </w:tc>
        <w:tc>
          <w:tcPr>
            <w:tcW w:w="2977" w:type="dxa"/>
            <w:tcBorders>
              <w:top w:val="single" w:sz="18" w:space="0" w:color="000000" w:themeColor="text1"/>
            </w:tcBorders>
            <w:shd w:val="clear" w:color="auto" w:fill="808080" w:themeFill="background1" w:themeFillShade="80"/>
            <w:vAlign w:val="center"/>
          </w:tcPr>
          <w:p w:rsidR="00A15B6C" w:rsidRPr="004E3AB2" w:rsidRDefault="00A15B6C" w:rsidP="004E3AB2">
            <w:pPr>
              <w:jc w:val="center"/>
              <w:rPr>
                <w:rFonts w:cs="Arial"/>
                <w:color w:val="FFFFFF" w:themeColor="background1"/>
                <w:sz w:val="22"/>
              </w:rPr>
            </w:pPr>
            <w:r w:rsidRPr="004E3AB2">
              <w:rPr>
                <w:rFonts w:cs="Arial"/>
                <w:color w:val="FFFFFF" w:themeColor="background1"/>
                <w:sz w:val="22"/>
              </w:rPr>
              <w:t>Messaggio per il credito di progettazione</w:t>
            </w:r>
          </w:p>
        </w:tc>
      </w:tr>
      <w:tr w:rsidR="00A15B6C" w:rsidRPr="004E3AB2" w:rsidTr="006A384C">
        <w:trPr>
          <w:trHeight w:val="340"/>
        </w:trPr>
        <w:tc>
          <w:tcPr>
            <w:tcW w:w="4111" w:type="dxa"/>
            <w:tcBorders>
              <w:top w:val="single" w:sz="18" w:space="0" w:color="000000" w:themeColor="text1"/>
            </w:tcBorders>
            <w:vAlign w:val="center"/>
          </w:tcPr>
          <w:p w:rsidR="00A15B6C" w:rsidRPr="004E3AB2" w:rsidRDefault="00A15B6C" w:rsidP="00A15B6C">
            <w:pPr>
              <w:rPr>
                <w:rFonts w:cs="Arial"/>
                <w:sz w:val="22"/>
              </w:rPr>
            </w:pPr>
            <w:r w:rsidRPr="004E3AB2">
              <w:rPr>
                <w:rFonts w:cs="Arial"/>
                <w:sz w:val="22"/>
              </w:rPr>
              <w:t>Ricorso Comune Monteceneri</w:t>
            </w:r>
          </w:p>
        </w:tc>
        <w:tc>
          <w:tcPr>
            <w:tcW w:w="2693" w:type="dxa"/>
            <w:tcBorders>
              <w:top w:val="single" w:sz="18" w:space="0" w:color="000000" w:themeColor="text1"/>
            </w:tcBorders>
            <w:vAlign w:val="center"/>
          </w:tcPr>
          <w:p w:rsidR="00A15B6C" w:rsidRPr="004E3AB2" w:rsidRDefault="00A15B6C" w:rsidP="004E3AB2">
            <w:pPr>
              <w:ind w:firstLine="884"/>
              <w:rPr>
                <w:rFonts w:cs="Arial"/>
                <w:sz w:val="22"/>
              </w:rPr>
            </w:pPr>
            <w:r w:rsidRPr="004E3AB2">
              <w:rPr>
                <w:rFonts w:cs="Arial"/>
                <w:sz w:val="22"/>
              </w:rPr>
              <w:t>p. 10</w:t>
            </w:r>
          </w:p>
        </w:tc>
        <w:tc>
          <w:tcPr>
            <w:tcW w:w="2977" w:type="dxa"/>
            <w:tcBorders>
              <w:top w:val="single" w:sz="18" w:space="0" w:color="000000" w:themeColor="text1"/>
            </w:tcBorders>
            <w:vAlign w:val="center"/>
          </w:tcPr>
          <w:p w:rsidR="00A15B6C" w:rsidRPr="004E3AB2" w:rsidRDefault="00A15B6C" w:rsidP="004E3AB2">
            <w:pPr>
              <w:ind w:firstLine="1026"/>
              <w:rPr>
                <w:rFonts w:cs="Arial"/>
                <w:sz w:val="22"/>
              </w:rPr>
            </w:pPr>
            <w:r w:rsidRPr="004E3AB2">
              <w:rPr>
                <w:rFonts w:cs="Arial"/>
                <w:sz w:val="22"/>
              </w:rPr>
              <w:t>p. 2</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PUC</w:t>
            </w:r>
          </w:p>
        </w:tc>
        <w:tc>
          <w:tcPr>
            <w:tcW w:w="2693" w:type="dxa"/>
            <w:vAlign w:val="center"/>
          </w:tcPr>
          <w:p w:rsidR="00A15B6C" w:rsidRPr="004E3AB2" w:rsidRDefault="00A15B6C" w:rsidP="004E3AB2">
            <w:pPr>
              <w:ind w:firstLine="884"/>
              <w:rPr>
                <w:rFonts w:cs="Arial"/>
                <w:sz w:val="22"/>
              </w:rPr>
            </w:pPr>
            <w:r w:rsidRPr="004E3AB2">
              <w:rPr>
                <w:rFonts w:cs="Arial"/>
                <w:sz w:val="22"/>
              </w:rPr>
              <w:t>p. 15</w:t>
            </w:r>
          </w:p>
        </w:tc>
        <w:tc>
          <w:tcPr>
            <w:tcW w:w="2977" w:type="dxa"/>
            <w:vAlign w:val="center"/>
          </w:tcPr>
          <w:p w:rsidR="00A15B6C" w:rsidRPr="004E3AB2" w:rsidRDefault="00A15B6C" w:rsidP="004E3AB2">
            <w:pPr>
              <w:ind w:firstLine="1026"/>
              <w:rPr>
                <w:rFonts w:cs="Arial"/>
                <w:sz w:val="22"/>
              </w:rPr>
            </w:pPr>
            <w:r w:rsidRPr="004E3AB2">
              <w:rPr>
                <w:rFonts w:cs="Arial"/>
                <w:sz w:val="22"/>
              </w:rPr>
              <w:t>p. 3</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Studio di fattibilità 2.0</w:t>
            </w:r>
          </w:p>
        </w:tc>
        <w:tc>
          <w:tcPr>
            <w:tcW w:w="2693" w:type="dxa"/>
            <w:vAlign w:val="center"/>
          </w:tcPr>
          <w:p w:rsidR="00A15B6C" w:rsidRPr="004E3AB2" w:rsidRDefault="00A15B6C" w:rsidP="004E3AB2">
            <w:pPr>
              <w:ind w:firstLine="884"/>
              <w:rPr>
                <w:rFonts w:cs="Arial"/>
                <w:sz w:val="22"/>
              </w:rPr>
            </w:pPr>
            <w:r w:rsidRPr="004E3AB2">
              <w:rPr>
                <w:rFonts w:cs="Arial"/>
                <w:sz w:val="22"/>
              </w:rPr>
              <w:t>p. 17-33</w:t>
            </w:r>
          </w:p>
        </w:tc>
        <w:tc>
          <w:tcPr>
            <w:tcW w:w="2977" w:type="dxa"/>
            <w:vAlign w:val="center"/>
          </w:tcPr>
          <w:p w:rsidR="00A15B6C" w:rsidRPr="004E3AB2" w:rsidRDefault="00A15B6C" w:rsidP="004E3AB2">
            <w:pPr>
              <w:ind w:firstLine="1026"/>
              <w:rPr>
                <w:rFonts w:cs="Arial"/>
                <w:sz w:val="22"/>
              </w:rPr>
            </w:pPr>
            <w:r w:rsidRPr="004E3AB2">
              <w:rPr>
                <w:rFonts w:cs="Arial"/>
                <w:sz w:val="22"/>
              </w:rPr>
              <w:t>p. 5</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Utilizzatori</w:t>
            </w:r>
          </w:p>
        </w:tc>
        <w:tc>
          <w:tcPr>
            <w:tcW w:w="2693" w:type="dxa"/>
            <w:vAlign w:val="center"/>
          </w:tcPr>
          <w:p w:rsidR="00A15B6C" w:rsidRPr="004E3AB2" w:rsidRDefault="00A15B6C" w:rsidP="004E3AB2">
            <w:pPr>
              <w:ind w:firstLine="884"/>
              <w:rPr>
                <w:rFonts w:cs="Arial"/>
                <w:sz w:val="22"/>
              </w:rPr>
            </w:pPr>
            <w:r w:rsidRPr="004E3AB2">
              <w:rPr>
                <w:rFonts w:cs="Arial"/>
                <w:sz w:val="22"/>
              </w:rPr>
              <w:t>p. 19</w:t>
            </w:r>
          </w:p>
        </w:tc>
        <w:tc>
          <w:tcPr>
            <w:tcW w:w="2977" w:type="dxa"/>
            <w:vAlign w:val="center"/>
          </w:tcPr>
          <w:p w:rsidR="00A15B6C" w:rsidRPr="004E3AB2" w:rsidRDefault="00A15B6C" w:rsidP="004E3AB2">
            <w:pPr>
              <w:ind w:firstLine="1026"/>
              <w:rPr>
                <w:rFonts w:cs="Arial"/>
                <w:sz w:val="22"/>
              </w:rPr>
            </w:pPr>
            <w:r w:rsidRPr="004E3AB2">
              <w:rPr>
                <w:rFonts w:cs="Arial"/>
                <w:sz w:val="22"/>
              </w:rPr>
              <w:t>pp. 5-6</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Programma spazi</w:t>
            </w:r>
          </w:p>
        </w:tc>
        <w:tc>
          <w:tcPr>
            <w:tcW w:w="2693" w:type="dxa"/>
            <w:vAlign w:val="center"/>
          </w:tcPr>
          <w:p w:rsidR="00A15B6C" w:rsidRPr="004E3AB2" w:rsidRDefault="00A15B6C" w:rsidP="004E3AB2">
            <w:pPr>
              <w:ind w:firstLine="884"/>
              <w:rPr>
                <w:rFonts w:cs="Arial"/>
                <w:sz w:val="22"/>
              </w:rPr>
            </w:pPr>
            <w:r w:rsidRPr="004E3AB2">
              <w:rPr>
                <w:rFonts w:cs="Arial"/>
                <w:sz w:val="22"/>
              </w:rPr>
              <w:t>pp. 21-22</w:t>
            </w:r>
          </w:p>
        </w:tc>
        <w:tc>
          <w:tcPr>
            <w:tcW w:w="2977" w:type="dxa"/>
            <w:vAlign w:val="center"/>
          </w:tcPr>
          <w:p w:rsidR="00A15B6C" w:rsidRPr="004E3AB2" w:rsidRDefault="00A15B6C" w:rsidP="004E3AB2">
            <w:pPr>
              <w:ind w:firstLine="1026"/>
              <w:rPr>
                <w:rFonts w:cs="Arial"/>
                <w:sz w:val="22"/>
              </w:rPr>
            </w:pPr>
            <w:r w:rsidRPr="004E3AB2">
              <w:rPr>
                <w:rFonts w:cs="Arial"/>
                <w:sz w:val="22"/>
              </w:rPr>
              <w:t>p. 11</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Parti di progetto</w:t>
            </w:r>
          </w:p>
        </w:tc>
        <w:tc>
          <w:tcPr>
            <w:tcW w:w="2693" w:type="dxa"/>
            <w:vAlign w:val="center"/>
          </w:tcPr>
          <w:p w:rsidR="00A15B6C" w:rsidRPr="004E3AB2" w:rsidRDefault="00A15B6C" w:rsidP="004E3AB2">
            <w:pPr>
              <w:ind w:firstLine="884"/>
              <w:rPr>
                <w:rFonts w:cs="Arial"/>
                <w:sz w:val="22"/>
              </w:rPr>
            </w:pPr>
            <w:r w:rsidRPr="004E3AB2">
              <w:rPr>
                <w:rFonts w:cs="Arial"/>
                <w:sz w:val="22"/>
              </w:rPr>
              <w:t>pp. 23-29</w:t>
            </w:r>
          </w:p>
        </w:tc>
        <w:tc>
          <w:tcPr>
            <w:tcW w:w="2977" w:type="dxa"/>
            <w:vAlign w:val="center"/>
          </w:tcPr>
          <w:p w:rsidR="00A15B6C" w:rsidRPr="004E3AB2" w:rsidRDefault="00A15B6C" w:rsidP="004E3AB2">
            <w:pPr>
              <w:ind w:firstLine="1026"/>
              <w:rPr>
                <w:rFonts w:cs="Arial"/>
                <w:sz w:val="22"/>
              </w:rPr>
            </w:pPr>
            <w:r w:rsidRPr="004E3AB2">
              <w:rPr>
                <w:rFonts w:cs="Arial"/>
                <w:sz w:val="22"/>
              </w:rPr>
              <w:t>p. 7-11</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Costi di progettazione</w:t>
            </w:r>
          </w:p>
        </w:tc>
        <w:tc>
          <w:tcPr>
            <w:tcW w:w="2693" w:type="dxa"/>
            <w:vAlign w:val="center"/>
          </w:tcPr>
          <w:p w:rsidR="00A15B6C" w:rsidRPr="004E3AB2" w:rsidRDefault="00A15B6C" w:rsidP="004E3AB2">
            <w:pPr>
              <w:ind w:firstLine="884"/>
              <w:rPr>
                <w:rFonts w:cs="Arial"/>
                <w:sz w:val="22"/>
              </w:rPr>
            </w:pPr>
            <w:r w:rsidRPr="004E3AB2">
              <w:rPr>
                <w:rFonts w:cs="Arial"/>
                <w:sz w:val="22"/>
              </w:rPr>
              <w:t>p. 40</w:t>
            </w:r>
          </w:p>
        </w:tc>
        <w:tc>
          <w:tcPr>
            <w:tcW w:w="2977" w:type="dxa"/>
            <w:vAlign w:val="center"/>
          </w:tcPr>
          <w:p w:rsidR="00A15B6C" w:rsidRPr="004E3AB2" w:rsidRDefault="00A15B6C" w:rsidP="004E3AB2">
            <w:pPr>
              <w:ind w:firstLine="1026"/>
              <w:rPr>
                <w:rFonts w:cs="Arial"/>
                <w:sz w:val="22"/>
              </w:rPr>
            </w:pPr>
            <w:r w:rsidRPr="004E3AB2">
              <w:rPr>
                <w:rFonts w:cs="Arial"/>
                <w:sz w:val="22"/>
              </w:rPr>
              <w:t>p. 13</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Costi d’investimento</w:t>
            </w:r>
          </w:p>
        </w:tc>
        <w:tc>
          <w:tcPr>
            <w:tcW w:w="2693" w:type="dxa"/>
            <w:vAlign w:val="center"/>
          </w:tcPr>
          <w:p w:rsidR="00A15B6C" w:rsidRPr="004E3AB2" w:rsidRDefault="00A15B6C" w:rsidP="004E3AB2">
            <w:pPr>
              <w:ind w:firstLine="884"/>
              <w:rPr>
                <w:rFonts w:cs="Arial"/>
                <w:sz w:val="22"/>
              </w:rPr>
            </w:pPr>
            <w:r w:rsidRPr="004E3AB2">
              <w:rPr>
                <w:rFonts w:cs="Arial"/>
                <w:sz w:val="22"/>
              </w:rPr>
              <w:t>pp. 37-39</w:t>
            </w:r>
          </w:p>
        </w:tc>
        <w:tc>
          <w:tcPr>
            <w:tcW w:w="2977" w:type="dxa"/>
            <w:vAlign w:val="center"/>
          </w:tcPr>
          <w:p w:rsidR="00A15B6C" w:rsidRPr="004E3AB2" w:rsidRDefault="00A15B6C" w:rsidP="004E3AB2">
            <w:pPr>
              <w:ind w:firstLine="1026"/>
              <w:rPr>
                <w:rFonts w:cs="Arial"/>
                <w:sz w:val="22"/>
              </w:rPr>
            </w:pPr>
            <w:r w:rsidRPr="004E3AB2">
              <w:rPr>
                <w:rFonts w:cs="Arial"/>
                <w:sz w:val="22"/>
              </w:rPr>
              <w:t>pp. 12-13</w:t>
            </w:r>
          </w:p>
        </w:tc>
      </w:tr>
      <w:tr w:rsidR="00A15B6C" w:rsidRPr="004E3AB2" w:rsidTr="006A384C">
        <w:trPr>
          <w:trHeight w:val="340"/>
        </w:trPr>
        <w:tc>
          <w:tcPr>
            <w:tcW w:w="4111" w:type="dxa"/>
            <w:vAlign w:val="center"/>
          </w:tcPr>
          <w:p w:rsidR="00A15B6C" w:rsidRPr="004E3AB2" w:rsidRDefault="00A15B6C" w:rsidP="004E3AB2">
            <w:pPr>
              <w:jc w:val="left"/>
              <w:rPr>
                <w:rFonts w:cs="Arial"/>
                <w:sz w:val="22"/>
              </w:rPr>
            </w:pPr>
            <w:r w:rsidRPr="004E3AB2">
              <w:rPr>
                <w:rFonts w:cs="Arial"/>
                <w:sz w:val="22"/>
              </w:rPr>
              <w:t>Motivo dell’aumento dei costi d’investimento</w:t>
            </w:r>
          </w:p>
        </w:tc>
        <w:tc>
          <w:tcPr>
            <w:tcW w:w="2693" w:type="dxa"/>
          </w:tcPr>
          <w:p w:rsidR="00A15B6C" w:rsidRPr="004E3AB2" w:rsidRDefault="00A15B6C" w:rsidP="004E3AB2">
            <w:pPr>
              <w:ind w:firstLine="884"/>
              <w:rPr>
                <w:rFonts w:cs="Arial"/>
                <w:sz w:val="22"/>
              </w:rPr>
            </w:pPr>
            <w:r w:rsidRPr="004E3AB2">
              <w:rPr>
                <w:rFonts w:cs="Arial"/>
                <w:sz w:val="22"/>
              </w:rPr>
              <w:t>pp. 17-18</w:t>
            </w:r>
          </w:p>
        </w:tc>
        <w:tc>
          <w:tcPr>
            <w:tcW w:w="2977" w:type="dxa"/>
          </w:tcPr>
          <w:p w:rsidR="00A15B6C" w:rsidRPr="004E3AB2" w:rsidRDefault="00A15B6C" w:rsidP="004E3AB2">
            <w:pPr>
              <w:ind w:firstLine="1026"/>
              <w:rPr>
                <w:rFonts w:cs="Arial"/>
                <w:sz w:val="22"/>
              </w:rPr>
            </w:pPr>
            <w:r w:rsidRPr="004E3AB2">
              <w:rPr>
                <w:rFonts w:cs="Arial"/>
                <w:sz w:val="22"/>
              </w:rPr>
              <w:t>pp. 5-6</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Costi di gestione e manutenzione</w:t>
            </w:r>
          </w:p>
        </w:tc>
        <w:tc>
          <w:tcPr>
            <w:tcW w:w="2693" w:type="dxa"/>
            <w:vAlign w:val="center"/>
          </w:tcPr>
          <w:p w:rsidR="00A15B6C" w:rsidRPr="004E3AB2" w:rsidRDefault="00A15B6C" w:rsidP="004E3AB2">
            <w:pPr>
              <w:ind w:firstLine="884"/>
              <w:rPr>
                <w:rFonts w:cs="Arial"/>
                <w:sz w:val="22"/>
              </w:rPr>
            </w:pPr>
            <w:r w:rsidRPr="004E3AB2">
              <w:rPr>
                <w:rFonts w:cs="Arial"/>
                <w:sz w:val="22"/>
              </w:rPr>
              <w:t>pp. 40-42</w:t>
            </w:r>
          </w:p>
        </w:tc>
        <w:tc>
          <w:tcPr>
            <w:tcW w:w="2977" w:type="dxa"/>
            <w:vAlign w:val="center"/>
          </w:tcPr>
          <w:p w:rsidR="00A15B6C" w:rsidRPr="004E3AB2" w:rsidRDefault="00A15B6C" w:rsidP="004E3AB2">
            <w:pPr>
              <w:ind w:firstLine="1026"/>
              <w:rPr>
                <w:rFonts w:cs="Arial"/>
                <w:sz w:val="22"/>
              </w:rPr>
            </w:pPr>
            <w:r w:rsidRPr="004E3AB2">
              <w:rPr>
                <w:rFonts w:cs="Arial"/>
                <w:sz w:val="22"/>
              </w:rPr>
              <w:t>p. 14</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Diritto di superficie</w:t>
            </w:r>
          </w:p>
        </w:tc>
        <w:tc>
          <w:tcPr>
            <w:tcW w:w="2693" w:type="dxa"/>
            <w:vAlign w:val="center"/>
          </w:tcPr>
          <w:p w:rsidR="00A15B6C" w:rsidRPr="004E3AB2" w:rsidRDefault="00A15B6C" w:rsidP="004E3AB2">
            <w:pPr>
              <w:ind w:firstLine="884"/>
              <w:rPr>
                <w:rFonts w:cs="Arial"/>
                <w:sz w:val="22"/>
              </w:rPr>
            </w:pPr>
            <w:r w:rsidRPr="004E3AB2">
              <w:rPr>
                <w:rFonts w:cs="Arial"/>
                <w:sz w:val="22"/>
              </w:rPr>
              <w:t>p. 42</w:t>
            </w:r>
          </w:p>
        </w:tc>
        <w:tc>
          <w:tcPr>
            <w:tcW w:w="2977" w:type="dxa"/>
            <w:vAlign w:val="center"/>
          </w:tcPr>
          <w:p w:rsidR="00A15B6C" w:rsidRPr="004E3AB2" w:rsidRDefault="00A15B6C" w:rsidP="004E3AB2">
            <w:pPr>
              <w:ind w:firstLine="1026"/>
              <w:rPr>
                <w:rFonts w:cs="Arial"/>
                <w:sz w:val="22"/>
              </w:rPr>
            </w:pPr>
            <w:r w:rsidRPr="004E3AB2">
              <w:rPr>
                <w:rFonts w:cs="Arial"/>
                <w:sz w:val="22"/>
              </w:rPr>
              <w:t>p. 15</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Contributi e finanziamento d’opera</w:t>
            </w:r>
          </w:p>
        </w:tc>
        <w:tc>
          <w:tcPr>
            <w:tcW w:w="2693" w:type="dxa"/>
            <w:vAlign w:val="center"/>
          </w:tcPr>
          <w:p w:rsidR="00A15B6C" w:rsidRPr="004E3AB2" w:rsidRDefault="00A15B6C" w:rsidP="004E3AB2">
            <w:pPr>
              <w:ind w:firstLine="884"/>
              <w:rPr>
                <w:rFonts w:cs="Arial"/>
                <w:sz w:val="22"/>
              </w:rPr>
            </w:pPr>
            <w:r w:rsidRPr="004E3AB2">
              <w:rPr>
                <w:rFonts w:cs="Arial"/>
                <w:sz w:val="22"/>
              </w:rPr>
              <w:t>pp. 43-45</w:t>
            </w:r>
          </w:p>
        </w:tc>
        <w:tc>
          <w:tcPr>
            <w:tcW w:w="2977" w:type="dxa"/>
            <w:vAlign w:val="center"/>
          </w:tcPr>
          <w:p w:rsidR="00A15B6C" w:rsidRPr="004E3AB2" w:rsidRDefault="00A15B6C" w:rsidP="004E3AB2">
            <w:pPr>
              <w:ind w:firstLine="1026"/>
              <w:rPr>
                <w:rFonts w:cs="Arial"/>
                <w:sz w:val="22"/>
              </w:rPr>
            </w:pPr>
            <w:r w:rsidRPr="004E3AB2">
              <w:rPr>
                <w:rFonts w:cs="Arial"/>
                <w:sz w:val="22"/>
              </w:rPr>
              <w:t>pp. 15-16</w:t>
            </w:r>
          </w:p>
        </w:tc>
      </w:tr>
      <w:tr w:rsidR="00A15B6C" w:rsidRPr="004E3AB2" w:rsidTr="006A384C">
        <w:trPr>
          <w:trHeight w:val="340"/>
        </w:trPr>
        <w:tc>
          <w:tcPr>
            <w:tcW w:w="4111" w:type="dxa"/>
            <w:vAlign w:val="center"/>
          </w:tcPr>
          <w:p w:rsidR="00A15B6C" w:rsidRPr="004E3AB2" w:rsidRDefault="00A15B6C" w:rsidP="00A15B6C">
            <w:pPr>
              <w:rPr>
                <w:rFonts w:cs="Arial"/>
                <w:sz w:val="22"/>
              </w:rPr>
            </w:pPr>
            <w:r w:rsidRPr="004E3AB2">
              <w:rPr>
                <w:rFonts w:cs="Arial"/>
                <w:sz w:val="22"/>
              </w:rPr>
              <w:t>Tempistiche</w:t>
            </w:r>
          </w:p>
        </w:tc>
        <w:tc>
          <w:tcPr>
            <w:tcW w:w="2693" w:type="dxa"/>
            <w:vAlign w:val="center"/>
          </w:tcPr>
          <w:p w:rsidR="00A15B6C" w:rsidRPr="004E3AB2" w:rsidRDefault="00A15B6C" w:rsidP="004E3AB2">
            <w:pPr>
              <w:ind w:firstLine="884"/>
              <w:rPr>
                <w:rFonts w:cs="Arial"/>
                <w:sz w:val="22"/>
              </w:rPr>
            </w:pPr>
            <w:r w:rsidRPr="004E3AB2">
              <w:rPr>
                <w:rFonts w:cs="Arial"/>
                <w:sz w:val="22"/>
              </w:rPr>
              <w:t>p. 47</w:t>
            </w:r>
          </w:p>
        </w:tc>
        <w:tc>
          <w:tcPr>
            <w:tcW w:w="2977" w:type="dxa"/>
            <w:vAlign w:val="center"/>
          </w:tcPr>
          <w:p w:rsidR="00A15B6C" w:rsidRPr="004E3AB2" w:rsidRDefault="00A15B6C" w:rsidP="004E3AB2">
            <w:pPr>
              <w:ind w:firstLine="1026"/>
              <w:rPr>
                <w:rFonts w:cs="Arial"/>
                <w:sz w:val="22"/>
              </w:rPr>
            </w:pPr>
            <w:r w:rsidRPr="004E3AB2">
              <w:rPr>
                <w:rFonts w:cs="Arial"/>
                <w:sz w:val="22"/>
              </w:rPr>
              <w:t>p. 17</w:t>
            </w:r>
          </w:p>
        </w:tc>
      </w:tr>
    </w:tbl>
    <w:p w:rsidR="00A15B6C" w:rsidRPr="00A15B6C" w:rsidRDefault="00A15B6C" w:rsidP="00A15B6C">
      <w:pPr>
        <w:rPr>
          <w:rFonts w:cs="Arial"/>
        </w:rPr>
      </w:pPr>
    </w:p>
    <w:p w:rsidR="00A15B6C" w:rsidRPr="00A15B6C" w:rsidRDefault="00A15B6C" w:rsidP="00A15B6C">
      <w:pPr>
        <w:rPr>
          <w:rFonts w:cs="Arial"/>
        </w:rPr>
      </w:pPr>
    </w:p>
    <w:p w:rsidR="00A15B6C" w:rsidRPr="00A15B6C" w:rsidRDefault="00A15B6C" w:rsidP="00A15B6C">
      <w:pPr>
        <w:rPr>
          <w:rFonts w:cs="Arial"/>
        </w:rPr>
      </w:pPr>
    </w:p>
    <w:p w:rsidR="00A15B6C" w:rsidRPr="004E3AB2" w:rsidRDefault="00A15B6C" w:rsidP="004E3AB2">
      <w:pPr>
        <w:pStyle w:val="Titolo1"/>
      </w:pPr>
      <w:r w:rsidRPr="004E3AB2">
        <w:t>CONCLUSIONI</w:t>
      </w:r>
    </w:p>
    <w:p w:rsidR="00A15B6C" w:rsidRPr="00A15B6C" w:rsidRDefault="00A15B6C" w:rsidP="00A15B6C">
      <w:pPr>
        <w:rPr>
          <w:rFonts w:cs="Arial"/>
        </w:rPr>
      </w:pPr>
      <w:r w:rsidRPr="00A15B6C">
        <w:rPr>
          <w:rFonts w:cs="Arial"/>
        </w:rPr>
        <w:t xml:space="preserve">Alla luce delle ampie e dettagliate indicazioni del Messaggio governativo, la scrivente Commissione propone al Parlamento cantonale di accogliere il presente rapporto e il </w:t>
      </w:r>
      <w:r w:rsidR="004E3AB2">
        <w:rPr>
          <w:rFonts w:cs="Arial"/>
        </w:rPr>
        <w:t>decreto legislativo</w:t>
      </w:r>
      <w:r w:rsidRPr="00A15B6C">
        <w:rPr>
          <w:rFonts w:cs="Arial"/>
        </w:rPr>
        <w:t xml:space="preserve"> allegato al messaggio.</w:t>
      </w:r>
    </w:p>
    <w:p w:rsidR="00076E70" w:rsidRPr="00A15B6C" w:rsidRDefault="00076E70" w:rsidP="00A15B6C">
      <w:pPr>
        <w:rPr>
          <w:rFonts w:cs="Arial"/>
          <w:szCs w:val="24"/>
        </w:rPr>
      </w:pPr>
    </w:p>
    <w:p w:rsidR="00076E70" w:rsidRPr="00A15B6C" w:rsidRDefault="00076E70" w:rsidP="00A15B6C">
      <w:pPr>
        <w:autoSpaceDE w:val="0"/>
        <w:autoSpaceDN w:val="0"/>
        <w:adjustRightInd w:val="0"/>
        <w:rPr>
          <w:rFonts w:cs="Arial"/>
          <w:szCs w:val="24"/>
        </w:rPr>
      </w:pPr>
    </w:p>
    <w:p w:rsidR="00076E70" w:rsidRPr="00A15B6C" w:rsidRDefault="00076E70" w:rsidP="00A15B6C">
      <w:pPr>
        <w:rPr>
          <w:rFonts w:cs="Arial"/>
          <w:szCs w:val="24"/>
        </w:rPr>
      </w:pPr>
    </w:p>
    <w:p w:rsidR="00076E70" w:rsidRPr="00A15B6C" w:rsidRDefault="00076E70" w:rsidP="00A15B6C">
      <w:pPr>
        <w:spacing w:after="120"/>
        <w:rPr>
          <w:rFonts w:cs="Arial"/>
          <w:szCs w:val="24"/>
        </w:rPr>
      </w:pPr>
      <w:r w:rsidRPr="00A15B6C">
        <w:rPr>
          <w:rFonts w:cs="Arial"/>
          <w:szCs w:val="24"/>
        </w:rPr>
        <w:t xml:space="preserve">Per </w:t>
      </w:r>
      <w:smartTag w:uri="urn:schemas-microsoft-com:office:smarttags" w:element="PersonName">
        <w:smartTagPr>
          <w:attr w:name="ProductID" w:val="la Commissione"/>
        </w:smartTagPr>
        <w:r w:rsidRPr="00A15B6C">
          <w:rPr>
            <w:rFonts w:cs="Arial"/>
            <w:szCs w:val="24"/>
          </w:rPr>
          <w:t>la Commissione</w:t>
        </w:r>
      </w:smartTag>
      <w:r w:rsidRPr="00A15B6C">
        <w:rPr>
          <w:rFonts w:cs="Arial"/>
          <w:szCs w:val="24"/>
        </w:rPr>
        <w:t xml:space="preserve"> gestione e finanze:</w:t>
      </w:r>
    </w:p>
    <w:p w:rsidR="00076E70" w:rsidRPr="00A15B6C" w:rsidRDefault="00A15B6C" w:rsidP="00A15B6C">
      <w:pPr>
        <w:rPr>
          <w:rFonts w:cs="Arial"/>
          <w:szCs w:val="24"/>
        </w:rPr>
      </w:pPr>
      <w:r w:rsidRPr="00A15B6C">
        <w:rPr>
          <w:rFonts w:cs="Arial"/>
          <w:szCs w:val="24"/>
        </w:rPr>
        <w:t>Michele Guerra</w:t>
      </w:r>
      <w:r w:rsidR="00076E70" w:rsidRPr="00A15B6C">
        <w:rPr>
          <w:rFonts w:cs="Arial"/>
          <w:szCs w:val="24"/>
        </w:rPr>
        <w:t>, relatore</w:t>
      </w:r>
    </w:p>
    <w:p w:rsidR="004E3AB2" w:rsidRDefault="004E3AB2" w:rsidP="004E3AB2">
      <w:pPr>
        <w:rPr>
          <w:rFonts w:cs="Arial"/>
        </w:rPr>
      </w:pPr>
      <w:bookmarkStart w:id="1" w:name="OLE_LINK1"/>
      <w:bookmarkStart w:id="2" w:name="OLE_LINK2"/>
      <w:r w:rsidRPr="005E5056">
        <w:rPr>
          <w:rFonts w:cs="Arial"/>
        </w:rPr>
        <w:t xml:space="preserve">Bacchetta-Cattori - </w:t>
      </w:r>
      <w:r>
        <w:rPr>
          <w:rFonts w:cs="Arial"/>
        </w:rPr>
        <w:t xml:space="preserve">Badasci - Bang - Bignasca - </w:t>
      </w:r>
    </w:p>
    <w:p w:rsidR="004E3AB2" w:rsidRDefault="004E3AB2" w:rsidP="004E3AB2">
      <w:pPr>
        <w:rPr>
          <w:rFonts w:cs="Arial"/>
        </w:rPr>
      </w:pPr>
      <w:r>
        <w:rPr>
          <w:rFonts w:cs="Arial"/>
        </w:rPr>
        <w:t xml:space="preserve">Caprara - Caverzasio - Dadò - De Rosa - </w:t>
      </w:r>
    </w:p>
    <w:p w:rsidR="004E3AB2" w:rsidRDefault="004E3AB2" w:rsidP="004E3AB2">
      <w:pPr>
        <w:rPr>
          <w:rFonts w:cs="Arial"/>
        </w:rPr>
      </w:pPr>
      <w:r>
        <w:rPr>
          <w:rFonts w:cs="Arial"/>
        </w:rPr>
        <w:t>Durisch - Farinelli - Garzoli - Pini - Quadranti</w:t>
      </w:r>
    </w:p>
    <w:bookmarkEnd w:id="1"/>
    <w:bookmarkEnd w:id="2"/>
    <w:p w:rsidR="00076E70" w:rsidRPr="00A15B6C" w:rsidRDefault="00076E70" w:rsidP="00A15B6C">
      <w:pPr>
        <w:rPr>
          <w:rFonts w:cs="Arial"/>
          <w:szCs w:val="24"/>
        </w:rPr>
      </w:pPr>
    </w:p>
    <w:sectPr w:rsidR="00076E70" w:rsidRPr="00A15B6C"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18" w:rsidRDefault="007A1018" w:rsidP="008E77C6">
      <w:r>
        <w:separator/>
      </w:r>
    </w:p>
  </w:endnote>
  <w:endnote w:type="continuationSeparator" w:id="0">
    <w:p w:rsidR="007A1018" w:rsidRDefault="007A101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C3217" w:rsidRPr="004C321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18" w:rsidRDefault="007A1018" w:rsidP="008E77C6">
      <w:r>
        <w:separator/>
      </w:r>
    </w:p>
  </w:footnote>
  <w:footnote w:type="continuationSeparator" w:id="0">
    <w:p w:rsidR="007A1018" w:rsidRDefault="007A101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434C04F4"/>
    <w:lvl w:ilvl="0" w:tplc="639CDB9A">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E5E40"/>
    <w:rsid w:val="004C3217"/>
    <w:rsid w:val="004E3AB2"/>
    <w:rsid w:val="0052425A"/>
    <w:rsid w:val="00586A8D"/>
    <w:rsid w:val="006D7A3B"/>
    <w:rsid w:val="007352D3"/>
    <w:rsid w:val="007A1018"/>
    <w:rsid w:val="007B5462"/>
    <w:rsid w:val="008034BD"/>
    <w:rsid w:val="00876352"/>
    <w:rsid w:val="008B2655"/>
    <w:rsid w:val="008B4137"/>
    <w:rsid w:val="008C767A"/>
    <w:rsid w:val="008E77C6"/>
    <w:rsid w:val="009770BB"/>
    <w:rsid w:val="009E008D"/>
    <w:rsid w:val="00A15B6C"/>
    <w:rsid w:val="00A5465F"/>
    <w:rsid w:val="00A77678"/>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E3AB2"/>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E3AB2"/>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4E3A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E3AB2"/>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E3AB2"/>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4E3A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1F75-AF80-45D3-9F09-013D89B0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883</Words>
  <Characters>5036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2019-02-26T14:36:00Z</cp:lastPrinted>
  <dcterms:created xsi:type="dcterms:W3CDTF">2019-02-26T14:31:00Z</dcterms:created>
  <dcterms:modified xsi:type="dcterms:W3CDTF">2019-02-27T09:01:00Z</dcterms:modified>
</cp:coreProperties>
</file>