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6A79D2" w:rsidP="00076E70">
      <w:r w:rsidRPr="00A13E93">
        <w:rPr>
          <w:rFonts w:ascii="Gill Sans MT" w:hAnsi="Gill Sans MT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8E50E2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7608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19 febbraio 2019</w:t>
      </w:r>
      <w:r w:rsidR="00260C8C" w:rsidRPr="008B4137">
        <w:rPr>
          <w:rFonts w:cs="Arial"/>
          <w:sz w:val="28"/>
          <w:szCs w:val="28"/>
        </w:rPr>
        <w:tab/>
      </w:r>
      <w:r>
        <w:rPr>
          <w:sz w:val="28"/>
        </w:rPr>
        <w:t>SANITÀ E SOCIALITÀ</w:t>
      </w:r>
    </w:p>
    <w:p w:rsidR="00260C8C" w:rsidRPr="006A79D2" w:rsidRDefault="00260C8C" w:rsidP="00260C8C">
      <w:pPr>
        <w:rPr>
          <w:rFonts w:cs="Arial"/>
          <w:sz w:val="20"/>
          <w:szCs w:val="20"/>
        </w:rPr>
      </w:pPr>
    </w:p>
    <w:p w:rsidR="00260C8C" w:rsidRPr="006A79D2" w:rsidRDefault="00260C8C" w:rsidP="00260C8C">
      <w:pPr>
        <w:rPr>
          <w:rFonts w:cs="Arial"/>
          <w:sz w:val="20"/>
          <w:szCs w:val="20"/>
        </w:rPr>
      </w:pPr>
    </w:p>
    <w:p w:rsidR="00260C8C" w:rsidRPr="006A79D2" w:rsidRDefault="00260C8C" w:rsidP="00260C8C">
      <w:pPr>
        <w:rPr>
          <w:rFonts w:cs="Arial"/>
          <w:sz w:val="20"/>
          <w:szCs w:val="20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della </w:t>
      </w:r>
      <w:r w:rsidR="00E505DB">
        <w:rPr>
          <w:rFonts w:cs="Arial"/>
          <w:b/>
          <w:sz w:val="28"/>
          <w:szCs w:val="28"/>
        </w:rPr>
        <w:t>gestione e delle finanze</w:t>
      </w:r>
    </w:p>
    <w:p w:rsidR="00260C8C" w:rsidRPr="008B2655" w:rsidRDefault="001574D7" w:rsidP="00E765A9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 w:rsidR="00E765A9">
        <w:rPr>
          <w:rFonts w:cs="Arial"/>
          <w:b/>
          <w:sz w:val="28"/>
          <w:szCs w:val="28"/>
        </w:rPr>
        <w:t xml:space="preserve"> messaggio</w:t>
      </w:r>
      <w:r w:rsidR="007352D3">
        <w:rPr>
          <w:rFonts w:cs="Arial"/>
          <w:b/>
          <w:sz w:val="26"/>
          <w:szCs w:val="26"/>
        </w:rPr>
        <w:t xml:space="preserve"> </w:t>
      </w:r>
      <w:r w:rsidR="008E50E2">
        <w:rPr>
          <w:rFonts w:cs="Arial"/>
          <w:b/>
          <w:bCs/>
          <w:sz w:val="28"/>
          <w:szCs w:val="28"/>
        </w:rPr>
        <w:t>12 dicembre 2018 concernente l’a</w:t>
      </w:r>
      <w:r w:rsidR="008E50E2" w:rsidRPr="00321CB4">
        <w:rPr>
          <w:rFonts w:cs="Arial"/>
          <w:b/>
          <w:bCs/>
          <w:sz w:val="28"/>
          <w:szCs w:val="28"/>
        </w:rPr>
        <w:t xml:space="preserve">deguamento e </w:t>
      </w:r>
      <w:r w:rsidR="008E50E2">
        <w:rPr>
          <w:rFonts w:cs="Arial"/>
          <w:b/>
          <w:bCs/>
          <w:sz w:val="28"/>
          <w:szCs w:val="28"/>
        </w:rPr>
        <w:t>l’</w:t>
      </w:r>
      <w:r w:rsidR="008E50E2" w:rsidRPr="00321CB4">
        <w:rPr>
          <w:rFonts w:cs="Arial"/>
          <w:b/>
          <w:bCs/>
          <w:sz w:val="28"/>
          <w:szCs w:val="28"/>
        </w:rPr>
        <w:t>armonizzazione delle basi legali nelle assicurazioni sociali per la trasmissione in forma elettronica di dati fiscali e l'accesso tramite procedura di richiam</w:t>
      </w:r>
      <w:r w:rsidR="008E50E2">
        <w:rPr>
          <w:rFonts w:cs="Arial"/>
          <w:b/>
          <w:bCs/>
          <w:sz w:val="28"/>
          <w:szCs w:val="28"/>
        </w:rPr>
        <w:t>o</w:t>
      </w:r>
    </w:p>
    <w:p w:rsidR="00260C8C" w:rsidRPr="006A79D2" w:rsidRDefault="00260C8C" w:rsidP="00260C8C">
      <w:pPr>
        <w:rPr>
          <w:rFonts w:cs="Arial"/>
          <w:sz w:val="20"/>
          <w:szCs w:val="20"/>
        </w:rPr>
      </w:pPr>
    </w:p>
    <w:p w:rsidR="00260C8C" w:rsidRPr="006A79D2" w:rsidRDefault="00260C8C" w:rsidP="00260C8C">
      <w:pPr>
        <w:rPr>
          <w:rFonts w:cs="Arial"/>
          <w:sz w:val="20"/>
          <w:szCs w:val="20"/>
        </w:rPr>
      </w:pPr>
    </w:p>
    <w:p w:rsidR="00260C8C" w:rsidRPr="006A79D2" w:rsidRDefault="00260C8C" w:rsidP="00260C8C">
      <w:pPr>
        <w:rPr>
          <w:rFonts w:cs="Arial"/>
          <w:sz w:val="20"/>
          <w:szCs w:val="20"/>
        </w:rPr>
      </w:pPr>
    </w:p>
    <w:p w:rsidR="002F1A2B" w:rsidRPr="00EB74AC" w:rsidRDefault="002F1A2B" w:rsidP="008E50E2">
      <w:pPr>
        <w:spacing w:after="120"/>
        <w:rPr>
          <w:b/>
        </w:rPr>
      </w:pPr>
      <w:r w:rsidRPr="00EB74AC">
        <w:rPr>
          <w:b/>
        </w:rPr>
        <w:t>PREMESSA</w:t>
      </w:r>
      <w:bookmarkStart w:id="0" w:name="_GoBack"/>
      <w:bookmarkEnd w:id="0"/>
    </w:p>
    <w:p w:rsidR="002F1A2B" w:rsidRPr="00914C5E" w:rsidRDefault="002F1A2B" w:rsidP="002F1A2B">
      <w:r>
        <w:t xml:space="preserve">Il </w:t>
      </w:r>
      <w:r w:rsidRPr="00914C5E">
        <w:t xml:space="preserve">messaggio </w:t>
      </w:r>
      <w:r>
        <w:t xml:space="preserve">governativo </w:t>
      </w:r>
      <w:r w:rsidRPr="00914C5E">
        <w:t>propo</w:t>
      </w:r>
      <w:r>
        <w:t>ne</w:t>
      </w:r>
      <w:r w:rsidRPr="00914C5E">
        <w:t xml:space="preserve"> </w:t>
      </w:r>
      <w:r>
        <w:t xml:space="preserve">di </w:t>
      </w:r>
      <w:r w:rsidRPr="00914C5E">
        <w:t>modifica</w:t>
      </w:r>
      <w:r>
        <w:t>re</w:t>
      </w:r>
      <w:r w:rsidRPr="00914C5E">
        <w:t xml:space="preserve"> </w:t>
      </w:r>
      <w:r>
        <w:t>alcune</w:t>
      </w:r>
      <w:r w:rsidRPr="00914C5E">
        <w:t xml:space="preserve"> norm</w:t>
      </w:r>
      <w:r>
        <w:t>e</w:t>
      </w:r>
      <w:r w:rsidRPr="00914C5E">
        <w:t xml:space="preserve"> del settore delle assicurazioni sociali</w:t>
      </w:r>
      <w:r>
        <w:t>. Modifiche che si impongono</w:t>
      </w:r>
      <w:r w:rsidRPr="00914C5E">
        <w:t xml:space="preserve"> </w:t>
      </w:r>
      <w:r>
        <w:t xml:space="preserve">viste </w:t>
      </w:r>
      <w:r w:rsidRPr="00914C5E">
        <w:t xml:space="preserve">le mutate e accresciute esigenze </w:t>
      </w:r>
      <w:r>
        <w:t>di cui</w:t>
      </w:r>
      <w:r w:rsidRPr="00914C5E">
        <w:t xml:space="preserve"> </w:t>
      </w:r>
      <w:r>
        <w:t>a</w:t>
      </w:r>
      <w:r w:rsidRPr="00914C5E">
        <w:t xml:space="preserve">lla legislazione in materia di protezione dei dati </w:t>
      </w:r>
      <w:r>
        <w:t>quo alla</w:t>
      </w:r>
      <w:r w:rsidRPr="00914C5E">
        <w:t xml:space="preserve"> condivisione automatizzata di dati.</w:t>
      </w:r>
    </w:p>
    <w:p w:rsidR="002F1A2B" w:rsidRDefault="002F1A2B" w:rsidP="002F1A2B"/>
    <w:p w:rsidR="002F1A2B" w:rsidRDefault="002F1A2B" w:rsidP="002F1A2B">
      <w:r>
        <w:t xml:space="preserve">Si tratta di prevedere una base legale formale nelle leggi cantonali in materia </w:t>
      </w:r>
      <w:r w:rsidRPr="00914C5E">
        <w:t xml:space="preserve">che disciplini le comunicazioni di dati che rientrano nel flusso di informazioni automatizzato stabilito ed attuato sin dagli anni </w:t>
      </w:r>
      <w:r>
        <w:t>Settanta</w:t>
      </w:r>
      <w:r w:rsidRPr="00914C5E">
        <w:t xml:space="preserve"> dalla Divisione delle contribuzioni (in seguito: </w:t>
      </w:r>
      <w:proofErr w:type="spellStart"/>
      <w:r w:rsidRPr="00914C5E">
        <w:t>DdC</w:t>
      </w:r>
      <w:proofErr w:type="spellEnd"/>
      <w:r w:rsidRPr="00914C5E">
        <w:t xml:space="preserve">) verso gli enti </w:t>
      </w:r>
      <w:r>
        <w:t xml:space="preserve">(Cassa Cantonale di compensazione AVS/AI/IPG o quella per gli AF) </w:t>
      </w:r>
      <w:r w:rsidRPr="00914C5E">
        <w:t>facenti parte dell'Istituto delle assicurazioni sociali (in seguito: IAS) e l'autorità preposta in materia di assistenza sociale</w:t>
      </w:r>
      <w:r>
        <w:t>.</w:t>
      </w:r>
    </w:p>
    <w:p w:rsidR="002F1A2B" w:rsidRDefault="002F1A2B" w:rsidP="002F1A2B"/>
    <w:p w:rsidR="008E50E2" w:rsidRPr="00E45AF0" w:rsidRDefault="008E50E2" w:rsidP="002F1A2B"/>
    <w:p w:rsidR="002F1A2B" w:rsidRDefault="002F1A2B" w:rsidP="002F1A2B">
      <w:pPr>
        <w:pStyle w:val="Titolo1"/>
        <w:numPr>
          <w:ilvl w:val="0"/>
          <w:numId w:val="7"/>
        </w:numPr>
        <w:ind w:left="567" w:hanging="567"/>
      </w:pPr>
      <w:bookmarkStart w:id="1" w:name="_Toc531100142"/>
      <w:r>
        <w:t>SITUAZIONE ATTUALE</w:t>
      </w:r>
      <w:bookmarkEnd w:id="1"/>
    </w:p>
    <w:p w:rsidR="002F1A2B" w:rsidRDefault="002F1A2B" w:rsidP="002F1A2B">
      <w:pPr>
        <w:rPr>
          <w:szCs w:val="24"/>
        </w:rPr>
      </w:pPr>
      <w:r w:rsidRPr="006B5FCA">
        <w:rPr>
          <w:szCs w:val="24"/>
        </w:rPr>
        <w:t xml:space="preserve">Gli organi tenuti ad applicare le diverse leggi in materia di assicurazioni sociali devono trattare costantemente una moltitudine di dati personali, tra cui quelli fiscali. Questi dati servono: </w:t>
      </w:r>
    </w:p>
    <w:p w:rsidR="002F1A2B" w:rsidRDefault="002F1A2B" w:rsidP="008E50E2">
      <w:pPr>
        <w:pStyle w:val="Paragrafoelenco"/>
        <w:numPr>
          <w:ilvl w:val="0"/>
          <w:numId w:val="8"/>
        </w:numPr>
        <w:spacing w:before="80"/>
        <w:ind w:left="284" w:hanging="284"/>
        <w:rPr>
          <w:szCs w:val="24"/>
        </w:rPr>
      </w:pPr>
      <w:r w:rsidRPr="004D6D2E">
        <w:rPr>
          <w:szCs w:val="24"/>
        </w:rPr>
        <w:t xml:space="preserve">al momento dell’assoggettamento all’AVS, per la fissazione e la riscossione dei contributi sociali, </w:t>
      </w:r>
    </w:p>
    <w:p w:rsidR="002F1A2B" w:rsidRDefault="002F1A2B" w:rsidP="008E50E2">
      <w:pPr>
        <w:pStyle w:val="Paragrafoelenco"/>
        <w:numPr>
          <w:ilvl w:val="0"/>
          <w:numId w:val="8"/>
        </w:numPr>
        <w:spacing w:before="80"/>
        <w:ind w:left="284" w:hanging="284"/>
        <w:rPr>
          <w:szCs w:val="24"/>
        </w:rPr>
      </w:pPr>
      <w:r w:rsidRPr="004D6D2E">
        <w:rPr>
          <w:szCs w:val="24"/>
        </w:rPr>
        <w:t xml:space="preserve">per la determinazione e concessione delle prestazioni d’assicurazione ed </w:t>
      </w:r>
    </w:p>
    <w:p w:rsidR="002F1A2B" w:rsidRDefault="002F1A2B" w:rsidP="008E50E2">
      <w:pPr>
        <w:pStyle w:val="Paragrafoelenco"/>
        <w:numPr>
          <w:ilvl w:val="0"/>
          <w:numId w:val="8"/>
        </w:numPr>
        <w:spacing w:before="80"/>
        <w:ind w:left="284" w:hanging="284"/>
        <w:rPr>
          <w:szCs w:val="24"/>
        </w:rPr>
      </w:pPr>
      <w:r>
        <w:rPr>
          <w:szCs w:val="24"/>
        </w:rPr>
        <w:t xml:space="preserve">per </w:t>
      </w:r>
      <w:r w:rsidRPr="004D6D2E">
        <w:rPr>
          <w:szCs w:val="24"/>
        </w:rPr>
        <w:t xml:space="preserve">evitare versamenti indebiti. </w:t>
      </w:r>
    </w:p>
    <w:p w:rsidR="002F1A2B" w:rsidRDefault="002F1A2B" w:rsidP="002F1A2B">
      <w:pPr>
        <w:rPr>
          <w:szCs w:val="24"/>
        </w:rPr>
      </w:pPr>
    </w:p>
    <w:p w:rsidR="002F1A2B" w:rsidRPr="004D6D2E" w:rsidRDefault="002F1A2B" w:rsidP="002F1A2B">
      <w:pPr>
        <w:rPr>
          <w:szCs w:val="24"/>
        </w:rPr>
      </w:pPr>
      <w:r w:rsidRPr="004D6D2E">
        <w:rPr>
          <w:szCs w:val="24"/>
        </w:rPr>
        <w:t>Grazie a</w:t>
      </w:r>
      <w:r>
        <w:rPr>
          <w:szCs w:val="24"/>
        </w:rPr>
        <w:t>gli sviluppi della</w:t>
      </w:r>
      <w:r w:rsidRPr="004D6D2E">
        <w:rPr>
          <w:szCs w:val="24"/>
        </w:rPr>
        <w:t xml:space="preserve"> tecnologia</w:t>
      </w:r>
      <w:r>
        <w:rPr>
          <w:szCs w:val="24"/>
        </w:rPr>
        <w:t xml:space="preserve"> tra</w:t>
      </w:r>
      <w:r w:rsidRPr="004D6D2E">
        <w:rPr>
          <w:szCs w:val="24"/>
        </w:rPr>
        <w:t xml:space="preserve"> le autorità di cui sopra si</w:t>
      </w:r>
      <w:r>
        <w:rPr>
          <w:szCs w:val="24"/>
        </w:rPr>
        <w:t xml:space="preserve"> è</w:t>
      </w:r>
      <w:r w:rsidRPr="004D6D2E">
        <w:rPr>
          <w:szCs w:val="24"/>
        </w:rPr>
        <w:t xml:space="preserve"> perfezionata da anni la trasmissione di dati fiscali nella forma automatizzata con conseguenti vantaggi in termini di elaborazione dati, risparmio di carta e risorse, rapidità.</w:t>
      </w:r>
    </w:p>
    <w:p w:rsidR="002F1A2B" w:rsidRPr="006B5FCA" w:rsidRDefault="002F1A2B" w:rsidP="002F1A2B">
      <w:pPr>
        <w:rPr>
          <w:szCs w:val="24"/>
        </w:rPr>
      </w:pPr>
    </w:p>
    <w:p w:rsidR="002F1A2B" w:rsidRPr="006B5FCA" w:rsidRDefault="002F1A2B" w:rsidP="002F1A2B">
      <w:pPr>
        <w:rPr>
          <w:szCs w:val="24"/>
        </w:rPr>
      </w:pPr>
      <w:r w:rsidRPr="006B5FCA">
        <w:rPr>
          <w:szCs w:val="24"/>
        </w:rPr>
        <w:t>Dal 2011 che le Casse di compensazione e le autorità fiscali svizzere possono scambiarsi i dati di base (richieste di comunicazione e comunicazioni fiscali) tramite la piattaforma informatica e di comunicazione centrale della Confederazione (</w:t>
      </w:r>
      <w:proofErr w:type="spellStart"/>
      <w:r w:rsidRPr="006B5FCA">
        <w:rPr>
          <w:szCs w:val="24"/>
        </w:rPr>
        <w:t>Sedex</w:t>
      </w:r>
      <w:proofErr w:type="spellEnd"/>
      <w:r w:rsidRPr="006B5FCA">
        <w:rPr>
          <w:szCs w:val="24"/>
        </w:rPr>
        <w:t>)</w:t>
      </w:r>
      <w:r w:rsidRPr="006B5FCA">
        <w:t>.</w:t>
      </w:r>
    </w:p>
    <w:p w:rsidR="002F1A2B" w:rsidRDefault="002F1A2B" w:rsidP="002F1A2B">
      <w:pPr>
        <w:spacing w:before="200"/>
        <w:rPr>
          <w:szCs w:val="24"/>
        </w:rPr>
      </w:pPr>
      <w:r w:rsidRPr="006B5FCA">
        <w:rPr>
          <w:szCs w:val="24"/>
        </w:rPr>
        <w:t xml:space="preserve">Per quanto riguarda la Cassa cantonale, la stessa ha sviluppato degli applicativi informatici ad hoc per la </w:t>
      </w:r>
      <w:r>
        <w:rPr>
          <w:szCs w:val="24"/>
        </w:rPr>
        <w:t xml:space="preserve">raccolta e conservazione, la </w:t>
      </w:r>
      <w:r w:rsidRPr="006B5FCA">
        <w:rPr>
          <w:szCs w:val="24"/>
        </w:rPr>
        <w:t xml:space="preserve">selezione, la trasmissione e </w:t>
      </w:r>
      <w:r w:rsidRPr="006B5FCA">
        <w:rPr>
          <w:szCs w:val="24"/>
        </w:rPr>
        <w:lastRenderedPageBreak/>
        <w:t xml:space="preserve">l'elaborazione dei dati fiscali, che, aggiornati negli anni per tenere conto sia degli sviluppi informatici sia delle modifiche legislative intercorse, sono tuttora in uso e risultano ancora oggi più performanti dei processi </w:t>
      </w:r>
      <w:proofErr w:type="spellStart"/>
      <w:r w:rsidRPr="006B5FCA">
        <w:rPr>
          <w:szCs w:val="24"/>
        </w:rPr>
        <w:t>Se</w:t>
      </w:r>
      <w:r w:rsidRPr="00F10C52">
        <w:rPr>
          <w:szCs w:val="24"/>
        </w:rPr>
        <w:t>dex</w:t>
      </w:r>
      <w:proofErr w:type="spellEnd"/>
      <w:r w:rsidRPr="00F10C52">
        <w:rPr>
          <w:szCs w:val="24"/>
        </w:rPr>
        <w:t xml:space="preserve">. </w:t>
      </w:r>
    </w:p>
    <w:p w:rsidR="002F1A2B" w:rsidRDefault="002F1A2B" w:rsidP="002F1A2B">
      <w:pPr>
        <w:spacing w:before="200"/>
        <w:rPr>
          <w:szCs w:val="24"/>
        </w:rPr>
      </w:pPr>
      <w:r w:rsidRPr="00F10C52">
        <w:rPr>
          <w:szCs w:val="24"/>
        </w:rPr>
        <w:t>È necessaria anche l’implementazione della comunicazione spontanea dei casi senza redditi da attività lucrativa che nessuna cassa di compensazione ha chiesto, così da permettere il controllo dell’assoggettamento e garantire la copertura assicurativa delle persone che non svolgono un'attività lucrativa ai sensi della LAVS.</w:t>
      </w:r>
    </w:p>
    <w:p w:rsidR="002F1A2B" w:rsidRPr="00F10C52" w:rsidRDefault="002F1A2B" w:rsidP="002F1A2B">
      <w:pPr>
        <w:spacing w:before="200"/>
        <w:rPr>
          <w:szCs w:val="24"/>
        </w:rPr>
      </w:pPr>
      <w:r w:rsidRPr="00F10C52">
        <w:rPr>
          <w:szCs w:val="24"/>
        </w:rPr>
        <w:t>In caso contrario, la Cassa cantonale dovrebbe, con notevole carico amministrativo e rischi di inefficienze, interpellare direttamente, quotidianamente e per iscritto gli utenti e/o gli Uffici circondariali di tassazione per avere le informazioni di dettaglio indispensabili alle attività.</w:t>
      </w:r>
    </w:p>
    <w:p w:rsidR="002F1A2B" w:rsidRPr="00F10C52" w:rsidRDefault="002F1A2B" w:rsidP="002F1A2B">
      <w:pPr>
        <w:spacing w:before="200"/>
        <w:rPr>
          <w:szCs w:val="24"/>
        </w:rPr>
      </w:pPr>
      <w:r w:rsidRPr="00F10C52">
        <w:rPr>
          <w:szCs w:val="24"/>
        </w:rPr>
        <w:t>La condivisione dei dati fiscali avviene in base alla procedura di richiamo tramite accesso in linea e permette di visualizzare direttamente e in autonomia unicamente i dati indispensabili allo svolgimento dei compiti attribuiti per legge ai suindicati enti IAS unitamente all'autorità preposta in materia di assistenza sociale.</w:t>
      </w:r>
    </w:p>
    <w:p w:rsidR="002F1A2B" w:rsidRPr="00F10C52" w:rsidRDefault="002F1A2B" w:rsidP="002F1A2B">
      <w:pPr>
        <w:spacing w:before="200"/>
        <w:rPr>
          <w:szCs w:val="24"/>
        </w:rPr>
      </w:pPr>
      <w:r w:rsidRPr="00F10C52">
        <w:rPr>
          <w:szCs w:val="24"/>
        </w:rPr>
        <w:t>I dati fiscali consultabili saranno, come sono, quelli che il contribuente ha dichiarato e che l’autorità fiscale ha accertato</w:t>
      </w:r>
      <w:r>
        <w:rPr>
          <w:szCs w:val="24"/>
        </w:rPr>
        <w:t xml:space="preserve">: </w:t>
      </w:r>
      <w:r w:rsidRPr="00F10C52">
        <w:rPr>
          <w:szCs w:val="24"/>
        </w:rPr>
        <w:t>redditi da attività dipendente e/o indipendente, della sostanza</w:t>
      </w:r>
      <w:r>
        <w:rPr>
          <w:szCs w:val="24"/>
        </w:rPr>
        <w:t xml:space="preserve"> </w:t>
      </w:r>
      <w:r w:rsidRPr="00F10C52">
        <w:rPr>
          <w:szCs w:val="24"/>
        </w:rPr>
        <w:t>mobiliare e immobiliare e dei redditi provenienti da fonti previdenziali, così come degli elementi della sostanza.</w:t>
      </w:r>
    </w:p>
    <w:p w:rsidR="002F1A2B" w:rsidRPr="00F74CF4" w:rsidRDefault="002F1A2B" w:rsidP="008E50E2"/>
    <w:p w:rsidR="002F1A2B" w:rsidRPr="00F74CF4" w:rsidRDefault="002F1A2B" w:rsidP="008E50E2"/>
    <w:p w:rsidR="002F1A2B" w:rsidRPr="00F10C52" w:rsidRDefault="002F1A2B" w:rsidP="002F1A2B">
      <w:pPr>
        <w:pStyle w:val="Titolo2"/>
        <w:numPr>
          <w:ilvl w:val="0"/>
          <w:numId w:val="7"/>
        </w:numPr>
        <w:ind w:left="567" w:hanging="567"/>
      </w:pPr>
      <w:bookmarkStart w:id="2" w:name="_Toc531100143"/>
      <w:r w:rsidRPr="00F10C52">
        <w:t>ADEGUAMENTI PROPOSTI</w:t>
      </w:r>
      <w:bookmarkEnd w:id="2"/>
    </w:p>
    <w:p w:rsidR="002F1A2B" w:rsidRPr="0043677B" w:rsidRDefault="002F1A2B" w:rsidP="002F1A2B">
      <w:pPr>
        <w:pStyle w:val="Titolo2"/>
      </w:pPr>
      <w:bookmarkStart w:id="3" w:name="_Toc531100144"/>
      <w:r w:rsidRPr="0043677B">
        <w:t>2.1</w:t>
      </w:r>
      <w:r w:rsidRPr="0043677B">
        <w:tab/>
        <w:t>In generale</w:t>
      </w:r>
      <w:bookmarkEnd w:id="3"/>
    </w:p>
    <w:p w:rsidR="002F1A2B" w:rsidRPr="0043677B" w:rsidRDefault="002F1A2B" w:rsidP="002F1A2B">
      <w:r w:rsidRPr="0043677B">
        <w:t>Nelle assicurazioni sociali</w:t>
      </w:r>
      <w:r>
        <w:t>, come vedremo riprendendo le norme in oggetto</w:t>
      </w:r>
      <w:r w:rsidRPr="0043677B">
        <w:t>, vigono:</w:t>
      </w:r>
    </w:p>
    <w:p w:rsidR="002F1A2B" w:rsidRPr="0043677B" w:rsidRDefault="002F1A2B" w:rsidP="008E50E2">
      <w:pPr>
        <w:pStyle w:val="Paragrafoelenco"/>
        <w:numPr>
          <w:ilvl w:val="0"/>
          <w:numId w:val="8"/>
        </w:numPr>
        <w:tabs>
          <w:tab w:val="left" w:pos="284"/>
        </w:tabs>
        <w:spacing w:before="80"/>
        <w:ind w:left="284" w:hanging="284"/>
      </w:pPr>
      <w:r w:rsidRPr="00766107">
        <w:rPr>
          <w:u w:val="single"/>
        </w:rPr>
        <w:t>l'</w:t>
      </w:r>
      <w:r w:rsidRPr="00B16416">
        <w:rPr>
          <w:u w:val="single"/>
        </w:rPr>
        <w:t>obbligo degli assicurati di collaborare</w:t>
      </w:r>
      <w:r w:rsidRPr="00766107">
        <w:t xml:space="preserve"> </w:t>
      </w:r>
      <w:r w:rsidRPr="0043677B">
        <w:t>fornendo ogni informazione necessaria, e</w:t>
      </w:r>
    </w:p>
    <w:p w:rsidR="002F1A2B" w:rsidRDefault="002F1A2B" w:rsidP="008E50E2">
      <w:pPr>
        <w:pStyle w:val="Paragrafoelenco"/>
        <w:numPr>
          <w:ilvl w:val="0"/>
          <w:numId w:val="8"/>
        </w:numPr>
        <w:tabs>
          <w:tab w:val="left" w:pos="284"/>
        </w:tabs>
        <w:spacing w:before="80"/>
        <w:ind w:left="284" w:hanging="284"/>
      </w:pPr>
      <w:r w:rsidRPr="00B16416">
        <w:rPr>
          <w:u w:val="single"/>
        </w:rPr>
        <w:t>l'obbligo di assistenza amministrativa tra autorità</w:t>
      </w:r>
      <w:r w:rsidRPr="0043677B">
        <w:t>, che garantisce la trasmissione – tramite richiesta scritta nei singoli casi – di tutti i dati necessari</w:t>
      </w:r>
      <w:r>
        <w:t>.</w:t>
      </w:r>
    </w:p>
    <w:p w:rsidR="002F1A2B" w:rsidRPr="0043677B" w:rsidRDefault="002F1A2B" w:rsidP="002F1A2B"/>
    <w:p w:rsidR="002F1A2B" w:rsidRPr="0043677B" w:rsidRDefault="002F1A2B" w:rsidP="002F1A2B">
      <w:r>
        <w:t xml:space="preserve">Il </w:t>
      </w:r>
      <w:r w:rsidRPr="0043677B">
        <w:t>volume di dati è costantemente cresciuto. L'opzione del ricorso alla procedura informatizzata si è rivelata la scelta più agile, veloce e sicura.</w:t>
      </w:r>
    </w:p>
    <w:p w:rsidR="002F1A2B" w:rsidRPr="0043677B" w:rsidRDefault="002F1A2B" w:rsidP="002F1A2B">
      <w:r w:rsidRPr="0043677B">
        <w:t>Ne discende ora la necessità di formalizzare una base legale, proporzionata e in ottemperanza alle attuali esigenze della legislazione in materia di protezione dei dati e nel rispetto del segreto fiscale affinché l'accesso ai dati risulti limitatamente ai dati ritenuti necessari allo svolgimento dei compiti legali, che sottostà in ogni caso all’obbligo del segreto.</w:t>
      </w:r>
    </w:p>
    <w:p w:rsidR="002F1A2B" w:rsidRPr="0043677B" w:rsidRDefault="002F1A2B" w:rsidP="002F1A2B"/>
    <w:p w:rsidR="002F1A2B" w:rsidRPr="0043677B" w:rsidRDefault="002F1A2B" w:rsidP="002F1A2B">
      <w:r w:rsidRPr="0043677B">
        <w:t xml:space="preserve">Per le nuove norme, è stata utilizzata una formulazione unica proprio per uniformare il flusso elettronico di dati. La </w:t>
      </w:r>
      <w:r w:rsidRPr="0043677B">
        <w:rPr>
          <w:szCs w:val="24"/>
        </w:rPr>
        <w:t>procedura di richiamo sarà specificata poi in un regolamento del Consiglio di Stato che definirà le misure organizzative e tecniche a tutela della sicurezza, della confidenzialità dei dati e della proporzionalità degli accessi.</w:t>
      </w:r>
    </w:p>
    <w:p w:rsidR="002F1A2B" w:rsidRPr="0043677B" w:rsidRDefault="002F1A2B" w:rsidP="002F1A2B">
      <w:pPr>
        <w:rPr>
          <w:szCs w:val="24"/>
        </w:rPr>
      </w:pPr>
    </w:p>
    <w:p w:rsidR="002F1A2B" w:rsidRPr="00926926" w:rsidRDefault="002F1A2B" w:rsidP="002F1A2B">
      <w:pPr>
        <w:rPr>
          <w:szCs w:val="24"/>
        </w:rPr>
      </w:pPr>
      <w:r w:rsidRPr="0043677B">
        <w:rPr>
          <w:szCs w:val="24"/>
        </w:rPr>
        <w:t xml:space="preserve">A tutela dei contribuenti sono stati definiti dei provvedimenti, qui riassunti in linea generale, da adottare in relazione all’accesso a dati da parte di servizi esterni alla Divisione delle </w:t>
      </w:r>
      <w:r w:rsidRPr="00926926">
        <w:rPr>
          <w:szCs w:val="24"/>
        </w:rPr>
        <w:t>Contribuzioni:</w:t>
      </w:r>
      <w:r w:rsidRPr="00926926">
        <w:rPr>
          <w:rStyle w:val="Rimandonotaapidipagina"/>
          <w:szCs w:val="24"/>
        </w:rPr>
        <w:t xml:space="preserve"> </w:t>
      </w:r>
    </w:p>
    <w:p w:rsidR="002F1A2B" w:rsidRPr="008E50E2" w:rsidRDefault="002F1A2B" w:rsidP="008E50E2">
      <w:pPr>
        <w:pStyle w:val="Paragrafoelenco"/>
        <w:numPr>
          <w:ilvl w:val="0"/>
          <w:numId w:val="8"/>
        </w:numPr>
        <w:tabs>
          <w:tab w:val="left" w:pos="284"/>
        </w:tabs>
        <w:spacing w:before="80"/>
        <w:ind w:left="284" w:hanging="284"/>
      </w:pPr>
      <w:r w:rsidRPr="008E50E2">
        <w:t>è concesso l’accesso ai soli dati fiscali strettamente necessari all’adempimento dei compiti legali dopo attenta verifica dell’effettiva necessità;</w:t>
      </w:r>
    </w:p>
    <w:p w:rsidR="002F1A2B" w:rsidRPr="008E50E2" w:rsidRDefault="002F1A2B" w:rsidP="008E50E2">
      <w:pPr>
        <w:pStyle w:val="Paragrafoelenco"/>
        <w:numPr>
          <w:ilvl w:val="0"/>
          <w:numId w:val="8"/>
        </w:numPr>
        <w:tabs>
          <w:tab w:val="left" w:pos="284"/>
        </w:tabs>
        <w:spacing w:before="80"/>
        <w:ind w:left="284" w:hanging="284"/>
      </w:pPr>
      <w:r w:rsidRPr="008E50E2">
        <w:lastRenderedPageBreak/>
        <w:t>l’abilitazione alla loro visualizzazione è concessa unicamente ai collaboratori abilitati che avranno sottoscritto la dichiarazione d’informazione sull’obbligo di riservatezza;</w:t>
      </w:r>
    </w:p>
    <w:p w:rsidR="002F1A2B" w:rsidRPr="008E50E2" w:rsidRDefault="002F1A2B" w:rsidP="008E50E2">
      <w:pPr>
        <w:pStyle w:val="Paragrafoelenco"/>
        <w:numPr>
          <w:ilvl w:val="0"/>
          <w:numId w:val="8"/>
        </w:numPr>
        <w:tabs>
          <w:tab w:val="left" w:pos="284"/>
        </w:tabs>
        <w:spacing w:before="80"/>
        <w:ind w:left="284" w:hanging="284"/>
      </w:pPr>
      <w:r w:rsidRPr="008E50E2">
        <w:t>gli accessi ai dati fiscali sono protocollati caso per caso e registrati in una specifica banca dati, a disposizione per verifiche per un periodo di tre anni;</w:t>
      </w:r>
    </w:p>
    <w:p w:rsidR="002F1A2B" w:rsidRPr="008E50E2" w:rsidRDefault="002F1A2B" w:rsidP="008E50E2">
      <w:pPr>
        <w:pStyle w:val="Paragrafoelenco"/>
        <w:numPr>
          <w:ilvl w:val="0"/>
          <w:numId w:val="8"/>
        </w:numPr>
        <w:tabs>
          <w:tab w:val="left" w:pos="284"/>
        </w:tabs>
        <w:spacing w:before="80"/>
        <w:ind w:left="284" w:hanging="284"/>
      </w:pPr>
      <w:r w:rsidRPr="008E50E2">
        <w:t>la duplicazione e la memorizzazione di dati fiscali su banche dati esterne non è permessa, come non è permesso neppure un loro utilizzo per ulteriori elaborazioni non esplicitamente autorizzate. È pure esclusa la possibilità di distribuzione di dati a terzi;</w:t>
      </w:r>
    </w:p>
    <w:p w:rsidR="002F1A2B" w:rsidRPr="008E50E2" w:rsidRDefault="002F1A2B" w:rsidP="008E50E2">
      <w:pPr>
        <w:pStyle w:val="Paragrafoelenco"/>
        <w:numPr>
          <w:ilvl w:val="0"/>
          <w:numId w:val="8"/>
        </w:numPr>
        <w:tabs>
          <w:tab w:val="left" w:pos="284"/>
        </w:tabs>
        <w:spacing w:before="80"/>
        <w:ind w:left="284" w:hanging="284"/>
      </w:pPr>
      <w:r w:rsidRPr="008E50E2">
        <w:t>l</w:t>
      </w:r>
      <w:r w:rsidRPr="00926926">
        <w:t>a competenza per la realizzazione delle soluzioni informatiche necessarie alla visualizzazione dei dati fiscali – o per eventuali modifiche– è dell’ente richiedente con la collaborazione del Centro sistemi informativi (CSI) o di altri fornitori di servizi informatici. L’autorità fiscale, quale proprietaria dei dati, ha compiti di autorizzazione, di verifica e di vigilanza.</w:t>
      </w:r>
    </w:p>
    <w:p w:rsidR="002F1A2B" w:rsidRDefault="002F1A2B" w:rsidP="002F1A2B"/>
    <w:p w:rsidR="008E50E2" w:rsidRPr="00926926" w:rsidRDefault="008E50E2" w:rsidP="002F1A2B"/>
    <w:p w:rsidR="002F1A2B" w:rsidRPr="00926926" w:rsidRDefault="002F1A2B" w:rsidP="002F1A2B">
      <w:pPr>
        <w:pStyle w:val="Titolo2"/>
      </w:pPr>
      <w:bookmarkStart w:id="4" w:name="_Toc531100145"/>
      <w:r w:rsidRPr="00926926">
        <w:t>2.2</w:t>
      </w:r>
      <w:r w:rsidRPr="00926926">
        <w:tab/>
        <w:t>I diversi disegni</w:t>
      </w:r>
      <w:bookmarkEnd w:id="4"/>
    </w:p>
    <w:p w:rsidR="002F1A2B" w:rsidRDefault="002F1A2B" w:rsidP="002F1A2B">
      <w:pPr>
        <w:spacing w:before="120"/>
        <w:rPr>
          <w:szCs w:val="24"/>
        </w:rPr>
      </w:pPr>
      <w:r w:rsidRPr="00926926">
        <w:rPr>
          <w:szCs w:val="24"/>
        </w:rPr>
        <w:t xml:space="preserve">Nelle normative interessate dalla modifica sono le seguenti dove viene inserito un nuovo articolo di contenuto </w:t>
      </w:r>
      <w:r>
        <w:rPr>
          <w:szCs w:val="24"/>
        </w:rPr>
        <w:t xml:space="preserve">essenzialmente </w:t>
      </w:r>
      <w:r w:rsidRPr="00926926">
        <w:rPr>
          <w:szCs w:val="24"/>
        </w:rPr>
        <w:t>identico.</w:t>
      </w:r>
      <w:bookmarkStart w:id="5" w:name="_Toc531100146"/>
    </w:p>
    <w:p w:rsidR="008E50E2" w:rsidRPr="00926926" w:rsidRDefault="008E50E2" w:rsidP="002F1A2B">
      <w:pPr>
        <w:spacing w:before="120"/>
        <w:rPr>
          <w:szCs w:val="24"/>
        </w:rPr>
      </w:pPr>
    </w:p>
    <w:p w:rsidR="002F1A2B" w:rsidRPr="00F646F8" w:rsidRDefault="002F1A2B" w:rsidP="002F1A2B">
      <w:pPr>
        <w:tabs>
          <w:tab w:val="left" w:pos="567"/>
        </w:tabs>
        <w:spacing w:before="120"/>
        <w:ind w:left="567" w:hanging="567"/>
        <w:rPr>
          <w:i/>
          <w:sz w:val="23"/>
          <w:szCs w:val="23"/>
        </w:rPr>
      </w:pPr>
      <w:r w:rsidRPr="00926926">
        <w:rPr>
          <w:b/>
          <w:i/>
          <w:sz w:val="23"/>
          <w:szCs w:val="23"/>
        </w:rPr>
        <w:t>2.2.1</w:t>
      </w:r>
      <w:r w:rsidRPr="00926926">
        <w:rPr>
          <w:i/>
          <w:sz w:val="23"/>
          <w:szCs w:val="23"/>
        </w:rPr>
        <w:tab/>
      </w:r>
      <w:r w:rsidRPr="00926926">
        <w:rPr>
          <w:b/>
          <w:i/>
          <w:sz w:val="23"/>
          <w:szCs w:val="23"/>
        </w:rPr>
        <w:t>Decreto legislativo di applicazione della legge federale del 20 dicembre 1946 sull’assicurazione per la vecchiaia e superstiti del 28 gennaio 1948</w:t>
      </w:r>
      <w:bookmarkEnd w:id="5"/>
    </w:p>
    <w:p w:rsidR="002F1A2B" w:rsidRPr="00926926" w:rsidRDefault="002F1A2B" w:rsidP="002F1A2B">
      <w:pPr>
        <w:spacing w:before="240"/>
        <w:rPr>
          <w:szCs w:val="24"/>
        </w:rPr>
      </w:pPr>
      <w:r w:rsidRPr="00926926">
        <w:rPr>
          <w:szCs w:val="24"/>
        </w:rPr>
        <w:t xml:space="preserve">L’art. 11 viene riformulato sia per consentire la procedura di richiamo, sia per garantire la trasmissione elettronica dell'insieme dei dati fiscali sino ad ora scambiati, inclusi i dati supplementari rispetto al protocollo </w:t>
      </w:r>
      <w:proofErr w:type="spellStart"/>
      <w:r w:rsidRPr="00926926">
        <w:rPr>
          <w:szCs w:val="24"/>
        </w:rPr>
        <w:t>Sedex</w:t>
      </w:r>
      <w:proofErr w:type="spellEnd"/>
      <w:r w:rsidRPr="00926926">
        <w:rPr>
          <w:szCs w:val="24"/>
        </w:rPr>
        <w:t xml:space="preserve"> già previsto dalla legislazione federale.</w:t>
      </w:r>
    </w:p>
    <w:p w:rsidR="002F1A2B" w:rsidRPr="00926926" w:rsidRDefault="002F1A2B" w:rsidP="002F1A2B">
      <w:pPr>
        <w:spacing w:before="240"/>
        <w:rPr>
          <w:szCs w:val="24"/>
        </w:rPr>
      </w:pPr>
      <w:r w:rsidRPr="00926926">
        <w:rPr>
          <w:szCs w:val="24"/>
        </w:rPr>
        <w:t xml:space="preserve">Il calcolo dei contributi sociali può essere eseguito unicamente se la persona interessata (fisica o giuridica) è prima stata iscritta nel registro degli affiliati, in </w:t>
      </w:r>
      <w:proofErr w:type="spellStart"/>
      <w:r w:rsidRPr="00926926">
        <w:rPr>
          <w:szCs w:val="24"/>
        </w:rPr>
        <w:t>casu</w:t>
      </w:r>
      <w:proofErr w:type="spellEnd"/>
      <w:r w:rsidRPr="00926926">
        <w:rPr>
          <w:szCs w:val="24"/>
        </w:rPr>
        <w:t xml:space="preserve">, della nostra Cassa cantonale di compensazione AVS quale unica Cassa autorizzata ex art 63 cpv. 2 LAVS a vigilare sull’adempimento dell’obbligo assicurativo. Da </w:t>
      </w:r>
      <w:r>
        <w:rPr>
          <w:szCs w:val="24"/>
        </w:rPr>
        <w:t>q</w:t>
      </w:r>
      <w:r w:rsidRPr="00926926">
        <w:rPr>
          <w:szCs w:val="24"/>
        </w:rPr>
        <w:t>ui la necessità di disporre dei dati fiscali sin dall’assoggettamento.</w:t>
      </w:r>
    </w:p>
    <w:p w:rsidR="002F1A2B" w:rsidRPr="00926926" w:rsidRDefault="002F1A2B" w:rsidP="002F1A2B"/>
    <w:p w:rsidR="002F1A2B" w:rsidRPr="00926926" w:rsidRDefault="002F1A2B" w:rsidP="002F1A2B">
      <w:r w:rsidRPr="00926926">
        <w:t xml:space="preserve">Il corretto assoggettamento </w:t>
      </w:r>
      <w:proofErr w:type="spellStart"/>
      <w:r w:rsidRPr="00926926">
        <w:t>é</w:t>
      </w:r>
      <w:proofErr w:type="spellEnd"/>
      <w:r w:rsidRPr="00926926">
        <w:t xml:space="preserve"> nell'interesse di tutti, ovvero:</w:t>
      </w:r>
    </w:p>
    <w:p w:rsidR="002F1A2B" w:rsidRPr="00926926" w:rsidRDefault="002F1A2B" w:rsidP="002F1A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 w:rsidRPr="00926926">
        <w:rPr>
          <w:szCs w:val="24"/>
        </w:rPr>
        <w:t xml:space="preserve">del </w:t>
      </w:r>
      <w:r w:rsidRPr="00926926">
        <w:rPr>
          <w:szCs w:val="24"/>
          <w:u w:val="single"/>
        </w:rPr>
        <w:t>cittadino/contribuente sociale</w:t>
      </w:r>
      <w:r w:rsidRPr="00926926">
        <w:rPr>
          <w:szCs w:val="24"/>
        </w:rPr>
        <w:t>, in quanto i contributi sociali concretamente pagati (che derivano dai redditi registrati sul suo conto individuale) generano la rendita di primo pilastro,</w:t>
      </w:r>
    </w:p>
    <w:p w:rsidR="002F1A2B" w:rsidRPr="00926926" w:rsidRDefault="002F1A2B" w:rsidP="002F1A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 w:rsidRPr="00926926">
        <w:rPr>
          <w:szCs w:val="24"/>
        </w:rPr>
        <w:t xml:space="preserve">del </w:t>
      </w:r>
      <w:r w:rsidRPr="00926926">
        <w:rPr>
          <w:szCs w:val="24"/>
          <w:u w:val="single"/>
        </w:rPr>
        <w:t>Fondo di compensazione dell'AVS</w:t>
      </w:r>
      <w:r w:rsidRPr="00926926">
        <w:rPr>
          <w:szCs w:val="24"/>
        </w:rPr>
        <w:t xml:space="preserve"> che, secondo il principio di ripartizione, finanzia le rendite correnti con quanto incassa correntemente,</w:t>
      </w:r>
    </w:p>
    <w:p w:rsidR="002F1A2B" w:rsidRPr="00926926" w:rsidRDefault="002F1A2B" w:rsidP="002F1A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 w:rsidRPr="00926926">
        <w:rPr>
          <w:szCs w:val="24"/>
        </w:rPr>
        <w:t xml:space="preserve">delle </w:t>
      </w:r>
      <w:r w:rsidRPr="00926926">
        <w:rPr>
          <w:szCs w:val="24"/>
          <w:u w:val="single"/>
        </w:rPr>
        <w:t>finanze pubbliche</w:t>
      </w:r>
      <w:r w:rsidRPr="00926926">
        <w:rPr>
          <w:szCs w:val="24"/>
        </w:rPr>
        <w:t xml:space="preserve"> (Confederazione e Cantone), poiché più è elevato l'importo della rendita del primo pilastro, meno vi sarà la necessità per l'assicurato di far capo alle prestazioni complementari all'AVS/AI.</w:t>
      </w:r>
    </w:p>
    <w:p w:rsidR="002F1A2B" w:rsidRPr="00926926" w:rsidRDefault="002F1A2B" w:rsidP="002F1A2B"/>
    <w:p w:rsidR="002F1A2B" w:rsidRPr="00926926" w:rsidRDefault="002F1A2B" w:rsidP="002F1A2B">
      <w:r w:rsidRPr="00926926">
        <w:t xml:space="preserve">Grazie a questo accesso e richiamo dati la Cassa cantonale riesce a trattare e formalizzare non meno di 80'000 decisioni all'anno, di cui circa il 20% è ulteriormente controllato manualmente dai collaboratori della Cassa cantonale, a seguito di un segnale di potenziale incongruenza emesso dal sistema. </w:t>
      </w:r>
    </w:p>
    <w:p w:rsidR="002F1A2B" w:rsidRPr="00926926" w:rsidRDefault="002F1A2B" w:rsidP="002F1A2B"/>
    <w:p w:rsidR="008E50E2" w:rsidRDefault="008E50E2">
      <w:pPr>
        <w:rPr>
          <w:b/>
          <w:i/>
          <w:sz w:val="23"/>
          <w:szCs w:val="23"/>
          <w:lang w:val="it-IT" w:eastAsia="it-IT"/>
        </w:rPr>
      </w:pPr>
      <w:bookmarkStart w:id="6" w:name="_Toc531100147"/>
      <w:r>
        <w:br w:type="page"/>
      </w:r>
    </w:p>
    <w:p w:rsidR="002F1A2B" w:rsidRPr="00926926" w:rsidRDefault="002F1A2B" w:rsidP="002F1A2B">
      <w:pPr>
        <w:pStyle w:val="Titolo3"/>
        <w:keepNext w:val="0"/>
        <w:numPr>
          <w:ilvl w:val="2"/>
          <w:numId w:val="0"/>
        </w:numPr>
        <w:overflowPunct w:val="0"/>
        <w:autoSpaceDE w:val="0"/>
        <w:autoSpaceDN w:val="0"/>
        <w:adjustRightInd w:val="0"/>
        <w:ind w:left="709" w:hanging="709"/>
        <w:textAlignment w:val="baseline"/>
      </w:pPr>
      <w:r w:rsidRPr="00926926">
        <w:lastRenderedPageBreak/>
        <w:t>2.2.2</w:t>
      </w:r>
      <w:r w:rsidRPr="00926926">
        <w:tab/>
        <w:t>Legge di applicazione della legge federale sull’assicurazione invalidità del 21 giugno 1993 e legge di applicazione della legge federale del 6 ottobre 2006 concernente le prestazioni complementari all’assicurazione federale per la vecchiaia, i superstiti e l’invalidità del 23 ottobre 2007 (</w:t>
      </w:r>
      <w:proofErr w:type="spellStart"/>
      <w:r w:rsidRPr="00926926">
        <w:t>LaLPC</w:t>
      </w:r>
      <w:proofErr w:type="spellEnd"/>
      <w:r w:rsidRPr="00926926">
        <w:t>)</w:t>
      </w:r>
      <w:bookmarkEnd w:id="6"/>
    </w:p>
    <w:p w:rsidR="002F1A2B" w:rsidRPr="00926926" w:rsidRDefault="002F1A2B" w:rsidP="002F1A2B">
      <w:pPr>
        <w:spacing w:before="240"/>
        <w:rPr>
          <w:szCs w:val="24"/>
        </w:rPr>
      </w:pPr>
      <w:r w:rsidRPr="00926926">
        <w:rPr>
          <w:szCs w:val="24"/>
        </w:rPr>
        <w:t>Le autorità amministrative della Confederazione, dei Cantoni e dei Comuni debbono comunicare gratuitamente agli organi delle assicurazioni sociali (LAI e LPC), su richiesta scritta e motivata nei singoli casi, i dati necessari (inclusi quelli fiscali quindi) per determinare, modificare, controllare, restituire prestazioni o prevenire abusi o versamenti indebiti (cfr. art. 32 cpv. 1 LPGA circa l’assistenza amministrativa). Questo obbligo si affianca a quello di collaborazione dell'assicurato (art. 28 cpv. 2 LPGA).</w:t>
      </w:r>
    </w:p>
    <w:p w:rsidR="002F1A2B" w:rsidRPr="00926926" w:rsidRDefault="002F1A2B" w:rsidP="002F1A2B">
      <w:pPr>
        <w:spacing w:before="160"/>
        <w:rPr>
          <w:szCs w:val="24"/>
        </w:rPr>
      </w:pPr>
      <w:r w:rsidRPr="00926926">
        <w:rPr>
          <w:szCs w:val="24"/>
        </w:rPr>
        <w:t xml:space="preserve">Con le modifiche proposte non si ampliano determinati accessi a sistemi d’informazione esistenti, ma si consente agli organi preposti di continuare a adempiere ai propri compiti legali nel modo più efficiente. </w:t>
      </w:r>
    </w:p>
    <w:p w:rsidR="002F1A2B" w:rsidRPr="00B16416" w:rsidRDefault="002F1A2B" w:rsidP="002F1A2B"/>
    <w:p w:rsidR="002F1A2B" w:rsidRPr="00B16416" w:rsidRDefault="002F1A2B" w:rsidP="002F1A2B">
      <w:pPr>
        <w:pStyle w:val="Titolo3"/>
        <w:keepNext w:val="0"/>
        <w:numPr>
          <w:ilvl w:val="2"/>
          <w:numId w:val="0"/>
        </w:numPr>
        <w:overflowPunct w:val="0"/>
        <w:autoSpaceDE w:val="0"/>
        <w:autoSpaceDN w:val="0"/>
        <w:adjustRightInd w:val="0"/>
        <w:ind w:left="709" w:hanging="709"/>
        <w:textAlignment w:val="baseline"/>
      </w:pPr>
      <w:bookmarkStart w:id="7" w:name="_Toc531100148"/>
      <w:r w:rsidRPr="00B16416">
        <w:t>2.2.3</w:t>
      </w:r>
      <w:r w:rsidRPr="00B16416">
        <w:tab/>
        <w:t>Legge sugli assegni di famiglia del 18 dicembre 2008 (</w:t>
      </w:r>
      <w:proofErr w:type="spellStart"/>
      <w:r w:rsidRPr="00B16416">
        <w:t>Laf</w:t>
      </w:r>
      <w:proofErr w:type="spellEnd"/>
      <w:r w:rsidRPr="00B16416">
        <w:t>) e legge sull’assistenza sociale dell’8 marzo 1971 (Las)</w:t>
      </w:r>
      <w:bookmarkEnd w:id="7"/>
    </w:p>
    <w:p w:rsidR="002F1A2B" w:rsidRPr="00B16416" w:rsidRDefault="002F1A2B" w:rsidP="002F1A2B">
      <w:pPr>
        <w:spacing w:before="240"/>
        <w:rPr>
          <w:vertAlign w:val="superscript"/>
        </w:rPr>
      </w:pPr>
      <w:r w:rsidRPr="00B16416">
        <w:rPr>
          <w:szCs w:val="24"/>
        </w:rPr>
        <w:t>L’art. 21 cpv. 2 della legge sull’armonizzazione e il coordinamento delle prestazioni sociali del 5 giugno 2000 (</w:t>
      </w:r>
      <w:proofErr w:type="spellStart"/>
      <w:r w:rsidRPr="00B16416">
        <w:rPr>
          <w:szCs w:val="24"/>
        </w:rPr>
        <w:t>Laps</w:t>
      </w:r>
      <w:proofErr w:type="spellEnd"/>
      <w:r w:rsidRPr="00B16416">
        <w:rPr>
          <w:szCs w:val="24"/>
        </w:rPr>
        <w:t xml:space="preserve">) prevede anche in questo contesto un obbligo di fornire gratuitamente tutte le informazioni ed i documenti necessari per accertare il diritto e stabilire le prestazioni previste dalle leggi speciali (e tra queste, la </w:t>
      </w:r>
      <w:proofErr w:type="spellStart"/>
      <w:r w:rsidRPr="00B16416">
        <w:rPr>
          <w:szCs w:val="24"/>
        </w:rPr>
        <w:t>Laf</w:t>
      </w:r>
      <w:proofErr w:type="spellEnd"/>
      <w:r w:rsidRPr="00B16416">
        <w:rPr>
          <w:szCs w:val="24"/>
        </w:rPr>
        <w:t xml:space="preserve"> e la Las</w:t>
      </w:r>
      <w:bookmarkStart w:id="8" w:name="_Hlk885482"/>
      <w:r w:rsidRPr="00B16416">
        <w:rPr>
          <w:szCs w:val="24"/>
        </w:rPr>
        <w:t xml:space="preserve">). Di riflesso e a tutela dei beneficiari, l’art. 31 cpv. 1 </w:t>
      </w:r>
      <w:proofErr w:type="spellStart"/>
      <w:r w:rsidRPr="00B16416">
        <w:rPr>
          <w:szCs w:val="24"/>
        </w:rPr>
        <w:t>Laps</w:t>
      </w:r>
      <w:proofErr w:type="spellEnd"/>
      <w:r w:rsidRPr="00B16416">
        <w:rPr>
          <w:szCs w:val="24"/>
        </w:rPr>
        <w:t xml:space="preserve"> prevede comunque che le persone che partecipano all’esecuzione e al controllo o alla sorveglianza dell’esecuzione della legge e delle leggi speciali devono mantenere il segreto nei confronti di terzi.</w:t>
      </w:r>
    </w:p>
    <w:bookmarkEnd w:id="8"/>
    <w:p w:rsidR="002F1A2B" w:rsidRPr="00B16416" w:rsidRDefault="002F1A2B" w:rsidP="002F1A2B">
      <w:pPr>
        <w:spacing w:before="240"/>
        <w:rPr>
          <w:szCs w:val="24"/>
        </w:rPr>
      </w:pPr>
      <w:r w:rsidRPr="00B16416">
        <w:rPr>
          <w:szCs w:val="24"/>
        </w:rPr>
        <w:t xml:space="preserve">L’art. 29 cpv. 1 </w:t>
      </w:r>
      <w:proofErr w:type="spellStart"/>
      <w:r w:rsidRPr="00B16416">
        <w:rPr>
          <w:szCs w:val="24"/>
        </w:rPr>
        <w:t>Laps</w:t>
      </w:r>
      <w:proofErr w:type="spellEnd"/>
      <w:r w:rsidRPr="00B16416">
        <w:rPr>
          <w:szCs w:val="24"/>
        </w:rPr>
        <w:t xml:space="preserve"> (al pari delle norme della LAI e LPC di cui sopra) disciplina poi l’assistenza amministrativa e stabilisce che le autorità della Confederazione, dei Cantoni, dei Distretti, dei Circoli e dei Comuni debbano anch'esse comunicare gratuitamente, su richiesta scritta e motivata nei singoli casi, tutte le informazioni utili per determinare, modificare, restituire prestazioni o prevenire versamenti indebiti.</w:t>
      </w:r>
    </w:p>
    <w:p w:rsidR="002F1A2B" w:rsidRPr="00B16416" w:rsidRDefault="002F1A2B" w:rsidP="002F1A2B">
      <w:pPr>
        <w:spacing w:before="160"/>
        <w:rPr>
          <w:szCs w:val="24"/>
        </w:rPr>
      </w:pPr>
      <w:r w:rsidRPr="00B16416">
        <w:rPr>
          <w:szCs w:val="24"/>
        </w:rPr>
        <w:t xml:space="preserve">Pertanto, anche per le prestazioni cantonali (assegni familiari integrativi (AFI) e assegni di prima infanzia (API) e le prestazioni assistenziali, il Consiglio di Stato ha inteso creare le basi legali per un sistema d’informazione che permetta agli organi incaricati di continuare a verificare e/o ottenere quei dati necessari per adempiere ai propri compiti. L'importo di queste prestazioni viene infatti stabilito tenendo conto del reddito disponibile residuale che è pari alla differenza tra la somma dei redditi e la somma delle spese riconosciute delle persone componenti l’unità di riferimento (art. 5 </w:t>
      </w:r>
      <w:proofErr w:type="spellStart"/>
      <w:r w:rsidRPr="00B16416">
        <w:rPr>
          <w:szCs w:val="24"/>
        </w:rPr>
        <w:t>Laps</w:t>
      </w:r>
      <w:proofErr w:type="spellEnd"/>
      <w:r w:rsidRPr="00B16416">
        <w:rPr>
          <w:szCs w:val="24"/>
        </w:rPr>
        <w:t>)</w:t>
      </w:r>
      <w:r w:rsidRPr="00B16416">
        <w:t xml:space="preserve">; </w:t>
      </w:r>
      <w:r w:rsidRPr="00B16416">
        <w:rPr>
          <w:szCs w:val="24"/>
        </w:rPr>
        <w:t xml:space="preserve">tra i redditi computabili troviamo in particolare quelli ai sensi degli della </w:t>
      </w:r>
      <w:r w:rsidRPr="00B16416">
        <w:t xml:space="preserve">LT (Art. 6 cpv. 1 </w:t>
      </w:r>
      <w:proofErr w:type="spellStart"/>
      <w:r w:rsidRPr="00B16416">
        <w:t>lett</w:t>
      </w:r>
      <w:proofErr w:type="spellEnd"/>
      <w:r w:rsidRPr="00B16416">
        <w:t xml:space="preserve">. a </w:t>
      </w:r>
      <w:proofErr w:type="spellStart"/>
      <w:r w:rsidRPr="00B16416">
        <w:t>Laps</w:t>
      </w:r>
      <w:proofErr w:type="spellEnd"/>
      <w:r w:rsidRPr="00B16416">
        <w:rPr>
          <w:rStyle w:val="Rimandonotaapidipagina"/>
        </w:rPr>
        <w:t>)</w:t>
      </w:r>
      <w:r w:rsidRPr="00B16416">
        <w:rPr>
          <w:szCs w:val="24"/>
        </w:rPr>
        <w:t>. Vi è pertanto una necessità giornaliera di potere continuare ad accedere a determinati dati fiscali per un lavoro di verifica, correzione e completamento dei dati forniti dai richiedenti.</w:t>
      </w:r>
    </w:p>
    <w:p w:rsidR="008E50E2" w:rsidRDefault="002F1A2B" w:rsidP="002F1A2B">
      <w:pPr>
        <w:spacing w:before="160"/>
        <w:rPr>
          <w:rFonts w:cs="Arial"/>
          <w:szCs w:val="24"/>
        </w:rPr>
      </w:pPr>
      <w:r w:rsidRPr="00B16416">
        <w:rPr>
          <w:rFonts w:cs="Arial"/>
          <w:szCs w:val="24"/>
        </w:rPr>
        <w:t xml:space="preserve">Visto che la </w:t>
      </w:r>
      <w:proofErr w:type="spellStart"/>
      <w:r w:rsidRPr="00B16416">
        <w:rPr>
          <w:rFonts w:cs="Arial"/>
          <w:szCs w:val="24"/>
        </w:rPr>
        <w:t>Laf</w:t>
      </w:r>
      <w:proofErr w:type="spellEnd"/>
      <w:r w:rsidRPr="00B16416">
        <w:rPr>
          <w:rFonts w:cs="Arial"/>
          <w:szCs w:val="24"/>
        </w:rPr>
        <w:t xml:space="preserve"> tratta dell’esecuzione e complemento della legislazione federale sugli assegni familiari (assegno per i figli e assegno di formazione), la norma prevede anche di poter accedere a dati necessari per potere verificare se il reddito annuo raggiunge un importo tale da consentire il riconoscimento del diritto a detti assegni (art. 13 cpv. 3 </w:t>
      </w:r>
      <w:proofErr w:type="spellStart"/>
      <w:r w:rsidRPr="00B16416">
        <w:rPr>
          <w:rFonts w:cs="Arial"/>
          <w:szCs w:val="24"/>
        </w:rPr>
        <w:t>LAFam</w:t>
      </w:r>
      <w:proofErr w:type="spellEnd"/>
      <w:r w:rsidRPr="00B16416">
        <w:rPr>
          <w:rFonts w:cs="Arial"/>
          <w:szCs w:val="24"/>
        </w:rPr>
        <w:t>).</w:t>
      </w:r>
    </w:p>
    <w:p w:rsidR="002F1A2B" w:rsidRPr="0067015D" w:rsidRDefault="002F1A2B" w:rsidP="002F1A2B">
      <w:pPr>
        <w:spacing w:before="160"/>
        <w:rPr>
          <w:rFonts w:cs="Arial"/>
          <w:szCs w:val="24"/>
        </w:rPr>
      </w:pPr>
    </w:p>
    <w:p w:rsidR="002F1A2B" w:rsidRPr="00321CB4" w:rsidRDefault="002F1A2B" w:rsidP="002F1A2B">
      <w:pPr>
        <w:pStyle w:val="Titolo1"/>
        <w:numPr>
          <w:ilvl w:val="0"/>
          <w:numId w:val="7"/>
        </w:numPr>
        <w:ind w:left="567" w:hanging="567"/>
      </w:pPr>
      <w:r>
        <w:lastRenderedPageBreak/>
        <w:t>varie</w:t>
      </w:r>
    </w:p>
    <w:p w:rsidR="002F1A2B" w:rsidRPr="00311E18" w:rsidRDefault="002F1A2B" w:rsidP="002F1A2B">
      <w:pPr>
        <w:rPr>
          <w:szCs w:val="24"/>
        </w:rPr>
      </w:pPr>
      <w:r w:rsidRPr="00106EEE">
        <w:rPr>
          <w:szCs w:val="24"/>
        </w:rPr>
        <w:t>La proposta non è contemplata dalle linee direttive e dal piano finanziario.</w:t>
      </w:r>
      <w:r>
        <w:rPr>
          <w:szCs w:val="24"/>
        </w:rPr>
        <w:t xml:space="preserve"> I costi nella misura in cui sono previsti dal messaggio restano a carico del Fondo di compensazione AVS rispettivamente della Cassa cantonale</w:t>
      </w:r>
    </w:p>
    <w:p w:rsidR="002F1A2B" w:rsidRDefault="002F1A2B" w:rsidP="002F1A2B">
      <w:pPr>
        <w:rPr>
          <w:szCs w:val="24"/>
        </w:rPr>
      </w:pPr>
      <w:r w:rsidRPr="00106EEE">
        <w:rPr>
          <w:szCs w:val="24"/>
        </w:rPr>
        <w:t>La proposta non ha conseguenze pratiche per gli enti locali</w:t>
      </w:r>
      <w:r>
        <w:rPr>
          <w:szCs w:val="24"/>
        </w:rPr>
        <w:t xml:space="preserve"> ed</w:t>
      </w:r>
      <w:r w:rsidRPr="00106EEE">
        <w:rPr>
          <w:szCs w:val="24"/>
        </w:rPr>
        <w:t xml:space="preserve"> è compatibile con le altre leggi cantonali e federali</w:t>
      </w:r>
      <w:r>
        <w:rPr>
          <w:szCs w:val="24"/>
        </w:rPr>
        <w:t xml:space="preserve"> e col diritto europeo come esposto nel dettaglio nel Messaggio</w:t>
      </w:r>
    </w:p>
    <w:p w:rsidR="002F1A2B" w:rsidRDefault="002F1A2B" w:rsidP="002F1A2B">
      <w:pPr>
        <w:rPr>
          <w:szCs w:val="24"/>
        </w:rPr>
      </w:pPr>
    </w:p>
    <w:p w:rsidR="008E50E2" w:rsidRPr="00106EEE" w:rsidRDefault="008E50E2" w:rsidP="002F1A2B">
      <w:pPr>
        <w:rPr>
          <w:szCs w:val="24"/>
        </w:rPr>
      </w:pPr>
    </w:p>
    <w:p w:rsidR="002F1A2B" w:rsidRPr="00321CB4" w:rsidRDefault="002F1A2B" w:rsidP="002F1A2B">
      <w:pPr>
        <w:pStyle w:val="Titolo1"/>
        <w:numPr>
          <w:ilvl w:val="0"/>
          <w:numId w:val="7"/>
        </w:numPr>
        <w:ind w:left="567" w:hanging="567"/>
      </w:pPr>
      <w:bookmarkStart w:id="9" w:name="_Toc531100156"/>
      <w:r w:rsidRPr="00321CB4">
        <w:t>CONCLUSIONI</w:t>
      </w:r>
      <w:bookmarkEnd w:id="9"/>
    </w:p>
    <w:p w:rsidR="002F1A2B" w:rsidRPr="00255F19" w:rsidRDefault="002F1A2B" w:rsidP="002F1A2B">
      <w:pPr>
        <w:rPr>
          <w:szCs w:val="24"/>
        </w:rPr>
      </w:pPr>
      <w:r>
        <w:rPr>
          <w:szCs w:val="24"/>
        </w:rPr>
        <w:t>Visto quanto sopra,</w:t>
      </w:r>
      <w:r w:rsidRPr="00255F19">
        <w:rPr>
          <w:szCs w:val="24"/>
        </w:rPr>
        <w:t xml:space="preserve"> </w:t>
      </w:r>
      <w:r w:rsidR="008E50E2">
        <w:rPr>
          <w:szCs w:val="24"/>
        </w:rPr>
        <w:t>la Commissione della g</w:t>
      </w:r>
      <w:r>
        <w:rPr>
          <w:szCs w:val="24"/>
        </w:rPr>
        <w:t xml:space="preserve">estione e delle </w:t>
      </w:r>
      <w:r w:rsidR="008E50E2">
        <w:rPr>
          <w:szCs w:val="24"/>
        </w:rPr>
        <w:t>f</w:t>
      </w:r>
      <w:r>
        <w:rPr>
          <w:szCs w:val="24"/>
        </w:rPr>
        <w:t>inanze invita il</w:t>
      </w:r>
      <w:r w:rsidRPr="00255F19">
        <w:rPr>
          <w:szCs w:val="24"/>
        </w:rPr>
        <w:t xml:space="preserve"> Gran Consiglio di approvare le modifiche legislative</w:t>
      </w:r>
      <w:r>
        <w:rPr>
          <w:szCs w:val="24"/>
        </w:rPr>
        <w:t xml:space="preserve"> allegate al Messaggio</w:t>
      </w:r>
      <w:r w:rsidR="008E50E2">
        <w:rPr>
          <w:szCs w:val="24"/>
        </w:rPr>
        <w:t xml:space="preserve"> governativo</w:t>
      </w:r>
      <w:r w:rsidRPr="00255F19">
        <w:rPr>
          <w:szCs w:val="24"/>
        </w:rPr>
        <w:t>.</w:t>
      </w:r>
    </w:p>
    <w:p w:rsidR="002F1A2B" w:rsidRDefault="002F1A2B" w:rsidP="002F1A2B">
      <w:pPr>
        <w:rPr>
          <w:szCs w:val="24"/>
        </w:rPr>
      </w:pPr>
    </w:p>
    <w:p w:rsidR="002F1A2B" w:rsidRPr="00076E70" w:rsidRDefault="002F1A2B" w:rsidP="002F1A2B">
      <w:pPr>
        <w:autoSpaceDE w:val="0"/>
        <w:autoSpaceDN w:val="0"/>
        <w:adjustRightInd w:val="0"/>
        <w:rPr>
          <w:rFonts w:cs="Arial"/>
          <w:szCs w:val="24"/>
        </w:rPr>
      </w:pPr>
    </w:p>
    <w:p w:rsidR="002F1A2B" w:rsidRPr="00076E70" w:rsidRDefault="002F1A2B" w:rsidP="002F1A2B">
      <w:pPr>
        <w:rPr>
          <w:rFonts w:cs="Arial"/>
          <w:szCs w:val="24"/>
        </w:rPr>
      </w:pPr>
    </w:p>
    <w:p w:rsidR="002F1A2B" w:rsidRPr="00076E70" w:rsidRDefault="002F1A2B" w:rsidP="002F1A2B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2F1A2B" w:rsidRPr="00076E70" w:rsidRDefault="002F1A2B" w:rsidP="002F1A2B">
      <w:pPr>
        <w:rPr>
          <w:rFonts w:cs="Arial"/>
          <w:szCs w:val="24"/>
        </w:rPr>
      </w:pPr>
      <w:r>
        <w:rPr>
          <w:rFonts w:cs="Arial"/>
          <w:szCs w:val="24"/>
        </w:rPr>
        <w:t>Matteo Quadranti</w:t>
      </w:r>
      <w:r w:rsidRPr="00076E70">
        <w:rPr>
          <w:rFonts w:cs="Arial"/>
          <w:szCs w:val="24"/>
        </w:rPr>
        <w:t>, relatore</w:t>
      </w:r>
    </w:p>
    <w:p w:rsidR="008E50E2" w:rsidRDefault="002F1A2B" w:rsidP="002F1A2B">
      <w:pPr>
        <w:rPr>
          <w:rFonts w:cs="Arial"/>
        </w:rPr>
      </w:pPr>
      <w:bookmarkStart w:id="10" w:name="OLE_LINK1"/>
      <w:bookmarkStart w:id="11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Bang - </w:t>
      </w:r>
    </w:p>
    <w:p w:rsidR="008E50E2" w:rsidRDefault="002F1A2B" w:rsidP="002F1A2B">
      <w:pPr>
        <w:rPr>
          <w:rFonts w:cs="Arial"/>
        </w:rPr>
      </w:pPr>
      <w:r>
        <w:rPr>
          <w:rFonts w:cs="Arial"/>
        </w:rPr>
        <w:t xml:space="preserve">Bignasca - Caprara - Caverzasio - Dadò - </w:t>
      </w:r>
    </w:p>
    <w:p w:rsidR="008E50E2" w:rsidRDefault="002F1A2B" w:rsidP="002F1A2B">
      <w:pPr>
        <w:rPr>
          <w:rFonts w:cs="Arial"/>
        </w:rPr>
      </w:pPr>
      <w:r>
        <w:rPr>
          <w:rFonts w:cs="Arial"/>
        </w:rPr>
        <w:t xml:space="preserve">De Rosa - Denti - Durisch - Farinelli - </w:t>
      </w:r>
    </w:p>
    <w:p w:rsidR="002F1A2B" w:rsidRDefault="002F1A2B" w:rsidP="002F1A2B">
      <w:pPr>
        <w:rPr>
          <w:rFonts w:cs="Arial"/>
        </w:rPr>
      </w:pPr>
      <w:r>
        <w:rPr>
          <w:rFonts w:cs="Arial"/>
        </w:rPr>
        <w:t>Garobbio - Garzoli - Guerra - Pini</w:t>
      </w:r>
    </w:p>
    <w:bookmarkEnd w:id="10"/>
    <w:bookmarkEnd w:id="11"/>
    <w:p w:rsidR="002F1A2B" w:rsidRPr="00076E70" w:rsidRDefault="002F1A2B" w:rsidP="002F1A2B">
      <w:pPr>
        <w:rPr>
          <w:rFonts w:cs="Arial"/>
          <w:szCs w:val="24"/>
        </w:rPr>
      </w:pPr>
    </w:p>
    <w:p w:rsidR="002F1A2B" w:rsidRPr="005B3E0C" w:rsidRDefault="002F1A2B" w:rsidP="002F1A2B">
      <w:pPr>
        <w:rPr>
          <w:szCs w:val="24"/>
        </w:rPr>
      </w:pPr>
    </w:p>
    <w:sectPr w:rsidR="002F1A2B" w:rsidRPr="005B3E0C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F5" w:rsidRDefault="007408F5" w:rsidP="008E77C6">
      <w:r>
        <w:separator/>
      </w:r>
    </w:p>
  </w:endnote>
  <w:endnote w:type="continuationSeparator" w:id="0">
    <w:p w:rsidR="007408F5" w:rsidRDefault="007408F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A79D2" w:rsidRPr="006A79D2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F5" w:rsidRDefault="007408F5" w:rsidP="008E77C6">
      <w:r>
        <w:separator/>
      </w:r>
    </w:p>
  </w:footnote>
  <w:footnote w:type="continuationSeparator" w:id="0">
    <w:p w:rsidR="007408F5" w:rsidRDefault="007408F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6E4"/>
    <w:multiLevelType w:val="hybridMultilevel"/>
    <w:tmpl w:val="15721F78"/>
    <w:lvl w:ilvl="0" w:tplc="69EABE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0257F"/>
    <w:multiLevelType w:val="multilevel"/>
    <w:tmpl w:val="212E43F0"/>
    <w:lvl w:ilvl="0">
      <w:start w:val="1"/>
      <w:numFmt w:val="decimal"/>
      <w:pStyle w:val="articolonumeroautomatico"/>
      <w:suff w:val="nothing"/>
      <w:lvlText w:val="Articolo %1"/>
      <w:lvlJc w:val="left"/>
      <w:pPr>
        <w:ind w:left="0" w:firstLine="0"/>
      </w:pPr>
      <w:rPr>
        <w:rFonts w:hint="default"/>
        <w:b/>
        <w:sz w:val="22"/>
        <w:szCs w:val="22"/>
        <w:u w:val="single"/>
        <w:lang w:val="en-GB"/>
      </w:rPr>
    </w:lvl>
    <w:lvl w:ilvl="1">
      <w:start w:val="1"/>
      <w:numFmt w:val="decimalZero"/>
      <w:isLgl/>
      <w:lvlText w:val="Sezione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33D23951"/>
    <w:multiLevelType w:val="hybridMultilevel"/>
    <w:tmpl w:val="400A1A1E"/>
    <w:lvl w:ilvl="0" w:tplc="3C9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5CE0"/>
    <w:multiLevelType w:val="hybridMultilevel"/>
    <w:tmpl w:val="80DA9CF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2F1A2B"/>
    <w:rsid w:val="0052425A"/>
    <w:rsid w:val="00586A8D"/>
    <w:rsid w:val="006A79D2"/>
    <w:rsid w:val="006D7A3B"/>
    <w:rsid w:val="007352D3"/>
    <w:rsid w:val="007408F5"/>
    <w:rsid w:val="00766107"/>
    <w:rsid w:val="007B5462"/>
    <w:rsid w:val="008034BD"/>
    <w:rsid w:val="00876352"/>
    <w:rsid w:val="008B2655"/>
    <w:rsid w:val="008B4137"/>
    <w:rsid w:val="008C767A"/>
    <w:rsid w:val="008E50E2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2F1A2B"/>
  </w:style>
  <w:style w:type="character" w:styleId="Rimandonotaapidipagina">
    <w:name w:val="footnote reference"/>
    <w:uiPriority w:val="99"/>
    <w:rsid w:val="002F1A2B"/>
    <w:rPr>
      <w:vertAlign w:val="superscript"/>
    </w:rPr>
  </w:style>
  <w:style w:type="paragraph" w:customStyle="1" w:styleId="articolonumeroautomatico">
    <w:name w:val="articolo numero automatico"/>
    <w:basedOn w:val="Normale"/>
    <w:next w:val="Normale"/>
    <w:rsid w:val="002F1A2B"/>
    <w:pPr>
      <w:numPr>
        <w:numId w:val="5"/>
      </w:numPr>
      <w:spacing w:after="120"/>
    </w:pPr>
    <w:rPr>
      <w:rFonts w:eastAsia="Times New Roman" w:cs="Times New Roman"/>
      <w:b/>
      <w:noProof/>
      <w:szCs w:val="20"/>
      <w:u w:val="single"/>
      <w:lang w:val="en-GB"/>
    </w:rPr>
  </w:style>
  <w:style w:type="paragraph" w:customStyle="1" w:styleId="marginale1A">
    <w:name w:val="marginale (1)  A."/>
    <w:basedOn w:val="Normale"/>
    <w:next w:val="Normale"/>
    <w:rsid w:val="002F1A2B"/>
    <w:pPr>
      <w:ind w:left="284" w:hanging="284"/>
      <w:jc w:val="left"/>
    </w:pPr>
    <w:rPr>
      <w:rFonts w:eastAsia="Times New Roman" w:cs="Times New Roman"/>
      <w:b/>
      <w:noProof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2F1A2B"/>
  </w:style>
  <w:style w:type="character" w:styleId="Rimandonotaapidipagina">
    <w:name w:val="footnote reference"/>
    <w:uiPriority w:val="99"/>
    <w:rsid w:val="002F1A2B"/>
    <w:rPr>
      <w:vertAlign w:val="superscript"/>
    </w:rPr>
  </w:style>
  <w:style w:type="paragraph" w:customStyle="1" w:styleId="articolonumeroautomatico">
    <w:name w:val="articolo numero automatico"/>
    <w:basedOn w:val="Normale"/>
    <w:next w:val="Normale"/>
    <w:rsid w:val="002F1A2B"/>
    <w:pPr>
      <w:numPr>
        <w:numId w:val="5"/>
      </w:numPr>
      <w:spacing w:after="120"/>
    </w:pPr>
    <w:rPr>
      <w:rFonts w:eastAsia="Times New Roman" w:cs="Times New Roman"/>
      <w:b/>
      <w:noProof/>
      <w:szCs w:val="20"/>
      <w:u w:val="single"/>
      <w:lang w:val="en-GB"/>
    </w:rPr>
  </w:style>
  <w:style w:type="paragraph" w:customStyle="1" w:styleId="marginale1A">
    <w:name w:val="marginale (1)  A."/>
    <w:basedOn w:val="Normale"/>
    <w:next w:val="Normale"/>
    <w:rsid w:val="002F1A2B"/>
    <w:pPr>
      <w:ind w:left="284" w:hanging="284"/>
      <w:jc w:val="left"/>
    </w:pPr>
    <w:rPr>
      <w:rFonts w:eastAsia="Times New Roman" w:cs="Times New Roman"/>
      <w:b/>
      <w:noProof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3D80-3A57-4E6B-BFE1-C99CCB7F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2019-02-22T16:56:00Z</cp:lastPrinted>
  <dcterms:created xsi:type="dcterms:W3CDTF">2019-02-22T14:53:00Z</dcterms:created>
  <dcterms:modified xsi:type="dcterms:W3CDTF">2019-02-27T09:00:00Z</dcterms:modified>
</cp:coreProperties>
</file>