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8D2045" w:rsidRDefault="007029BC" w:rsidP="008D2045">
      <w:pPr>
        <w:tabs>
          <w:tab w:val="left" w:pos="2410"/>
        </w:tabs>
        <w:spacing w:before="80"/>
        <w:rPr>
          <w:sz w:val="56"/>
          <w:szCs w:val="56"/>
        </w:rPr>
      </w:pPr>
      <w:r w:rsidRPr="007029BC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8D2045">
        <w:rPr>
          <w:rFonts w:ascii="Gill Sans MT" w:hAnsi="Gill Sans MT"/>
          <w:b/>
          <w:sz w:val="52"/>
          <w:szCs w:val="52"/>
        </w:rPr>
        <w:t xml:space="preserve">di </w:t>
      </w:r>
      <w:r w:rsidR="00B643AD" w:rsidRPr="008D2045">
        <w:rPr>
          <w:rFonts w:ascii="Gill Sans MT" w:hAnsi="Gill Sans MT"/>
          <w:b/>
          <w:sz w:val="56"/>
          <w:szCs w:val="56"/>
        </w:rPr>
        <w:t>maggioranza</w:t>
      </w:r>
    </w:p>
    <w:p w:rsidR="00E93FB0" w:rsidRDefault="00E93FB0" w:rsidP="00076E70"/>
    <w:p w:rsidR="008B4137" w:rsidRDefault="008B4137">
      <w:pPr>
        <w:rPr>
          <w:rFonts w:cs="Arial"/>
          <w:szCs w:val="24"/>
        </w:rPr>
      </w:pPr>
      <w:bookmarkStart w:id="0" w:name="_GoBack"/>
      <w:bookmarkEnd w:id="0"/>
    </w:p>
    <w:p w:rsidR="00260C8C" w:rsidRDefault="00E93FB0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</w:t>
      </w:r>
      <w:r w:rsidR="00A5351D">
        <w:rPr>
          <w:rFonts w:cs="Arial"/>
          <w:b/>
          <w:sz w:val="32"/>
          <w:szCs w:val="32"/>
        </w:rPr>
        <w:t>623</w:t>
      </w:r>
      <w:r w:rsidR="00260C8C" w:rsidRPr="008B4137">
        <w:rPr>
          <w:rFonts w:cs="Arial"/>
          <w:b/>
          <w:sz w:val="32"/>
          <w:szCs w:val="32"/>
        </w:rPr>
        <w:t xml:space="preserve"> </w:t>
      </w:r>
      <w:r w:rsidR="00260C8C" w:rsidRPr="001D7821">
        <w:rPr>
          <w:rFonts w:cs="Arial"/>
          <w:b/>
          <w:sz w:val="32"/>
          <w:szCs w:val="32"/>
        </w:rPr>
        <w:t>R</w:t>
      </w:r>
      <w:r w:rsidR="001D7821">
        <w:rPr>
          <w:rFonts w:cs="Arial"/>
          <w:b/>
          <w:sz w:val="32"/>
          <w:szCs w:val="32"/>
        </w:rPr>
        <w:t>1</w:t>
      </w:r>
      <w:r w:rsidR="00260C8C" w:rsidRPr="008B4137">
        <w:rPr>
          <w:rFonts w:cs="Arial"/>
          <w:sz w:val="28"/>
          <w:szCs w:val="28"/>
        </w:rPr>
        <w:tab/>
      </w:r>
      <w:r w:rsidR="00B643AD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 xml:space="preserve"> febbraio 2019</w:t>
      </w:r>
      <w:r w:rsidR="00260C8C" w:rsidRPr="008B4137">
        <w:rPr>
          <w:rFonts w:cs="Arial"/>
          <w:sz w:val="28"/>
          <w:szCs w:val="28"/>
        </w:rPr>
        <w:tab/>
      </w:r>
      <w:r w:rsidR="000D0968">
        <w:rPr>
          <w:sz w:val="28"/>
        </w:rPr>
        <w:t>ISTITUZIONI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A5351D">
        <w:rPr>
          <w:rFonts w:cs="Arial"/>
          <w:b/>
          <w:sz w:val="28"/>
          <w:szCs w:val="28"/>
        </w:rPr>
        <w:t>speciale Costituzione e diritti politici</w:t>
      </w:r>
    </w:p>
    <w:p w:rsidR="00E93FB0" w:rsidRDefault="00A5351D" w:rsidP="00E765A9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sull'</w:t>
      </w:r>
      <w:r w:rsidR="00E93FB0" w:rsidRPr="00E93FB0">
        <w:rPr>
          <w:b/>
          <w:sz w:val="28"/>
          <w:szCs w:val="28"/>
        </w:rPr>
        <w:t xml:space="preserve">iniziativa parlamentare </w:t>
      </w:r>
      <w:r>
        <w:rPr>
          <w:b/>
          <w:sz w:val="28"/>
          <w:szCs w:val="28"/>
        </w:rPr>
        <w:t>1</w:t>
      </w:r>
      <w:r w:rsidR="00E93FB0" w:rsidRPr="00E93FB0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febbraio </w:t>
      </w:r>
      <w:r w:rsidR="00E93FB0" w:rsidRPr="00E93FB0">
        <w:rPr>
          <w:b/>
          <w:sz w:val="28"/>
          <w:szCs w:val="28"/>
        </w:rPr>
        <w:t xml:space="preserve">2018 presentata nella forma elaborata da </w:t>
      </w:r>
      <w:r>
        <w:rPr>
          <w:b/>
          <w:sz w:val="28"/>
          <w:szCs w:val="28"/>
        </w:rPr>
        <w:t>Daniele Caverzasio e cofirmatari</w:t>
      </w:r>
      <w:r w:rsidR="00E93FB0" w:rsidRPr="00E93FB0">
        <w:rPr>
          <w:b/>
          <w:sz w:val="28"/>
          <w:szCs w:val="28"/>
        </w:rPr>
        <w:t xml:space="preserve"> </w:t>
      </w:r>
      <w:r w:rsidR="008D2045">
        <w:rPr>
          <w:b/>
          <w:sz w:val="28"/>
          <w:szCs w:val="28"/>
        </w:rPr>
        <w:t>per la m</w:t>
      </w:r>
      <w:r w:rsidRPr="00A5351D">
        <w:rPr>
          <w:b/>
          <w:sz w:val="28"/>
          <w:szCs w:val="28"/>
        </w:rPr>
        <w:t>odifica degli art. 35 e 3</w:t>
      </w:r>
      <w:r>
        <w:rPr>
          <w:b/>
          <w:sz w:val="28"/>
          <w:szCs w:val="28"/>
        </w:rPr>
        <w:t xml:space="preserve">6 della Costituzione cantonale: </w:t>
      </w:r>
      <w:r w:rsidRPr="00A5351D">
        <w:rPr>
          <w:b/>
          <w:sz w:val="28"/>
          <w:szCs w:val="28"/>
        </w:rPr>
        <w:t>Procuratore generale</w:t>
      </w:r>
      <w:r>
        <w:rPr>
          <w:b/>
          <w:sz w:val="28"/>
          <w:szCs w:val="28"/>
        </w:rPr>
        <w:t>,</w:t>
      </w:r>
      <w:r w:rsidRPr="00A5351D">
        <w:rPr>
          <w:b/>
          <w:sz w:val="28"/>
          <w:szCs w:val="28"/>
        </w:rPr>
        <w:t xml:space="preserve"> che sia il popolo a decidere</w:t>
      </w:r>
      <w:r>
        <w:rPr>
          <w:b/>
          <w:sz w:val="28"/>
          <w:szCs w:val="28"/>
        </w:rPr>
        <w:t>!"</w:t>
      </w:r>
    </w:p>
    <w:p w:rsidR="00260C8C" w:rsidRPr="00E93FB0" w:rsidRDefault="00E93FB0" w:rsidP="00E93FB0">
      <w:pPr>
        <w:spacing w:before="100"/>
        <w:rPr>
          <w:rFonts w:cs="Arial"/>
          <w:b/>
          <w:sz w:val="26"/>
          <w:szCs w:val="26"/>
        </w:rPr>
      </w:pPr>
      <w:r w:rsidRPr="00E93FB0">
        <w:rPr>
          <w:rFonts w:cs="Arial"/>
          <w:b/>
          <w:sz w:val="26"/>
          <w:szCs w:val="26"/>
        </w:rPr>
        <w:t>(v.</w:t>
      </w:r>
      <w:r w:rsidR="00E765A9" w:rsidRPr="00E93FB0">
        <w:rPr>
          <w:rFonts w:cs="Arial"/>
          <w:b/>
          <w:sz w:val="26"/>
          <w:szCs w:val="26"/>
        </w:rPr>
        <w:t xml:space="preserve"> messaggio</w:t>
      </w:r>
      <w:r w:rsidR="007352D3" w:rsidRPr="00E93FB0">
        <w:rPr>
          <w:rFonts w:cs="Arial"/>
          <w:b/>
          <w:sz w:val="26"/>
          <w:szCs w:val="26"/>
        </w:rPr>
        <w:t xml:space="preserve"> </w:t>
      </w:r>
      <w:r w:rsidRPr="00E93FB0">
        <w:rPr>
          <w:rFonts w:cs="Arial"/>
          <w:b/>
          <w:sz w:val="26"/>
          <w:szCs w:val="26"/>
        </w:rPr>
        <w:t xml:space="preserve">16 </w:t>
      </w:r>
      <w:r w:rsidR="00A5351D">
        <w:rPr>
          <w:rFonts w:cs="Arial"/>
          <w:b/>
          <w:sz w:val="26"/>
          <w:szCs w:val="26"/>
        </w:rPr>
        <w:t>gennaio 2019</w:t>
      </w:r>
      <w:r w:rsidRPr="00E93FB0">
        <w:rPr>
          <w:rFonts w:cs="Arial"/>
          <w:b/>
          <w:sz w:val="26"/>
          <w:szCs w:val="26"/>
        </w:rPr>
        <w:t xml:space="preserve"> n. 7</w:t>
      </w:r>
      <w:r w:rsidR="00A5351D">
        <w:rPr>
          <w:rFonts w:cs="Arial"/>
          <w:b/>
          <w:sz w:val="26"/>
          <w:szCs w:val="26"/>
        </w:rPr>
        <w:t>623</w:t>
      </w:r>
      <w:r w:rsidRPr="00E93FB0">
        <w:rPr>
          <w:rFonts w:cs="Arial"/>
          <w:b/>
          <w:sz w:val="26"/>
          <w:szCs w:val="26"/>
        </w:rPr>
        <w:t>)</w:t>
      </w:r>
    </w:p>
    <w:p w:rsidR="0020093F" w:rsidRDefault="0020093F" w:rsidP="00E93FB0"/>
    <w:p w:rsidR="00116769" w:rsidRDefault="00116769" w:rsidP="00E93FB0"/>
    <w:p w:rsidR="00E93FB0" w:rsidRDefault="00E93FB0" w:rsidP="00E93FB0"/>
    <w:p w:rsidR="00116769" w:rsidRPr="00965351" w:rsidRDefault="002948ED" w:rsidP="00116769">
      <w:pPr>
        <w:pStyle w:val="Titolo1"/>
      </w:pPr>
      <w:r>
        <w:t>LA RICHIESTA DELL'INIZIATIVA</w:t>
      </w:r>
    </w:p>
    <w:p w:rsidR="0020093F" w:rsidRDefault="00C85BB0" w:rsidP="00F03605">
      <w:pPr>
        <w:spacing w:before="120"/>
      </w:pPr>
      <w:r>
        <w:rPr>
          <w:lang w:val="it-IT"/>
        </w:rPr>
        <w:t>L'iniziativa parlamentare elaborata di Daniele Caverzasio e cofirmatari</w:t>
      </w:r>
      <w:r w:rsidR="00F03605">
        <w:rPr>
          <w:lang w:val="it-IT"/>
        </w:rPr>
        <w:t>,</w:t>
      </w:r>
      <w:r>
        <w:rPr>
          <w:lang w:val="it-IT"/>
        </w:rPr>
        <w:t xml:space="preserve"> presentata i</w:t>
      </w:r>
      <w:r>
        <w:t>l medesimo giorno dell'elezione a Procuratore generale di Andrea Pagani</w:t>
      </w:r>
      <w:r w:rsidR="00F03605">
        <w:t xml:space="preserve">, chiede di </w:t>
      </w:r>
      <w:r w:rsidR="00F03605" w:rsidRPr="00F03605">
        <w:t xml:space="preserve">attribuire </w:t>
      </w:r>
      <w:r w:rsidR="00F03605">
        <w:t xml:space="preserve">l'elezione del Procuratore generale non più </w:t>
      </w:r>
      <w:r w:rsidR="009C6E4B">
        <w:t xml:space="preserve">al </w:t>
      </w:r>
      <w:r w:rsidR="00F03605">
        <w:t xml:space="preserve">Gran Consiglio, ma al </w:t>
      </w:r>
      <w:r w:rsidR="006E483D">
        <w:t xml:space="preserve">popolo. In tal senso </w:t>
      </w:r>
      <w:r w:rsidR="009C6E4B">
        <w:t>viene proposta</w:t>
      </w:r>
      <w:r w:rsidR="006E483D">
        <w:t xml:space="preserve"> la seguente modifica degli artt. 35</w:t>
      </w:r>
      <w:r w:rsidR="005C4146">
        <w:t xml:space="preserve"> cpv. 1</w:t>
      </w:r>
      <w:r w:rsidR="006E483D">
        <w:t xml:space="preserve"> e 36</w:t>
      </w:r>
      <w:r w:rsidR="005C4146">
        <w:t xml:space="preserve"> cpv. 1</w:t>
      </w:r>
      <w:r w:rsidR="006E483D">
        <w:t xml:space="preserve"> della Costituzione cantonale:</w:t>
      </w:r>
    </w:p>
    <w:p w:rsidR="006E483D" w:rsidRPr="008D2045" w:rsidRDefault="005C4146" w:rsidP="000D45CA">
      <w:pPr>
        <w:spacing w:before="120"/>
        <w:ind w:left="567" w:right="567"/>
        <w:rPr>
          <w:b/>
          <w:i/>
          <w:sz w:val="22"/>
        </w:rPr>
      </w:pPr>
      <w:r w:rsidRPr="008D2045">
        <w:rPr>
          <w:b/>
          <w:i/>
          <w:sz w:val="22"/>
        </w:rPr>
        <w:t>Art. 35 Elezioni popolari</w:t>
      </w:r>
    </w:p>
    <w:p w:rsidR="005C4146" w:rsidRPr="002B1C18" w:rsidRDefault="005C4146" w:rsidP="008D2045">
      <w:pPr>
        <w:spacing w:before="120"/>
        <w:ind w:left="567" w:right="567"/>
        <w:rPr>
          <w:i/>
          <w:sz w:val="22"/>
        </w:rPr>
      </w:pPr>
      <w:r w:rsidRPr="002B1C18">
        <w:rPr>
          <w:i/>
          <w:sz w:val="22"/>
          <w:vertAlign w:val="superscript"/>
        </w:rPr>
        <w:t>1</w:t>
      </w:r>
      <w:r w:rsidRPr="002B1C18">
        <w:rPr>
          <w:i/>
          <w:sz w:val="22"/>
        </w:rPr>
        <w:t>Sono eletti dal popolo in un unico circondario costituito dall'intero Cantone:</w:t>
      </w:r>
    </w:p>
    <w:p w:rsidR="005C4146" w:rsidRPr="002B1C18" w:rsidRDefault="005C4146" w:rsidP="008D2045">
      <w:pPr>
        <w:tabs>
          <w:tab w:val="left" w:pos="993"/>
        </w:tabs>
        <w:spacing w:before="40"/>
        <w:ind w:left="567" w:right="567"/>
        <w:rPr>
          <w:i/>
          <w:sz w:val="22"/>
        </w:rPr>
      </w:pPr>
      <w:r w:rsidRPr="002B1C18">
        <w:rPr>
          <w:i/>
          <w:sz w:val="22"/>
        </w:rPr>
        <w:t>a)</w:t>
      </w:r>
      <w:r w:rsidRPr="002B1C18">
        <w:rPr>
          <w:i/>
          <w:sz w:val="22"/>
        </w:rPr>
        <w:tab/>
        <w:t>la Costituente;</w:t>
      </w:r>
    </w:p>
    <w:p w:rsidR="005C4146" w:rsidRPr="002B1C18" w:rsidRDefault="005C4146" w:rsidP="005C4146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b)</w:t>
      </w:r>
      <w:r w:rsidRPr="002B1C18">
        <w:rPr>
          <w:i/>
          <w:sz w:val="22"/>
        </w:rPr>
        <w:tab/>
        <w:t>il Gran Consiglio;</w:t>
      </w:r>
    </w:p>
    <w:p w:rsidR="005C4146" w:rsidRPr="002B1C18" w:rsidRDefault="005C4146" w:rsidP="005C4146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c)</w:t>
      </w:r>
      <w:r w:rsidRPr="002B1C18">
        <w:rPr>
          <w:i/>
          <w:sz w:val="22"/>
        </w:rPr>
        <w:tab/>
        <w:t>il Consiglio di Stato;</w:t>
      </w:r>
    </w:p>
    <w:p w:rsidR="005C4146" w:rsidRPr="002B1C18" w:rsidRDefault="005C4146" w:rsidP="005C4146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d)</w:t>
      </w:r>
      <w:r w:rsidRPr="002B1C18">
        <w:rPr>
          <w:i/>
          <w:sz w:val="22"/>
        </w:rPr>
        <w:tab/>
        <w:t>i deputati al Consiglio degli Stati;</w:t>
      </w:r>
    </w:p>
    <w:p w:rsidR="005C4146" w:rsidRPr="002B1C18" w:rsidRDefault="005C4146" w:rsidP="005C4146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e)</w:t>
      </w:r>
      <w:r w:rsidRPr="002B1C18">
        <w:rPr>
          <w:i/>
          <w:sz w:val="22"/>
        </w:rPr>
        <w:tab/>
        <w:t>i deputati al Consiglio nazionale;</w:t>
      </w:r>
    </w:p>
    <w:p w:rsidR="005C4146" w:rsidRDefault="005C4146" w:rsidP="005C4146">
      <w:pPr>
        <w:tabs>
          <w:tab w:val="left" w:pos="993"/>
        </w:tabs>
        <w:ind w:left="567" w:right="567"/>
        <w:rPr>
          <w:b/>
          <w:i/>
          <w:sz w:val="22"/>
        </w:rPr>
      </w:pPr>
      <w:r w:rsidRPr="002B1C18">
        <w:rPr>
          <w:b/>
          <w:i/>
          <w:sz w:val="22"/>
        </w:rPr>
        <w:t>g)</w:t>
      </w:r>
      <w:r w:rsidRPr="002B1C18">
        <w:rPr>
          <w:b/>
          <w:i/>
          <w:sz w:val="22"/>
        </w:rPr>
        <w:tab/>
        <w:t>il Procuratore generale.</w:t>
      </w:r>
    </w:p>
    <w:p w:rsidR="008D2045" w:rsidRPr="002B1C18" w:rsidRDefault="008D2045" w:rsidP="005C4146">
      <w:pPr>
        <w:tabs>
          <w:tab w:val="left" w:pos="993"/>
        </w:tabs>
        <w:ind w:left="567" w:right="567"/>
        <w:rPr>
          <w:b/>
          <w:i/>
          <w:sz w:val="22"/>
        </w:rPr>
      </w:pPr>
    </w:p>
    <w:p w:rsidR="000D45CA" w:rsidRPr="008D2045" w:rsidRDefault="000D45CA" w:rsidP="008D2045">
      <w:pPr>
        <w:ind w:left="567" w:right="567"/>
        <w:rPr>
          <w:b/>
          <w:i/>
          <w:sz w:val="22"/>
        </w:rPr>
      </w:pPr>
      <w:r w:rsidRPr="008D2045">
        <w:rPr>
          <w:b/>
          <w:i/>
          <w:sz w:val="22"/>
        </w:rPr>
        <w:t>Art. 36 Elezioni di competenza del Gran Consiglio</w:t>
      </w:r>
    </w:p>
    <w:p w:rsidR="000D45CA" w:rsidRPr="002B1C18" w:rsidRDefault="000D45CA" w:rsidP="008D2045">
      <w:pPr>
        <w:spacing w:before="120"/>
        <w:ind w:left="567" w:right="567"/>
        <w:rPr>
          <w:i/>
          <w:sz w:val="22"/>
        </w:rPr>
      </w:pPr>
      <w:r w:rsidRPr="002B1C18">
        <w:rPr>
          <w:i/>
          <w:sz w:val="22"/>
          <w:vertAlign w:val="superscript"/>
        </w:rPr>
        <w:t>1</w:t>
      </w:r>
      <w:r w:rsidRPr="002B1C18">
        <w:rPr>
          <w:i/>
          <w:sz w:val="22"/>
        </w:rPr>
        <w:t>Sono eletti dal Gran Consiglio:</w:t>
      </w:r>
    </w:p>
    <w:p w:rsidR="000D45CA" w:rsidRPr="002B1C18" w:rsidRDefault="000D45CA" w:rsidP="008D2045">
      <w:pPr>
        <w:tabs>
          <w:tab w:val="left" w:pos="993"/>
        </w:tabs>
        <w:spacing w:before="40"/>
        <w:ind w:left="567" w:right="567"/>
        <w:rPr>
          <w:i/>
          <w:sz w:val="22"/>
        </w:rPr>
      </w:pPr>
      <w:r w:rsidRPr="002B1C18">
        <w:rPr>
          <w:i/>
          <w:sz w:val="22"/>
        </w:rPr>
        <w:t>a)</w:t>
      </w:r>
      <w:r w:rsidRPr="002B1C18">
        <w:rPr>
          <w:i/>
          <w:sz w:val="22"/>
        </w:rPr>
        <w:tab/>
        <w:t>i giudici del Tribunale d'appello;</w:t>
      </w:r>
    </w:p>
    <w:p w:rsidR="000D45CA" w:rsidRPr="002B1C18" w:rsidRDefault="000D45CA" w:rsidP="000D45CA">
      <w:pPr>
        <w:tabs>
          <w:tab w:val="left" w:pos="993"/>
        </w:tabs>
        <w:ind w:left="993" w:right="567" w:hanging="426"/>
        <w:rPr>
          <w:i/>
          <w:sz w:val="22"/>
        </w:rPr>
      </w:pPr>
      <w:r w:rsidRPr="002B1C18">
        <w:rPr>
          <w:i/>
          <w:sz w:val="22"/>
        </w:rPr>
        <w:t>b)</w:t>
      </w:r>
      <w:r w:rsidRPr="002B1C18">
        <w:rPr>
          <w:i/>
          <w:sz w:val="22"/>
        </w:rPr>
        <w:tab/>
        <w:t>il Presidente dei Giudici dell'istruzione e dell'arresto e i Giudici dell'istruzione e dell'arresto;</w:t>
      </w:r>
    </w:p>
    <w:p w:rsidR="000D45CA" w:rsidRPr="002B1C18" w:rsidRDefault="000D45CA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c)</w:t>
      </w:r>
      <w:r w:rsidRPr="002B1C18">
        <w:rPr>
          <w:i/>
          <w:sz w:val="22"/>
        </w:rPr>
        <w:tab/>
      </w:r>
      <w:r w:rsidRPr="002B1C18">
        <w:rPr>
          <w:b/>
          <w:i/>
          <w:strike/>
          <w:sz w:val="22"/>
        </w:rPr>
        <w:t>il Procuratore generale e</w:t>
      </w:r>
      <w:r w:rsidRPr="002B1C18">
        <w:rPr>
          <w:i/>
          <w:sz w:val="22"/>
        </w:rPr>
        <w:t xml:space="preserve"> i Procuratori pubblici;</w:t>
      </w:r>
    </w:p>
    <w:p w:rsidR="000D45CA" w:rsidRPr="002B1C18" w:rsidRDefault="000D45CA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d)</w:t>
      </w:r>
      <w:r w:rsidRPr="002B1C18">
        <w:rPr>
          <w:i/>
          <w:sz w:val="22"/>
        </w:rPr>
        <w:tab/>
        <w:t>i Pretori;</w:t>
      </w:r>
    </w:p>
    <w:p w:rsidR="000D45CA" w:rsidRPr="002B1C18" w:rsidRDefault="000D45CA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e)</w:t>
      </w:r>
      <w:r w:rsidRPr="002B1C18">
        <w:rPr>
          <w:i/>
          <w:sz w:val="22"/>
        </w:rPr>
        <w:tab/>
        <w:t>i Presidenti e i membri dei Tribunali delle espropriazioni;</w:t>
      </w:r>
    </w:p>
    <w:p w:rsidR="000D45CA" w:rsidRPr="002B1C18" w:rsidRDefault="000D45CA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f)</w:t>
      </w:r>
      <w:r w:rsidRPr="002B1C18">
        <w:rPr>
          <w:i/>
          <w:sz w:val="22"/>
        </w:rPr>
        <w:tab/>
        <w:t>il Magistrato dei minorenni;</w:t>
      </w:r>
    </w:p>
    <w:p w:rsidR="000D45CA" w:rsidRPr="002B1C18" w:rsidRDefault="009C6E4B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g)</w:t>
      </w:r>
      <w:r w:rsidRPr="002B1C18">
        <w:rPr>
          <w:i/>
          <w:sz w:val="22"/>
        </w:rPr>
        <w:tab/>
      </w:r>
      <w:r w:rsidR="000D45CA" w:rsidRPr="002B1C18">
        <w:rPr>
          <w:i/>
          <w:sz w:val="22"/>
        </w:rPr>
        <w:t>i membri di sua competenza del Consiglio della magistratura;</w:t>
      </w:r>
    </w:p>
    <w:p w:rsidR="0020093F" w:rsidRPr="002B1C18" w:rsidRDefault="009C6E4B" w:rsidP="000D45CA">
      <w:pPr>
        <w:tabs>
          <w:tab w:val="left" w:pos="993"/>
        </w:tabs>
        <w:ind w:left="567" w:right="567"/>
        <w:rPr>
          <w:i/>
          <w:sz w:val="22"/>
        </w:rPr>
      </w:pPr>
      <w:r w:rsidRPr="002B1C18">
        <w:rPr>
          <w:i/>
          <w:sz w:val="22"/>
        </w:rPr>
        <w:t>h)</w:t>
      </w:r>
      <w:r w:rsidRPr="002B1C18">
        <w:rPr>
          <w:i/>
          <w:sz w:val="22"/>
        </w:rPr>
        <w:tab/>
      </w:r>
      <w:r w:rsidR="000D45CA" w:rsidRPr="002B1C18">
        <w:rPr>
          <w:i/>
          <w:sz w:val="22"/>
        </w:rPr>
        <w:t>i giurati cantonali.</w:t>
      </w:r>
    </w:p>
    <w:p w:rsidR="005809E8" w:rsidRDefault="005809E8" w:rsidP="005809E8"/>
    <w:p w:rsidR="009C6E4B" w:rsidRDefault="009C6E4B" w:rsidP="005809E8">
      <w:r>
        <w:t xml:space="preserve">Gli </w:t>
      </w:r>
      <w:proofErr w:type="spellStart"/>
      <w:r>
        <w:t>iniziati</w:t>
      </w:r>
      <w:r w:rsidR="00E518B2">
        <w:t>visti</w:t>
      </w:r>
      <w:proofErr w:type="spellEnd"/>
      <w:r w:rsidR="00E518B2">
        <w:t xml:space="preserve"> ritengono che</w:t>
      </w:r>
      <w:r>
        <w:t xml:space="preserve"> ogni elezione </w:t>
      </w:r>
      <w:r w:rsidR="00E518B2">
        <w:t xml:space="preserve">di magistrati sia costellata da svariate polemiche, con la </w:t>
      </w:r>
      <w:r w:rsidR="00E518B2">
        <w:rPr>
          <w:rFonts w:cs="Arial"/>
        </w:rPr>
        <w:t>«</w:t>
      </w:r>
      <w:r w:rsidR="00E518B2" w:rsidRPr="00E518B2">
        <w:rPr>
          <w:rFonts w:cs="Arial"/>
          <w:i/>
        </w:rPr>
        <w:t>corsa dei partiti per tentare di accaparrarsi una sedia in più</w:t>
      </w:r>
      <w:r w:rsidR="00E518B2">
        <w:rPr>
          <w:rFonts w:cs="Arial"/>
        </w:rPr>
        <w:t>»</w:t>
      </w:r>
      <w:r w:rsidR="00F453EE">
        <w:rPr>
          <w:rFonts w:cs="Arial"/>
        </w:rPr>
        <w:t>, ciò che dà adito</w:t>
      </w:r>
      <w:r w:rsidR="0065309F">
        <w:rPr>
          <w:rFonts w:cs="Arial"/>
        </w:rPr>
        <w:t xml:space="preserve"> </w:t>
      </w:r>
      <w:r w:rsidR="0065309F" w:rsidRPr="0065309F">
        <w:rPr>
          <w:rFonts w:cs="Arial"/>
        </w:rPr>
        <w:t xml:space="preserve">ai </w:t>
      </w:r>
      <w:r w:rsidR="0065309F">
        <w:rPr>
          <w:rFonts w:cs="Arial"/>
        </w:rPr>
        <w:t>«</w:t>
      </w:r>
      <w:r w:rsidR="0065309F" w:rsidRPr="0065309F">
        <w:rPr>
          <w:rFonts w:cs="Arial"/>
          <w:i/>
        </w:rPr>
        <w:t>soliti giochi politici che mirano a eleggere una persona della propria parrocchia, rischiando spesso e volentieri di mettere in secondo piano le reali qualità del candidato</w:t>
      </w:r>
      <w:r w:rsidR="0065309F">
        <w:rPr>
          <w:rFonts w:cs="Arial"/>
        </w:rPr>
        <w:t>».</w:t>
      </w:r>
      <w:r w:rsidR="00F453EE">
        <w:rPr>
          <w:rFonts w:cs="Arial"/>
        </w:rPr>
        <w:t xml:space="preserve"> </w:t>
      </w:r>
      <w:r w:rsidR="009F14A0">
        <w:rPr>
          <w:rFonts w:cs="Arial"/>
        </w:rPr>
        <w:t>A loro dire si tratta di un modo di procedere che, oltre a non giovare «</w:t>
      </w:r>
      <w:r w:rsidR="009F14A0" w:rsidRPr="009F14A0">
        <w:rPr>
          <w:rFonts w:cs="Arial"/>
          <w:i/>
        </w:rPr>
        <w:t>al buon funzionamento della giustizia</w:t>
      </w:r>
      <w:r w:rsidR="009F14A0">
        <w:rPr>
          <w:rFonts w:cs="Arial"/>
        </w:rPr>
        <w:t>», risulta anche «</w:t>
      </w:r>
      <w:r w:rsidR="009F14A0" w:rsidRPr="00BE6CFE">
        <w:rPr>
          <w:rFonts w:cs="Arial"/>
          <w:i/>
        </w:rPr>
        <w:t>disincentivante per i candidati medesimi</w:t>
      </w:r>
      <w:r w:rsidR="009F14A0">
        <w:rPr>
          <w:rFonts w:cs="Arial"/>
        </w:rPr>
        <w:t>»</w:t>
      </w:r>
      <w:r w:rsidR="00BE6CFE">
        <w:t>.</w:t>
      </w:r>
    </w:p>
    <w:p w:rsidR="0065309F" w:rsidRPr="00D933F5" w:rsidRDefault="0065309F" w:rsidP="0011076A">
      <w:pPr>
        <w:spacing w:before="120"/>
      </w:pPr>
      <w:r>
        <w:lastRenderedPageBreak/>
        <w:t xml:space="preserve">Per questo motivo gli </w:t>
      </w:r>
      <w:proofErr w:type="spellStart"/>
      <w:r>
        <w:t>iniziativisti</w:t>
      </w:r>
      <w:proofErr w:type="spellEnd"/>
      <w:r>
        <w:t xml:space="preserve"> propongono che sia il popolo a eleggere perlomeno il Procuratore generale</w:t>
      </w:r>
      <w:r w:rsidR="00586FA3">
        <w:t xml:space="preserve">, al fine di appunto escludere, almeno in parte, le influenze partitiche. </w:t>
      </w:r>
      <w:r w:rsidR="0011076A">
        <w:t xml:space="preserve">Se il popolo è ritenuto capace di eleggere i propri rappresentanti politici e di votare su temi fondamentali, </w:t>
      </w:r>
      <w:r w:rsidR="00C51C0C">
        <w:rPr>
          <w:rFonts w:cs="Arial"/>
        </w:rPr>
        <w:t>«</w:t>
      </w:r>
      <w:r w:rsidR="0011076A" w:rsidRPr="00C51C0C">
        <w:rPr>
          <w:rFonts w:cs="Arial"/>
          <w:i/>
        </w:rPr>
        <w:t>non vi è motivo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di credere che non lo sia per eleggere il massimo rappresentante del popolo nelle cause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legali. Il popolo non solo dovrebbe essere riconosciuto sufficientemente abile in tale decisione,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ma gli dovrebbe essere anche garantita la possibilità di sentirsi rappresentato dal suo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rappresentante legale. Difatti il Procuratore generale, come ogni procuratore pubblico, altro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non è che il rappresentante degli interessi popolari davanti alla legge; ne consegue che una</w:t>
      </w:r>
      <w:r w:rsidR="00C51C0C" w:rsidRPr="00C51C0C">
        <w:rPr>
          <w:rFonts w:cs="Arial"/>
          <w:i/>
        </w:rPr>
        <w:t xml:space="preserve"> </w:t>
      </w:r>
      <w:r w:rsidR="0011076A" w:rsidRPr="00C51C0C">
        <w:rPr>
          <w:rFonts w:cs="Arial"/>
          <w:i/>
        </w:rPr>
        <w:t>sua legittimazione popolare non sia solo auspicabile ma necessaria</w:t>
      </w:r>
      <w:r w:rsidR="002B1C18">
        <w:rPr>
          <w:rFonts w:cs="Arial"/>
        </w:rPr>
        <w:t>».</w:t>
      </w:r>
    </w:p>
    <w:p w:rsidR="0020093F" w:rsidRDefault="0020093F" w:rsidP="00E93FB0"/>
    <w:p w:rsidR="00586FA3" w:rsidRDefault="00586FA3" w:rsidP="00E93FB0"/>
    <w:p w:rsidR="00586FA3" w:rsidRDefault="00586FA3" w:rsidP="00E93FB0"/>
    <w:p w:rsidR="00586FA3" w:rsidRPr="00965351" w:rsidRDefault="00586FA3" w:rsidP="00586FA3">
      <w:pPr>
        <w:pStyle w:val="Titolo1"/>
      </w:pPr>
      <w:r>
        <w:t>LA POSIZIONE DEL CONSIGLIO DI STATO</w:t>
      </w:r>
    </w:p>
    <w:p w:rsidR="00586FA3" w:rsidRDefault="00C51C0C" w:rsidP="00B44B29">
      <w:pPr>
        <w:spacing w:before="120"/>
      </w:pPr>
      <w:r>
        <w:t xml:space="preserve">Dopo aver ricordato le principali tappe storiche circa </w:t>
      </w:r>
      <w:r w:rsidR="00356852">
        <w:t xml:space="preserve">le modalità di elezione dei magistrati, il Consiglio di Stato sottolinea come di recente, più precisamente nel novembre 2014, il Gran Consiglio si </w:t>
      </w:r>
      <w:r w:rsidR="00F85178">
        <w:t>sia chiaramente espresso, affrontando alcuni atti parlamentari, contro l'elezione dei magistrati d</w:t>
      </w:r>
      <w:r w:rsidR="00E57318">
        <w:t>a parte del popolo.</w:t>
      </w:r>
    </w:p>
    <w:p w:rsidR="00586FA3" w:rsidRDefault="00E57318" w:rsidP="007C7394">
      <w:pPr>
        <w:spacing w:before="120"/>
        <w:rPr>
          <w:rFonts w:cs="Arial"/>
        </w:rPr>
      </w:pPr>
      <w:r>
        <w:t xml:space="preserve">Al di là di questo, il Consiglio di Stato </w:t>
      </w:r>
      <w:r w:rsidR="00142378">
        <w:t xml:space="preserve">reputa che l'elezione da parte del popolo dei magistrati, in primis del Procuratore generale come richiesto dall'iniziativa parlamentare in oggetto, può sì sembrare a prima vista come </w:t>
      </w:r>
      <w:r w:rsidR="00142378">
        <w:rPr>
          <w:rFonts w:cs="Arial"/>
        </w:rPr>
        <w:t>«</w:t>
      </w:r>
      <w:r w:rsidR="00F00A86" w:rsidRPr="00F00A86">
        <w:rPr>
          <w:rFonts w:cs="Arial"/>
          <w:i/>
        </w:rPr>
        <w:t>la forma più democratica di designazione</w:t>
      </w:r>
      <w:r w:rsidR="00142378">
        <w:rPr>
          <w:rFonts w:cs="Arial"/>
        </w:rPr>
        <w:t>»</w:t>
      </w:r>
      <w:r w:rsidR="00F00A86">
        <w:rPr>
          <w:rFonts w:cs="Arial"/>
        </w:rPr>
        <w:t xml:space="preserve">, ma in realtà, a suo dire, esiste il rischio di avere un numero minore di candidati, poiché </w:t>
      </w:r>
      <w:r w:rsidR="008949E5">
        <w:rPr>
          <w:rFonts w:cs="Arial"/>
        </w:rPr>
        <w:t>«</w:t>
      </w:r>
      <w:r w:rsidR="008949E5" w:rsidRPr="008949E5">
        <w:rPr>
          <w:rFonts w:cs="Arial"/>
          <w:i/>
        </w:rPr>
        <w:t>l'elezione popolare potrebbe scoraggiare alcuni dal sottoporsi al voto popolare</w:t>
      </w:r>
      <w:r w:rsidR="008949E5">
        <w:rPr>
          <w:rFonts w:cs="Arial"/>
        </w:rPr>
        <w:t xml:space="preserve">». Inoltre l'elezione popolare avrebbe altre conseguenze negative, </w:t>
      </w:r>
      <w:r w:rsidR="00703DCE">
        <w:rPr>
          <w:rFonts w:cs="Arial"/>
        </w:rPr>
        <w:t>dato che legherebbe in maniera «</w:t>
      </w:r>
      <w:r w:rsidR="00703DCE">
        <w:rPr>
          <w:rFonts w:cs="Arial"/>
          <w:i/>
        </w:rPr>
        <w:t xml:space="preserve">più forte </w:t>
      </w:r>
      <w:r w:rsidR="00703DCE" w:rsidRPr="00703DCE">
        <w:rPr>
          <w:rFonts w:cs="Arial"/>
          <w:i/>
        </w:rPr>
        <w:t>i candidati a un partito per</w:t>
      </w:r>
      <w:r w:rsidR="00703DCE">
        <w:rPr>
          <w:rFonts w:cs="Arial"/>
          <w:i/>
        </w:rPr>
        <w:t xml:space="preserve"> </w:t>
      </w:r>
      <w:r w:rsidR="00703DCE" w:rsidRPr="00703DCE">
        <w:rPr>
          <w:rFonts w:cs="Arial"/>
          <w:i/>
        </w:rPr>
        <w:t>figurare sulla sua lista e beneficiare del suo sostegno</w:t>
      </w:r>
      <w:r w:rsidR="00703DCE">
        <w:rPr>
          <w:rFonts w:cs="Arial"/>
        </w:rPr>
        <w:t xml:space="preserve">», inducendo i candidati a compiere </w:t>
      </w:r>
      <w:r w:rsidR="007C7394">
        <w:rPr>
          <w:rFonts w:cs="Arial"/>
        </w:rPr>
        <w:t>«</w:t>
      </w:r>
      <w:r w:rsidR="007C7394" w:rsidRPr="007C7394">
        <w:rPr>
          <w:rFonts w:cs="Arial"/>
          <w:i/>
        </w:rPr>
        <w:t>una campagna elettorale (senza poter in realtà proporre di veri e propri programmi elettorali)</w:t>
      </w:r>
      <w:r w:rsidR="007C7394">
        <w:rPr>
          <w:rFonts w:cs="Arial"/>
        </w:rPr>
        <w:t>»</w:t>
      </w:r>
      <w:r w:rsidR="007C7394" w:rsidRPr="007C7394">
        <w:rPr>
          <w:rFonts w:cs="Arial"/>
        </w:rPr>
        <w:t>.</w:t>
      </w:r>
      <w:r w:rsidR="007C7394">
        <w:rPr>
          <w:rFonts w:cs="Arial"/>
        </w:rPr>
        <w:t xml:space="preserve"> Del resto, continua il Consiglio di Stato, «</w:t>
      </w:r>
      <w:r w:rsidR="007C7394" w:rsidRPr="00A64753">
        <w:rPr>
          <w:rFonts w:cs="Arial"/>
          <w:i/>
        </w:rPr>
        <w:t>una campagna elettorale cui partecipano candidati già attivi nella magistratura mal si</w:t>
      </w:r>
      <w:r w:rsidR="00A64753" w:rsidRPr="00A64753">
        <w:rPr>
          <w:rFonts w:cs="Arial"/>
          <w:i/>
        </w:rPr>
        <w:t xml:space="preserve"> </w:t>
      </w:r>
      <w:r w:rsidR="007C7394" w:rsidRPr="00A64753">
        <w:rPr>
          <w:rFonts w:cs="Arial"/>
          <w:i/>
        </w:rPr>
        <w:t>addice alla loro carica giudiziaria e può insinuare nei cittadini una percezione negativa del</w:t>
      </w:r>
      <w:r w:rsidR="00A64753" w:rsidRPr="00A64753">
        <w:rPr>
          <w:rFonts w:cs="Arial"/>
          <w:i/>
        </w:rPr>
        <w:t xml:space="preserve"> </w:t>
      </w:r>
      <w:r w:rsidR="007C7394" w:rsidRPr="00A64753">
        <w:rPr>
          <w:rFonts w:cs="Arial"/>
          <w:i/>
        </w:rPr>
        <w:t>Ministero pubblico, rischiando a</w:t>
      </w:r>
      <w:r w:rsidR="002B1C18">
        <w:rPr>
          <w:rFonts w:cs="Arial"/>
          <w:i/>
        </w:rPr>
        <w:t>nche di turbare l'</w:t>
      </w:r>
      <w:r w:rsidR="00A64753">
        <w:rPr>
          <w:rFonts w:cs="Arial"/>
          <w:i/>
        </w:rPr>
        <w:t>attività dell'</w:t>
      </w:r>
      <w:r w:rsidR="007C7394" w:rsidRPr="00A64753">
        <w:rPr>
          <w:rFonts w:cs="Arial"/>
          <w:i/>
        </w:rPr>
        <w:t>ufficio</w:t>
      </w:r>
      <w:r w:rsidR="00A64753">
        <w:rPr>
          <w:rFonts w:cs="Arial"/>
        </w:rPr>
        <w:t>».</w:t>
      </w:r>
    </w:p>
    <w:p w:rsidR="00B44B29" w:rsidRDefault="00A64753" w:rsidP="00C57438">
      <w:pPr>
        <w:spacing w:before="120"/>
        <w:rPr>
          <w:rFonts w:cs="Arial"/>
        </w:rPr>
      </w:pPr>
      <w:r>
        <w:rPr>
          <w:rFonts w:cs="Arial"/>
        </w:rPr>
        <w:t xml:space="preserve">È importante che i criteri di scelta non dipendano solo </w:t>
      </w:r>
      <w:r w:rsidR="00C57438">
        <w:rPr>
          <w:rFonts w:cs="Arial"/>
        </w:rPr>
        <w:t xml:space="preserve">dal grado di popolarità del candidato, </w:t>
      </w:r>
      <w:r w:rsidR="00C57438" w:rsidRPr="00C57438">
        <w:rPr>
          <w:rFonts w:cs="Arial"/>
        </w:rPr>
        <w:t>ma anche e</w:t>
      </w:r>
      <w:r w:rsidR="00C57438">
        <w:rPr>
          <w:rFonts w:cs="Arial"/>
        </w:rPr>
        <w:t xml:space="preserve"> </w:t>
      </w:r>
      <w:r w:rsidR="00C57438" w:rsidRPr="00C57438">
        <w:rPr>
          <w:rFonts w:cs="Arial"/>
        </w:rPr>
        <w:t xml:space="preserve">soprattutto dal suo curriculum: </w:t>
      </w:r>
      <w:r w:rsidR="00587716">
        <w:rPr>
          <w:rFonts w:cs="Arial"/>
        </w:rPr>
        <w:t>il candidato</w:t>
      </w:r>
      <w:r w:rsidR="00C57438" w:rsidRPr="00C57438">
        <w:rPr>
          <w:rFonts w:cs="Arial"/>
        </w:rPr>
        <w:t xml:space="preserve"> deve</w:t>
      </w:r>
      <w:r w:rsidR="00587716">
        <w:rPr>
          <w:rFonts w:cs="Arial"/>
        </w:rPr>
        <w:t xml:space="preserve"> disporre di «</w:t>
      </w:r>
      <w:r w:rsidR="00587716" w:rsidRPr="00587716">
        <w:rPr>
          <w:rFonts w:cs="Arial"/>
          <w:i/>
        </w:rPr>
        <w:t>a</w:t>
      </w:r>
      <w:r w:rsidR="00C57438" w:rsidRPr="00587716">
        <w:rPr>
          <w:rFonts w:cs="Arial"/>
          <w:i/>
        </w:rPr>
        <w:t>deguate caratteristiche personali, di</w:t>
      </w:r>
      <w:r w:rsidR="00587716" w:rsidRPr="00587716">
        <w:rPr>
          <w:rFonts w:cs="Arial"/>
          <w:i/>
        </w:rPr>
        <w:t xml:space="preserve"> </w:t>
      </w:r>
      <w:r w:rsidR="00C57438" w:rsidRPr="00587716">
        <w:rPr>
          <w:rFonts w:cs="Arial"/>
          <w:i/>
        </w:rPr>
        <w:t>formazione e di esperienza per assumere il ruolo per il quale si candida</w:t>
      </w:r>
      <w:r w:rsidR="00587716">
        <w:rPr>
          <w:rFonts w:cs="Arial"/>
        </w:rPr>
        <w:t>»</w:t>
      </w:r>
      <w:r w:rsidR="00C57438" w:rsidRPr="00C57438">
        <w:rPr>
          <w:rFonts w:cs="Arial"/>
        </w:rPr>
        <w:t>.</w:t>
      </w:r>
      <w:r w:rsidR="00E8407A">
        <w:rPr>
          <w:rFonts w:cs="Arial"/>
        </w:rPr>
        <w:t xml:space="preserve"> L'esame di tali caratteristiche non può certo avvenire </w:t>
      </w:r>
      <w:r w:rsidR="00222158">
        <w:rPr>
          <w:rFonts w:cs="Arial"/>
        </w:rPr>
        <w:t>in maniera seria, serena e indipendente nel contesto di una campagna elettorale.</w:t>
      </w:r>
    </w:p>
    <w:p w:rsidR="00222158" w:rsidRDefault="00FE1469" w:rsidP="0027421C">
      <w:pPr>
        <w:spacing w:before="120"/>
        <w:rPr>
          <w:rFonts w:cs="Arial"/>
        </w:rPr>
      </w:pPr>
      <w:r>
        <w:rPr>
          <w:rFonts w:cs="Arial"/>
        </w:rPr>
        <w:t>Secondo</w:t>
      </w:r>
      <w:r w:rsidR="00A73D83">
        <w:rPr>
          <w:rFonts w:cs="Arial"/>
        </w:rPr>
        <w:t xml:space="preserve"> il Consiglio </w:t>
      </w:r>
      <w:r>
        <w:rPr>
          <w:rFonts w:cs="Arial"/>
        </w:rPr>
        <w:t>di Stato,</w:t>
      </w:r>
      <w:r w:rsidR="00A73D83">
        <w:rPr>
          <w:rFonts w:cs="Arial"/>
        </w:rPr>
        <w:t xml:space="preserve"> l'elezione popolare rischia </w:t>
      </w:r>
      <w:r w:rsidR="009A449C">
        <w:rPr>
          <w:rFonts w:cs="Arial"/>
        </w:rPr>
        <w:t xml:space="preserve">di accentuare le influenze partitiche. </w:t>
      </w:r>
      <w:r>
        <w:rPr>
          <w:rFonts w:cs="Arial"/>
        </w:rPr>
        <w:t xml:space="preserve">Difatti, </w:t>
      </w:r>
      <w:r w:rsidR="0027421C">
        <w:rPr>
          <w:rFonts w:cs="Arial"/>
        </w:rPr>
        <w:t>«</w:t>
      </w:r>
      <w:r w:rsidR="0027421C" w:rsidRPr="0027421C">
        <w:rPr>
          <w:rFonts w:cs="Arial"/>
          <w:i/>
        </w:rPr>
        <w:t>una campagna elettorale a livello cantonale verrebbe agevolata di molto se il candidato è sostenuto da un partito o da gruppi di altra natura</w:t>
      </w:r>
      <w:r w:rsidR="0027421C">
        <w:rPr>
          <w:rFonts w:cs="Arial"/>
        </w:rPr>
        <w:t>».</w:t>
      </w:r>
    </w:p>
    <w:p w:rsidR="0027421C" w:rsidRDefault="0027421C" w:rsidP="0027421C">
      <w:pPr>
        <w:spacing w:before="120"/>
      </w:pPr>
      <w:r>
        <w:rPr>
          <w:rFonts w:cs="Arial"/>
        </w:rPr>
        <w:t xml:space="preserve">In conclusione il Governo ritiene preferibile – malgrado </w:t>
      </w:r>
      <w:r w:rsidR="00A427E8">
        <w:rPr>
          <w:rFonts w:cs="Arial"/>
        </w:rPr>
        <w:t>comprenda</w:t>
      </w:r>
      <w:r>
        <w:rPr>
          <w:rFonts w:cs="Arial"/>
        </w:rPr>
        <w:t xml:space="preserve"> la volontà di coinvolgere </w:t>
      </w:r>
      <w:r w:rsidR="00A427E8">
        <w:rPr>
          <w:rFonts w:cs="Arial"/>
        </w:rPr>
        <w:t>i cittadini nell'elezione dei magistrati – mantenere la regolamentazione vigente.</w:t>
      </w:r>
    </w:p>
    <w:p w:rsidR="00586FA3" w:rsidRDefault="00586FA3" w:rsidP="00E93FB0"/>
    <w:p w:rsidR="00A64753" w:rsidRDefault="00A64753" w:rsidP="00E93FB0"/>
    <w:p w:rsidR="00A64753" w:rsidRPr="00D933F5" w:rsidRDefault="00A64753" w:rsidP="00E93FB0"/>
    <w:p w:rsidR="00586FA3" w:rsidRPr="00965351" w:rsidRDefault="00586FA3" w:rsidP="00586FA3">
      <w:pPr>
        <w:pStyle w:val="Titolo1"/>
      </w:pPr>
      <w:r>
        <w:t xml:space="preserve">LE RIFLESSIONI DELLA </w:t>
      </w:r>
      <w:r w:rsidRPr="001D7821">
        <w:t>MAGGIORANZA</w:t>
      </w:r>
      <w:r>
        <w:t xml:space="preserve"> </w:t>
      </w:r>
      <w:r w:rsidR="001D7821">
        <w:t xml:space="preserve">DELLA </w:t>
      </w:r>
      <w:r>
        <w:t>COMMISIONE</w:t>
      </w:r>
    </w:p>
    <w:p w:rsidR="0020093F" w:rsidRDefault="000D0968" w:rsidP="00B44B29">
      <w:pPr>
        <w:spacing w:before="120"/>
      </w:pPr>
      <w:r>
        <w:t>Il Procuratore generale, se non formalmente, è la figura istituzionale più importante del potere giudiziario cantonale: a seguito di alcune riforme costituzionali e parecchie riforme legislative, in particolare quelle concernenti la Legge sull'organizzazione giudiziaria (LOG), assume un ruolo di fondamentale rilevanza nell'ambito della politica giudiziaria.</w:t>
      </w:r>
    </w:p>
    <w:p w:rsidR="000D0968" w:rsidRDefault="000D0968" w:rsidP="00B44B29">
      <w:pPr>
        <w:spacing w:before="120"/>
      </w:pPr>
      <w:r>
        <w:lastRenderedPageBreak/>
        <w:t xml:space="preserve">Ovvio che da solo, unitamente ai suoi colleghi d'ufficio, non può agire compiutamente se non con l'aiuto </w:t>
      </w:r>
      <w:r w:rsidR="00BC115D">
        <w:t>degli altri due poteri, sia nell'ambito dell'organizzazione interna dell'ufficio, non da ultimo il numero di magistrati, sia in quello delle sue competenze verso appunto i suoi colleghi: gli altri due poteri devono quindi essere d'ascolto quo le esigenze del Ministero pubblico proponendo e adottando eventuali nuove disposizioni legislative che permettono a quell'ufficio di agire nel modo più efficace possibile; senza d</w:t>
      </w:r>
      <w:r w:rsidR="00A42F67">
        <w:t>imenticare il ruolo sostanziale nell'ambito delle inchieste</w:t>
      </w:r>
      <w:r w:rsidR="00BC115D">
        <w:t xml:space="preserve"> della Polizia cantonale.</w:t>
      </w:r>
    </w:p>
    <w:p w:rsidR="00BC115D" w:rsidRDefault="00BC115D" w:rsidP="00B44B29">
      <w:pPr>
        <w:spacing w:before="120"/>
      </w:pPr>
      <w:r>
        <w:t xml:space="preserve">La proposta di revisione costituzionale è molto consistente: attribuire ai cittadini elettori la designazione del Procuratore generale implica un parziale stravolgimento </w:t>
      </w:r>
      <w:r w:rsidR="00A66768">
        <w:t xml:space="preserve">dei rapporti tra i tre poteri, creando così, a mente nostra, un pericoloso </w:t>
      </w:r>
      <w:r w:rsidR="00D5294E">
        <w:t>cuneo nel già difficile equilibrio fra i medesimi. Il nostro sistema istituzionale tiene conto pure del nostro modo di essere, anche n</w:t>
      </w:r>
      <w:r w:rsidR="00A42F67">
        <w:t>el senso politico ed elettorale;</w:t>
      </w:r>
      <w:r w:rsidR="00D5294E">
        <w:t xml:space="preserve"> la giusta dose di passione e di emotività, che deve essere </w:t>
      </w:r>
      <w:r w:rsidR="00DD71C7">
        <w:t>uno degli elementi</w:t>
      </w:r>
      <w:r w:rsidR="00D5294E">
        <w:t xml:space="preserve"> di scelta dei propri rappresentanti nel Legislativo e nell'Esecutivo, non può essere elemento costitutivo per la designazione dei magi</w:t>
      </w:r>
      <w:r w:rsidR="0013382D">
        <w:t>strati dell'ordine giudiziario.</w:t>
      </w:r>
    </w:p>
    <w:p w:rsidR="0013382D" w:rsidRDefault="0013382D" w:rsidP="00B44B29">
      <w:pPr>
        <w:spacing w:before="120"/>
      </w:pPr>
      <w:r>
        <w:t>La storia delle riforme costituzionali dimostra come si è andati verso l'elezione parlamentare di tutti i magistrati rispetto ad esempio all'elezione dei Giudici di appello e dei Pretori, i quali dovevano fare campagna elettorale, non si sa bene usan</w:t>
      </w:r>
      <w:r w:rsidR="00A42F67">
        <w:t>d</w:t>
      </w:r>
      <w:r>
        <w:t xml:space="preserve">o quali argomenti se non la propria eventuale simpatia e </w:t>
      </w:r>
      <w:proofErr w:type="spellStart"/>
      <w:r w:rsidRPr="0013382D">
        <w:rPr>
          <w:i/>
        </w:rPr>
        <w:t>réseau</w:t>
      </w:r>
      <w:proofErr w:type="spellEnd"/>
      <w:r>
        <w:t xml:space="preserve"> di conoscenze. Mi si obietterà che a Ginevra il Procuratore generale viene eletto dai cittadini; nulla di più facile controbattere che la sintesi dei cromosomi degli elettori ginevrini è molto diversa dalla nostra.</w:t>
      </w:r>
    </w:p>
    <w:p w:rsidR="0013382D" w:rsidRDefault="0013382D" w:rsidP="00B44B29">
      <w:pPr>
        <w:spacing w:before="120"/>
      </w:pPr>
      <w:r>
        <w:t xml:space="preserve">Si ricorda che a parte il Canton Ginevra nessun altro Cantone prevede l'elezione del Procuratore generale da parte dei cittadini; si rammenta inoltre che il Procuratore generale della Confederazione e i suoi due sostituti sono eletti dalle Camere federali, come tutti gli altri magistrati in base, oltre al </w:t>
      </w:r>
      <w:r w:rsidR="00A42F67">
        <w:t>parametro</w:t>
      </w:r>
      <w:r>
        <w:t xml:space="preserve"> concernente le competenze, </w:t>
      </w:r>
      <w:r w:rsidR="00A42F67">
        <w:t>al criterio</w:t>
      </w:r>
      <w:r>
        <w:t xml:space="preserve"> relativo alla ripartizione partitica, che alle nostre latitudini è sempre pi</w:t>
      </w:r>
      <w:r w:rsidR="00F34E75">
        <w:t>ù messo in discussione; in mancanza di meglio</w:t>
      </w:r>
      <w:r w:rsidR="00E24338">
        <w:t xml:space="preserve"> </w:t>
      </w:r>
      <w:r w:rsidR="00FA6797">
        <w:t>è l'unico criterio, ovviamente accanto a quello delle qualit</w:t>
      </w:r>
      <w:r w:rsidR="00DD71C7">
        <w:t>à e delle competenze</w:t>
      </w:r>
      <w:r w:rsidR="00FA6797">
        <w:t xml:space="preserve"> dei candidati, che permette una rappresentazione equa delle sensibilità del corpo elettorale.</w:t>
      </w:r>
    </w:p>
    <w:p w:rsidR="00FA6797" w:rsidRDefault="00FA6797" w:rsidP="00B44B29">
      <w:pPr>
        <w:spacing w:before="120"/>
      </w:pPr>
      <w:r>
        <w:t xml:space="preserve">Con la riforma della LGC, in particolare con la costituzione della Commissione giustizia (auspicata dallo scrivente già a metà degli anni 2000…), il ruolo del Parlamento nella scelta dei magistrati è accresciuto, soprattutto nell'ambito dell'esame delle candidature, anche evidentemente </w:t>
      </w:r>
      <w:r w:rsidR="00C32EF5">
        <w:t xml:space="preserve">di </w:t>
      </w:r>
      <w:r>
        <w:t xml:space="preserve">quella del Procuratore generale. La Commissione dovrà approfondire nel migliore dei modi il lavoro della Commissione d'esperti, che sarà tenuta a essere ancora più rigorosa nell'ambito dei propri rapporti scritti al Parlamento. Chiaro che tutto dipende sempre dalle persone che occupano i posti commissionali e quelli parlamentari, ma si auspica sempre che, interpretando in modo corretto Costituzione e leggi, chi è stato chiamato a rappresentare i cittadini per quattro anni eserciti le proprie competenze in modo </w:t>
      </w:r>
      <w:r w:rsidR="00C32EF5">
        <w:t xml:space="preserve">intellettualmente </w:t>
      </w:r>
      <w:r>
        <w:t>onesto…</w:t>
      </w:r>
      <w:r w:rsidR="00A42F67">
        <w:t>,</w:t>
      </w:r>
      <w:r>
        <w:t xml:space="preserve"> senza usare l'istituzione parlamentare come luogo di sfogo e di regolamento di conti fra i partiti e fra le persone.</w:t>
      </w:r>
    </w:p>
    <w:p w:rsidR="00FA6797" w:rsidRDefault="00FA6797" w:rsidP="00B44B29">
      <w:pPr>
        <w:spacing w:before="120"/>
      </w:pPr>
      <w:r>
        <w:t>La Giustizia, in particolare la funzione di Procuratore generale, è troppo importante per essere lasciata in balia delle emozioni. Nel contesto dell'ultima elezione del Procuratore generale è vergognoso come i partiti non si siano messi d'accordo su una sola persona</w:t>
      </w:r>
      <w:r w:rsidR="00B5779D">
        <w:t>;</w:t>
      </w:r>
      <w:r>
        <w:t xml:space="preserve"> l'aula parlamentare </w:t>
      </w:r>
      <w:r w:rsidR="00B5779D">
        <w:t>è stata un'arena poco rispettosa nei confronti del potere giudiziario, in particolare delle figura del Procuratore generale, ciò indipendentemente dall'esito dell'elezione.</w:t>
      </w:r>
    </w:p>
    <w:p w:rsidR="00C32EF5" w:rsidRDefault="00C32EF5" w:rsidP="00B44B29">
      <w:pPr>
        <w:spacing w:before="120"/>
      </w:pPr>
      <w:r>
        <w:t>Si auspica quindi che dalla prossima elezione di un magistrato, non da ultimo di quella del Procuratore generale, il Parlamento torni a essere serio e rigoroso come sopra auspicato e come ha saputo dar prova soprattutto nel secolo scorso!</w:t>
      </w:r>
    </w:p>
    <w:p w:rsidR="00A42F67" w:rsidRDefault="00A42F67">
      <w:r>
        <w:br w:type="page"/>
      </w:r>
    </w:p>
    <w:p w:rsidR="0020093F" w:rsidRPr="00E93FB0" w:rsidRDefault="0020093F" w:rsidP="00965351">
      <w:pPr>
        <w:pStyle w:val="Titolo1"/>
      </w:pPr>
      <w:bookmarkStart w:id="1" w:name="_Toc275593"/>
      <w:r w:rsidRPr="00E93FB0">
        <w:lastRenderedPageBreak/>
        <w:t>C</w:t>
      </w:r>
      <w:bookmarkEnd w:id="1"/>
      <w:r w:rsidR="00D21998">
        <w:t>ONCLUSIONI</w:t>
      </w:r>
    </w:p>
    <w:p w:rsidR="0020093F" w:rsidRPr="00D933F5" w:rsidRDefault="00B5779D" w:rsidP="00B44B29">
      <w:pPr>
        <w:spacing w:before="120"/>
      </w:pPr>
      <w:r>
        <w:t xml:space="preserve">La maggioranza della Commissione propone quindi di respingere l'iniziativa parlamentare elaborata del 19 febbraio 2018 di Daniele Caverzasio e cofirmatari </w:t>
      </w:r>
      <w:r w:rsidR="008D2045">
        <w:t>per la m</w:t>
      </w:r>
      <w:r w:rsidRPr="00B5779D">
        <w:t>odifica degli art. 35 e 36 della Costituzione cantonale: Procuratore generale, che sia il popolo a decidere!</w:t>
      </w:r>
      <w:r>
        <w:t>".</w:t>
      </w:r>
    </w:p>
    <w:p w:rsidR="00076E70" w:rsidRDefault="00076E70" w:rsidP="00E93FB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</w:t>
      </w:r>
      <w:r w:rsidR="001D7821" w:rsidRPr="001D7821">
        <w:rPr>
          <w:rFonts w:cs="Arial"/>
          <w:szCs w:val="24"/>
        </w:rPr>
        <w:t>maggioranza</w:t>
      </w:r>
      <w:r w:rsidR="00D21998" w:rsidRPr="001D7821">
        <w:rPr>
          <w:rFonts w:cs="Arial"/>
          <w:szCs w:val="24"/>
        </w:rPr>
        <w:t xml:space="preserve"> della</w:t>
      </w:r>
      <w:r w:rsidR="00D21998">
        <w:rPr>
          <w:rFonts w:cs="Arial"/>
          <w:szCs w:val="24"/>
        </w:rPr>
        <w:t xml:space="preserve"> Commissione speciale Costituzione e diritti politici</w:t>
      </w:r>
      <w:r w:rsidRPr="00076E70">
        <w:rPr>
          <w:rFonts w:cs="Arial"/>
          <w:szCs w:val="24"/>
        </w:rPr>
        <w:t>:</w:t>
      </w:r>
    </w:p>
    <w:p w:rsidR="00076E70" w:rsidRDefault="00D21998">
      <w:pPr>
        <w:rPr>
          <w:rFonts w:cs="Arial"/>
          <w:szCs w:val="24"/>
        </w:rPr>
      </w:pPr>
      <w:bookmarkStart w:id="2" w:name="OLE_LINK1"/>
      <w:bookmarkStart w:id="3" w:name="OLE_LINK2"/>
      <w:r>
        <w:rPr>
          <w:rFonts w:cs="Arial"/>
          <w:szCs w:val="24"/>
        </w:rPr>
        <w:t>Jacques Ducry, relatore</w:t>
      </w:r>
      <w:bookmarkEnd w:id="2"/>
      <w:bookmarkEnd w:id="3"/>
    </w:p>
    <w:p w:rsidR="00A42F67" w:rsidRDefault="00A42F67">
      <w:pPr>
        <w:rPr>
          <w:rFonts w:cs="Arial"/>
          <w:szCs w:val="24"/>
        </w:rPr>
      </w:pPr>
      <w:r>
        <w:rPr>
          <w:rFonts w:cs="Arial"/>
          <w:szCs w:val="24"/>
        </w:rPr>
        <w:t xml:space="preserve">Agustoni - Bacchetta-Cattori - Gianella - </w:t>
      </w:r>
    </w:p>
    <w:p w:rsidR="00A42F67" w:rsidRDefault="00A42F67">
      <w:pPr>
        <w:rPr>
          <w:rFonts w:cs="Arial"/>
          <w:szCs w:val="24"/>
        </w:rPr>
      </w:pPr>
      <w:r>
        <w:rPr>
          <w:rFonts w:cs="Arial"/>
          <w:szCs w:val="24"/>
        </w:rPr>
        <w:t xml:space="preserve">Käppeli - Lepori - Merlo (con riserva) - </w:t>
      </w:r>
    </w:p>
    <w:p w:rsidR="00A42F67" w:rsidRDefault="00A42F67">
      <w:pPr>
        <w:rPr>
          <w:rFonts w:cs="Arial"/>
          <w:szCs w:val="24"/>
        </w:rPr>
      </w:pPr>
      <w:r>
        <w:rPr>
          <w:rFonts w:cs="Arial"/>
          <w:szCs w:val="24"/>
        </w:rPr>
        <w:t xml:space="preserve">Pedrazzini - Quadranti </w:t>
      </w:r>
      <w:r w:rsidR="00DF02C8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Viscardi</w:t>
      </w: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>
      <w:pPr>
        <w:rPr>
          <w:rFonts w:cs="Arial"/>
          <w:szCs w:val="24"/>
        </w:rPr>
      </w:pPr>
    </w:p>
    <w:p w:rsidR="00DF02C8" w:rsidRDefault="00DF02C8" w:rsidP="008D2045">
      <w:pPr>
        <w:spacing w:after="120"/>
        <w:rPr>
          <w:rFonts w:cs="Arial"/>
          <w:szCs w:val="24"/>
        </w:rPr>
      </w:pPr>
    </w:p>
    <w:p w:rsidR="00DF02C8" w:rsidRPr="005809E8" w:rsidRDefault="00DF02C8">
      <w:pPr>
        <w:rPr>
          <w:rFonts w:cs="Arial"/>
          <w:sz w:val="22"/>
        </w:rPr>
      </w:pPr>
      <w:r w:rsidRPr="005809E8">
        <w:rPr>
          <w:rFonts w:cs="Arial"/>
          <w:sz w:val="22"/>
          <w:u w:val="single"/>
        </w:rPr>
        <w:t>Allegato</w:t>
      </w:r>
      <w:r w:rsidRPr="005809E8">
        <w:rPr>
          <w:rFonts w:cs="Arial"/>
          <w:sz w:val="22"/>
        </w:rPr>
        <w:t>:</w:t>
      </w:r>
    </w:p>
    <w:p w:rsidR="00DF02C8" w:rsidRPr="005809E8" w:rsidRDefault="00DF02C8" w:rsidP="008D2045">
      <w:pPr>
        <w:tabs>
          <w:tab w:val="left" w:pos="284"/>
        </w:tabs>
        <w:ind w:left="284" w:hanging="284"/>
        <w:rPr>
          <w:rFonts w:cs="Arial"/>
          <w:sz w:val="22"/>
        </w:rPr>
      </w:pPr>
      <w:r w:rsidRPr="005809E8">
        <w:rPr>
          <w:rFonts w:cs="Arial"/>
          <w:sz w:val="22"/>
        </w:rPr>
        <w:t>-</w:t>
      </w:r>
      <w:r w:rsidRPr="005809E8">
        <w:rPr>
          <w:rFonts w:cs="Arial"/>
          <w:sz w:val="22"/>
        </w:rPr>
        <w:tab/>
        <w:t>documento "Breve approfondimento circa l'iniziativa parlamentare elaborata del 19 febbraio 2018 di Daniele Caverzasio e cofirmatari "Modifica degli art. 35 e 36 della Costituzione cantonale 'Procuratore generale: che sia il popolo a decidere!'", settembre 2018</w:t>
      </w:r>
      <w:r w:rsidR="00CC682F" w:rsidRPr="005809E8">
        <w:rPr>
          <w:rFonts w:cs="Arial"/>
          <w:sz w:val="22"/>
        </w:rPr>
        <w:t>.</w:t>
      </w:r>
    </w:p>
    <w:sectPr w:rsidR="00DF02C8" w:rsidRPr="005809E8" w:rsidSect="00FD77F0">
      <w:footerReference w:type="default" r:id="rId9"/>
      <w:pgSz w:w="11906" w:h="16838"/>
      <w:pgMar w:top="1134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11" w:rsidRDefault="00D03D11" w:rsidP="008E77C6">
      <w:r>
        <w:separator/>
      </w:r>
    </w:p>
  </w:endnote>
  <w:endnote w:type="continuationSeparator" w:id="0">
    <w:p w:rsidR="00D03D11" w:rsidRDefault="00D03D11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029BC" w:rsidRPr="007029B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11" w:rsidRDefault="00D03D11" w:rsidP="008E77C6">
      <w:r>
        <w:separator/>
      </w:r>
    </w:p>
  </w:footnote>
  <w:footnote w:type="continuationSeparator" w:id="0">
    <w:p w:rsidR="00D03D11" w:rsidRDefault="00D03D11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CBB22654"/>
    <w:lvl w:ilvl="0" w:tplc="D20230CE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52BD2"/>
    <w:multiLevelType w:val="hybridMultilevel"/>
    <w:tmpl w:val="23969F12"/>
    <w:lvl w:ilvl="0" w:tplc="FFC85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F32"/>
    <w:multiLevelType w:val="hybridMultilevel"/>
    <w:tmpl w:val="DAB018F4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73221"/>
    <w:multiLevelType w:val="hybridMultilevel"/>
    <w:tmpl w:val="43E2B4A6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46EF2"/>
    <w:multiLevelType w:val="hybridMultilevel"/>
    <w:tmpl w:val="10E6AFE2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779FF"/>
    <w:multiLevelType w:val="hybridMultilevel"/>
    <w:tmpl w:val="F88CB110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34D7F"/>
    <w:rsid w:val="00076E70"/>
    <w:rsid w:val="000D0968"/>
    <w:rsid w:val="000D45CA"/>
    <w:rsid w:val="0011076A"/>
    <w:rsid w:val="00116769"/>
    <w:rsid w:val="0013382D"/>
    <w:rsid w:val="00142378"/>
    <w:rsid w:val="001574D7"/>
    <w:rsid w:val="00161126"/>
    <w:rsid w:val="001B7F96"/>
    <w:rsid w:val="001D7821"/>
    <w:rsid w:val="0020093F"/>
    <w:rsid w:val="00222158"/>
    <w:rsid w:val="00260C8C"/>
    <w:rsid w:val="0027421C"/>
    <w:rsid w:val="002948ED"/>
    <w:rsid w:val="002B1C18"/>
    <w:rsid w:val="002E5E40"/>
    <w:rsid w:val="00356852"/>
    <w:rsid w:val="0052425A"/>
    <w:rsid w:val="00547BE5"/>
    <w:rsid w:val="005809E8"/>
    <w:rsid w:val="00586A8D"/>
    <w:rsid w:val="00586FA3"/>
    <w:rsid w:val="00587716"/>
    <w:rsid w:val="005C4146"/>
    <w:rsid w:val="0065309F"/>
    <w:rsid w:val="006647C7"/>
    <w:rsid w:val="006D7A3B"/>
    <w:rsid w:val="006E483D"/>
    <w:rsid w:val="007029BC"/>
    <w:rsid w:val="00703DCE"/>
    <w:rsid w:val="007352D3"/>
    <w:rsid w:val="007B5462"/>
    <w:rsid w:val="007C7394"/>
    <w:rsid w:val="007D389D"/>
    <w:rsid w:val="008034BD"/>
    <w:rsid w:val="00876352"/>
    <w:rsid w:val="008949E5"/>
    <w:rsid w:val="008B2655"/>
    <w:rsid w:val="008B4137"/>
    <w:rsid w:val="008C767A"/>
    <w:rsid w:val="008D2045"/>
    <w:rsid w:val="008E77C6"/>
    <w:rsid w:val="00965351"/>
    <w:rsid w:val="009770BB"/>
    <w:rsid w:val="009A449C"/>
    <w:rsid w:val="009C6E4B"/>
    <w:rsid w:val="009E008D"/>
    <w:rsid w:val="009E6F88"/>
    <w:rsid w:val="009F14A0"/>
    <w:rsid w:val="00A427E8"/>
    <w:rsid w:val="00A42F67"/>
    <w:rsid w:val="00A5351D"/>
    <w:rsid w:val="00A5465F"/>
    <w:rsid w:val="00A64753"/>
    <w:rsid w:val="00A66768"/>
    <w:rsid w:val="00A73D83"/>
    <w:rsid w:val="00A77678"/>
    <w:rsid w:val="00AE6ECD"/>
    <w:rsid w:val="00B208D2"/>
    <w:rsid w:val="00B44B29"/>
    <w:rsid w:val="00B5779D"/>
    <w:rsid w:val="00B643AD"/>
    <w:rsid w:val="00BC115D"/>
    <w:rsid w:val="00BC4C95"/>
    <w:rsid w:val="00BD5944"/>
    <w:rsid w:val="00BE6CFE"/>
    <w:rsid w:val="00C0021A"/>
    <w:rsid w:val="00C32EF5"/>
    <w:rsid w:val="00C51C0C"/>
    <w:rsid w:val="00C57438"/>
    <w:rsid w:val="00C85BB0"/>
    <w:rsid w:val="00CC682F"/>
    <w:rsid w:val="00CF6858"/>
    <w:rsid w:val="00D03D11"/>
    <w:rsid w:val="00D21998"/>
    <w:rsid w:val="00D377B5"/>
    <w:rsid w:val="00D5294E"/>
    <w:rsid w:val="00D61A80"/>
    <w:rsid w:val="00D61D22"/>
    <w:rsid w:val="00D93B31"/>
    <w:rsid w:val="00DD71C7"/>
    <w:rsid w:val="00DF02C8"/>
    <w:rsid w:val="00E24338"/>
    <w:rsid w:val="00E24575"/>
    <w:rsid w:val="00E505DB"/>
    <w:rsid w:val="00E518B2"/>
    <w:rsid w:val="00E57318"/>
    <w:rsid w:val="00E765A9"/>
    <w:rsid w:val="00E8407A"/>
    <w:rsid w:val="00E93FB0"/>
    <w:rsid w:val="00F00A86"/>
    <w:rsid w:val="00F03605"/>
    <w:rsid w:val="00F34E75"/>
    <w:rsid w:val="00F453EE"/>
    <w:rsid w:val="00F85178"/>
    <w:rsid w:val="00FA6797"/>
    <w:rsid w:val="00FC46CA"/>
    <w:rsid w:val="00FD77F0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6535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65351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93FB0"/>
    <w:pPr>
      <w:tabs>
        <w:tab w:val="left" w:pos="660"/>
        <w:tab w:val="right" w:leader="dot" w:pos="9628"/>
      </w:tabs>
      <w:spacing w:before="80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009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6535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65351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93FB0"/>
    <w:pPr>
      <w:tabs>
        <w:tab w:val="left" w:pos="660"/>
        <w:tab w:val="right" w:leader="dot" w:pos="9628"/>
      </w:tabs>
      <w:spacing w:before="80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009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73ED-8865-44AE-8567-778878A8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2019-02-25T09:35:00Z</cp:lastPrinted>
  <dcterms:created xsi:type="dcterms:W3CDTF">2019-02-25T09:36:00Z</dcterms:created>
  <dcterms:modified xsi:type="dcterms:W3CDTF">2019-02-27T09:02:00Z</dcterms:modified>
</cp:coreProperties>
</file>