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170C58" w:rsidP="00B860C2">
      <w:pPr>
        <w:rPr>
          <w:rFonts w:cs="Arial"/>
          <w:sz w:val="20"/>
          <w:szCs w:val="20"/>
        </w:rPr>
      </w:pPr>
      <w:r w:rsidRPr="00353A1D">
        <w:rPr>
          <w:rFonts w:ascii="Gill Sans MT" w:hAnsi="Gill Sans MT"/>
          <w:b/>
          <w:sz w:val="52"/>
          <w:szCs w:val="52"/>
        </w:rPr>
        <w:t>Rapporto</w:t>
      </w:r>
    </w:p>
    <w:p w:rsidR="00B860C2" w:rsidRDefault="00B860C2" w:rsidP="00B860C2"/>
    <w:p w:rsidR="00B860C2" w:rsidRDefault="00B860C2" w:rsidP="00B860C2">
      <w:pPr>
        <w:rPr>
          <w:rFonts w:cs="Arial"/>
          <w:szCs w:val="24"/>
        </w:rPr>
      </w:pPr>
      <w:bookmarkStart w:id="0" w:name="_GoBack"/>
      <w:bookmarkEnd w:id="0"/>
    </w:p>
    <w:p w:rsidR="00B860C2" w:rsidRDefault="005B6CFE" w:rsidP="00B860C2">
      <w:pPr>
        <w:tabs>
          <w:tab w:val="left" w:pos="2098"/>
          <w:tab w:val="left" w:pos="4933"/>
        </w:tabs>
        <w:rPr>
          <w:rFonts w:cs="Arial"/>
          <w:szCs w:val="24"/>
        </w:rPr>
      </w:pPr>
      <w:r>
        <w:rPr>
          <w:rFonts w:cs="Arial"/>
          <w:b/>
          <w:sz w:val="32"/>
          <w:szCs w:val="32"/>
        </w:rPr>
        <w:t>7667</w:t>
      </w:r>
      <w:r w:rsidR="00B860C2" w:rsidRPr="008B4137">
        <w:rPr>
          <w:rFonts w:cs="Arial"/>
          <w:b/>
          <w:sz w:val="32"/>
          <w:szCs w:val="32"/>
        </w:rPr>
        <w:t xml:space="preserve"> R</w:t>
      </w:r>
      <w:r w:rsidR="00B860C2" w:rsidRPr="008B4137">
        <w:rPr>
          <w:rFonts w:cs="Arial"/>
          <w:sz w:val="28"/>
          <w:szCs w:val="28"/>
        </w:rPr>
        <w:tab/>
      </w:r>
      <w:r>
        <w:rPr>
          <w:rFonts w:cs="Arial"/>
          <w:sz w:val="28"/>
          <w:szCs w:val="28"/>
        </w:rPr>
        <w:t>2 settembre 2019</w:t>
      </w:r>
      <w:r w:rsidR="00B860C2" w:rsidRPr="008B4137">
        <w:rPr>
          <w:rFonts w:cs="Arial"/>
          <w:sz w:val="28"/>
          <w:szCs w:val="28"/>
        </w:rPr>
        <w:tab/>
      </w:r>
      <w:r>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5B6CFE">
        <w:rPr>
          <w:rFonts w:cs="Arial"/>
          <w:b/>
          <w:sz w:val="28"/>
          <w:szCs w:val="28"/>
        </w:rPr>
        <w:t>giustizia e diritti</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5B6CFE" w:rsidRPr="00B91B5B">
        <w:rPr>
          <w:rFonts w:cs="Arial"/>
          <w:b/>
          <w:bCs/>
          <w:sz w:val="28"/>
          <w:szCs w:val="28"/>
        </w:rPr>
        <w:t xml:space="preserve">22 maggio 2019 </w:t>
      </w:r>
      <w:r w:rsidR="005B6CFE">
        <w:rPr>
          <w:rFonts w:cs="Arial"/>
          <w:b/>
          <w:bCs/>
          <w:sz w:val="28"/>
          <w:szCs w:val="28"/>
        </w:rPr>
        <w:t>concernente</w:t>
      </w:r>
      <w:r w:rsidR="005B6CFE" w:rsidRPr="00B91B5B">
        <w:rPr>
          <w:rFonts w:cs="Arial"/>
          <w:b/>
          <w:bCs/>
          <w:sz w:val="28"/>
          <w:szCs w:val="28"/>
        </w:rPr>
        <w:t xml:space="preserve"> il potenziamento del Tribunale di appello</w:t>
      </w:r>
    </w:p>
    <w:p w:rsidR="00B860C2" w:rsidRDefault="00B860C2" w:rsidP="00B860C2">
      <w:pPr>
        <w:rPr>
          <w:rFonts w:cs="Arial"/>
          <w:szCs w:val="24"/>
        </w:rPr>
      </w:pPr>
    </w:p>
    <w:p w:rsidR="00B860C2" w:rsidRDefault="00B860C2" w:rsidP="00B860C2">
      <w:pPr>
        <w:rPr>
          <w:rFonts w:cs="Arial"/>
          <w:szCs w:val="24"/>
        </w:rPr>
      </w:pPr>
    </w:p>
    <w:p w:rsidR="0008336B" w:rsidRDefault="0008336B" w:rsidP="00B860C2">
      <w:pPr>
        <w:rPr>
          <w:rFonts w:cs="Arial"/>
          <w:szCs w:val="24"/>
        </w:rPr>
      </w:pPr>
    </w:p>
    <w:p w:rsidR="00B860C2" w:rsidRPr="0008336B" w:rsidRDefault="0008336B" w:rsidP="00B860C2">
      <w:pPr>
        <w:rPr>
          <w:rFonts w:cs="Arial"/>
          <w:b/>
          <w:szCs w:val="24"/>
        </w:rPr>
      </w:pPr>
      <w:r w:rsidRPr="0008336B">
        <w:rPr>
          <w:rFonts w:cs="Arial"/>
          <w:b/>
          <w:szCs w:val="24"/>
        </w:rPr>
        <w:t>INDICE</w:t>
      </w:r>
    </w:p>
    <w:p w:rsidR="005B6CFE" w:rsidRPr="0008336B" w:rsidRDefault="005B6CFE" w:rsidP="005B6CFE">
      <w:pPr>
        <w:rPr>
          <w:rFonts w:cs="Arial"/>
          <w:sz w:val="16"/>
          <w:szCs w:val="16"/>
        </w:rPr>
      </w:pPr>
      <w:bookmarkStart w:id="1" w:name="_Toc532286235"/>
    </w:p>
    <w:p w:rsidR="0008336B" w:rsidRPr="0008336B" w:rsidRDefault="0008336B" w:rsidP="0008336B">
      <w:pPr>
        <w:pStyle w:val="Sommario1"/>
        <w:rPr>
          <w:rFonts w:asciiTheme="minorHAnsi" w:eastAsiaTheme="minorEastAsia" w:hAnsiTheme="minorHAnsi" w:cstheme="minorBidi"/>
          <w:noProof/>
          <w:sz w:val="22"/>
          <w:szCs w:val="22"/>
          <w:lang w:val="it-CH" w:eastAsia="it-CH"/>
        </w:rPr>
      </w:pPr>
      <w:r w:rsidRPr="0008336B">
        <w:rPr>
          <w:rFonts w:cs="Arial"/>
          <w:sz w:val="22"/>
          <w:szCs w:val="22"/>
        </w:rPr>
        <w:fldChar w:fldCharType="begin"/>
      </w:r>
      <w:r w:rsidRPr="0008336B">
        <w:rPr>
          <w:rFonts w:cs="Arial"/>
          <w:sz w:val="22"/>
          <w:szCs w:val="22"/>
        </w:rPr>
        <w:instrText xml:space="preserve"> TOC \o "1-2" \h \z \u </w:instrText>
      </w:r>
      <w:r w:rsidRPr="0008336B">
        <w:rPr>
          <w:rFonts w:cs="Arial"/>
          <w:sz w:val="22"/>
          <w:szCs w:val="22"/>
        </w:rPr>
        <w:fldChar w:fldCharType="separate"/>
      </w:r>
      <w:hyperlink w:anchor="_Toc18318589" w:history="1">
        <w:r w:rsidRPr="0008336B">
          <w:rPr>
            <w:rStyle w:val="Collegamentoipertestuale"/>
            <w:noProof/>
            <w:sz w:val="22"/>
            <w:szCs w:val="22"/>
          </w:rPr>
          <w:t>I.</w:t>
        </w:r>
        <w:r w:rsidRPr="0008336B">
          <w:rPr>
            <w:rFonts w:asciiTheme="minorHAnsi" w:eastAsiaTheme="minorEastAsia" w:hAnsiTheme="minorHAnsi" w:cstheme="minorBidi"/>
            <w:noProof/>
            <w:sz w:val="22"/>
            <w:szCs w:val="22"/>
            <w:lang w:val="it-CH" w:eastAsia="it-CH"/>
          </w:rPr>
          <w:tab/>
        </w:r>
        <w:r w:rsidRPr="0008336B">
          <w:rPr>
            <w:rStyle w:val="Collegamentoipertestuale"/>
            <w:noProof/>
            <w:sz w:val="22"/>
            <w:szCs w:val="22"/>
          </w:rPr>
          <w:t>INTRODUZIONE</w:t>
        </w:r>
        <w:r w:rsidRPr="0008336B">
          <w:rPr>
            <w:noProof/>
            <w:webHidden/>
            <w:sz w:val="22"/>
            <w:szCs w:val="22"/>
          </w:rPr>
          <w:tab/>
        </w:r>
        <w:r w:rsidRPr="0008336B">
          <w:rPr>
            <w:noProof/>
            <w:webHidden/>
            <w:sz w:val="22"/>
            <w:szCs w:val="22"/>
          </w:rPr>
          <w:fldChar w:fldCharType="begin"/>
        </w:r>
        <w:r w:rsidRPr="0008336B">
          <w:rPr>
            <w:noProof/>
            <w:webHidden/>
            <w:sz w:val="22"/>
            <w:szCs w:val="22"/>
          </w:rPr>
          <w:instrText xml:space="preserve"> PAGEREF _Toc18318589 \h </w:instrText>
        </w:r>
        <w:r w:rsidRPr="0008336B">
          <w:rPr>
            <w:noProof/>
            <w:webHidden/>
            <w:sz w:val="22"/>
            <w:szCs w:val="22"/>
          </w:rPr>
        </w:r>
        <w:r w:rsidRPr="0008336B">
          <w:rPr>
            <w:noProof/>
            <w:webHidden/>
            <w:sz w:val="22"/>
            <w:szCs w:val="22"/>
          </w:rPr>
          <w:fldChar w:fldCharType="separate"/>
        </w:r>
        <w:r w:rsidR="00170C58">
          <w:rPr>
            <w:noProof/>
            <w:webHidden/>
            <w:sz w:val="22"/>
            <w:szCs w:val="22"/>
          </w:rPr>
          <w:t>1</w:t>
        </w:r>
        <w:r w:rsidRPr="0008336B">
          <w:rPr>
            <w:noProof/>
            <w:webHidden/>
            <w:sz w:val="22"/>
            <w:szCs w:val="22"/>
          </w:rPr>
          <w:fldChar w:fldCharType="end"/>
        </w:r>
      </w:hyperlink>
    </w:p>
    <w:p w:rsidR="0008336B" w:rsidRPr="0008336B" w:rsidRDefault="00170C58" w:rsidP="0008336B">
      <w:pPr>
        <w:pStyle w:val="Sommario1"/>
        <w:rPr>
          <w:rFonts w:asciiTheme="minorHAnsi" w:eastAsiaTheme="minorEastAsia" w:hAnsiTheme="minorHAnsi" w:cstheme="minorBidi"/>
          <w:noProof/>
          <w:sz w:val="22"/>
          <w:szCs w:val="22"/>
          <w:lang w:val="it-CH" w:eastAsia="it-CH"/>
        </w:rPr>
      </w:pPr>
      <w:hyperlink w:anchor="_Toc18318590" w:history="1">
        <w:r w:rsidR="0008336B" w:rsidRPr="0008336B">
          <w:rPr>
            <w:rStyle w:val="Collegamentoipertestuale"/>
            <w:noProof/>
            <w:sz w:val="22"/>
            <w:szCs w:val="22"/>
          </w:rPr>
          <w:t>II.</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POTENZIAMENTO DEL TPC</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_Toc18318590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2</w:t>
        </w:r>
        <w:r w:rsidR="0008336B" w:rsidRPr="0008336B">
          <w:rPr>
            <w:noProof/>
            <w:webHidden/>
            <w:sz w:val="22"/>
            <w:szCs w:val="22"/>
          </w:rPr>
          <w:fldChar w:fldCharType="end"/>
        </w:r>
      </w:hyperlink>
    </w:p>
    <w:p w:rsidR="0008336B" w:rsidRPr="0008336B" w:rsidRDefault="00170C58" w:rsidP="0008336B">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18318591" w:history="1">
        <w:r w:rsidR="0008336B" w:rsidRPr="0008336B">
          <w:rPr>
            <w:rStyle w:val="Collegamentoipertestuale"/>
            <w:noProof/>
            <w:sz w:val="22"/>
            <w:szCs w:val="22"/>
          </w:rPr>
          <w:t>A.</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Ragioni del potenziamento</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_Toc18318591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2</w:t>
        </w:r>
        <w:r w:rsidR="0008336B" w:rsidRPr="0008336B">
          <w:rPr>
            <w:noProof/>
            <w:webHidden/>
            <w:sz w:val="22"/>
            <w:szCs w:val="22"/>
          </w:rPr>
          <w:fldChar w:fldCharType="end"/>
        </w:r>
      </w:hyperlink>
    </w:p>
    <w:p w:rsidR="0008336B" w:rsidRPr="0008336B" w:rsidRDefault="00170C58" w:rsidP="0008336B">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18318592" w:history="1">
        <w:r w:rsidR="0008336B" w:rsidRPr="0008336B">
          <w:rPr>
            <w:rStyle w:val="Collegamentoipertestuale"/>
            <w:noProof/>
            <w:sz w:val="22"/>
            <w:szCs w:val="22"/>
          </w:rPr>
          <w:t>B.</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La proposta</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_Toc18318592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3</w:t>
        </w:r>
        <w:r w:rsidR="0008336B" w:rsidRPr="0008336B">
          <w:rPr>
            <w:noProof/>
            <w:webHidden/>
            <w:sz w:val="22"/>
            <w:szCs w:val="22"/>
          </w:rPr>
          <w:fldChar w:fldCharType="end"/>
        </w:r>
      </w:hyperlink>
    </w:p>
    <w:p w:rsidR="0008336B" w:rsidRPr="0008336B" w:rsidRDefault="00170C58" w:rsidP="0008336B">
      <w:pPr>
        <w:pStyle w:val="Sommario1"/>
        <w:rPr>
          <w:rFonts w:asciiTheme="minorHAnsi" w:eastAsiaTheme="minorEastAsia" w:hAnsiTheme="minorHAnsi" w:cstheme="minorBidi"/>
          <w:noProof/>
          <w:sz w:val="22"/>
          <w:szCs w:val="22"/>
          <w:lang w:val="it-CH" w:eastAsia="it-CH"/>
        </w:rPr>
      </w:pPr>
      <w:hyperlink w:anchor="_Toc18318593" w:history="1">
        <w:r w:rsidR="0008336B" w:rsidRPr="0008336B">
          <w:rPr>
            <w:rStyle w:val="Collegamentoipertestuale"/>
            <w:noProof/>
            <w:sz w:val="22"/>
            <w:szCs w:val="22"/>
          </w:rPr>
          <w:t>III.</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Impatto finanziario e sulle risorse umane</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_Toc18318593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3</w:t>
        </w:r>
        <w:r w:rsidR="0008336B" w:rsidRPr="0008336B">
          <w:rPr>
            <w:noProof/>
            <w:webHidden/>
            <w:sz w:val="22"/>
            <w:szCs w:val="22"/>
          </w:rPr>
          <w:fldChar w:fldCharType="end"/>
        </w:r>
      </w:hyperlink>
    </w:p>
    <w:p w:rsidR="0008336B" w:rsidRPr="0008336B" w:rsidRDefault="00170C58" w:rsidP="0008336B">
      <w:pPr>
        <w:pStyle w:val="Sommario1"/>
        <w:rPr>
          <w:rFonts w:asciiTheme="minorHAnsi" w:eastAsiaTheme="minorEastAsia" w:hAnsiTheme="minorHAnsi" w:cstheme="minorBidi"/>
          <w:noProof/>
          <w:sz w:val="22"/>
          <w:szCs w:val="22"/>
          <w:lang w:val="it-CH" w:eastAsia="it-CH"/>
        </w:rPr>
      </w:pPr>
      <w:hyperlink w:anchor="_Toc18318594" w:history="1">
        <w:r w:rsidR="0008336B" w:rsidRPr="0008336B">
          <w:rPr>
            <w:rStyle w:val="Collegamentoipertestuale"/>
            <w:noProof/>
            <w:sz w:val="22"/>
            <w:szCs w:val="22"/>
          </w:rPr>
          <w:t>IV.</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Logistica e stima dei costi</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_Toc18318594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3</w:t>
        </w:r>
        <w:r w:rsidR="0008336B" w:rsidRPr="0008336B">
          <w:rPr>
            <w:noProof/>
            <w:webHidden/>
            <w:sz w:val="22"/>
            <w:szCs w:val="22"/>
          </w:rPr>
          <w:fldChar w:fldCharType="end"/>
        </w:r>
      </w:hyperlink>
    </w:p>
    <w:p w:rsidR="0008336B" w:rsidRPr="0008336B" w:rsidRDefault="00170C58" w:rsidP="0008336B">
      <w:pPr>
        <w:pStyle w:val="Sommario1"/>
        <w:rPr>
          <w:rFonts w:asciiTheme="minorHAnsi" w:eastAsiaTheme="minorEastAsia" w:hAnsiTheme="minorHAnsi" w:cstheme="minorBidi"/>
          <w:noProof/>
          <w:sz w:val="22"/>
          <w:szCs w:val="22"/>
          <w:lang w:val="it-CH" w:eastAsia="it-CH"/>
        </w:rPr>
      </w:pPr>
      <w:hyperlink w:anchor="_Toc18318595" w:history="1">
        <w:r w:rsidR="0008336B" w:rsidRPr="0008336B">
          <w:rPr>
            <w:rStyle w:val="Collegamentoipertestuale"/>
            <w:noProof/>
            <w:sz w:val="22"/>
            <w:szCs w:val="22"/>
          </w:rPr>
          <w:t>V.</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Relazione con il piano finanziario 2015-2019</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_Toc18318595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3</w:t>
        </w:r>
        <w:r w:rsidR="0008336B" w:rsidRPr="0008336B">
          <w:rPr>
            <w:noProof/>
            <w:webHidden/>
            <w:sz w:val="22"/>
            <w:szCs w:val="22"/>
          </w:rPr>
          <w:fldChar w:fldCharType="end"/>
        </w:r>
      </w:hyperlink>
    </w:p>
    <w:p w:rsidR="0008336B" w:rsidRPr="0008336B" w:rsidRDefault="00170C58" w:rsidP="0008336B">
      <w:pPr>
        <w:pStyle w:val="Sommario1"/>
        <w:rPr>
          <w:rFonts w:asciiTheme="minorHAnsi" w:eastAsiaTheme="minorEastAsia" w:hAnsiTheme="minorHAnsi" w:cstheme="minorBidi"/>
          <w:noProof/>
          <w:sz w:val="22"/>
          <w:szCs w:val="22"/>
          <w:lang w:val="it-CH" w:eastAsia="it-CH"/>
        </w:rPr>
      </w:pPr>
      <w:hyperlink w:anchor="_Toc18318596" w:history="1">
        <w:r w:rsidR="0008336B" w:rsidRPr="0008336B">
          <w:rPr>
            <w:rStyle w:val="Collegamentoipertestuale"/>
            <w:noProof/>
            <w:sz w:val="22"/>
            <w:szCs w:val="22"/>
          </w:rPr>
          <w:t>VI.</w:t>
        </w:r>
        <w:r w:rsidR="0008336B" w:rsidRPr="0008336B">
          <w:rPr>
            <w:rFonts w:asciiTheme="minorHAnsi" w:eastAsiaTheme="minorEastAsia" w:hAnsiTheme="minorHAnsi" w:cstheme="minorBidi"/>
            <w:noProof/>
            <w:sz w:val="22"/>
            <w:szCs w:val="22"/>
            <w:lang w:val="it-CH" w:eastAsia="it-CH"/>
          </w:rPr>
          <w:tab/>
        </w:r>
        <w:r w:rsidR="0008336B" w:rsidRPr="0008336B">
          <w:rPr>
            <w:rStyle w:val="Collegamentoipertestuale"/>
            <w:noProof/>
            <w:sz w:val="22"/>
            <w:szCs w:val="22"/>
          </w:rPr>
          <w:t>Discussione commissionale e conclusioni</w:t>
        </w:r>
        <w:r w:rsidR="0008336B" w:rsidRPr="0008336B">
          <w:rPr>
            <w:noProof/>
            <w:webHidden/>
            <w:sz w:val="22"/>
            <w:szCs w:val="22"/>
          </w:rPr>
          <w:tab/>
        </w:r>
        <w:r w:rsidR="0008336B" w:rsidRPr="0008336B">
          <w:rPr>
            <w:noProof/>
            <w:webHidden/>
            <w:sz w:val="22"/>
            <w:szCs w:val="22"/>
          </w:rPr>
          <w:fldChar w:fldCharType="begin"/>
        </w:r>
        <w:r w:rsidR="0008336B" w:rsidRPr="0008336B">
          <w:rPr>
            <w:noProof/>
            <w:webHidden/>
            <w:sz w:val="22"/>
            <w:szCs w:val="22"/>
          </w:rPr>
          <w:instrText xml:space="preserve"> PAGEREF _Toc18318596 \h </w:instrText>
        </w:r>
        <w:r w:rsidR="0008336B" w:rsidRPr="0008336B">
          <w:rPr>
            <w:noProof/>
            <w:webHidden/>
            <w:sz w:val="22"/>
            <w:szCs w:val="22"/>
          </w:rPr>
        </w:r>
        <w:r w:rsidR="0008336B" w:rsidRPr="0008336B">
          <w:rPr>
            <w:noProof/>
            <w:webHidden/>
            <w:sz w:val="22"/>
            <w:szCs w:val="22"/>
          </w:rPr>
          <w:fldChar w:fldCharType="separate"/>
        </w:r>
        <w:r>
          <w:rPr>
            <w:noProof/>
            <w:webHidden/>
            <w:sz w:val="22"/>
            <w:szCs w:val="22"/>
          </w:rPr>
          <w:t>3</w:t>
        </w:r>
        <w:r w:rsidR="0008336B" w:rsidRPr="0008336B">
          <w:rPr>
            <w:noProof/>
            <w:webHidden/>
            <w:sz w:val="22"/>
            <w:szCs w:val="22"/>
          </w:rPr>
          <w:fldChar w:fldCharType="end"/>
        </w:r>
      </w:hyperlink>
    </w:p>
    <w:p w:rsidR="0008336B" w:rsidRDefault="0008336B" w:rsidP="005B6CFE">
      <w:pPr>
        <w:rPr>
          <w:rFonts w:cs="Arial"/>
          <w:szCs w:val="24"/>
        </w:rPr>
      </w:pPr>
      <w:r w:rsidRPr="0008336B">
        <w:rPr>
          <w:rFonts w:cs="Arial"/>
          <w:sz w:val="22"/>
        </w:rPr>
        <w:fldChar w:fldCharType="end"/>
      </w:r>
    </w:p>
    <w:p w:rsidR="0008336B" w:rsidRPr="0008336B" w:rsidRDefault="0008336B" w:rsidP="0008336B">
      <w:pPr>
        <w:tabs>
          <w:tab w:val="left" w:pos="567"/>
          <w:tab w:val="right" w:leader="dot" w:pos="9639"/>
        </w:tabs>
        <w:rPr>
          <w:rFonts w:cs="Arial"/>
          <w:sz w:val="22"/>
        </w:rPr>
      </w:pPr>
      <w:r w:rsidRPr="0008336B">
        <w:rPr>
          <w:rFonts w:cs="Arial"/>
          <w:sz w:val="22"/>
        </w:rPr>
        <w:tab/>
        <w:t>DISEGNO DI LEGGE</w:t>
      </w:r>
      <w:r w:rsidRPr="0008336B">
        <w:rPr>
          <w:rFonts w:cs="Arial"/>
          <w:sz w:val="22"/>
        </w:rPr>
        <w:tab/>
      </w:r>
      <w:r w:rsidR="00777ED6">
        <w:rPr>
          <w:rFonts w:cs="Arial"/>
          <w:sz w:val="22"/>
        </w:rPr>
        <w:t>5</w:t>
      </w:r>
    </w:p>
    <w:p w:rsidR="0008336B" w:rsidRDefault="0008336B" w:rsidP="005B6CFE">
      <w:pPr>
        <w:rPr>
          <w:rFonts w:cs="Arial"/>
          <w:szCs w:val="24"/>
        </w:rPr>
      </w:pPr>
    </w:p>
    <w:p w:rsidR="0008336B" w:rsidRDefault="0008336B" w:rsidP="005B6CFE">
      <w:pPr>
        <w:rPr>
          <w:rFonts w:cs="Arial"/>
          <w:szCs w:val="24"/>
        </w:rPr>
      </w:pPr>
    </w:p>
    <w:p w:rsidR="005B6CFE" w:rsidRDefault="005B6CFE" w:rsidP="005B6CFE">
      <w:pPr>
        <w:rPr>
          <w:rFonts w:cs="Arial"/>
          <w:szCs w:val="24"/>
        </w:rPr>
      </w:pPr>
    </w:p>
    <w:p w:rsidR="005B6CFE" w:rsidRPr="00B860C2" w:rsidRDefault="005B6CFE" w:rsidP="005B6CFE">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5B6CFE" w:rsidRDefault="005B6CFE" w:rsidP="005B6CFE">
      <w:pPr>
        <w:rPr>
          <w:rFonts w:cs="Arial"/>
          <w:szCs w:val="24"/>
        </w:rPr>
      </w:pPr>
    </w:p>
    <w:p w:rsidR="005B6CFE" w:rsidRDefault="005B6CFE" w:rsidP="005B6CFE">
      <w:pPr>
        <w:rPr>
          <w:rFonts w:cs="Arial"/>
          <w:szCs w:val="24"/>
        </w:rPr>
      </w:pPr>
    </w:p>
    <w:p w:rsidR="0008336B" w:rsidRDefault="0008336B" w:rsidP="005B6CFE">
      <w:pPr>
        <w:rPr>
          <w:rFonts w:cs="Arial"/>
          <w:szCs w:val="24"/>
        </w:rPr>
      </w:pPr>
    </w:p>
    <w:p w:rsidR="005B6CFE" w:rsidRPr="00B91B5B" w:rsidRDefault="005B6CFE" w:rsidP="005B6CFE">
      <w:pPr>
        <w:rPr>
          <w:rFonts w:cs="Arial"/>
          <w:szCs w:val="24"/>
        </w:rPr>
      </w:pPr>
    </w:p>
    <w:p w:rsidR="005B6CFE" w:rsidRPr="00B91B5B" w:rsidRDefault="005B6CFE" w:rsidP="00777ED6">
      <w:pPr>
        <w:pStyle w:val="Titolo1"/>
      </w:pPr>
      <w:bookmarkStart w:id="2" w:name="_Toc18318589"/>
      <w:r w:rsidRPr="00B91B5B">
        <w:t>INTRODUZIONE</w:t>
      </w:r>
      <w:bookmarkEnd w:id="2"/>
    </w:p>
    <w:p w:rsidR="005B6CFE" w:rsidRPr="00B91B5B" w:rsidRDefault="005B6CFE" w:rsidP="005B6CFE">
      <w:pPr>
        <w:rPr>
          <w:rFonts w:cs="Arial"/>
          <w:szCs w:val="24"/>
        </w:rPr>
      </w:pPr>
      <w:r w:rsidRPr="00B91B5B">
        <w:rPr>
          <w:rFonts w:cs="Arial"/>
          <w:szCs w:val="24"/>
        </w:rPr>
        <w:t xml:space="preserve">La proposta di modifica parziale della Legge sull’organizzazione giudiziaria del 10 maggio 2006 (LOG, RL 177.100) è necessaria per poter garantire il buon funzionamento della giustizia penale cantonale. L’onere lavorativo del Tribunale penale cantonale (in seguito: TPC) è aumentato a causa dell’assunzione di nuove competenze scaturite da modifiche legislative federali, dell’accresciuta complessità degli incarti, come pure dai potenziamenti di risorse degli anni scorsi nelle autorità del perseguimento penale. Il potenziamento qui formulato è stato concordato con l’Autorità giudiziaria medesima e avallato dal Consiglio della magistratura. </w:t>
      </w:r>
    </w:p>
    <w:p w:rsidR="005B6CFE" w:rsidRDefault="005B6CFE" w:rsidP="005B6CFE">
      <w:pPr>
        <w:rPr>
          <w:rFonts w:cs="Arial"/>
          <w:szCs w:val="24"/>
        </w:rPr>
      </w:pPr>
    </w:p>
    <w:p w:rsidR="0008336B" w:rsidRDefault="0008336B">
      <w:pPr>
        <w:rPr>
          <w:b/>
          <w:caps/>
          <w:szCs w:val="24"/>
          <w:lang w:val="it-IT" w:eastAsia="it-IT"/>
        </w:rPr>
      </w:pPr>
      <w:r>
        <w:br w:type="page"/>
      </w:r>
    </w:p>
    <w:p w:rsidR="005B6CFE" w:rsidRPr="005B6CFE" w:rsidRDefault="005B6CFE" w:rsidP="00777ED6">
      <w:pPr>
        <w:pStyle w:val="Titolo1"/>
      </w:pPr>
      <w:bookmarkStart w:id="3" w:name="_Toc18318590"/>
      <w:r w:rsidRPr="005B6CFE">
        <w:lastRenderedPageBreak/>
        <w:t>POTENZIAMENTO DEL TPC</w:t>
      </w:r>
      <w:bookmarkEnd w:id="3"/>
    </w:p>
    <w:p w:rsidR="005B6CFE" w:rsidRPr="00B91B5B" w:rsidRDefault="005B6CFE" w:rsidP="0008336B">
      <w:pPr>
        <w:pStyle w:val="Titolo2"/>
      </w:pPr>
      <w:bookmarkStart w:id="4" w:name="_Toc18318591"/>
      <w:r w:rsidRPr="00B91B5B">
        <w:t>A.</w:t>
      </w:r>
      <w:r w:rsidRPr="00B91B5B">
        <w:tab/>
        <w:t>Ragioni del potenziamento</w:t>
      </w:r>
      <w:bookmarkEnd w:id="4"/>
    </w:p>
    <w:p w:rsidR="005B6CFE" w:rsidRPr="00B91B5B" w:rsidRDefault="005B6CFE" w:rsidP="005B6CFE">
      <w:pPr>
        <w:rPr>
          <w:rFonts w:cs="Arial"/>
          <w:szCs w:val="24"/>
        </w:rPr>
      </w:pPr>
      <w:r w:rsidRPr="00B91B5B">
        <w:rPr>
          <w:rFonts w:cs="Arial"/>
          <w:szCs w:val="24"/>
        </w:rPr>
        <w:t>La situazione del TPC è stata attentamente esaminata, tenendo conto di quanto evidenziato nei Rendiconti annuali del Consiglio della magistratura e delle autorità giudiziarie (in seguito: Rendiconti). L’evoluzione dell’attività presso il TPC è riassunta nella tabella seguente:</w:t>
      </w:r>
    </w:p>
    <w:p w:rsidR="005B6CFE" w:rsidRPr="00B91B5B" w:rsidRDefault="005B6CFE" w:rsidP="005B6CFE">
      <w:pPr>
        <w:rPr>
          <w:rFonts w:cs="Arial"/>
          <w:szCs w:val="24"/>
        </w:rPr>
      </w:pPr>
    </w:p>
    <w:tbl>
      <w:tblPr>
        <w:tblW w:w="9220" w:type="dxa"/>
        <w:jc w:val="center"/>
        <w:tblCellMar>
          <w:left w:w="70" w:type="dxa"/>
          <w:right w:w="70" w:type="dxa"/>
        </w:tblCellMar>
        <w:tblLook w:val="04A0" w:firstRow="1" w:lastRow="0" w:firstColumn="1" w:lastColumn="0" w:noHBand="0" w:noVBand="1"/>
      </w:tblPr>
      <w:tblGrid>
        <w:gridCol w:w="1540"/>
        <w:gridCol w:w="960"/>
        <w:gridCol w:w="960"/>
        <w:gridCol w:w="960"/>
        <w:gridCol w:w="960"/>
        <w:gridCol w:w="960"/>
        <w:gridCol w:w="960"/>
        <w:gridCol w:w="960"/>
        <w:gridCol w:w="960"/>
      </w:tblGrid>
      <w:tr w:rsidR="005B6CFE" w:rsidRPr="0008336B" w:rsidTr="005A7A99">
        <w:trPr>
          <w:trHeight w:val="31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6CFE" w:rsidRPr="0008336B" w:rsidRDefault="005B6CFE" w:rsidP="005A7A99">
            <w:pPr>
              <w:rPr>
                <w:rFonts w:cs="Arial"/>
                <w:color w:val="000000"/>
                <w:sz w:val="22"/>
                <w:lang w:eastAsia="it-CH"/>
              </w:rPr>
            </w:pPr>
            <w:r w:rsidRPr="0008336B">
              <w:rPr>
                <w:rFonts w:cs="Arial"/>
                <w:color w:val="000000"/>
                <w:sz w:val="22"/>
                <w:lang w:eastAsia="it-CH"/>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2013</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b/>
                <w:bCs/>
                <w:color w:val="000000"/>
                <w:sz w:val="22"/>
                <w:lang w:eastAsia="it-CH"/>
              </w:rPr>
            </w:pPr>
            <w:r w:rsidRPr="0008336B">
              <w:rPr>
                <w:rFonts w:cs="Arial"/>
                <w:b/>
                <w:bCs/>
                <w:color w:val="000000"/>
                <w:sz w:val="22"/>
                <w:lang w:eastAsia="it-CH"/>
              </w:rPr>
              <w:t>2018</w:t>
            </w:r>
          </w:p>
        </w:tc>
      </w:tr>
      <w:tr w:rsidR="005B6CFE" w:rsidRPr="0008336B" w:rsidTr="005A7A99">
        <w:trPr>
          <w:trHeight w:val="315"/>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5B6CFE" w:rsidRPr="0008336B" w:rsidRDefault="005B6CFE" w:rsidP="005A7A99">
            <w:pPr>
              <w:rPr>
                <w:rFonts w:cs="Arial"/>
                <w:i/>
                <w:iCs/>
                <w:color w:val="000000"/>
                <w:sz w:val="22"/>
                <w:lang w:eastAsia="it-CH"/>
              </w:rPr>
            </w:pPr>
            <w:r w:rsidRPr="0008336B">
              <w:rPr>
                <w:rFonts w:cs="Arial"/>
                <w:i/>
                <w:iCs/>
                <w:color w:val="000000"/>
                <w:sz w:val="22"/>
                <w:lang w:eastAsia="it-CH"/>
              </w:rPr>
              <w:t>Entrate</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133</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147</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165</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170</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219</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237</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246</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284</w:t>
            </w:r>
          </w:p>
        </w:tc>
      </w:tr>
      <w:tr w:rsidR="005B6CFE" w:rsidRPr="0008336B" w:rsidTr="005A7A99">
        <w:trPr>
          <w:trHeight w:val="315"/>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5B6CFE" w:rsidRPr="0008336B" w:rsidRDefault="005B6CFE" w:rsidP="005A7A99">
            <w:pPr>
              <w:rPr>
                <w:rFonts w:cs="Arial"/>
                <w:i/>
                <w:iCs/>
                <w:color w:val="000000"/>
                <w:sz w:val="22"/>
                <w:lang w:eastAsia="it-CH"/>
              </w:rPr>
            </w:pPr>
            <w:r w:rsidRPr="0008336B">
              <w:rPr>
                <w:rFonts w:cs="Arial"/>
                <w:i/>
                <w:iCs/>
                <w:color w:val="000000"/>
                <w:sz w:val="22"/>
                <w:lang w:eastAsia="it-CH"/>
              </w:rPr>
              <w:t>Incarti chiusi</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115</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160</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170</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155</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161</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220</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193</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306</w:t>
            </w:r>
          </w:p>
        </w:tc>
      </w:tr>
      <w:tr w:rsidR="005B6CFE" w:rsidRPr="0008336B" w:rsidTr="005A7A99">
        <w:trPr>
          <w:trHeight w:val="315"/>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5B6CFE" w:rsidRPr="0008336B" w:rsidRDefault="005B6CFE" w:rsidP="005A7A99">
            <w:pPr>
              <w:rPr>
                <w:rFonts w:cs="Arial"/>
                <w:i/>
                <w:iCs/>
                <w:color w:val="000000"/>
                <w:sz w:val="22"/>
                <w:lang w:eastAsia="it-CH"/>
              </w:rPr>
            </w:pPr>
            <w:r w:rsidRPr="0008336B">
              <w:rPr>
                <w:rFonts w:cs="Arial"/>
                <w:i/>
                <w:iCs/>
                <w:color w:val="000000"/>
                <w:sz w:val="22"/>
                <w:lang w:eastAsia="it-CH"/>
              </w:rPr>
              <w:t xml:space="preserve">Giacenze </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114</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101</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96</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111</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169</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186</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234</w:t>
            </w:r>
          </w:p>
        </w:tc>
        <w:tc>
          <w:tcPr>
            <w:tcW w:w="960" w:type="dxa"/>
            <w:tcBorders>
              <w:top w:val="nil"/>
              <w:left w:val="nil"/>
              <w:bottom w:val="single" w:sz="8" w:space="0" w:color="auto"/>
              <w:right w:val="single" w:sz="8" w:space="0" w:color="auto"/>
            </w:tcBorders>
            <w:shd w:val="clear" w:color="auto" w:fill="auto"/>
            <w:noWrap/>
            <w:vAlign w:val="center"/>
            <w:hideMark/>
          </w:tcPr>
          <w:p w:rsidR="005B6CFE" w:rsidRPr="0008336B" w:rsidRDefault="005B6CFE" w:rsidP="005A7A99">
            <w:pPr>
              <w:jc w:val="right"/>
              <w:rPr>
                <w:rFonts w:cs="Arial"/>
                <w:color w:val="000000"/>
                <w:sz w:val="22"/>
                <w:lang w:eastAsia="it-CH"/>
              </w:rPr>
            </w:pPr>
            <w:r w:rsidRPr="0008336B">
              <w:rPr>
                <w:rFonts w:cs="Arial"/>
                <w:color w:val="000000"/>
                <w:sz w:val="22"/>
                <w:lang w:eastAsia="it-CH"/>
              </w:rPr>
              <w:t>216</w:t>
            </w:r>
          </w:p>
        </w:tc>
      </w:tr>
    </w:tbl>
    <w:p w:rsidR="005B6CFE" w:rsidRPr="00B91B5B" w:rsidRDefault="005B6CFE" w:rsidP="005B6CFE">
      <w:pPr>
        <w:rPr>
          <w:rFonts w:cs="Arial"/>
          <w:szCs w:val="24"/>
        </w:rPr>
      </w:pPr>
    </w:p>
    <w:p w:rsidR="005B6CFE" w:rsidRPr="00B91B5B" w:rsidRDefault="005B6CFE" w:rsidP="005B6CFE">
      <w:pPr>
        <w:rPr>
          <w:rFonts w:cs="Arial"/>
          <w:szCs w:val="24"/>
        </w:rPr>
      </w:pPr>
      <w:r w:rsidRPr="00B91B5B">
        <w:rPr>
          <w:rFonts w:cs="Arial"/>
          <w:szCs w:val="24"/>
        </w:rPr>
        <w:t xml:space="preserve">Nel Rendiconto 2015 il TPC aveva fatto presente una situazione definita </w:t>
      </w:r>
      <w:r>
        <w:rPr>
          <w:rFonts w:cs="Arial"/>
          <w:i/>
          <w:iCs/>
          <w:szCs w:val="24"/>
        </w:rPr>
        <w:t>«</w:t>
      </w:r>
      <w:r w:rsidRPr="00B91B5B">
        <w:rPr>
          <w:rFonts w:cs="Arial"/>
          <w:i/>
          <w:iCs/>
          <w:szCs w:val="24"/>
        </w:rPr>
        <w:t>ancora non preoccupante, ma da tenere sotto controllo</w:t>
      </w:r>
      <w:r>
        <w:rPr>
          <w:rFonts w:cs="Arial"/>
          <w:i/>
          <w:iCs/>
          <w:szCs w:val="24"/>
        </w:rPr>
        <w:t>»</w:t>
      </w:r>
      <w:r w:rsidRPr="00B91B5B">
        <w:rPr>
          <w:rFonts w:cs="Arial"/>
          <w:szCs w:val="24"/>
        </w:rPr>
        <w:t>. La tendenza all’aumento degli incarti si è tuttavia registrata anche nel 2016. Il Tribunale era riuscito a far fronte a questo incremento grazie all’impegno di un Giudice supplente che aveva presieduto diversi dibattimenti relativi ai decreti d’accusa. Una risorsa, questa, ritenuta esaurita non essendo possibile chiedere un ulteriore i</w:t>
      </w:r>
      <w:r>
        <w:rPr>
          <w:rFonts w:cs="Arial"/>
          <w:szCs w:val="24"/>
        </w:rPr>
        <w:t>mpegno al magistrato supplente.</w:t>
      </w:r>
    </w:p>
    <w:p w:rsidR="005B6CFE" w:rsidRPr="0008336B" w:rsidRDefault="005B6CFE" w:rsidP="005B6CFE">
      <w:pPr>
        <w:rPr>
          <w:rFonts w:cs="Arial"/>
          <w:sz w:val="18"/>
          <w:szCs w:val="18"/>
        </w:rPr>
      </w:pPr>
    </w:p>
    <w:p w:rsidR="005B6CFE" w:rsidRPr="00B91B5B" w:rsidRDefault="005B6CFE" w:rsidP="005B6CFE">
      <w:pPr>
        <w:rPr>
          <w:rFonts w:cs="Arial"/>
          <w:szCs w:val="24"/>
        </w:rPr>
      </w:pPr>
      <w:r w:rsidRPr="00B91B5B">
        <w:rPr>
          <w:rFonts w:cs="Arial"/>
          <w:szCs w:val="24"/>
        </w:rPr>
        <w:t>Con scritto</w:t>
      </w:r>
      <w:r>
        <w:rPr>
          <w:rFonts w:cs="Arial"/>
          <w:szCs w:val="24"/>
        </w:rPr>
        <w:t xml:space="preserve"> del</w:t>
      </w:r>
      <w:r w:rsidRPr="00B91B5B">
        <w:rPr>
          <w:rFonts w:cs="Arial"/>
          <w:szCs w:val="24"/>
        </w:rPr>
        <w:t xml:space="preserve"> 24 ottobre 2016 indirizzato al Dipartimento delle istituzioni, i quattro magistrati del TPC hanno evidenziato la difficile e preoccupante situazione che contraddistingueva la loro attività a fronte di un</w:t>
      </w:r>
      <w:r>
        <w:rPr>
          <w:rFonts w:cs="Arial"/>
          <w:szCs w:val="24"/>
        </w:rPr>
        <w:t>a notevole</w:t>
      </w:r>
      <w:r w:rsidRPr="00B91B5B">
        <w:rPr>
          <w:rFonts w:cs="Arial"/>
          <w:szCs w:val="24"/>
        </w:rPr>
        <w:t xml:space="preserve"> crescita a livello degli incarti in entrata avvenuta negli ultimi anni (dati 2011-2015). Postulavano di conseguenza un potenziamento del personale giurista a disposizione nella misura di 4.0 unit</w:t>
      </w:r>
      <w:r>
        <w:rPr>
          <w:rFonts w:cs="Arial"/>
          <w:szCs w:val="24"/>
        </w:rPr>
        <w:t>à di vicecancellieri-redattori.</w:t>
      </w:r>
    </w:p>
    <w:p w:rsidR="005B6CFE" w:rsidRPr="0008336B" w:rsidRDefault="005B6CFE" w:rsidP="005B6CFE">
      <w:pPr>
        <w:rPr>
          <w:rFonts w:cs="Arial"/>
          <w:sz w:val="18"/>
          <w:szCs w:val="18"/>
          <w:highlight w:val="yellow"/>
        </w:rPr>
      </w:pPr>
    </w:p>
    <w:p w:rsidR="005B6CFE" w:rsidRPr="00B91B5B" w:rsidRDefault="005B6CFE" w:rsidP="005B6CFE">
      <w:pPr>
        <w:rPr>
          <w:rFonts w:cs="Arial"/>
          <w:szCs w:val="24"/>
        </w:rPr>
      </w:pPr>
      <w:r w:rsidRPr="00B91B5B">
        <w:rPr>
          <w:rFonts w:cs="Arial"/>
          <w:szCs w:val="24"/>
        </w:rPr>
        <w:t xml:space="preserve">Il Consiglio della Magistratura si è espresso in merito il 15 maggio 2017, preavvisando positivamente la richiesta. Il 5 luglio 2017 il Consiglio di Stato ha accolto parzialmente la richiesta del TPC, e a partire dal 1. agosto 2017 sono quindi state attribuite al Tribunale di appello 2.0 unità supplementari e temporanee nella misura del 200% di vicecancellieri-redattori fino al 31 dicembre 2018, da assegnare esclusivamente al TPC. Il Governo ha chiesto all’Ufficio giudiziario in questione di trasmettere entro il 31 luglio 2018 un rapporto che illustrasse la situazione dell’Autorità giudiziaria alla luce dell’attività svolta dai due vicecancellieri-redattori attribuiti e una valutazione ai fini del buon funzionamento del Tribunale. Il 16 maggio 2018 il TPC ha dato seguito alla richiesta governativa, segnalando come nonostante il beneficio apportato dall’attribuzione delle 2.0 unità di vicecancellieri-redattori, la situazione si fosse </w:t>
      </w:r>
      <w:r>
        <w:rPr>
          <w:rFonts w:cs="Arial"/>
          <w:i/>
          <w:iCs/>
          <w:szCs w:val="24"/>
        </w:rPr>
        <w:t>«</w:t>
      </w:r>
      <w:r w:rsidRPr="00B91B5B">
        <w:rPr>
          <w:rFonts w:cs="Arial"/>
          <w:i/>
          <w:iCs/>
          <w:szCs w:val="24"/>
        </w:rPr>
        <w:t>ulteriormente appesantita</w:t>
      </w:r>
      <w:r>
        <w:rPr>
          <w:rFonts w:cs="Arial"/>
          <w:i/>
          <w:iCs/>
          <w:szCs w:val="24"/>
        </w:rPr>
        <w:t>»</w:t>
      </w:r>
      <w:r w:rsidRPr="00B91B5B">
        <w:rPr>
          <w:rFonts w:cs="Arial"/>
          <w:szCs w:val="24"/>
        </w:rPr>
        <w:t xml:space="preserve"> raggiungendo </w:t>
      </w:r>
      <w:r>
        <w:rPr>
          <w:rFonts w:cs="Arial"/>
          <w:i/>
          <w:iCs/>
          <w:szCs w:val="24"/>
        </w:rPr>
        <w:t>«</w:t>
      </w:r>
      <w:r w:rsidRPr="00B91B5B">
        <w:rPr>
          <w:rFonts w:cs="Arial"/>
          <w:i/>
          <w:iCs/>
          <w:szCs w:val="24"/>
        </w:rPr>
        <w:t>livelli di difficile tolleranza</w:t>
      </w:r>
      <w:r>
        <w:rPr>
          <w:rFonts w:cs="Arial"/>
          <w:i/>
          <w:iCs/>
          <w:szCs w:val="24"/>
        </w:rPr>
        <w:t>»</w:t>
      </w:r>
      <w:r w:rsidRPr="00B91B5B">
        <w:rPr>
          <w:rFonts w:cs="Arial"/>
          <w:szCs w:val="24"/>
        </w:rPr>
        <w:t>.</w:t>
      </w:r>
    </w:p>
    <w:p w:rsidR="005B6CFE" w:rsidRPr="0008336B" w:rsidRDefault="005B6CFE" w:rsidP="005B6CFE">
      <w:pPr>
        <w:rPr>
          <w:rFonts w:cs="Arial"/>
          <w:sz w:val="18"/>
          <w:szCs w:val="18"/>
        </w:rPr>
      </w:pPr>
    </w:p>
    <w:p w:rsidR="005B6CFE" w:rsidRDefault="005B6CFE" w:rsidP="005B6CFE">
      <w:pPr>
        <w:rPr>
          <w:rFonts w:cs="Arial"/>
          <w:szCs w:val="24"/>
        </w:rPr>
      </w:pPr>
      <w:r w:rsidRPr="00B91B5B">
        <w:rPr>
          <w:rFonts w:cs="Arial"/>
          <w:szCs w:val="24"/>
        </w:rPr>
        <w:t xml:space="preserve">Nel Rendiconto 2017 del TPC </w:t>
      </w:r>
      <w:r>
        <w:rPr>
          <w:rFonts w:cs="Arial"/>
          <w:szCs w:val="24"/>
        </w:rPr>
        <w:t>si</w:t>
      </w:r>
      <w:r w:rsidRPr="00B91B5B">
        <w:rPr>
          <w:rFonts w:cs="Arial"/>
          <w:szCs w:val="24"/>
        </w:rPr>
        <w:t xml:space="preserve"> evidenzia</w:t>
      </w:r>
      <w:r>
        <w:rPr>
          <w:rFonts w:cs="Arial"/>
          <w:szCs w:val="24"/>
        </w:rPr>
        <w:t>va</w:t>
      </w:r>
      <w:r w:rsidRPr="00B91B5B">
        <w:rPr>
          <w:rFonts w:cs="Arial"/>
          <w:szCs w:val="24"/>
        </w:rPr>
        <w:t xml:space="preserve"> il costante aumento del carico di lavoro, una situazione definita preoccupante, anche in relazione al potenziamento parziale concesso dal Governo a partire dall’agosto del 2017. Il Rapporto del 16 maggio 2018 dei Giudici del TPC concludeva evidenziando in particola</w:t>
      </w:r>
      <w:r>
        <w:rPr>
          <w:rFonts w:cs="Arial"/>
          <w:szCs w:val="24"/>
        </w:rPr>
        <w:t xml:space="preserve">re come in soli quattro </w:t>
      </w:r>
      <w:r w:rsidRPr="00B91B5B">
        <w:rPr>
          <w:rFonts w:cs="Arial"/>
          <w:szCs w:val="24"/>
        </w:rPr>
        <w:t>G</w:t>
      </w:r>
      <w:r>
        <w:rPr>
          <w:rFonts w:cs="Arial"/>
          <w:szCs w:val="24"/>
        </w:rPr>
        <w:t>iudici</w:t>
      </w:r>
      <w:r w:rsidRPr="00B91B5B">
        <w:rPr>
          <w:rFonts w:cs="Arial"/>
          <w:szCs w:val="24"/>
        </w:rPr>
        <w:t xml:space="preserve"> a quel momento non fosse più possibile garantire l’evasione celere delle pratiche ai sensi dell’art. 5 CPP. A mente del Tribunale, tale difficile situazione imponeva interventi urgenti, primo fra tutti, anche per frenare l’accumularsi di giacenze e constatato il caso di impedimento di carattere durevole di cui all’art. 24 LOG, </w:t>
      </w:r>
      <w:r>
        <w:rPr>
          <w:rFonts w:cs="Arial"/>
          <w:i/>
          <w:iCs/>
          <w:szCs w:val="24"/>
        </w:rPr>
        <w:t>«</w:t>
      </w:r>
      <w:r w:rsidRPr="00B91B5B">
        <w:rPr>
          <w:rFonts w:cs="Arial"/>
          <w:i/>
          <w:iCs/>
          <w:szCs w:val="24"/>
        </w:rPr>
        <w:t xml:space="preserve">la designazione di un </w:t>
      </w:r>
      <w:r w:rsidRPr="00D60408">
        <w:rPr>
          <w:rFonts w:cs="Arial"/>
          <w:i/>
          <w:szCs w:val="24"/>
        </w:rPr>
        <w:t>G</w:t>
      </w:r>
      <w:r w:rsidRPr="00B91B5B">
        <w:rPr>
          <w:rFonts w:cs="Arial"/>
          <w:i/>
          <w:iCs/>
          <w:szCs w:val="24"/>
        </w:rPr>
        <w:t>iudice straordinario per la durata di due anni a partire, al più tardi, dalla prossima estate, nonché il mantenimento di due vicecancellieri straordinari, trasformandoli in unità ordinarie</w:t>
      </w:r>
      <w:r>
        <w:rPr>
          <w:rFonts w:cs="Arial"/>
          <w:i/>
          <w:iCs/>
          <w:szCs w:val="24"/>
        </w:rPr>
        <w:t>»</w:t>
      </w:r>
      <w:r>
        <w:rPr>
          <w:rFonts w:cs="Arial"/>
          <w:szCs w:val="24"/>
        </w:rPr>
        <w:t xml:space="preserve">. </w:t>
      </w:r>
      <w:r w:rsidRPr="00B91B5B">
        <w:rPr>
          <w:rFonts w:cs="Arial"/>
          <w:szCs w:val="24"/>
        </w:rPr>
        <w:t xml:space="preserve">Nell’ottica di </w:t>
      </w:r>
      <w:r w:rsidRPr="00B91B5B">
        <w:rPr>
          <w:rFonts w:cs="Arial"/>
          <w:szCs w:val="24"/>
        </w:rPr>
        <w:lastRenderedPageBreak/>
        <w:t>efficienza, il Tribunale proponeva quindi di assegnare la funzione di Giudice supplente ex art. 24 LOG all’avv. Manuela Frequin Taminelli, da anni collaboratrice del Tribunale.</w:t>
      </w:r>
    </w:p>
    <w:p w:rsidR="005B6CFE" w:rsidRPr="0008336B" w:rsidRDefault="005B6CFE" w:rsidP="005B6CFE">
      <w:pPr>
        <w:rPr>
          <w:rFonts w:cs="Arial"/>
          <w:sz w:val="18"/>
          <w:szCs w:val="18"/>
        </w:rPr>
      </w:pPr>
    </w:p>
    <w:p w:rsidR="005B6CFE" w:rsidRDefault="005B6CFE" w:rsidP="005B6CFE">
      <w:pPr>
        <w:rPr>
          <w:rFonts w:cs="Arial"/>
          <w:szCs w:val="24"/>
        </w:rPr>
      </w:pPr>
      <w:r w:rsidRPr="00B91B5B">
        <w:rPr>
          <w:rFonts w:cs="Arial"/>
          <w:szCs w:val="24"/>
        </w:rPr>
        <w:t>La richiesta di potenziamento del TPC è stata portata dinanzi al Consiglio della magistratura che ha espresso preavviso favorevole il 13 giugno 2018. Il 3 agosto 2018 il Governo ha quindi designato a decorrere dal 1. settembre 2018 – sino al più tardi alla pubblicazione del bando di concorso relativo al nuovo giudice ordinario presso il TPC – quale nuovo Giudice supplente ex art. 24 LOG del Tribunale di appello, assegnata al TPC, l’</w:t>
      </w:r>
      <w:r>
        <w:rPr>
          <w:rFonts w:cs="Arial"/>
          <w:szCs w:val="24"/>
        </w:rPr>
        <w:t>avv. Manuela Frequin Taminelli.</w:t>
      </w:r>
    </w:p>
    <w:p w:rsidR="005B6CFE" w:rsidRPr="0008336B" w:rsidRDefault="005B6CFE" w:rsidP="005B6CFE">
      <w:pPr>
        <w:rPr>
          <w:rFonts w:cs="Arial"/>
          <w:sz w:val="18"/>
          <w:szCs w:val="18"/>
        </w:rPr>
      </w:pPr>
    </w:p>
    <w:p w:rsidR="005B6CFE" w:rsidRPr="00B91B5B" w:rsidRDefault="005B6CFE" w:rsidP="005B6CFE">
      <w:pPr>
        <w:rPr>
          <w:rFonts w:cs="Arial"/>
          <w:szCs w:val="24"/>
        </w:rPr>
      </w:pPr>
      <w:r w:rsidRPr="00B91B5B">
        <w:rPr>
          <w:rFonts w:cs="Arial"/>
          <w:szCs w:val="24"/>
        </w:rPr>
        <w:t>Infine, il Rendiconto 2018 conferma un aumento del numero dei nuovi incarti presso il T</w:t>
      </w:r>
      <w:r>
        <w:rPr>
          <w:rFonts w:cs="Arial"/>
          <w:szCs w:val="24"/>
        </w:rPr>
        <w:t>PC</w:t>
      </w:r>
      <w:r w:rsidRPr="00B91B5B">
        <w:rPr>
          <w:rFonts w:cs="Arial"/>
          <w:szCs w:val="24"/>
        </w:rPr>
        <w:t xml:space="preserve">, </w:t>
      </w:r>
      <w:r>
        <w:rPr>
          <w:rFonts w:cs="Arial"/>
          <w:szCs w:val="24"/>
        </w:rPr>
        <w:t xml:space="preserve">che hanno </w:t>
      </w:r>
      <w:r w:rsidRPr="00B91B5B">
        <w:rPr>
          <w:rFonts w:cs="Arial"/>
          <w:szCs w:val="24"/>
        </w:rPr>
        <w:t>raggiun</w:t>
      </w:r>
      <w:r>
        <w:rPr>
          <w:rFonts w:cs="Arial"/>
          <w:szCs w:val="24"/>
        </w:rPr>
        <w:t>t</w:t>
      </w:r>
      <w:r w:rsidRPr="00B91B5B">
        <w:rPr>
          <w:rFonts w:cs="Arial"/>
          <w:szCs w:val="24"/>
        </w:rPr>
        <w:t>o la qu</w:t>
      </w:r>
      <w:r>
        <w:rPr>
          <w:rFonts w:cs="Arial"/>
          <w:szCs w:val="24"/>
        </w:rPr>
        <w:t>ota ragguardevole di 284 unità.</w:t>
      </w:r>
    </w:p>
    <w:p w:rsidR="005B6CFE" w:rsidRPr="0008336B" w:rsidRDefault="005B6CFE" w:rsidP="005B6CFE">
      <w:pPr>
        <w:rPr>
          <w:rFonts w:cs="Arial"/>
          <w:sz w:val="18"/>
          <w:szCs w:val="18"/>
        </w:rPr>
      </w:pPr>
    </w:p>
    <w:p w:rsidR="005B6CFE" w:rsidRPr="0008336B" w:rsidRDefault="005B6CFE" w:rsidP="005B6CFE">
      <w:pPr>
        <w:rPr>
          <w:rFonts w:cs="Arial"/>
          <w:sz w:val="18"/>
          <w:szCs w:val="18"/>
        </w:rPr>
      </w:pPr>
    </w:p>
    <w:p w:rsidR="005B6CFE" w:rsidRPr="00B91B5B" w:rsidRDefault="005B6CFE" w:rsidP="0008336B">
      <w:pPr>
        <w:pStyle w:val="Titolo2"/>
      </w:pPr>
      <w:bookmarkStart w:id="5" w:name="_Toc18318592"/>
      <w:r w:rsidRPr="00B91B5B">
        <w:t>B.</w:t>
      </w:r>
      <w:r w:rsidRPr="00B91B5B">
        <w:tab/>
        <w:t>La proposta</w:t>
      </w:r>
      <w:bookmarkEnd w:id="5"/>
    </w:p>
    <w:p w:rsidR="005B6CFE" w:rsidRPr="00B91B5B" w:rsidRDefault="005B6CFE" w:rsidP="005B6CFE">
      <w:pPr>
        <w:rPr>
          <w:rFonts w:cs="Arial"/>
          <w:szCs w:val="24"/>
        </w:rPr>
      </w:pPr>
      <w:r w:rsidRPr="00B91B5B">
        <w:rPr>
          <w:rFonts w:cs="Arial"/>
          <w:szCs w:val="24"/>
        </w:rPr>
        <w:t xml:space="preserve">Con il messaggio oggetto del presente rapporto, si vuole modificare parzialmente la LOG per aumentare di un’unità il numero di Giudici ordinari del Tribunale d’appello, attribuendola esclusivamente al TPC, il quale avrà così cinque Giudici al posto di quattro. Tale soluzione rende definitiva la situazione provvisoria di nomina del Giudice supplente ex art. 24 LOG. </w:t>
      </w:r>
    </w:p>
    <w:p w:rsidR="005B6CFE" w:rsidRPr="0008336B" w:rsidRDefault="005B6CFE" w:rsidP="005B6CFE">
      <w:pPr>
        <w:rPr>
          <w:rFonts w:cs="Arial"/>
          <w:sz w:val="28"/>
          <w:szCs w:val="28"/>
        </w:rPr>
      </w:pPr>
    </w:p>
    <w:p w:rsidR="005B6CFE" w:rsidRPr="0008336B" w:rsidRDefault="005B6CFE" w:rsidP="005B6CFE">
      <w:pPr>
        <w:rPr>
          <w:rFonts w:cs="Arial"/>
          <w:sz w:val="28"/>
          <w:szCs w:val="28"/>
        </w:rPr>
      </w:pPr>
    </w:p>
    <w:p w:rsidR="005B6CFE" w:rsidRPr="005B6CFE" w:rsidRDefault="005B6CFE" w:rsidP="00777ED6">
      <w:pPr>
        <w:pStyle w:val="Titolo1"/>
      </w:pPr>
      <w:bookmarkStart w:id="6" w:name="_Toc18318593"/>
      <w:r w:rsidRPr="005B6CFE">
        <w:t>Impatto finanziario e sulle risorse umane</w:t>
      </w:r>
      <w:bookmarkEnd w:id="6"/>
    </w:p>
    <w:p w:rsidR="005B6CFE" w:rsidRPr="00B91B5B" w:rsidRDefault="005B6CFE" w:rsidP="005B6CFE">
      <w:pPr>
        <w:rPr>
          <w:rFonts w:cs="Arial"/>
          <w:szCs w:val="24"/>
        </w:rPr>
      </w:pPr>
      <w:r w:rsidRPr="00B91B5B">
        <w:rPr>
          <w:rFonts w:cs="Arial"/>
          <w:szCs w:val="24"/>
        </w:rPr>
        <w:t>A livello finanziario e sulle risorse umane, il consolidamento di un giudice ordinario presso il TPC implica un onere finanziario quantificato in 281'121</w:t>
      </w:r>
      <w:r>
        <w:rPr>
          <w:rFonts w:cs="Arial"/>
          <w:szCs w:val="24"/>
        </w:rPr>
        <w:t xml:space="preserve"> franchi</w:t>
      </w:r>
      <w:r w:rsidRPr="00B91B5B">
        <w:rPr>
          <w:rFonts w:cs="Arial"/>
          <w:szCs w:val="24"/>
        </w:rPr>
        <w:t xml:space="preserve">, tenendo conto degli oneri sociali e degli altri oneri. Questo onere finanziario aggiuntivo è stato previsto nell’ambito del </w:t>
      </w:r>
      <w:r w:rsidRPr="00D60408">
        <w:rPr>
          <w:rFonts w:cs="Arial"/>
          <w:i/>
          <w:szCs w:val="24"/>
        </w:rPr>
        <w:t>Preventivo 2019</w:t>
      </w:r>
      <w:r w:rsidRPr="00B91B5B">
        <w:rPr>
          <w:rFonts w:cs="Arial"/>
          <w:szCs w:val="24"/>
        </w:rPr>
        <w:t xml:space="preserve"> dello Stato approvato dal Parlamento, nello specif</w:t>
      </w:r>
      <w:r>
        <w:rPr>
          <w:rFonts w:cs="Arial"/>
          <w:szCs w:val="24"/>
        </w:rPr>
        <w:t xml:space="preserve">ico all’interno dei </w:t>
      </w:r>
      <w:r w:rsidRPr="00D60408">
        <w:rPr>
          <w:rFonts w:cs="Arial"/>
          <w:i/>
          <w:szCs w:val="24"/>
        </w:rPr>
        <w:t>Nuovi oneri inclusi in tendenza</w:t>
      </w:r>
      <w:r w:rsidRPr="00B91B5B">
        <w:rPr>
          <w:rFonts w:cs="Arial"/>
          <w:szCs w:val="24"/>
        </w:rPr>
        <w:t>.</w:t>
      </w:r>
    </w:p>
    <w:p w:rsidR="005B6CFE" w:rsidRPr="0008336B" w:rsidRDefault="005B6CFE" w:rsidP="005B6CFE">
      <w:pPr>
        <w:rPr>
          <w:rFonts w:cs="Arial"/>
          <w:sz w:val="28"/>
          <w:szCs w:val="28"/>
        </w:rPr>
      </w:pPr>
    </w:p>
    <w:p w:rsidR="005B6CFE" w:rsidRPr="0008336B" w:rsidRDefault="005B6CFE" w:rsidP="005B6CFE">
      <w:pPr>
        <w:rPr>
          <w:rFonts w:cs="Arial"/>
          <w:sz w:val="28"/>
          <w:szCs w:val="28"/>
        </w:rPr>
      </w:pPr>
    </w:p>
    <w:p w:rsidR="005B6CFE" w:rsidRPr="005B6CFE" w:rsidRDefault="005B6CFE" w:rsidP="00777ED6">
      <w:pPr>
        <w:pStyle w:val="Titolo1"/>
      </w:pPr>
      <w:bookmarkStart w:id="7" w:name="_Toc18318594"/>
      <w:r w:rsidRPr="005B6CFE">
        <w:t>Logistica e stima dei costi</w:t>
      </w:r>
      <w:bookmarkEnd w:id="7"/>
    </w:p>
    <w:p w:rsidR="005B6CFE" w:rsidRPr="00B91B5B" w:rsidRDefault="005B6CFE" w:rsidP="005B6CFE">
      <w:pPr>
        <w:rPr>
          <w:rFonts w:cs="Arial"/>
          <w:szCs w:val="24"/>
        </w:rPr>
      </w:pPr>
      <w:r w:rsidRPr="00B91B5B">
        <w:rPr>
          <w:rFonts w:cs="Arial"/>
          <w:szCs w:val="24"/>
        </w:rPr>
        <w:t>In relazione al potenziamento del TPC non sono previsti particolari oneri dal profilo logistico.</w:t>
      </w:r>
    </w:p>
    <w:p w:rsidR="005B6CFE" w:rsidRPr="0008336B" w:rsidRDefault="005B6CFE" w:rsidP="005B6CFE">
      <w:pPr>
        <w:rPr>
          <w:rFonts w:cs="Arial"/>
          <w:sz w:val="28"/>
          <w:szCs w:val="28"/>
        </w:rPr>
      </w:pPr>
    </w:p>
    <w:p w:rsidR="005B6CFE" w:rsidRPr="0008336B" w:rsidRDefault="005B6CFE" w:rsidP="005B6CFE">
      <w:pPr>
        <w:rPr>
          <w:rFonts w:cs="Arial"/>
          <w:sz w:val="28"/>
          <w:szCs w:val="28"/>
        </w:rPr>
      </w:pPr>
    </w:p>
    <w:p w:rsidR="005B6CFE" w:rsidRPr="005B6CFE" w:rsidRDefault="005B6CFE" w:rsidP="00777ED6">
      <w:pPr>
        <w:pStyle w:val="Titolo1"/>
      </w:pPr>
      <w:bookmarkStart w:id="8" w:name="_Toc18318595"/>
      <w:r w:rsidRPr="005B6CFE">
        <w:t>Relazione con il piano finanziario 2015-2019</w:t>
      </w:r>
      <w:bookmarkEnd w:id="8"/>
    </w:p>
    <w:p w:rsidR="005B6CFE" w:rsidRPr="00B91B5B" w:rsidRDefault="005B6CFE" w:rsidP="005B6CFE">
      <w:pPr>
        <w:rPr>
          <w:rFonts w:cs="Arial"/>
          <w:szCs w:val="24"/>
        </w:rPr>
      </w:pPr>
      <w:r w:rsidRPr="00B91B5B">
        <w:rPr>
          <w:rFonts w:cs="Arial"/>
          <w:szCs w:val="24"/>
        </w:rPr>
        <w:t xml:space="preserve">I potenziamenti della Magistratura di cui al messaggio oggetto del presente rapporto s’inseriscono coerentemente con le </w:t>
      </w:r>
      <w:r w:rsidRPr="00D60408">
        <w:rPr>
          <w:rFonts w:cs="Arial"/>
          <w:i/>
          <w:szCs w:val="24"/>
        </w:rPr>
        <w:t>Linee direttive 2015-2019</w:t>
      </w:r>
      <w:r w:rsidRPr="00B91B5B">
        <w:rPr>
          <w:rFonts w:cs="Arial"/>
          <w:szCs w:val="24"/>
        </w:rPr>
        <w:t xml:space="preserve"> del Consiglio di Stato, in p</w:t>
      </w:r>
      <w:r>
        <w:rPr>
          <w:rFonts w:cs="Arial"/>
          <w:szCs w:val="24"/>
        </w:rPr>
        <w:t xml:space="preserve">articolare con il Capitolo 2.3 </w:t>
      </w:r>
      <w:r w:rsidRPr="00D60408">
        <w:rPr>
          <w:rFonts w:cs="Arial"/>
          <w:i/>
          <w:szCs w:val="24"/>
        </w:rPr>
        <w:t>Popolazione e flussi migratori</w:t>
      </w:r>
      <w:r>
        <w:rPr>
          <w:rFonts w:cs="Arial"/>
          <w:szCs w:val="24"/>
        </w:rPr>
        <w:t>, Scheda n. 24</w:t>
      </w:r>
      <w:r w:rsidRPr="00D60408">
        <w:rPr>
          <w:rFonts w:cs="Arial"/>
          <w:i/>
          <w:szCs w:val="24"/>
        </w:rPr>
        <w:t xml:space="preserve"> Riforma del Potere giudiziario</w:t>
      </w:r>
      <w:r w:rsidRPr="00B91B5B">
        <w:rPr>
          <w:rFonts w:cs="Arial"/>
          <w:szCs w:val="24"/>
        </w:rPr>
        <w:t>.</w:t>
      </w:r>
    </w:p>
    <w:p w:rsidR="005B6CFE" w:rsidRPr="0008336B" w:rsidRDefault="005B6CFE" w:rsidP="005B6CFE">
      <w:pPr>
        <w:rPr>
          <w:rFonts w:cs="Arial"/>
          <w:sz w:val="28"/>
          <w:szCs w:val="28"/>
        </w:rPr>
      </w:pPr>
    </w:p>
    <w:p w:rsidR="005B6CFE" w:rsidRPr="0008336B" w:rsidRDefault="005B6CFE" w:rsidP="005B6CFE">
      <w:pPr>
        <w:rPr>
          <w:rFonts w:cs="Arial"/>
          <w:sz w:val="28"/>
          <w:szCs w:val="28"/>
        </w:rPr>
      </w:pPr>
    </w:p>
    <w:p w:rsidR="005B6CFE" w:rsidRPr="005B6CFE" w:rsidRDefault="005B6CFE" w:rsidP="00777ED6">
      <w:pPr>
        <w:pStyle w:val="Titolo1"/>
      </w:pPr>
      <w:bookmarkStart w:id="9" w:name="_Toc18318596"/>
      <w:r w:rsidRPr="005B6CFE">
        <w:t>Discussione commissionale e conclusioni</w:t>
      </w:r>
      <w:bookmarkEnd w:id="9"/>
    </w:p>
    <w:p w:rsidR="005B6CFE" w:rsidRPr="00B91B5B" w:rsidRDefault="005B6CFE" w:rsidP="005B6CFE">
      <w:pPr>
        <w:rPr>
          <w:rFonts w:cs="Arial"/>
          <w:szCs w:val="24"/>
        </w:rPr>
      </w:pPr>
      <w:r w:rsidRPr="00B91B5B">
        <w:rPr>
          <w:rFonts w:cs="Arial"/>
          <w:szCs w:val="24"/>
        </w:rPr>
        <w:t>Il potenziamento del TPC impone di modificare non solo l’art. 42 cpv. 1 LOG, come indicato nel messaggio, bensì anche l’art. 50 cpv. 1 LOG, aumentando il numero di Giudici del TPC da quattro a cinque, come indicato nel disegno di legge allegato al presente rapporto.</w:t>
      </w:r>
    </w:p>
    <w:p w:rsidR="005B6CFE" w:rsidRDefault="005B6CFE" w:rsidP="005B6CFE">
      <w:pPr>
        <w:rPr>
          <w:rFonts w:cs="Arial"/>
          <w:szCs w:val="24"/>
        </w:rPr>
      </w:pPr>
    </w:p>
    <w:p w:rsidR="005B6CFE" w:rsidRDefault="005B6CFE" w:rsidP="005B6CFE">
      <w:pPr>
        <w:rPr>
          <w:rFonts w:cs="Arial"/>
          <w:szCs w:val="24"/>
        </w:rPr>
      </w:pPr>
      <w:r>
        <w:rPr>
          <w:rFonts w:cs="Arial"/>
          <w:szCs w:val="24"/>
        </w:rPr>
        <w:t>La Commissione all'unanimità solleva perplessità sul modo di procedere del Consiglio di Stato, nel senso che vengono portati avanti singoli messaggi di potenziamento senza che vi sia un concreto progetto di riorganizzazione generale della Giustizia. Inoltre, anche in relazione ai singoli messaggi prospettati dal Dipartimento delle istituzioni, non sono chiare le tempistiche della loro presentazione.</w:t>
      </w:r>
    </w:p>
    <w:p w:rsidR="005B6CFE" w:rsidRDefault="005B6CFE" w:rsidP="005B6CFE">
      <w:pPr>
        <w:rPr>
          <w:rFonts w:cs="Arial"/>
          <w:szCs w:val="24"/>
        </w:rPr>
      </w:pPr>
    </w:p>
    <w:p w:rsidR="005B6CFE" w:rsidRDefault="005B6CFE" w:rsidP="005B6CFE">
      <w:pPr>
        <w:rPr>
          <w:rFonts w:cs="Arial"/>
          <w:szCs w:val="24"/>
        </w:rPr>
      </w:pPr>
    </w:p>
    <w:p w:rsidR="005B6CFE" w:rsidRPr="00B860C2" w:rsidRDefault="005B6CFE" w:rsidP="005B6CFE">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5B6CFE" w:rsidRDefault="005B6CFE" w:rsidP="005B6CFE">
      <w:pPr>
        <w:rPr>
          <w:rFonts w:cs="Arial"/>
          <w:szCs w:val="24"/>
        </w:rPr>
      </w:pPr>
    </w:p>
    <w:p w:rsidR="005B6CFE" w:rsidRPr="00B91B5B" w:rsidRDefault="005B6CFE" w:rsidP="005B6CFE">
      <w:pPr>
        <w:rPr>
          <w:rFonts w:cs="Arial"/>
          <w:szCs w:val="24"/>
        </w:rPr>
      </w:pPr>
    </w:p>
    <w:p w:rsidR="005B6CFE" w:rsidRPr="00B91B5B" w:rsidRDefault="005B6CFE" w:rsidP="005B6CFE">
      <w:pPr>
        <w:rPr>
          <w:rFonts w:cs="Arial"/>
          <w:szCs w:val="24"/>
        </w:rPr>
      </w:pPr>
      <w:r>
        <w:rPr>
          <w:rFonts w:cs="Arial"/>
          <w:szCs w:val="24"/>
        </w:rPr>
        <w:t>Fatte le menzionate aggiunte</w:t>
      </w:r>
      <w:r w:rsidRPr="00B91B5B">
        <w:rPr>
          <w:rFonts w:cs="Arial"/>
          <w:szCs w:val="24"/>
        </w:rPr>
        <w:t>, si invita il Parlamento ad accogliere la proposta di potenziamento del Tribunale di appello con un Giudice ordinario da attribuire al TPC</w:t>
      </w:r>
      <w:r w:rsidR="0008336B">
        <w:rPr>
          <w:rFonts w:cs="Arial"/>
          <w:szCs w:val="24"/>
        </w:rPr>
        <w:t xml:space="preserve"> e ad approvare la modifica di legge annessa al presente rapporto.</w:t>
      </w:r>
    </w:p>
    <w:p w:rsidR="005B6CFE" w:rsidRDefault="005B6CFE" w:rsidP="005B6CFE">
      <w:pPr>
        <w:rPr>
          <w:rFonts w:cs="Arial"/>
          <w:szCs w:val="24"/>
        </w:rPr>
      </w:pPr>
    </w:p>
    <w:p w:rsidR="005B6CFE" w:rsidRDefault="005B6CFE" w:rsidP="005B6CFE">
      <w:pPr>
        <w:rPr>
          <w:rFonts w:cs="Arial"/>
          <w:szCs w:val="24"/>
        </w:rPr>
      </w:pPr>
    </w:p>
    <w:p w:rsidR="005B6CFE" w:rsidRPr="00B91B5B" w:rsidRDefault="005B6CFE" w:rsidP="005B6CFE">
      <w:pPr>
        <w:rPr>
          <w:rFonts w:cs="Arial"/>
          <w:szCs w:val="24"/>
        </w:rPr>
      </w:pPr>
    </w:p>
    <w:p w:rsidR="005B6CFE" w:rsidRPr="00B91B5B" w:rsidRDefault="00777ED6" w:rsidP="005B6CFE">
      <w:pPr>
        <w:spacing w:after="120"/>
        <w:rPr>
          <w:rFonts w:cs="Arial"/>
          <w:szCs w:val="24"/>
        </w:rPr>
      </w:pPr>
      <w:r>
        <w:rPr>
          <w:rFonts w:cs="Arial"/>
          <w:szCs w:val="24"/>
        </w:rPr>
        <w:t>Per la C</w:t>
      </w:r>
      <w:r w:rsidR="005B6CFE" w:rsidRPr="00B91B5B">
        <w:rPr>
          <w:rFonts w:cs="Arial"/>
          <w:szCs w:val="24"/>
        </w:rPr>
        <w:t>ommissione giustizia e diritti</w:t>
      </w:r>
    </w:p>
    <w:p w:rsidR="005B6CFE" w:rsidRDefault="005B6CFE" w:rsidP="005B6CFE">
      <w:pPr>
        <w:rPr>
          <w:rFonts w:cs="Arial"/>
          <w:szCs w:val="24"/>
        </w:rPr>
      </w:pPr>
      <w:r w:rsidRPr="00B91B5B">
        <w:rPr>
          <w:rFonts w:cs="Arial"/>
          <w:szCs w:val="24"/>
        </w:rPr>
        <w:t>Sabrina Gendotti</w:t>
      </w:r>
      <w:r>
        <w:rPr>
          <w:rFonts w:cs="Arial"/>
          <w:szCs w:val="24"/>
        </w:rPr>
        <w:t>, relatrice</w:t>
      </w:r>
    </w:p>
    <w:p w:rsidR="00D2727D" w:rsidRDefault="0008336B" w:rsidP="0008336B">
      <w:pPr>
        <w:rPr>
          <w:rFonts w:cs="Arial"/>
        </w:rPr>
      </w:pPr>
      <w:r>
        <w:rPr>
          <w:rFonts w:cs="Arial"/>
        </w:rPr>
        <w:t xml:space="preserve">Aldi - Ay - Bertoli - Corti (con riserva) - Fonio - </w:t>
      </w:r>
    </w:p>
    <w:p w:rsidR="00D2727D" w:rsidRDefault="0008336B" w:rsidP="0008336B">
      <w:pPr>
        <w:rPr>
          <w:rFonts w:cs="Arial"/>
        </w:rPr>
      </w:pPr>
      <w:r>
        <w:rPr>
          <w:rFonts w:cs="Arial"/>
        </w:rPr>
        <w:t xml:space="preserve">Galusero - Lepori - </w:t>
      </w:r>
      <w:r w:rsidR="00D2727D">
        <w:rPr>
          <w:rFonts w:cs="Arial"/>
        </w:rPr>
        <w:t xml:space="preserve">Maderni - </w:t>
      </w:r>
      <w:r>
        <w:rPr>
          <w:rFonts w:cs="Arial"/>
        </w:rPr>
        <w:t xml:space="preserve">Minotti - Noi - </w:t>
      </w:r>
    </w:p>
    <w:p w:rsidR="00D2727D" w:rsidRDefault="0008336B" w:rsidP="0008336B">
      <w:pPr>
        <w:rPr>
          <w:rFonts w:cs="Arial"/>
        </w:rPr>
      </w:pPr>
      <w:r>
        <w:rPr>
          <w:rFonts w:cs="Arial"/>
        </w:rPr>
        <w:t xml:space="preserve">Pagani - Petrini - </w:t>
      </w:r>
      <w:r w:rsidR="00D2727D">
        <w:rPr>
          <w:rFonts w:cs="Arial"/>
        </w:rPr>
        <w:t xml:space="preserve">Ris - Rückert (per le conclusioni) - </w:t>
      </w:r>
    </w:p>
    <w:p w:rsidR="0008336B" w:rsidRPr="005E5056" w:rsidRDefault="00D2727D" w:rsidP="0008336B">
      <w:pPr>
        <w:rPr>
          <w:rFonts w:cs="Arial"/>
        </w:rPr>
      </w:pPr>
      <w:r>
        <w:rPr>
          <w:rFonts w:cs="Arial"/>
        </w:rPr>
        <w:t xml:space="preserve">Soldati - </w:t>
      </w:r>
      <w:r w:rsidR="0008336B">
        <w:rPr>
          <w:rFonts w:cs="Arial"/>
        </w:rPr>
        <w:t>Viscardi</w:t>
      </w:r>
    </w:p>
    <w:p w:rsidR="005B6CFE" w:rsidRDefault="005B6CFE" w:rsidP="005B6CFE">
      <w:pPr>
        <w:rPr>
          <w:rFonts w:cs="Arial"/>
          <w:szCs w:val="24"/>
        </w:rPr>
      </w:pPr>
    </w:p>
    <w:p w:rsidR="005B6CFE" w:rsidRDefault="005B6CFE" w:rsidP="005B6CFE">
      <w:pPr>
        <w:rPr>
          <w:rFonts w:cs="Arial"/>
          <w:szCs w:val="24"/>
        </w:rPr>
      </w:pPr>
      <w:r>
        <w:rPr>
          <w:rFonts w:cs="Arial"/>
          <w:szCs w:val="24"/>
        </w:rPr>
        <w:br w:type="page"/>
      </w:r>
    </w:p>
    <w:p w:rsidR="005B6CFE" w:rsidRPr="00B91B5B" w:rsidRDefault="005B6CFE" w:rsidP="005B6CFE">
      <w:pPr>
        <w:tabs>
          <w:tab w:val="left" w:pos="708"/>
        </w:tabs>
        <w:rPr>
          <w:rFonts w:cs="Arial"/>
          <w:szCs w:val="24"/>
        </w:rPr>
      </w:pPr>
      <w:r w:rsidRPr="00B91B5B">
        <w:rPr>
          <w:rFonts w:cs="Arial"/>
          <w:szCs w:val="24"/>
        </w:rPr>
        <w:t>Disegno di</w:t>
      </w:r>
    </w:p>
    <w:p w:rsidR="005B6CFE" w:rsidRPr="00B91B5B" w:rsidRDefault="005B6CFE" w:rsidP="005B6CFE">
      <w:pPr>
        <w:tabs>
          <w:tab w:val="left" w:pos="708"/>
        </w:tabs>
        <w:rPr>
          <w:rFonts w:cs="Arial"/>
          <w:szCs w:val="24"/>
        </w:rPr>
      </w:pPr>
    </w:p>
    <w:p w:rsidR="005B6CFE" w:rsidRPr="00B91B5B" w:rsidRDefault="005B6CFE" w:rsidP="0008336B">
      <w:pPr>
        <w:tabs>
          <w:tab w:val="left" w:pos="708"/>
        </w:tabs>
        <w:spacing w:before="120" w:after="120"/>
        <w:rPr>
          <w:rFonts w:cs="Arial"/>
          <w:b/>
          <w:szCs w:val="24"/>
        </w:rPr>
      </w:pPr>
      <w:r w:rsidRPr="00B91B5B">
        <w:rPr>
          <w:rFonts w:cs="Arial"/>
          <w:b/>
          <w:szCs w:val="24"/>
        </w:rPr>
        <w:t>LEGGE</w:t>
      </w:r>
    </w:p>
    <w:p w:rsidR="005B6CFE" w:rsidRPr="00B91B5B" w:rsidRDefault="005B6CFE" w:rsidP="005B6CFE">
      <w:pPr>
        <w:tabs>
          <w:tab w:val="left" w:pos="708"/>
        </w:tabs>
        <w:rPr>
          <w:rFonts w:cs="Arial"/>
          <w:b/>
          <w:szCs w:val="24"/>
        </w:rPr>
      </w:pPr>
      <w:r w:rsidRPr="00B91B5B">
        <w:rPr>
          <w:rFonts w:cs="Arial"/>
          <w:b/>
          <w:szCs w:val="24"/>
        </w:rPr>
        <w:t>sull’organizzazione giudiziaria del 10 maggio 2006; modifica</w:t>
      </w: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szCs w:val="24"/>
        </w:rPr>
      </w:pPr>
      <w:r w:rsidRPr="00B91B5B">
        <w:rPr>
          <w:rFonts w:cs="Arial"/>
          <w:szCs w:val="24"/>
        </w:rPr>
        <w:t>IL GRAN CONSIGLIO</w:t>
      </w:r>
    </w:p>
    <w:p w:rsidR="005B6CFE" w:rsidRPr="00B91B5B" w:rsidRDefault="005B6CFE" w:rsidP="005B6CFE">
      <w:pPr>
        <w:tabs>
          <w:tab w:val="left" w:pos="708"/>
        </w:tabs>
        <w:rPr>
          <w:rFonts w:cs="Arial"/>
          <w:szCs w:val="24"/>
        </w:rPr>
      </w:pPr>
      <w:r w:rsidRPr="00B91B5B">
        <w:rPr>
          <w:rFonts w:cs="Arial"/>
          <w:szCs w:val="24"/>
        </w:rPr>
        <w:t>DELLA REPUBBLICA E CANTONE TICINO</w:t>
      </w:r>
    </w:p>
    <w:p w:rsidR="005B6CFE" w:rsidRPr="00B91B5B" w:rsidRDefault="005B6CFE" w:rsidP="005B6CFE">
      <w:pPr>
        <w:tabs>
          <w:tab w:val="left" w:pos="708"/>
        </w:tabs>
        <w:rPr>
          <w:rFonts w:cs="Arial"/>
          <w:szCs w:val="24"/>
        </w:rPr>
      </w:pPr>
    </w:p>
    <w:p w:rsidR="005B6CFE" w:rsidRDefault="005B6CFE" w:rsidP="0008336B">
      <w:pPr>
        <w:pStyle w:val="Paragrafoelenco"/>
        <w:numPr>
          <w:ilvl w:val="0"/>
          <w:numId w:val="20"/>
        </w:numPr>
        <w:tabs>
          <w:tab w:val="left" w:pos="284"/>
        </w:tabs>
        <w:ind w:left="284" w:hanging="284"/>
        <w:rPr>
          <w:rFonts w:cs="Arial"/>
          <w:szCs w:val="24"/>
        </w:rPr>
      </w:pPr>
      <w:r w:rsidRPr="0008336B">
        <w:rPr>
          <w:rFonts w:cs="Arial"/>
          <w:szCs w:val="24"/>
        </w:rPr>
        <w:t>visto il messaggio 22 maggio 2019</w:t>
      </w:r>
      <w:r w:rsidR="0008336B">
        <w:rPr>
          <w:rFonts w:cs="Arial"/>
          <w:szCs w:val="24"/>
        </w:rPr>
        <w:t xml:space="preserve"> n. 7667 del Consiglio di Stato;</w:t>
      </w:r>
    </w:p>
    <w:p w:rsidR="0008336B" w:rsidRPr="0008336B" w:rsidRDefault="0008336B" w:rsidP="0008336B">
      <w:pPr>
        <w:pStyle w:val="Paragrafoelenco"/>
        <w:numPr>
          <w:ilvl w:val="0"/>
          <w:numId w:val="20"/>
        </w:numPr>
        <w:tabs>
          <w:tab w:val="left" w:pos="284"/>
        </w:tabs>
        <w:spacing w:before="120"/>
        <w:ind w:left="284" w:hanging="284"/>
        <w:rPr>
          <w:rFonts w:cs="Arial"/>
          <w:szCs w:val="24"/>
        </w:rPr>
      </w:pPr>
      <w:r>
        <w:rPr>
          <w:rFonts w:cs="Arial"/>
          <w:szCs w:val="24"/>
        </w:rPr>
        <w:t>visto il rapporto 2 settembre 2019 n. 7667R della Commissione giustizia e diritti</w:t>
      </w: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b/>
          <w:szCs w:val="24"/>
        </w:rPr>
      </w:pPr>
      <w:r w:rsidRPr="00B91B5B">
        <w:rPr>
          <w:rFonts w:cs="Arial"/>
          <w:b/>
          <w:szCs w:val="24"/>
        </w:rPr>
        <w:t>d e c r e t a :</w:t>
      </w: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b/>
          <w:szCs w:val="24"/>
        </w:rPr>
      </w:pPr>
      <w:r w:rsidRPr="00B91B5B">
        <w:rPr>
          <w:rFonts w:cs="Arial"/>
          <w:b/>
          <w:szCs w:val="24"/>
        </w:rPr>
        <w:t>I</w:t>
      </w:r>
    </w:p>
    <w:p w:rsidR="005B6CFE" w:rsidRPr="00B91B5B" w:rsidRDefault="005B6CFE" w:rsidP="0008336B">
      <w:pPr>
        <w:tabs>
          <w:tab w:val="left" w:pos="708"/>
        </w:tabs>
        <w:spacing w:before="120"/>
        <w:rPr>
          <w:rFonts w:cs="Arial"/>
          <w:szCs w:val="24"/>
        </w:rPr>
      </w:pPr>
      <w:r w:rsidRPr="00B91B5B">
        <w:rPr>
          <w:rFonts w:cs="Arial"/>
          <w:szCs w:val="24"/>
        </w:rPr>
        <w:t>La legge sull’organizzazione giudiziaria del 10 maggio 2006 è così modificata:</w:t>
      </w:r>
    </w:p>
    <w:p w:rsidR="005B6CFE" w:rsidRPr="00777ED6" w:rsidRDefault="005B6CFE" w:rsidP="005B6CFE">
      <w:pPr>
        <w:tabs>
          <w:tab w:val="left" w:pos="708"/>
        </w:tabs>
        <w:rPr>
          <w:rFonts w:cs="Arial"/>
          <w:sz w:val="28"/>
          <w:szCs w:val="28"/>
        </w:rPr>
      </w:pPr>
    </w:p>
    <w:tbl>
      <w:tblPr>
        <w:tblW w:w="0" w:type="auto"/>
        <w:tblLayout w:type="fixed"/>
        <w:tblCellMar>
          <w:left w:w="70" w:type="dxa"/>
          <w:right w:w="70" w:type="dxa"/>
        </w:tblCellMar>
        <w:tblLook w:val="04A0" w:firstRow="1" w:lastRow="0" w:firstColumn="1" w:lastColumn="0" w:noHBand="0" w:noVBand="1"/>
      </w:tblPr>
      <w:tblGrid>
        <w:gridCol w:w="1771"/>
        <w:gridCol w:w="7729"/>
      </w:tblGrid>
      <w:tr w:rsidR="005B6CFE" w:rsidRPr="0008336B" w:rsidTr="005A7A99">
        <w:tc>
          <w:tcPr>
            <w:tcW w:w="9500" w:type="dxa"/>
            <w:gridSpan w:val="2"/>
          </w:tcPr>
          <w:p w:rsidR="005B6CFE" w:rsidRPr="0008336B" w:rsidRDefault="005B6CFE" w:rsidP="005A7A99">
            <w:pPr>
              <w:tabs>
                <w:tab w:val="left" w:pos="708"/>
              </w:tabs>
              <w:rPr>
                <w:rFonts w:cs="Arial"/>
                <w:sz w:val="22"/>
              </w:rPr>
            </w:pPr>
            <w:r w:rsidRPr="0008336B">
              <w:rPr>
                <w:rFonts w:cs="Arial"/>
                <w:b/>
                <w:sz w:val="22"/>
              </w:rPr>
              <w:t xml:space="preserve">Introduzione dell’abbreviazione del titolo: </w:t>
            </w:r>
            <w:r w:rsidRPr="0008336B">
              <w:rPr>
                <w:rFonts w:cs="Arial"/>
                <w:sz w:val="22"/>
              </w:rPr>
              <w:t>LOG</w:t>
            </w:r>
          </w:p>
          <w:p w:rsidR="005B6CFE" w:rsidRPr="00777ED6" w:rsidRDefault="005B6CFE" w:rsidP="005A7A99">
            <w:pPr>
              <w:tabs>
                <w:tab w:val="left" w:pos="708"/>
              </w:tabs>
              <w:rPr>
                <w:rFonts w:cs="Arial"/>
                <w:sz w:val="28"/>
                <w:szCs w:val="28"/>
              </w:rPr>
            </w:pPr>
          </w:p>
        </w:tc>
      </w:tr>
      <w:tr w:rsidR="005B6CFE" w:rsidRPr="00B91B5B" w:rsidTr="005A7A99">
        <w:tc>
          <w:tcPr>
            <w:tcW w:w="1771" w:type="dxa"/>
          </w:tcPr>
          <w:p w:rsidR="005B6CFE" w:rsidRPr="00B91B5B" w:rsidRDefault="005B6CFE" w:rsidP="005A7A99">
            <w:pPr>
              <w:tabs>
                <w:tab w:val="left" w:pos="708"/>
              </w:tabs>
              <w:rPr>
                <w:rFonts w:cs="Arial"/>
                <w:szCs w:val="24"/>
              </w:rPr>
            </w:pPr>
          </w:p>
        </w:tc>
        <w:tc>
          <w:tcPr>
            <w:tcW w:w="7729" w:type="dxa"/>
          </w:tcPr>
          <w:p w:rsidR="005B6CFE" w:rsidRPr="0008336B" w:rsidRDefault="005B6CFE" w:rsidP="005A7A99">
            <w:pPr>
              <w:tabs>
                <w:tab w:val="left" w:pos="708"/>
              </w:tabs>
              <w:rPr>
                <w:rFonts w:cs="Arial"/>
                <w:b/>
                <w:sz w:val="22"/>
              </w:rPr>
            </w:pPr>
            <w:r w:rsidRPr="0008336B">
              <w:rPr>
                <w:rFonts w:cs="Arial"/>
                <w:b/>
                <w:sz w:val="22"/>
              </w:rPr>
              <w:t>Art. 42 cpv. 1</w:t>
            </w:r>
          </w:p>
          <w:p w:rsidR="005B6CFE" w:rsidRPr="0008336B" w:rsidRDefault="005B6CFE" w:rsidP="005A7A99">
            <w:pPr>
              <w:tabs>
                <w:tab w:val="left" w:pos="708"/>
              </w:tabs>
              <w:rPr>
                <w:rFonts w:cs="Arial"/>
                <w:sz w:val="22"/>
              </w:rPr>
            </w:pPr>
          </w:p>
          <w:p w:rsidR="005B6CFE" w:rsidRPr="0008336B" w:rsidRDefault="005B6CFE" w:rsidP="005A7A99">
            <w:pPr>
              <w:tabs>
                <w:tab w:val="left" w:pos="708"/>
              </w:tabs>
              <w:rPr>
                <w:rFonts w:cs="Arial"/>
                <w:sz w:val="22"/>
              </w:rPr>
            </w:pPr>
            <w:r w:rsidRPr="0008336B">
              <w:rPr>
                <w:rFonts w:cs="Arial"/>
                <w:sz w:val="22"/>
                <w:vertAlign w:val="superscript"/>
              </w:rPr>
              <w:t>1</w:t>
            </w:r>
            <w:r w:rsidRPr="0008336B">
              <w:rPr>
                <w:rFonts w:cs="Arial"/>
                <w:sz w:val="22"/>
              </w:rPr>
              <w:t>Il Tribunale di appello è composto di 28 giudici e 16 supplenti ed è suddiviso in tre Sezioni:</w:t>
            </w:r>
          </w:p>
          <w:p w:rsidR="005B6CFE" w:rsidRPr="0008336B" w:rsidRDefault="005B6CFE" w:rsidP="0008336B">
            <w:pPr>
              <w:tabs>
                <w:tab w:val="left" w:pos="356"/>
              </w:tabs>
              <w:spacing w:before="60"/>
              <w:rPr>
                <w:rFonts w:cs="Arial"/>
                <w:sz w:val="22"/>
              </w:rPr>
            </w:pPr>
            <w:r w:rsidRPr="0008336B">
              <w:rPr>
                <w:rFonts w:cs="Arial"/>
                <w:sz w:val="22"/>
              </w:rPr>
              <w:t>a)</w:t>
            </w:r>
            <w:r w:rsidRPr="0008336B">
              <w:rPr>
                <w:rFonts w:cs="Arial"/>
                <w:sz w:val="22"/>
              </w:rPr>
              <w:tab/>
              <w:t>la Sezione di diritto civile;</w:t>
            </w:r>
          </w:p>
          <w:p w:rsidR="005B6CFE" w:rsidRPr="0008336B" w:rsidRDefault="005B6CFE" w:rsidP="0008336B">
            <w:pPr>
              <w:tabs>
                <w:tab w:val="left" w:pos="356"/>
              </w:tabs>
              <w:spacing w:before="60"/>
              <w:rPr>
                <w:rFonts w:cs="Arial"/>
                <w:sz w:val="22"/>
              </w:rPr>
            </w:pPr>
            <w:r w:rsidRPr="0008336B">
              <w:rPr>
                <w:rFonts w:cs="Arial"/>
                <w:sz w:val="22"/>
              </w:rPr>
              <w:t>b)</w:t>
            </w:r>
            <w:r w:rsidRPr="0008336B">
              <w:rPr>
                <w:rFonts w:cs="Arial"/>
                <w:sz w:val="22"/>
              </w:rPr>
              <w:tab/>
              <w:t>la Sezione di diritto pubblico;</w:t>
            </w:r>
          </w:p>
          <w:p w:rsidR="005B6CFE" w:rsidRPr="0008336B" w:rsidRDefault="005B6CFE" w:rsidP="0008336B">
            <w:pPr>
              <w:tabs>
                <w:tab w:val="left" w:pos="356"/>
              </w:tabs>
              <w:spacing w:before="60"/>
              <w:rPr>
                <w:rFonts w:cs="Arial"/>
                <w:sz w:val="22"/>
              </w:rPr>
            </w:pPr>
            <w:r w:rsidRPr="0008336B">
              <w:rPr>
                <w:rFonts w:cs="Arial"/>
                <w:sz w:val="22"/>
              </w:rPr>
              <w:t>c)</w:t>
            </w:r>
            <w:r w:rsidRPr="0008336B">
              <w:rPr>
                <w:rFonts w:cs="Arial"/>
                <w:sz w:val="22"/>
              </w:rPr>
              <w:tab/>
              <w:t>il Tribunale penale cantonale.</w:t>
            </w:r>
          </w:p>
          <w:p w:rsidR="005B6CFE" w:rsidRPr="0008336B" w:rsidRDefault="005B6CFE" w:rsidP="005A7A99">
            <w:pPr>
              <w:tabs>
                <w:tab w:val="left" w:pos="356"/>
              </w:tabs>
              <w:ind w:left="356" w:hanging="356"/>
              <w:rPr>
                <w:rFonts w:cs="Arial"/>
                <w:sz w:val="22"/>
              </w:rPr>
            </w:pPr>
          </w:p>
          <w:p w:rsidR="0008336B" w:rsidRPr="0008336B" w:rsidRDefault="0008336B" w:rsidP="005A7A99">
            <w:pPr>
              <w:tabs>
                <w:tab w:val="left" w:pos="356"/>
              </w:tabs>
              <w:ind w:left="356" w:hanging="356"/>
              <w:rPr>
                <w:rFonts w:cs="Arial"/>
                <w:sz w:val="22"/>
              </w:rPr>
            </w:pPr>
          </w:p>
        </w:tc>
      </w:tr>
      <w:tr w:rsidR="0008336B" w:rsidRPr="00B91B5B" w:rsidTr="005A7A99">
        <w:tc>
          <w:tcPr>
            <w:tcW w:w="1771" w:type="dxa"/>
          </w:tcPr>
          <w:p w:rsidR="0008336B" w:rsidRPr="00B91B5B" w:rsidRDefault="0008336B" w:rsidP="005A7A99">
            <w:pPr>
              <w:tabs>
                <w:tab w:val="left" w:pos="708"/>
              </w:tabs>
              <w:rPr>
                <w:rFonts w:cs="Arial"/>
                <w:szCs w:val="24"/>
              </w:rPr>
            </w:pPr>
          </w:p>
        </w:tc>
        <w:tc>
          <w:tcPr>
            <w:tcW w:w="7729" w:type="dxa"/>
          </w:tcPr>
          <w:p w:rsidR="0008336B" w:rsidRPr="0008336B" w:rsidRDefault="0008336B" w:rsidP="0008336B">
            <w:pPr>
              <w:tabs>
                <w:tab w:val="left" w:pos="708"/>
                <w:tab w:val="left" w:pos="1843"/>
              </w:tabs>
              <w:rPr>
                <w:rFonts w:cs="Arial"/>
                <w:b/>
                <w:bCs/>
                <w:color w:val="000000"/>
                <w:sz w:val="22"/>
              </w:rPr>
            </w:pPr>
            <w:r w:rsidRPr="0008336B">
              <w:rPr>
                <w:rFonts w:cs="Arial"/>
                <w:b/>
                <w:bCs/>
                <w:color w:val="000000"/>
                <w:sz w:val="22"/>
              </w:rPr>
              <w:t>Ar</w:t>
            </w:r>
            <w:bookmarkStart w:id="10" w:name="_ftnref66"/>
            <w:bookmarkEnd w:id="10"/>
            <w:r w:rsidRPr="0008336B">
              <w:rPr>
                <w:rFonts w:cs="Arial"/>
                <w:b/>
                <w:bCs/>
                <w:color w:val="000000"/>
                <w:sz w:val="22"/>
              </w:rPr>
              <w:t>t. 50 cpv. 1</w:t>
            </w:r>
          </w:p>
          <w:p w:rsidR="0008336B" w:rsidRPr="0008336B" w:rsidRDefault="0008336B" w:rsidP="0008336B">
            <w:pPr>
              <w:tabs>
                <w:tab w:val="left" w:pos="708"/>
                <w:tab w:val="left" w:pos="1701"/>
              </w:tabs>
              <w:rPr>
                <w:rFonts w:cs="Arial"/>
                <w:sz w:val="22"/>
              </w:rPr>
            </w:pPr>
          </w:p>
          <w:p w:rsidR="0008336B" w:rsidRPr="0008336B" w:rsidRDefault="0008336B" w:rsidP="0008336B">
            <w:pPr>
              <w:rPr>
                <w:rFonts w:cs="Arial"/>
                <w:sz w:val="22"/>
              </w:rPr>
            </w:pPr>
            <w:r w:rsidRPr="0008336B">
              <w:rPr>
                <w:rFonts w:cs="Arial"/>
                <w:color w:val="000000"/>
                <w:sz w:val="22"/>
                <w:vertAlign w:val="superscript"/>
              </w:rPr>
              <w:t>1</w:t>
            </w:r>
            <w:r w:rsidRPr="0008336B">
              <w:rPr>
                <w:rFonts w:cs="Arial"/>
                <w:color w:val="000000"/>
                <w:sz w:val="22"/>
              </w:rPr>
              <w:t>ll Tribunale penale cantonale, che comprende la Corte delle assise criminali e la Corte delle assise correzionali, è composto di cinque giudici che non fanno parte di nessun’altra Sezione o Camera del Tribunale di appello.</w:t>
            </w:r>
          </w:p>
          <w:p w:rsidR="0008336B" w:rsidRPr="0008336B" w:rsidRDefault="0008336B" w:rsidP="005A7A99">
            <w:pPr>
              <w:tabs>
                <w:tab w:val="left" w:pos="708"/>
              </w:tabs>
              <w:rPr>
                <w:rFonts w:cs="Arial"/>
                <w:b/>
                <w:sz w:val="22"/>
              </w:rPr>
            </w:pPr>
          </w:p>
        </w:tc>
      </w:tr>
    </w:tbl>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b/>
          <w:szCs w:val="24"/>
        </w:rPr>
      </w:pPr>
      <w:r w:rsidRPr="00B91B5B">
        <w:rPr>
          <w:rFonts w:cs="Arial"/>
          <w:b/>
          <w:szCs w:val="24"/>
        </w:rPr>
        <w:t>II</w:t>
      </w:r>
    </w:p>
    <w:p w:rsidR="005B6CFE" w:rsidRDefault="005B6CFE" w:rsidP="0008336B">
      <w:pPr>
        <w:tabs>
          <w:tab w:val="left" w:pos="708"/>
        </w:tabs>
        <w:spacing w:before="120"/>
        <w:rPr>
          <w:rFonts w:cs="Arial"/>
          <w:szCs w:val="24"/>
        </w:rPr>
      </w:pPr>
      <w:r w:rsidRPr="00B91B5B">
        <w:rPr>
          <w:rFonts w:cs="Arial"/>
          <w:szCs w:val="24"/>
          <w:vertAlign w:val="superscript"/>
        </w:rPr>
        <w:t>1</w:t>
      </w:r>
      <w:r w:rsidRPr="00B91B5B">
        <w:rPr>
          <w:rFonts w:cs="Arial"/>
          <w:szCs w:val="24"/>
        </w:rPr>
        <w:t>Trascorsi i termini per l’esercizio del diritto di referendum, la presente modifica di legge è pubblicata nel Bollettino ufficiale delle leggi.</w:t>
      </w:r>
    </w:p>
    <w:p w:rsidR="005B6CFE" w:rsidRPr="00B91B5B" w:rsidRDefault="005B6CFE" w:rsidP="005B6CFE">
      <w:pPr>
        <w:tabs>
          <w:tab w:val="left" w:pos="708"/>
        </w:tabs>
        <w:rPr>
          <w:rFonts w:cs="Arial"/>
          <w:szCs w:val="24"/>
        </w:rPr>
      </w:pPr>
    </w:p>
    <w:p w:rsidR="005B6CFE" w:rsidRPr="00B91B5B" w:rsidRDefault="005B6CFE" w:rsidP="005B6CFE">
      <w:pPr>
        <w:tabs>
          <w:tab w:val="left" w:pos="708"/>
        </w:tabs>
        <w:rPr>
          <w:rFonts w:cs="Arial"/>
          <w:szCs w:val="24"/>
        </w:rPr>
      </w:pPr>
      <w:r w:rsidRPr="00B91B5B">
        <w:rPr>
          <w:rFonts w:cs="Arial"/>
          <w:szCs w:val="24"/>
          <w:vertAlign w:val="superscript"/>
        </w:rPr>
        <w:t>2</w:t>
      </w:r>
      <w:r w:rsidRPr="00B91B5B">
        <w:rPr>
          <w:rFonts w:cs="Arial"/>
          <w:szCs w:val="24"/>
        </w:rPr>
        <w:t>Il Consiglio di Stato ne stabilisce la data di entrata in vigore.</w:t>
      </w:r>
    </w:p>
    <w:p w:rsidR="005B6CFE" w:rsidRPr="00B91B5B" w:rsidRDefault="005B6CFE" w:rsidP="005B6CFE">
      <w:pPr>
        <w:tabs>
          <w:tab w:val="left" w:pos="708"/>
        </w:tabs>
        <w:rPr>
          <w:rFonts w:cs="Arial"/>
          <w:szCs w:val="24"/>
        </w:rPr>
      </w:pPr>
    </w:p>
    <w:bookmarkEnd w:id="1"/>
    <w:sectPr w:rsidR="005B6CFE" w:rsidRPr="00B91B5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70C58" w:rsidRPr="00170C5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C8F7F76"/>
    <w:multiLevelType w:val="hybridMultilevel"/>
    <w:tmpl w:val="31223EE8"/>
    <w:lvl w:ilvl="0" w:tplc="A9A496E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00A7392"/>
    <w:multiLevelType w:val="hybridMultilevel"/>
    <w:tmpl w:val="E7BEE572"/>
    <w:lvl w:ilvl="0" w:tplc="C32E53C8">
      <w:start w:val="1"/>
      <w:numFmt w:val="upperRoman"/>
      <w:lvlText w:val="%1."/>
      <w:lvlJc w:val="left"/>
      <w:pPr>
        <w:ind w:left="1364" w:hanging="720"/>
      </w:pPr>
      <w:rPr>
        <w:rFonts w:hint="default"/>
      </w:rPr>
    </w:lvl>
    <w:lvl w:ilvl="1" w:tplc="C3A418E4">
      <w:start w:val="1"/>
      <w:numFmt w:val="upperLetter"/>
      <w:lvlText w:val="%2."/>
      <w:lvlJc w:val="left"/>
      <w:pPr>
        <w:ind w:left="786" w:hanging="360"/>
      </w:pPr>
      <w:rPr>
        <w:rFonts w:ascii="Arial" w:eastAsiaTheme="minorHAnsi" w:hAnsi="Arial" w:cs="Arial"/>
      </w:rPr>
    </w:lvl>
    <w:lvl w:ilvl="2" w:tplc="0810001B">
      <w:start w:val="1"/>
      <w:numFmt w:val="lowerRoman"/>
      <w:lvlText w:val="%3."/>
      <w:lvlJc w:val="right"/>
      <w:pPr>
        <w:ind w:left="2444" w:hanging="180"/>
      </w:pPr>
    </w:lvl>
    <w:lvl w:ilvl="3" w:tplc="0810000F" w:tentative="1">
      <w:start w:val="1"/>
      <w:numFmt w:val="decimal"/>
      <w:lvlText w:val="%4."/>
      <w:lvlJc w:val="left"/>
      <w:pPr>
        <w:ind w:left="3164" w:hanging="360"/>
      </w:pPr>
    </w:lvl>
    <w:lvl w:ilvl="4" w:tplc="08100019" w:tentative="1">
      <w:start w:val="1"/>
      <w:numFmt w:val="lowerLetter"/>
      <w:lvlText w:val="%5."/>
      <w:lvlJc w:val="left"/>
      <w:pPr>
        <w:ind w:left="3884" w:hanging="360"/>
      </w:pPr>
    </w:lvl>
    <w:lvl w:ilvl="5" w:tplc="0810001B" w:tentative="1">
      <w:start w:val="1"/>
      <w:numFmt w:val="lowerRoman"/>
      <w:lvlText w:val="%6."/>
      <w:lvlJc w:val="right"/>
      <w:pPr>
        <w:ind w:left="4604" w:hanging="180"/>
      </w:pPr>
    </w:lvl>
    <w:lvl w:ilvl="6" w:tplc="0810000F" w:tentative="1">
      <w:start w:val="1"/>
      <w:numFmt w:val="decimal"/>
      <w:lvlText w:val="%7."/>
      <w:lvlJc w:val="left"/>
      <w:pPr>
        <w:ind w:left="5324" w:hanging="360"/>
      </w:pPr>
    </w:lvl>
    <w:lvl w:ilvl="7" w:tplc="08100019" w:tentative="1">
      <w:start w:val="1"/>
      <w:numFmt w:val="lowerLetter"/>
      <w:lvlText w:val="%8."/>
      <w:lvlJc w:val="left"/>
      <w:pPr>
        <w:ind w:left="6044" w:hanging="360"/>
      </w:pPr>
    </w:lvl>
    <w:lvl w:ilvl="8" w:tplc="0810001B" w:tentative="1">
      <w:start w:val="1"/>
      <w:numFmt w:val="lowerRoman"/>
      <w:lvlText w:val="%9."/>
      <w:lvlJc w:val="right"/>
      <w:pPr>
        <w:ind w:left="6764" w:hanging="180"/>
      </w:pPr>
    </w:lvl>
  </w:abstractNum>
  <w:abstractNum w:abstractNumId="4">
    <w:nsid w:val="100F4BFC"/>
    <w:multiLevelType w:val="hybridMultilevel"/>
    <w:tmpl w:val="D3E462B4"/>
    <w:lvl w:ilvl="0" w:tplc="F8D4663A">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3CCA474D"/>
    <w:multiLevelType w:val="hybridMultilevel"/>
    <w:tmpl w:val="6854B5B8"/>
    <w:lvl w:ilvl="0" w:tplc="E88CE78C">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2"/>
  </w:num>
  <w:num w:numId="5">
    <w:abstractNumId w:val="8"/>
  </w:num>
  <w:num w:numId="6">
    <w:abstractNumId w:val="0"/>
  </w:num>
  <w:num w:numId="7">
    <w:abstractNumId w:val="12"/>
  </w:num>
  <w:num w:numId="8">
    <w:abstractNumId w:val="5"/>
  </w:num>
  <w:num w:numId="9">
    <w:abstractNumId w:val="10"/>
  </w:num>
  <w:num w:numId="10">
    <w:abstractNumId w:val="9"/>
  </w:num>
  <w:num w:numId="11">
    <w:abstractNumId w:val="6"/>
  </w:num>
  <w:num w:numId="12">
    <w:abstractNumId w:val="3"/>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336B"/>
    <w:rsid w:val="001574D7"/>
    <w:rsid w:val="00170C58"/>
    <w:rsid w:val="00260C8C"/>
    <w:rsid w:val="002E5E40"/>
    <w:rsid w:val="0052425A"/>
    <w:rsid w:val="00586A8D"/>
    <w:rsid w:val="005B6CFE"/>
    <w:rsid w:val="006C17AA"/>
    <w:rsid w:val="006D7A3B"/>
    <w:rsid w:val="006E4AE2"/>
    <w:rsid w:val="007352D3"/>
    <w:rsid w:val="00777ED6"/>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2727D"/>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77ED6"/>
    <w:pPr>
      <w:keepNext/>
      <w:numPr>
        <w:numId w:val="1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8336B"/>
    <w:pPr>
      <w:tabs>
        <w:tab w:val="left" w:pos="660"/>
        <w:tab w:val="right" w:leader="dot" w:pos="9628"/>
      </w:tabs>
      <w:spacing w:before="240"/>
    </w:pPr>
    <w:rPr>
      <w:rFonts w:eastAsia="Calibri" w:cs="Times New Roman"/>
      <w:caps/>
      <w:szCs w:val="24"/>
      <w:lang w:val="it-IT"/>
    </w:rPr>
  </w:style>
  <w:style w:type="character" w:customStyle="1" w:styleId="Titolo1Carattere">
    <w:name w:val="Titolo 1 Carattere"/>
    <w:basedOn w:val="Carpredefinitoparagrafo"/>
    <w:link w:val="Titolo1"/>
    <w:rsid w:val="00777ED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083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77ED6"/>
    <w:pPr>
      <w:keepNext/>
      <w:numPr>
        <w:numId w:val="1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8336B"/>
    <w:pPr>
      <w:tabs>
        <w:tab w:val="left" w:pos="660"/>
        <w:tab w:val="right" w:leader="dot" w:pos="9628"/>
      </w:tabs>
      <w:spacing w:before="240"/>
    </w:pPr>
    <w:rPr>
      <w:rFonts w:eastAsia="Calibri" w:cs="Times New Roman"/>
      <w:caps/>
      <w:szCs w:val="24"/>
      <w:lang w:val="it-IT"/>
    </w:rPr>
  </w:style>
  <w:style w:type="character" w:customStyle="1" w:styleId="Titolo1Carattere">
    <w:name w:val="Titolo 1 Carattere"/>
    <w:basedOn w:val="Carpredefinitoparagrafo"/>
    <w:link w:val="Titolo1"/>
    <w:rsid w:val="00777ED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083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6CC0-1D35-4E7D-90F5-ABE7B7AA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8062</Characters>
  <Application>Microsoft Office Word</Application>
  <DocSecurity>0</DocSecurity>
  <Lines>187</Lines>
  <Paragraphs>73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2019-09-04T09:59:00Z</cp:lastPrinted>
  <dcterms:created xsi:type="dcterms:W3CDTF">2019-09-04T09:59:00Z</dcterms:created>
  <dcterms:modified xsi:type="dcterms:W3CDTF">2019-09-04T09:59:00Z</dcterms:modified>
</cp:coreProperties>
</file>