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E5" w:rsidRPr="005C669B" w:rsidRDefault="0039159B" w:rsidP="00F242E5">
      <w:pPr>
        <w:tabs>
          <w:tab w:val="left" w:pos="2495"/>
        </w:tabs>
        <w:spacing w:before="80" w:after="40"/>
        <w:rPr>
          <w:rFonts w:ascii="Gill Sans MT" w:hAnsi="Gill Sans MT"/>
          <w:b/>
          <w:sz w:val="56"/>
          <w:szCs w:val="56"/>
        </w:rPr>
      </w:pPr>
      <w:r w:rsidRPr="0039159B">
        <w:rPr>
          <w:rFonts w:ascii="Gill Sans MT" w:hAnsi="Gill Sans MT"/>
          <w:b/>
          <w:sz w:val="56"/>
          <w:szCs w:val="56"/>
        </w:rPr>
        <w:t>Rapporto</w:t>
      </w:r>
      <w:r>
        <w:rPr>
          <w:rFonts w:ascii="Gill Sans MT" w:hAnsi="Gill Sans MT"/>
          <w:b/>
          <w:sz w:val="52"/>
          <w:szCs w:val="52"/>
        </w:rPr>
        <w:t xml:space="preserve"> </w:t>
      </w:r>
      <w:r w:rsidR="00FF4D61">
        <w:rPr>
          <w:rFonts w:ascii="Gill Sans MT" w:hAnsi="Gill Sans MT"/>
          <w:b/>
          <w:sz w:val="56"/>
          <w:szCs w:val="56"/>
        </w:rPr>
        <w:t xml:space="preserve">parziale </w:t>
      </w:r>
      <w:r w:rsidR="00FF4D61" w:rsidRPr="00387A19">
        <w:rPr>
          <w:rFonts w:cs="Arial"/>
          <w:b/>
          <w:sz w:val="56"/>
          <w:szCs w:val="56"/>
        </w:rPr>
        <w:t>1</w:t>
      </w:r>
    </w:p>
    <w:p w:rsidR="00F242E5" w:rsidRDefault="00F242E5" w:rsidP="00F242E5">
      <w:pPr>
        <w:pStyle w:val="Intestazione"/>
        <w:tabs>
          <w:tab w:val="clear" w:pos="4819"/>
          <w:tab w:val="clear" w:pos="9638"/>
        </w:tabs>
      </w:pPr>
      <w:bookmarkStart w:id="0" w:name="_GoBack"/>
      <w:bookmarkEnd w:id="0"/>
    </w:p>
    <w:p w:rsidR="00F242E5" w:rsidRDefault="00F242E5" w:rsidP="00F242E5">
      <w:pPr>
        <w:pStyle w:val="Intestazione"/>
        <w:tabs>
          <w:tab w:val="clear" w:pos="4819"/>
          <w:tab w:val="clear" w:pos="9638"/>
        </w:tabs>
      </w:pPr>
    </w:p>
    <w:p w:rsidR="00FF4D61" w:rsidRDefault="00FF4D61" w:rsidP="00FF4D61">
      <w:pPr>
        <w:tabs>
          <w:tab w:val="left" w:pos="2098"/>
          <w:tab w:val="left" w:pos="4933"/>
        </w:tabs>
      </w:pPr>
      <w:r>
        <w:rPr>
          <w:b/>
          <w:sz w:val="32"/>
        </w:rPr>
        <w:t>7607 R</w:t>
      </w:r>
      <w:r w:rsidRPr="00FF4D61">
        <w:rPr>
          <w:b/>
          <w:szCs w:val="24"/>
        </w:rPr>
        <w:t>parz.1</w:t>
      </w:r>
      <w:r>
        <w:rPr>
          <w:sz w:val="28"/>
        </w:rPr>
        <w:tab/>
        <w:t>12 novembre 2019</w:t>
      </w:r>
      <w:r>
        <w:rPr>
          <w:sz w:val="28"/>
        </w:rPr>
        <w:tab/>
        <w:t>ISTITUZIONI</w:t>
      </w:r>
    </w:p>
    <w:p w:rsidR="00FF4D61" w:rsidRDefault="00FF4D61" w:rsidP="00FF4D61"/>
    <w:p w:rsidR="00FF4D61" w:rsidRDefault="00FF4D61" w:rsidP="00FF4D61"/>
    <w:p w:rsidR="00FF4D61" w:rsidRDefault="00FF4D61" w:rsidP="00FF4D61"/>
    <w:p w:rsidR="00FF4D61" w:rsidRDefault="00FF4D61" w:rsidP="00FF4D61">
      <w:pPr>
        <w:rPr>
          <w:b/>
          <w:sz w:val="28"/>
          <w:szCs w:val="28"/>
        </w:rPr>
      </w:pPr>
      <w:r>
        <w:rPr>
          <w:b/>
          <w:sz w:val="28"/>
          <w:szCs w:val="28"/>
        </w:rPr>
        <w:t>della Commissione Costituzione e leggi</w:t>
      </w:r>
    </w:p>
    <w:p w:rsidR="00FF4D61" w:rsidRPr="00DB1D6D" w:rsidRDefault="00FF4D61" w:rsidP="00FF4D61">
      <w:pPr>
        <w:rPr>
          <w:b/>
          <w:sz w:val="28"/>
          <w:szCs w:val="28"/>
        </w:rPr>
      </w:pPr>
      <w:r>
        <w:rPr>
          <w:b/>
          <w:sz w:val="28"/>
          <w:szCs w:val="28"/>
        </w:rPr>
        <w:t>sul messaggio 5 dicembre 2018 concernente la m</w:t>
      </w:r>
      <w:r w:rsidRPr="00DB1D6D">
        <w:rPr>
          <w:b/>
          <w:sz w:val="28"/>
          <w:szCs w:val="28"/>
        </w:rPr>
        <w:t>odifica degli articoli 3 e 12 della Legge sulle aggregazioni e separazioni dei Comuni del 16 dicembre 2003</w:t>
      </w:r>
    </w:p>
    <w:p w:rsidR="00FF4D61" w:rsidRDefault="00FF4D61" w:rsidP="00FF4D61"/>
    <w:p w:rsidR="00FF4D61" w:rsidRDefault="00FF4D61" w:rsidP="00FF4D61"/>
    <w:p w:rsidR="00FF4D61" w:rsidRDefault="00FF4D61" w:rsidP="00FF4D61"/>
    <w:p w:rsidR="00FF4D61" w:rsidRPr="00FF4D61" w:rsidRDefault="00FF4D61" w:rsidP="00FF4D61">
      <w:pPr>
        <w:pStyle w:val="Titolo1"/>
      </w:pPr>
      <w:r w:rsidRPr="00FF4D61">
        <w:t>PREMESSA</w:t>
      </w:r>
    </w:p>
    <w:p w:rsidR="00FF4D61" w:rsidRDefault="00FF4D61" w:rsidP="00FF4D61">
      <w:r>
        <w:t xml:space="preserve">Il Consiglio di Stato, con il messaggio in epigrafe, propone la modifica di due norme della </w:t>
      </w:r>
      <w:r w:rsidRPr="004068F2">
        <w:t xml:space="preserve">Legge sulle aggregazioni e separazioni dei Comuni </w:t>
      </w:r>
      <w:r>
        <w:t>(</w:t>
      </w:r>
      <w:proofErr w:type="spellStart"/>
      <w:r>
        <w:t>LAggr</w:t>
      </w:r>
      <w:proofErr w:type="spellEnd"/>
      <w:r>
        <w:t>), e meglio:</w:t>
      </w:r>
    </w:p>
    <w:p w:rsidR="00FF4D61" w:rsidRDefault="00FF4D61" w:rsidP="00FF4D61">
      <w:pPr>
        <w:tabs>
          <w:tab w:val="left" w:pos="284"/>
        </w:tabs>
        <w:spacing w:before="120"/>
        <w:ind w:left="284" w:hanging="284"/>
      </w:pPr>
      <w:r>
        <w:rPr>
          <w:rFonts w:cs="Arial"/>
        </w:rPr>
        <w:t>•</w:t>
      </w:r>
      <w:r>
        <w:tab/>
        <w:t>art. 3 ("Aggregazione e separazione"), inserendo l'eventualità, in casi eccezionali e a condizioni restrittive, di un'aggregazione tra Comuni non contigui; tale modifica è posta in diretta connessione con le modalità di attuazione del Piano cantonale delle aggregazioni (PCA), la cui adozione è proposta con il messaggio n. 7606 del 5 dicembre 2018.</w:t>
      </w:r>
    </w:p>
    <w:p w:rsidR="00FF4D61" w:rsidRDefault="00FF4D61" w:rsidP="00FF4D61">
      <w:pPr>
        <w:tabs>
          <w:tab w:val="left" w:pos="284"/>
        </w:tabs>
        <w:spacing w:before="120"/>
        <w:ind w:left="284" w:hanging="284"/>
      </w:pPr>
      <w:r>
        <w:rPr>
          <w:rFonts w:cs="Arial"/>
        </w:rPr>
        <w:t>•</w:t>
      </w:r>
      <w:r>
        <w:tab/>
        <w:t xml:space="preserve">art. 12 ("Entrata in funzione del nuovo Comune"), introducendo la possibilità per il Consiglio di Stato </w:t>
      </w:r>
      <w:r w:rsidRPr="001416F3">
        <w:t xml:space="preserve">di prendere provvedimenti sui Comuni in aggregazione, </w:t>
      </w:r>
      <w:r>
        <w:rPr>
          <w:rFonts w:cs="Arial"/>
        </w:rPr>
        <w:t>«</w:t>
      </w:r>
      <w:r w:rsidRPr="001416F3">
        <w:rPr>
          <w:i/>
        </w:rPr>
        <w:t>a tutela di interessi preponderanti del futuro Comune</w:t>
      </w:r>
      <w:r>
        <w:rPr>
          <w:rFonts w:cs="Arial"/>
        </w:rPr>
        <w:t>»</w:t>
      </w:r>
      <w:r w:rsidRPr="001416F3">
        <w:t xml:space="preserve">, a partire dal momento del licenziamento del messaggio che propone l'aggregazione </w:t>
      </w:r>
      <w:r>
        <w:t xml:space="preserve">– </w:t>
      </w:r>
      <w:r w:rsidRPr="001416F3">
        <w:t xml:space="preserve">in luogo dell'attuale termine che parte dall'adozione del decreto di aggregazione da parte del </w:t>
      </w:r>
      <w:r>
        <w:t>Gran Consiglio –, fino alla costituzione del nuovo Comune.</w:t>
      </w:r>
    </w:p>
    <w:p w:rsidR="00FF4D61" w:rsidRPr="009E0FBE" w:rsidRDefault="00FF4D61" w:rsidP="00FF4D61">
      <w:pPr>
        <w:rPr>
          <w:sz w:val="22"/>
        </w:rPr>
      </w:pPr>
    </w:p>
    <w:p w:rsidR="00FF4D61" w:rsidRPr="009E0FBE" w:rsidRDefault="00FF4D61" w:rsidP="00FF4D61">
      <w:pPr>
        <w:rPr>
          <w:sz w:val="22"/>
        </w:rPr>
      </w:pPr>
    </w:p>
    <w:p w:rsidR="00FF4D61" w:rsidRPr="009E0FBE" w:rsidRDefault="00FF4D61" w:rsidP="00FF4D61">
      <w:pPr>
        <w:rPr>
          <w:sz w:val="22"/>
        </w:rPr>
      </w:pPr>
    </w:p>
    <w:p w:rsidR="00FF4D61" w:rsidRPr="00535A68" w:rsidRDefault="00FF4D61" w:rsidP="00FF4D61">
      <w:pPr>
        <w:pStyle w:val="Titolo1"/>
        <w:rPr>
          <w:caps/>
        </w:rPr>
      </w:pPr>
      <w:r>
        <w:t>PROPOSTA DI MODIFICA DELL'ART. 3 LAGGR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gridCol w:w="9"/>
        <w:gridCol w:w="4751"/>
      </w:tblGrid>
      <w:tr w:rsidR="00FF4D61" w:rsidRPr="00AE14C7" w:rsidTr="008902D7">
        <w:tc>
          <w:tcPr>
            <w:tcW w:w="4760" w:type="dxa"/>
            <w:tcBorders>
              <w:top w:val="nil"/>
              <w:left w:val="nil"/>
              <w:bottom w:val="single" w:sz="4" w:space="0" w:color="auto"/>
            </w:tcBorders>
            <w:vAlign w:val="center"/>
          </w:tcPr>
          <w:p w:rsidR="00FF4D61" w:rsidRPr="00DF6381" w:rsidRDefault="00FF4D61" w:rsidP="009E0FBE">
            <w:pPr>
              <w:spacing w:before="160" w:after="60"/>
              <w:jc w:val="left"/>
              <w:rPr>
                <w:rFonts w:cs="Arial"/>
                <w:sz w:val="22"/>
              </w:rPr>
            </w:pPr>
            <w:r w:rsidRPr="00DF6381">
              <w:rPr>
                <w:rFonts w:cs="Arial"/>
                <w:b/>
                <w:i/>
                <w:sz w:val="22"/>
              </w:rPr>
              <w:t>Versione attuale</w:t>
            </w:r>
          </w:p>
        </w:tc>
        <w:tc>
          <w:tcPr>
            <w:tcW w:w="4760" w:type="dxa"/>
            <w:gridSpan w:val="2"/>
            <w:tcBorders>
              <w:top w:val="nil"/>
              <w:bottom w:val="single" w:sz="4" w:space="0" w:color="auto"/>
              <w:right w:val="nil"/>
            </w:tcBorders>
            <w:vAlign w:val="center"/>
          </w:tcPr>
          <w:p w:rsidR="00FF4D61" w:rsidRPr="00DF6381" w:rsidRDefault="00FF4D61" w:rsidP="009E0FBE">
            <w:pPr>
              <w:spacing w:before="160" w:after="60"/>
              <w:jc w:val="left"/>
              <w:rPr>
                <w:rFonts w:cs="Arial"/>
                <w:b/>
                <w:i/>
                <w:sz w:val="22"/>
              </w:rPr>
            </w:pPr>
            <w:r w:rsidRPr="00DF6381">
              <w:rPr>
                <w:rFonts w:cs="Arial"/>
                <w:b/>
                <w:i/>
                <w:sz w:val="22"/>
              </w:rPr>
              <w:t>Nuova versione (parte nuova in grassetto)</w:t>
            </w:r>
          </w:p>
        </w:tc>
      </w:tr>
      <w:tr w:rsidR="00FF4D61" w:rsidRPr="00DB1D6D" w:rsidTr="008902D7">
        <w:trPr>
          <w:trHeight w:val="70"/>
        </w:trPr>
        <w:tc>
          <w:tcPr>
            <w:tcW w:w="4760" w:type="dxa"/>
            <w:tcBorders>
              <w:left w:val="nil"/>
              <w:bottom w:val="nil"/>
              <w:right w:val="single" w:sz="4" w:space="0" w:color="auto"/>
            </w:tcBorders>
          </w:tcPr>
          <w:p w:rsidR="00FF4D61" w:rsidRPr="00DF6381" w:rsidRDefault="00FF4D61" w:rsidP="00FF4D61">
            <w:pPr>
              <w:shd w:val="clear" w:color="auto" w:fill="FFFFFF"/>
              <w:spacing w:before="80" w:after="80"/>
              <w:jc w:val="left"/>
              <w:rPr>
                <w:rFonts w:cs="Arial"/>
                <w:b/>
                <w:bCs/>
                <w:sz w:val="22"/>
              </w:rPr>
            </w:pPr>
            <w:r w:rsidRPr="00DF6381">
              <w:rPr>
                <w:rFonts w:cs="Arial"/>
                <w:b/>
                <w:bCs/>
                <w:sz w:val="22"/>
              </w:rPr>
              <w:t>Aggregazione e separazione</w:t>
            </w:r>
          </w:p>
          <w:p w:rsidR="00FF4D61" w:rsidRPr="00DF6381" w:rsidRDefault="00FF4D61" w:rsidP="008902D7">
            <w:pPr>
              <w:shd w:val="clear" w:color="auto" w:fill="FFFFFF"/>
              <w:spacing w:before="40"/>
              <w:rPr>
                <w:rFonts w:cs="Arial"/>
                <w:sz w:val="22"/>
              </w:rPr>
            </w:pPr>
            <w:r w:rsidRPr="00DF6381">
              <w:rPr>
                <w:rFonts w:cs="Arial"/>
                <w:sz w:val="22"/>
              </w:rPr>
              <w:t xml:space="preserve">La circoscrizione o il numero dei Comuni vengono modificati per decreto legislativo mediante: </w:t>
            </w:r>
          </w:p>
          <w:p w:rsidR="00FF4D61" w:rsidRPr="00DF6381" w:rsidRDefault="00FF4D61" w:rsidP="008902D7">
            <w:pPr>
              <w:shd w:val="clear" w:color="auto" w:fill="FFFFFF"/>
              <w:spacing w:line="228" w:lineRule="auto"/>
              <w:ind w:left="318" w:hanging="318"/>
              <w:rPr>
                <w:rFonts w:cs="Arial"/>
                <w:sz w:val="22"/>
              </w:rPr>
            </w:pPr>
            <w:r>
              <w:rPr>
                <w:rFonts w:cs="Arial"/>
                <w:sz w:val="22"/>
              </w:rPr>
              <w:t>a)</w:t>
            </w:r>
            <w:r>
              <w:rPr>
                <w:rFonts w:cs="Arial"/>
                <w:sz w:val="22"/>
              </w:rPr>
              <w:tab/>
              <w:t>l'</w:t>
            </w:r>
            <w:r w:rsidRPr="00DF6381">
              <w:rPr>
                <w:rFonts w:cs="Arial"/>
                <w:sz w:val="22"/>
              </w:rPr>
              <w:t>aggregazione di due o più Comuni costituenti entità territoriali coerenti;</w:t>
            </w:r>
          </w:p>
          <w:p w:rsidR="00FF4D61" w:rsidRPr="00DF6381" w:rsidRDefault="00FF4D61" w:rsidP="008902D7">
            <w:pPr>
              <w:shd w:val="clear" w:color="auto" w:fill="FFFFFF"/>
              <w:spacing w:line="228" w:lineRule="auto"/>
              <w:ind w:left="318" w:hanging="318"/>
              <w:rPr>
                <w:rFonts w:cs="Arial"/>
                <w:sz w:val="22"/>
              </w:rPr>
            </w:pPr>
            <w:r>
              <w:rPr>
                <w:rFonts w:cs="Arial"/>
                <w:sz w:val="22"/>
              </w:rPr>
              <w:t>b)</w:t>
            </w:r>
            <w:r>
              <w:rPr>
                <w:rFonts w:cs="Arial"/>
                <w:sz w:val="22"/>
              </w:rPr>
              <w:tab/>
              <w:t>l'</w:t>
            </w:r>
            <w:r w:rsidRPr="00DF6381">
              <w:rPr>
                <w:rFonts w:cs="Arial"/>
                <w:sz w:val="22"/>
              </w:rPr>
              <w:t>aggregazione di frazioni o di parti di territorio da uno o più Comuni e di uno o più Comuni per creare un nuovo Comune che costituisca una entità territoriale coerente;</w:t>
            </w:r>
          </w:p>
          <w:p w:rsidR="00FF4D61" w:rsidRPr="00DF6381" w:rsidRDefault="00FF4D61" w:rsidP="008902D7">
            <w:pPr>
              <w:shd w:val="clear" w:color="auto" w:fill="FFFFFF"/>
              <w:spacing w:line="228" w:lineRule="auto"/>
              <w:ind w:left="318" w:hanging="318"/>
              <w:rPr>
                <w:rFonts w:cs="Arial"/>
                <w:sz w:val="22"/>
              </w:rPr>
            </w:pPr>
            <w:r w:rsidRPr="00DF6381">
              <w:rPr>
                <w:rFonts w:cs="Arial"/>
                <w:sz w:val="22"/>
              </w:rPr>
              <w:t>c)</w:t>
            </w:r>
            <w:r w:rsidRPr="00DF6381">
              <w:rPr>
                <w:rFonts w:cs="Arial"/>
                <w:sz w:val="22"/>
              </w:rPr>
              <w:tab/>
              <w:t>la separazione di frazioni o di parti di territorio da uno o più Comuni precedenti per costituirle in un Comune a sé o per aggregarle ad un esistente, nel rispetto del punto b).</w:t>
            </w:r>
          </w:p>
        </w:tc>
        <w:tc>
          <w:tcPr>
            <w:tcW w:w="4760" w:type="dxa"/>
            <w:gridSpan w:val="2"/>
            <w:tcBorders>
              <w:left w:val="single" w:sz="4" w:space="0" w:color="auto"/>
              <w:bottom w:val="nil"/>
              <w:right w:val="nil"/>
            </w:tcBorders>
          </w:tcPr>
          <w:p w:rsidR="00FF4D61" w:rsidRPr="00DF6381" w:rsidRDefault="00FF4D61" w:rsidP="00FF4D61">
            <w:pPr>
              <w:shd w:val="clear" w:color="auto" w:fill="FFFFFF"/>
              <w:spacing w:before="80" w:after="80"/>
              <w:jc w:val="left"/>
              <w:rPr>
                <w:rFonts w:cs="Arial"/>
                <w:b/>
                <w:bCs/>
                <w:sz w:val="22"/>
              </w:rPr>
            </w:pPr>
            <w:r w:rsidRPr="00DF6381">
              <w:rPr>
                <w:rFonts w:cs="Arial"/>
                <w:b/>
                <w:bCs/>
                <w:sz w:val="22"/>
              </w:rPr>
              <w:t>Aggregazione e separazione</w:t>
            </w:r>
          </w:p>
          <w:p w:rsidR="00FF4D61" w:rsidRPr="00DF6381" w:rsidRDefault="00FF4D61" w:rsidP="008902D7">
            <w:pPr>
              <w:shd w:val="clear" w:color="auto" w:fill="FFFFFF"/>
              <w:spacing w:before="40"/>
              <w:rPr>
                <w:rFonts w:cs="Arial"/>
                <w:sz w:val="22"/>
              </w:rPr>
            </w:pPr>
            <w:r w:rsidRPr="00045844">
              <w:rPr>
                <w:rFonts w:cs="Arial"/>
                <w:b/>
                <w:sz w:val="22"/>
                <w:vertAlign w:val="superscript"/>
              </w:rPr>
              <w:t>1</w:t>
            </w:r>
            <w:r w:rsidRPr="00045844">
              <w:rPr>
                <w:rFonts w:cs="Arial"/>
                <w:i/>
                <w:sz w:val="22"/>
              </w:rPr>
              <w:t>Invariato</w:t>
            </w:r>
            <w:r w:rsidRPr="00DF6381">
              <w:rPr>
                <w:rFonts w:cs="Arial"/>
                <w:sz w:val="22"/>
              </w:rPr>
              <w:t>.</w:t>
            </w:r>
            <w:r w:rsidRPr="00DF6381">
              <w:rPr>
                <w:sz w:val="22"/>
              </w:rPr>
              <w:t xml:space="preserve"> </w:t>
            </w:r>
          </w:p>
        </w:tc>
      </w:tr>
      <w:tr w:rsidR="00FF4D61" w:rsidRPr="00DB1D6D" w:rsidTr="008902D7">
        <w:trPr>
          <w:trHeight w:val="1090"/>
        </w:trPr>
        <w:tc>
          <w:tcPr>
            <w:tcW w:w="4769" w:type="dxa"/>
            <w:gridSpan w:val="2"/>
            <w:tcBorders>
              <w:top w:val="nil"/>
              <w:left w:val="nil"/>
              <w:bottom w:val="nil"/>
              <w:right w:val="single" w:sz="4" w:space="0" w:color="auto"/>
            </w:tcBorders>
          </w:tcPr>
          <w:p w:rsidR="00FF4D61" w:rsidRPr="00DF6381" w:rsidRDefault="00FF4D61" w:rsidP="008902D7">
            <w:pPr>
              <w:shd w:val="clear" w:color="auto" w:fill="FFFFFF"/>
              <w:spacing w:before="40"/>
              <w:jc w:val="left"/>
              <w:rPr>
                <w:rFonts w:cs="Arial"/>
                <w:b/>
                <w:bCs/>
                <w:sz w:val="22"/>
              </w:rPr>
            </w:pPr>
          </w:p>
        </w:tc>
        <w:tc>
          <w:tcPr>
            <w:tcW w:w="4751" w:type="dxa"/>
            <w:tcBorders>
              <w:top w:val="nil"/>
              <w:left w:val="single" w:sz="4" w:space="0" w:color="auto"/>
              <w:bottom w:val="nil"/>
              <w:right w:val="nil"/>
            </w:tcBorders>
          </w:tcPr>
          <w:p w:rsidR="00FF4D61" w:rsidRPr="00DF6381" w:rsidRDefault="00FF4D61" w:rsidP="00FF4D61">
            <w:pPr>
              <w:spacing w:before="120" w:after="120"/>
              <w:rPr>
                <w:rFonts w:cs="Arial"/>
                <w:b/>
                <w:bCs/>
                <w:sz w:val="22"/>
              </w:rPr>
            </w:pPr>
            <w:r w:rsidRPr="001C7350">
              <w:rPr>
                <w:rFonts w:cs="Arial"/>
                <w:b/>
                <w:sz w:val="22"/>
                <w:vertAlign w:val="superscript"/>
              </w:rPr>
              <w:t>2</w:t>
            </w:r>
            <w:r w:rsidRPr="00DF6381">
              <w:rPr>
                <w:rFonts w:cs="Arial"/>
                <w:b/>
                <w:sz w:val="22"/>
              </w:rPr>
              <w:t>Se l</w:t>
            </w:r>
            <w:r>
              <w:rPr>
                <w:rFonts w:cs="Arial"/>
                <w:b/>
                <w:sz w:val="22"/>
              </w:rPr>
              <w:t>'</w:t>
            </w:r>
            <w:r w:rsidRPr="00DF6381">
              <w:rPr>
                <w:rFonts w:cs="Arial"/>
                <w:b/>
                <w:sz w:val="22"/>
              </w:rPr>
              <w:t xml:space="preserve">aggregazione costituisce un significativo passo di attuazione di uno scenario del Piano </w:t>
            </w:r>
            <w:r>
              <w:rPr>
                <w:rFonts w:cs="Arial"/>
                <w:b/>
                <w:sz w:val="22"/>
              </w:rPr>
              <w:t>cantonale delle aggregazioni, l'</w:t>
            </w:r>
            <w:r w:rsidRPr="00DF6381">
              <w:rPr>
                <w:rFonts w:cs="Arial"/>
                <w:b/>
                <w:sz w:val="22"/>
              </w:rPr>
              <w:t>entità territoriale coerente può essere eccezionalmente riconosciuta anche in caso di aggregazione fra comuni non contigui.</w:t>
            </w:r>
          </w:p>
        </w:tc>
      </w:tr>
      <w:tr w:rsidR="00FF4D61" w:rsidRPr="00DB1D6D" w:rsidTr="008902D7">
        <w:trPr>
          <w:trHeight w:val="1090"/>
        </w:trPr>
        <w:tc>
          <w:tcPr>
            <w:tcW w:w="4769" w:type="dxa"/>
            <w:gridSpan w:val="2"/>
            <w:tcBorders>
              <w:top w:val="nil"/>
              <w:left w:val="nil"/>
              <w:bottom w:val="nil"/>
              <w:right w:val="single" w:sz="4" w:space="0" w:color="auto"/>
            </w:tcBorders>
          </w:tcPr>
          <w:p w:rsidR="00FF4D61" w:rsidRPr="00DF6381" w:rsidRDefault="00FF4D61" w:rsidP="008902D7">
            <w:pPr>
              <w:shd w:val="clear" w:color="auto" w:fill="FFFFFF"/>
              <w:spacing w:before="40"/>
              <w:jc w:val="left"/>
              <w:rPr>
                <w:rFonts w:cs="Arial"/>
                <w:b/>
                <w:bCs/>
                <w:sz w:val="22"/>
              </w:rPr>
            </w:pPr>
          </w:p>
        </w:tc>
        <w:tc>
          <w:tcPr>
            <w:tcW w:w="4751" w:type="dxa"/>
            <w:tcBorders>
              <w:top w:val="nil"/>
              <w:left w:val="single" w:sz="4" w:space="0" w:color="auto"/>
              <w:bottom w:val="nil"/>
              <w:right w:val="nil"/>
            </w:tcBorders>
          </w:tcPr>
          <w:p w:rsidR="00FF4D61" w:rsidRPr="001C7350" w:rsidRDefault="00FF4D61" w:rsidP="00FF4D61">
            <w:pPr>
              <w:spacing w:before="120" w:after="120"/>
              <w:rPr>
                <w:b/>
                <w:sz w:val="22"/>
              </w:rPr>
            </w:pPr>
            <w:r w:rsidRPr="001C7350">
              <w:rPr>
                <w:b/>
                <w:sz w:val="22"/>
                <w:vertAlign w:val="superscript"/>
              </w:rPr>
              <w:t>3</w:t>
            </w:r>
            <w:r>
              <w:rPr>
                <w:b/>
                <w:sz w:val="22"/>
              </w:rPr>
              <w:t xml:space="preserve">Negli scenari del </w:t>
            </w:r>
            <w:r w:rsidRPr="00DF6381">
              <w:rPr>
                <w:b/>
                <w:sz w:val="22"/>
              </w:rPr>
              <w:t xml:space="preserve">Piano cantonale delle aggregazioni concernenti i </w:t>
            </w:r>
            <w:r w:rsidRPr="00DF6381">
              <w:rPr>
                <w:rFonts w:cs="Arial"/>
                <w:b/>
                <w:sz w:val="22"/>
              </w:rPr>
              <w:t>Comuni</w:t>
            </w:r>
            <w:r w:rsidRPr="00DF6381">
              <w:rPr>
                <w:b/>
                <w:sz w:val="22"/>
              </w:rPr>
              <w:t xml:space="preserve"> di Locarno, Bellinzona, Lugano, Mendrisio e Chiasso, è possibile procedere secondo il</w:t>
            </w:r>
            <w:r>
              <w:rPr>
                <w:b/>
                <w:sz w:val="22"/>
              </w:rPr>
              <w:t xml:space="preserve"> capoverso precedente solo se l'</w:t>
            </w:r>
            <w:r w:rsidRPr="00DF6381">
              <w:rPr>
                <w:b/>
                <w:sz w:val="22"/>
              </w:rPr>
              <w:t>aggregazione coinvolge</w:t>
            </w:r>
            <w:r w:rsidRPr="00DF6381">
              <w:rPr>
                <w:rFonts w:cs="Arial"/>
                <w:b/>
                <w:sz w:val="22"/>
              </w:rPr>
              <w:t xml:space="preserve"> questi Comuni.</w:t>
            </w:r>
          </w:p>
        </w:tc>
      </w:tr>
    </w:tbl>
    <w:p w:rsidR="00FF4D61" w:rsidRDefault="00FF4D61" w:rsidP="00FF4D61"/>
    <w:p w:rsidR="00FF4D61" w:rsidRDefault="00FF4D61" w:rsidP="00FF4D61"/>
    <w:p w:rsidR="00FF4D61" w:rsidRPr="00151CD9" w:rsidRDefault="00FF4D61" w:rsidP="00FF4D61">
      <w:pPr>
        <w:rPr>
          <w:rFonts w:cs="Arial"/>
        </w:rPr>
      </w:pPr>
      <w:r>
        <w:t xml:space="preserve">A detta del Consiglio di Stato, l'attuale art. 3 </w:t>
      </w:r>
      <w:proofErr w:type="spellStart"/>
      <w:r>
        <w:t>LAggr</w:t>
      </w:r>
      <w:proofErr w:type="spellEnd"/>
      <w:r>
        <w:t xml:space="preserve"> </w:t>
      </w:r>
      <w:r>
        <w:rPr>
          <w:rFonts w:cs="Arial"/>
        </w:rPr>
        <w:t>«</w:t>
      </w:r>
      <w:r w:rsidRPr="006D39C3">
        <w:rPr>
          <w:i/>
        </w:rPr>
        <w:t>non ammette né esclude esplicitamente la possibilità di costituire un nuovo Comune composto da territori separati tra loro</w:t>
      </w:r>
      <w:r>
        <w:rPr>
          <w:rFonts w:cs="Arial"/>
        </w:rPr>
        <w:t>»</w:t>
      </w:r>
      <w:r>
        <w:t xml:space="preserve">. Più in generale, la </w:t>
      </w:r>
      <w:proofErr w:type="spellStart"/>
      <w:r>
        <w:t>LAggr</w:t>
      </w:r>
      <w:proofErr w:type="spellEnd"/>
      <w:r>
        <w:t xml:space="preserve"> nel suo complesso non regolamenta in maniera esplicita i casi di aggregazione tra Comuni </w:t>
      </w:r>
      <w:r>
        <w:rPr>
          <w:rFonts w:cs="Arial"/>
        </w:rPr>
        <w:t>«</w:t>
      </w:r>
      <w:r w:rsidRPr="00151CD9">
        <w:rPr>
          <w:i/>
        </w:rPr>
        <w:t>non strettamente contigui</w:t>
      </w:r>
      <w:r>
        <w:rPr>
          <w:rFonts w:cs="Arial"/>
        </w:rPr>
        <w:t>»</w:t>
      </w:r>
      <w:r>
        <w:t xml:space="preserve">, motivo per cui, </w:t>
      </w:r>
      <w:r w:rsidRPr="00DF6381">
        <w:rPr>
          <w:u w:val="single"/>
        </w:rPr>
        <w:t>c</w:t>
      </w:r>
      <w:r w:rsidRPr="00DF6381">
        <w:rPr>
          <w:rFonts w:cs="Arial"/>
          <w:u w:val="single"/>
        </w:rPr>
        <w:t>ontestualmente al PCA</w:t>
      </w:r>
      <w:r>
        <w:rPr>
          <w:rFonts w:cs="Arial"/>
        </w:rPr>
        <w:t xml:space="preserve">, il Governo </w:t>
      </w:r>
      <w:r w:rsidRPr="00E42FBF">
        <w:rPr>
          <w:rFonts w:cs="Arial"/>
        </w:rPr>
        <w:t xml:space="preserve">propone </w:t>
      </w:r>
      <w:r>
        <w:rPr>
          <w:rFonts w:cs="Arial"/>
        </w:rPr>
        <w:t xml:space="preserve">di </w:t>
      </w:r>
      <w:r w:rsidRPr="00E42FBF">
        <w:rPr>
          <w:rFonts w:cs="Arial"/>
        </w:rPr>
        <w:t xml:space="preserve">completare </w:t>
      </w:r>
      <w:r>
        <w:rPr>
          <w:rFonts w:cs="Arial"/>
        </w:rPr>
        <w:t>tale norma,</w:t>
      </w:r>
      <w:r w:rsidRPr="00E42FBF">
        <w:rPr>
          <w:rFonts w:cs="Arial"/>
        </w:rPr>
        <w:t xml:space="preserve"> </w:t>
      </w:r>
      <w:r>
        <w:rPr>
          <w:rFonts w:cs="Arial"/>
        </w:rPr>
        <w:t>«</w:t>
      </w:r>
      <w:r w:rsidRPr="00151CD9">
        <w:rPr>
          <w:rFonts w:cs="Arial"/>
          <w:i/>
        </w:rPr>
        <w:t>codificando i casi in cui potrebbero eccezionalmente essere ammesse aggregazioni discontinue, posto che questa eventualità deve comunque rimanere straordinaria e subordinata a precise condizioni</w:t>
      </w:r>
      <w:r>
        <w:rPr>
          <w:rFonts w:cs="Arial"/>
        </w:rPr>
        <w:t>».</w:t>
      </w:r>
    </w:p>
    <w:p w:rsidR="00FF4D61" w:rsidRDefault="00FF4D61" w:rsidP="00FF4D61">
      <w:pPr>
        <w:rPr>
          <w:rFonts w:cs="Arial"/>
          <w:bCs/>
        </w:rPr>
      </w:pPr>
    </w:p>
    <w:p w:rsidR="00FF4D61" w:rsidRPr="00987C6A" w:rsidRDefault="00FF4D61" w:rsidP="00FF4D61">
      <w:pPr>
        <w:rPr>
          <w:rFonts w:cs="Arial"/>
          <w:bCs/>
        </w:rPr>
      </w:pPr>
      <w:r>
        <w:rPr>
          <w:rFonts w:cs="Arial"/>
          <w:bCs/>
        </w:rPr>
        <w:t xml:space="preserve">I nuovi </w:t>
      </w:r>
      <w:proofErr w:type="spellStart"/>
      <w:r>
        <w:rPr>
          <w:rFonts w:cs="Arial"/>
          <w:bCs/>
        </w:rPr>
        <w:t>cpvv</w:t>
      </w:r>
      <w:proofErr w:type="spellEnd"/>
      <w:r>
        <w:rPr>
          <w:rFonts w:cs="Arial"/>
          <w:bCs/>
        </w:rPr>
        <w:t>. 2 e 3 proposti dal Consiglio di Stato permetterebbero, «</w:t>
      </w:r>
      <w:r w:rsidRPr="00623579">
        <w:rPr>
          <w:rFonts w:cs="Arial"/>
          <w:bCs/>
          <w:i/>
        </w:rPr>
        <w:t>in via straordinaria e in casi particolari sottoposti a precise condizioni</w:t>
      </w:r>
      <w:r>
        <w:rPr>
          <w:rFonts w:cs="Arial"/>
          <w:bCs/>
        </w:rPr>
        <w:t>», di istituire all'interno di uno scenario previsto dal PCA «</w:t>
      </w:r>
      <w:r w:rsidRPr="005F56C9">
        <w:rPr>
          <w:rFonts w:cs="Arial"/>
          <w:bCs/>
          <w:i/>
        </w:rPr>
        <w:t>un processo aggregativo "a macchia di leopardo" aggregando Comuni di cui uno o più non sono strettamente contigui, comunque in un'ottica sostanzialmente transitoria in vista di una realistica ipotesi di completamento dello scenario, quantomeno per quanto riguarda il comparto mancante per collegare i territori discontinui</w:t>
      </w:r>
      <w:r>
        <w:rPr>
          <w:rFonts w:cs="Arial"/>
          <w:bCs/>
        </w:rPr>
        <w:t>».</w:t>
      </w:r>
    </w:p>
    <w:p w:rsidR="00FF4D61" w:rsidRDefault="00FF4D61" w:rsidP="00FF4D61">
      <w:pPr>
        <w:rPr>
          <w:rFonts w:cs="Arial"/>
          <w:bCs/>
        </w:rPr>
      </w:pPr>
    </w:p>
    <w:p w:rsidR="00FF4D61" w:rsidRPr="00987C6A" w:rsidRDefault="00FF4D61" w:rsidP="00FF4D61">
      <w:pPr>
        <w:rPr>
          <w:rFonts w:cs="Arial"/>
          <w:bCs/>
        </w:rPr>
      </w:pPr>
      <w:r>
        <w:rPr>
          <w:rFonts w:cs="Arial"/>
          <w:bCs/>
        </w:rPr>
        <w:t>Riassumendo, negli intenti del Governo:</w:t>
      </w:r>
    </w:p>
    <w:p w:rsidR="00FF4D61" w:rsidRPr="00987C6A" w:rsidRDefault="00FF4D61" w:rsidP="00FF4D61">
      <w:pPr>
        <w:numPr>
          <w:ilvl w:val="0"/>
          <w:numId w:val="20"/>
        </w:numPr>
        <w:tabs>
          <w:tab w:val="clear" w:pos="720"/>
        </w:tabs>
        <w:spacing w:before="80"/>
        <w:ind w:left="284" w:hanging="284"/>
        <w:rPr>
          <w:rFonts w:cs="Arial"/>
        </w:rPr>
      </w:pPr>
      <w:r>
        <w:rPr>
          <w:rFonts w:cs="Arial"/>
        </w:rPr>
        <w:t xml:space="preserve">circa gli </w:t>
      </w:r>
      <w:r w:rsidRPr="00015972">
        <w:rPr>
          <w:rFonts w:cs="Arial"/>
        </w:rPr>
        <w:t>scenari aggregativi del PCA</w:t>
      </w:r>
      <w:r w:rsidRPr="00987C6A">
        <w:rPr>
          <w:rFonts w:cs="Arial"/>
          <w:i/>
        </w:rPr>
        <w:t xml:space="preserve"> </w:t>
      </w:r>
      <w:r w:rsidRPr="00015972">
        <w:rPr>
          <w:rFonts w:cs="Arial"/>
        </w:rPr>
        <w:t>che non riguardano gli agglomerati urbani</w:t>
      </w:r>
      <w:r>
        <w:rPr>
          <w:rFonts w:cs="Arial"/>
        </w:rPr>
        <w:t>, «</w:t>
      </w:r>
      <w:r w:rsidRPr="00015972">
        <w:rPr>
          <w:rFonts w:cs="Arial"/>
          <w:i/>
        </w:rPr>
        <w:t>un'eventuale procedura tra Comuni non contigui è eccezionalmente ipotizzabile a condizione che il progetto rappresenti un'importante e significativa tappa realizzativa dell'intero scenario previsto dal PCA</w:t>
      </w:r>
      <w:r>
        <w:rPr>
          <w:rFonts w:cs="Arial"/>
        </w:rPr>
        <w:t>»;</w:t>
      </w:r>
    </w:p>
    <w:p w:rsidR="00FF4D61" w:rsidRDefault="00FF4D61" w:rsidP="00FF4D61">
      <w:pPr>
        <w:numPr>
          <w:ilvl w:val="0"/>
          <w:numId w:val="20"/>
        </w:numPr>
        <w:tabs>
          <w:tab w:val="clear" w:pos="720"/>
        </w:tabs>
        <w:spacing w:before="80"/>
        <w:ind w:left="284" w:hanging="284"/>
        <w:rPr>
          <w:rFonts w:cs="Arial"/>
        </w:rPr>
      </w:pPr>
      <w:r>
        <w:rPr>
          <w:rFonts w:cs="Arial"/>
        </w:rPr>
        <w:t xml:space="preserve">per quanto concerne </w:t>
      </w:r>
      <w:r w:rsidRPr="00015972">
        <w:rPr>
          <w:rFonts w:cs="Arial"/>
        </w:rPr>
        <w:t xml:space="preserve">gli scenari aggregativi del PCA </w:t>
      </w:r>
      <w:r>
        <w:rPr>
          <w:rFonts w:cs="Arial"/>
        </w:rPr>
        <w:t>relativi a</w:t>
      </w:r>
      <w:r w:rsidRPr="00015972">
        <w:rPr>
          <w:rFonts w:cs="Arial"/>
        </w:rPr>
        <w:t>gli agglomerati urbani</w:t>
      </w:r>
      <w:r>
        <w:rPr>
          <w:rFonts w:cs="Arial"/>
        </w:rPr>
        <w:t>, «</w:t>
      </w:r>
      <w:r w:rsidRPr="008B63A6">
        <w:rPr>
          <w:rFonts w:cs="Arial"/>
          <w:i/>
        </w:rPr>
        <w:t>un'eventuale procedura tra Comuni non contigui è subordinata all'indispensabile coinvolgimento del polo all'interno degli scenari PCA del Locarnese, del Bellinzonese, del Luganese e del Mendrisiotto, precisato come per "polo" ci si riferisca ovviamente a Locarno, Bellinzona e Lugano nei primi tre casi e sia a Chiasso o a Mendrisio nell'ultimo</w:t>
      </w:r>
      <w:r>
        <w:rPr>
          <w:rFonts w:cs="Arial"/>
        </w:rPr>
        <w:t>»</w:t>
      </w:r>
      <w:r w:rsidRPr="00987C6A">
        <w:rPr>
          <w:rFonts w:cs="Arial"/>
        </w:rPr>
        <w:t>.</w:t>
      </w:r>
    </w:p>
    <w:p w:rsidR="00FF4D61" w:rsidRDefault="00FF4D61" w:rsidP="00FF4D61">
      <w:pPr>
        <w:rPr>
          <w:rFonts w:cs="Arial"/>
        </w:rPr>
      </w:pPr>
    </w:p>
    <w:p w:rsidR="00FF4D61" w:rsidRDefault="00FF4D61" w:rsidP="00FF4D61">
      <w:pPr>
        <w:rPr>
          <w:rFonts w:cs="Arial"/>
        </w:rPr>
      </w:pPr>
    </w:p>
    <w:p w:rsidR="00FF4D61" w:rsidRDefault="00FF4D61" w:rsidP="00FF4D61">
      <w:pPr>
        <w:rPr>
          <w:rFonts w:cs="Arial"/>
        </w:rPr>
      </w:pPr>
    </w:p>
    <w:p w:rsidR="00FF4D61" w:rsidRDefault="00FF4D61">
      <w:pPr>
        <w:rPr>
          <w:b/>
          <w:szCs w:val="24"/>
          <w:lang w:val="it-IT" w:eastAsia="it-IT"/>
        </w:rPr>
      </w:pPr>
      <w:r>
        <w:br w:type="page"/>
      </w:r>
    </w:p>
    <w:p w:rsidR="00FF4D61" w:rsidRPr="001B7AFC" w:rsidRDefault="00FF4D61" w:rsidP="00FF4D61">
      <w:pPr>
        <w:pStyle w:val="Titolo1"/>
        <w:rPr>
          <w:caps/>
        </w:rPr>
      </w:pPr>
      <w:r w:rsidRPr="001B7AFC">
        <w:lastRenderedPageBreak/>
        <w:t>P</w:t>
      </w:r>
      <w:r>
        <w:t>ROPOSTA DI MODICA DELL'ART. 12 LAGGR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7"/>
        <w:gridCol w:w="4753"/>
      </w:tblGrid>
      <w:tr w:rsidR="00FF4D61" w:rsidRPr="00DF1C8A" w:rsidTr="008902D7">
        <w:tc>
          <w:tcPr>
            <w:tcW w:w="4767" w:type="dxa"/>
            <w:tcBorders>
              <w:top w:val="nil"/>
              <w:left w:val="nil"/>
            </w:tcBorders>
            <w:vAlign w:val="center"/>
          </w:tcPr>
          <w:p w:rsidR="00FF4D61" w:rsidRPr="00DF1C8A" w:rsidRDefault="00FF4D61" w:rsidP="009E0FBE">
            <w:pPr>
              <w:spacing w:before="160" w:after="60"/>
              <w:jc w:val="left"/>
              <w:rPr>
                <w:rFonts w:cs="Arial"/>
                <w:b/>
                <w:i/>
                <w:sz w:val="22"/>
              </w:rPr>
            </w:pPr>
            <w:r w:rsidRPr="00DF1C8A">
              <w:rPr>
                <w:rFonts w:cs="Arial"/>
                <w:b/>
                <w:i/>
                <w:sz w:val="22"/>
              </w:rPr>
              <w:t>Versione attuale</w:t>
            </w:r>
          </w:p>
        </w:tc>
        <w:tc>
          <w:tcPr>
            <w:tcW w:w="4753" w:type="dxa"/>
            <w:tcBorders>
              <w:top w:val="nil"/>
              <w:right w:val="nil"/>
            </w:tcBorders>
            <w:vAlign w:val="center"/>
          </w:tcPr>
          <w:p w:rsidR="00FF4D61" w:rsidRPr="00DF1C8A" w:rsidRDefault="00FF4D61" w:rsidP="009E0FBE">
            <w:pPr>
              <w:spacing w:before="160" w:after="60"/>
              <w:jc w:val="left"/>
              <w:rPr>
                <w:rFonts w:cs="Arial"/>
                <w:b/>
                <w:i/>
                <w:sz w:val="22"/>
              </w:rPr>
            </w:pPr>
            <w:r w:rsidRPr="00DF1C8A">
              <w:rPr>
                <w:rFonts w:cs="Arial"/>
                <w:b/>
                <w:i/>
                <w:sz w:val="22"/>
              </w:rPr>
              <w:t>Nuova versione (parte nuova in grassetto)</w:t>
            </w:r>
          </w:p>
        </w:tc>
      </w:tr>
      <w:tr w:rsidR="00FF4D61" w:rsidRPr="00DB1D6D" w:rsidTr="008902D7">
        <w:trPr>
          <w:trHeight w:val="70"/>
        </w:trPr>
        <w:tc>
          <w:tcPr>
            <w:tcW w:w="4767" w:type="dxa"/>
            <w:tcBorders>
              <w:left w:val="nil"/>
              <w:bottom w:val="nil"/>
            </w:tcBorders>
          </w:tcPr>
          <w:p w:rsidR="00FF4D61" w:rsidRPr="00FF4D61" w:rsidRDefault="00FF4D61" w:rsidP="00FF4D61">
            <w:pPr>
              <w:shd w:val="clear" w:color="auto" w:fill="FFFFFF"/>
              <w:spacing w:before="80" w:after="80"/>
              <w:jc w:val="left"/>
              <w:rPr>
                <w:rFonts w:cs="Arial"/>
                <w:b/>
                <w:bCs/>
                <w:sz w:val="22"/>
              </w:rPr>
            </w:pPr>
            <w:r w:rsidRPr="00FF4D61">
              <w:rPr>
                <w:rFonts w:cs="Arial"/>
                <w:b/>
                <w:bCs/>
                <w:sz w:val="22"/>
              </w:rPr>
              <w:t>Entrata in funzione del nuovo Comune</w:t>
            </w:r>
          </w:p>
          <w:p w:rsidR="00FF4D61" w:rsidRPr="00DB1D6D" w:rsidRDefault="00FF4D61" w:rsidP="009E0FBE">
            <w:pPr>
              <w:shd w:val="clear" w:color="auto" w:fill="FFFFFF"/>
              <w:spacing w:before="120"/>
              <w:rPr>
                <w:rFonts w:cs="Arial"/>
                <w:sz w:val="22"/>
              </w:rPr>
            </w:pPr>
            <w:r w:rsidRPr="00DB1D6D">
              <w:rPr>
                <w:rFonts w:cs="Arial"/>
                <w:i/>
                <w:sz w:val="22"/>
                <w:vertAlign w:val="superscript"/>
              </w:rPr>
              <w:t>1</w:t>
            </w:r>
            <w:r w:rsidRPr="00DB1D6D">
              <w:rPr>
                <w:rFonts w:cs="Arial"/>
                <w:sz w:val="22"/>
              </w:rPr>
              <w:t xml:space="preserve">Il nuovo Municipio entra immediatamente in carica dopo le elezioni. </w:t>
            </w:r>
          </w:p>
        </w:tc>
        <w:tc>
          <w:tcPr>
            <w:tcW w:w="4753" w:type="dxa"/>
            <w:tcBorders>
              <w:bottom w:val="nil"/>
              <w:right w:val="nil"/>
            </w:tcBorders>
          </w:tcPr>
          <w:p w:rsidR="00FF4D61" w:rsidRPr="00FF4D61" w:rsidRDefault="00FF4D61" w:rsidP="00FF4D61">
            <w:pPr>
              <w:shd w:val="clear" w:color="auto" w:fill="FFFFFF"/>
              <w:spacing w:before="80" w:after="80"/>
              <w:jc w:val="left"/>
              <w:rPr>
                <w:rFonts w:cs="Arial"/>
                <w:b/>
                <w:bCs/>
                <w:sz w:val="22"/>
              </w:rPr>
            </w:pPr>
            <w:r w:rsidRPr="00FF4D61">
              <w:rPr>
                <w:rFonts w:cs="Arial"/>
                <w:b/>
                <w:bCs/>
                <w:sz w:val="22"/>
              </w:rPr>
              <w:t>Entrata in funzione del nuovo Comune</w:t>
            </w:r>
          </w:p>
          <w:p w:rsidR="00FF4D61" w:rsidRPr="00DB1D6D" w:rsidRDefault="00FF4D61" w:rsidP="009E0FBE">
            <w:pPr>
              <w:shd w:val="clear" w:color="auto" w:fill="FFFFFF"/>
              <w:spacing w:before="120"/>
              <w:rPr>
                <w:rFonts w:cs="Arial"/>
                <w:sz w:val="22"/>
              </w:rPr>
            </w:pPr>
            <w:r w:rsidRPr="00045844">
              <w:rPr>
                <w:rFonts w:cs="Arial"/>
                <w:sz w:val="22"/>
                <w:vertAlign w:val="superscript"/>
              </w:rPr>
              <w:t>1</w:t>
            </w:r>
            <w:r w:rsidRPr="00045844">
              <w:rPr>
                <w:rFonts w:cs="Arial"/>
                <w:i/>
                <w:sz w:val="22"/>
              </w:rPr>
              <w:t>Invariato</w:t>
            </w:r>
            <w:r w:rsidRPr="00DB1D6D">
              <w:rPr>
                <w:rFonts w:cs="Arial"/>
                <w:sz w:val="22"/>
              </w:rPr>
              <w:t>.</w:t>
            </w:r>
          </w:p>
        </w:tc>
      </w:tr>
      <w:tr w:rsidR="00FF4D61" w:rsidRPr="00DB1D6D" w:rsidTr="008902D7">
        <w:trPr>
          <w:trHeight w:val="1480"/>
        </w:trPr>
        <w:tc>
          <w:tcPr>
            <w:tcW w:w="4767" w:type="dxa"/>
            <w:tcBorders>
              <w:top w:val="nil"/>
              <w:left w:val="nil"/>
              <w:bottom w:val="nil"/>
            </w:tcBorders>
          </w:tcPr>
          <w:p w:rsidR="00FF4D61" w:rsidRPr="00DF1C8A" w:rsidRDefault="00FF4D61" w:rsidP="009E0FBE">
            <w:pPr>
              <w:shd w:val="clear" w:color="auto" w:fill="FFFFFF"/>
              <w:spacing w:before="200" w:after="40"/>
              <w:rPr>
                <w:rFonts w:cs="Arial"/>
                <w:sz w:val="22"/>
              </w:rPr>
            </w:pPr>
            <w:r w:rsidRPr="00DB1D6D">
              <w:rPr>
                <w:rFonts w:cs="Arial"/>
                <w:i/>
                <w:sz w:val="22"/>
                <w:vertAlign w:val="superscript"/>
              </w:rPr>
              <w:t>2</w:t>
            </w:r>
            <w:r w:rsidRPr="00DB1D6D">
              <w:rPr>
                <w:rFonts w:cs="Arial"/>
                <w:sz w:val="22"/>
              </w:rPr>
              <w:t>Il Consiglio di Stato prende tutte le disposi</w:t>
            </w:r>
            <w:r>
              <w:rPr>
                <w:rFonts w:cs="Arial"/>
                <w:sz w:val="22"/>
              </w:rPr>
              <w:t>zioni concrete necessarie per l'</w:t>
            </w:r>
            <w:r w:rsidRPr="00DB1D6D">
              <w:rPr>
                <w:rFonts w:cs="Arial"/>
                <w:sz w:val="22"/>
              </w:rPr>
              <w:t>entrata in funzione del nuovo Comune, non previste dal decreto legislativo. A tutela d</w:t>
            </w:r>
            <w:r>
              <w:rPr>
                <w:rFonts w:cs="Arial"/>
                <w:sz w:val="22"/>
              </w:rPr>
              <w:t>'</w:t>
            </w:r>
            <w:r w:rsidRPr="00DB1D6D">
              <w:rPr>
                <w:rFonts w:cs="Arial"/>
                <w:sz w:val="22"/>
              </w:rPr>
              <w:t>interessi preponderanti del nuovo Comune, il Consiglio di Stato può inoltre annullare le risoluzioni degli organi comunali dei Comuni aggregati o prendere ulteriori provvedimenti.</w:t>
            </w:r>
          </w:p>
        </w:tc>
        <w:tc>
          <w:tcPr>
            <w:tcW w:w="4753" w:type="dxa"/>
            <w:tcBorders>
              <w:top w:val="nil"/>
              <w:bottom w:val="nil"/>
              <w:right w:val="nil"/>
            </w:tcBorders>
          </w:tcPr>
          <w:p w:rsidR="00FF4D61" w:rsidRPr="00AE14C7" w:rsidRDefault="00FF4D61" w:rsidP="009E0FBE">
            <w:pPr>
              <w:shd w:val="clear" w:color="auto" w:fill="FFFFFF"/>
              <w:spacing w:before="200" w:after="40"/>
              <w:rPr>
                <w:rFonts w:cs="Arial"/>
                <w:b/>
                <w:bCs/>
                <w:sz w:val="21"/>
                <w:szCs w:val="21"/>
              </w:rPr>
            </w:pPr>
            <w:r w:rsidRPr="00DB1D6D">
              <w:rPr>
                <w:rFonts w:cs="Arial"/>
                <w:i/>
                <w:sz w:val="22"/>
                <w:vertAlign w:val="superscript"/>
              </w:rPr>
              <w:t>2</w:t>
            </w:r>
            <w:r w:rsidRPr="00DB1D6D">
              <w:rPr>
                <w:rFonts w:cs="Arial"/>
                <w:sz w:val="22"/>
              </w:rPr>
              <w:t>Il Consiglio di Stato prende tutte le disposi</w:t>
            </w:r>
            <w:r>
              <w:rPr>
                <w:rFonts w:cs="Arial"/>
                <w:sz w:val="22"/>
              </w:rPr>
              <w:t>zioni concrete necessarie per l'</w:t>
            </w:r>
            <w:r w:rsidRPr="00DB1D6D">
              <w:rPr>
                <w:rFonts w:cs="Arial"/>
                <w:sz w:val="22"/>
              </w:rPr>
              <w:t xml:space="preserve">entrata in funzione del nuovo Comune, non previste dal </w:t>
            </w:r>
            <w:r>
              <w:rPr>
                <w:rFonts w:cs="Arial"/>
                <w:sz w:val="22"/>
              </w:rPr>
              <w:t>decreto legislativo. A tutela d'</w:t>
            </w:r>
            <w:r w:rsidRPr="00DB1D6D">
              <w:rPr>
                <w:rFonts w:cs="Arial"/>
                <w:sz w:val="22"/>
              </w:rPr>
              <w:t xml:space="preserve">interessi preponderanti del nuovo Comune, il Consiglio di Stato può inoltre annullare le risoluzioni degli organi comunali dei Comuni </w:t>
            </w:r>
            <w:r w:rsidRPr="00AE14C7">
              <w:rPr>
                <w:rFonts w:cs="Arial"/>
                <w:b/>
                <w:sz w:val="21"/>
                <w:szCs w:val="21"/>
              </w:rPr>
              <w:t>in aggregazione</w:t>
            </w:r>
            <w:r w:rsidRPr="00DB1D6D">
              <w:rPr>
                <w:rFonts w:cs="Arial"/>
                <w:sz w:val="22"/>
              </w:rPr>
              <w:t xml:space="preserve"> o prendere ulteriori provvedimenti </w:t>
            </w:r>
            <w:r w:rsidRPr="00AE14C7">
              <w:rPr>
                <w:rFonts w:cs="Arial"/>
                <w:b/>
                <w:sz w:val="21"/>
                <w:szCs w:val="21"/>
              </w:rPr>
              <w:t>a partire da quando sottopone la sua proposta secondo l</w:t>
            </w:r>
            <w:r>
              <w:rPr>
                <w:rFonts w:cs="Arial"/>
                <w:b/>
                <w:sz w:val="21"/>
                <w:szCs w:val="21"/>
              </w:rPr>
              <w:t>'</w:t>
            </w:r>
            <w:r w:rsidRPr="00AE14C7">
              <w:rPr>
                <w:rFonts w:cs="Arial"/>
                <w:b/>
                <w:sz w:val="21"/>
                <w:szCs w:val="21"/>
              </w:rPr>
              <w:t>art. 7 al Gran Consiglio</w:t>
            </w:r>
            <w:r w:rsidRPr="00AE14C7">
              <w:rPr>
                <w:rFonts w:cs="Arial"/>
                <w:sz w:val="22"/>
              </w:rPr>
              <w:t>.</w:t>
            </w:r>
          </w:p>
        </w:tc>
      </w:tr>
      <w:tr w:rsidR="00FF4D61" w:rsidRPr="00DB1D6D" w:rsidTr="008902D7">
        <w:trPr>
          <w:trHeight w:val="70"/>
        </w:trPr>
        <w:tc>
          <w:tcPr>
            <w:tcW w:w="4767" w:type="dxa"/>
            <w:tcBorders>
              <w:top w:val="nil"/>
              <w:left w:val="nil"/>
              <w:bottom w:val="nil"/>
            </w:tcBorders>
          </w:tcPr>
          <w:p w:rsidR="00FF4D61" w:rsidRPr="00AE14C7" w:rsidRDefault="00FF4D61" w:rsidP="009E0FBE">
            <w:pPr>
              <w:shd w:val="clear" w:color="auto" w:fill="FFFFFF"/>
              <w:spacing w:before="200" w:after="40"/>
              <w:rPr>
                <w:rFonts w:cs="Arial"/>
                <w:b/>
                <w:bCs/>
                <w:sz w:val="21"/>
                <w:szCs w:val="21"/>
              </w:rPr>
            </w:pPr>
            <w:r w:rsidRPr="00DB1D6D">
              <w:rPr>
                <w:rFonts w:cs="Arial"/>
                <w:i/>
                <w:sz w:val="22"/>
                <w:vertAlign w:val="superscript"/>
              </w:rPr>
              <w:t>3</w:t>
            </w:r>
            <w:r w:rsidRPr="00DB1D6D">
              <w:rPr>
                <w:rFonts w:cs="Arial"/>
                <w:sz w:val="22"/>
              </w:rPr>
              <w:t>Il nuovo Comune subentra nei diritti e negli obblighi dei Comuni precedenti.</w:t>
            </w:r>
          </w:p>
        </w:tc>
        <w:tc>
          <w:tcPr>
            <w:tcW w:w="4753" w:type="dxa"/>
            <w:tcBorders>
              <w:top w:val="nil"/>
              <w:bottom w:val="nil"/>
              <w:right w:val="nil"/>
            </w:tcBorders>
          </w:tcPr>
          <w:p w:rsidR="00FF4D61" w:rsidRPr="00AE14C7" w:rsidRDefault="00FF4D61" w:rsidP="009E0FBE">
            <w:pPr>
              <w:shd w:val="clear" w:color="auto" w:fill="FFFFFF"/>
              <w:spacing w:before="200" w:after="40"/>
              <w:rPr>
                <w:rFonts w:cs="Arial"/>
                <w:b/>
                <w:bCs/>
                <w:sz w:val="21"/>
                <w:szCs w:val="21"/>
              </w:rPr>
            </w:pPr>
            <w:r w:rsidRPr="00045844">
              <w:rPr>
                <w:rFonts w:cs="Arial"/>
                <w:sz w:val="22"/>
                <w:vertAlign w:val="superscript"/>
              </w:rPr>
              <w:t>3</w:t>
            </w:r>
            <w:r w:rsidRPr="00045844">
              <w:rPr>
                <w:rFonts w:cs="Arial"/>
                <w:i/>
                <w:sz w:val="22"/>
              </w:rPr>
              <w:t>Invariato</w:t>
            </w:r>
            <w:r w:rsidRPr="00DB1D6D">
              <w:rPr>
                <w:rFonts w:cs="Arial"/>
                <w:sz w:val="22"/>
              </w:rPr>
              <w:t>.</w:t>
            </w:r>
          </w:p>
        </w:tc>
      </w:tr>
    </w:tbl>
    <w:p w:rsidR="00FF4D61" w:rsidRDefault="00FF4D61" w:rsidP="00FF4D61"/>
    <w:p w:rsidR="00FF4D61" w:rsidRDefault="00FF4D61" w:rsidP="00FF4D61">
      <w:r>
        <w:t>L'art. 12 cpv. 2 riguarda il delicato momento che intercorre tra fase di decisione parlamentare di aggregazione (con l'adozione del relativo decreto legislativo da parte del Gran Consiglio) e la costituzione effettiva del nuovo Comune (con l'elezione degli organi comunali). I</w:t>
      </w:r>
      <w:r w:rsidRPr="007B692D">
        <w:t xml:space="preserve">l disposto conferisce </w:t>
      </w:r>
      <w:r>
        <w:t xml:space="preserve">al Consiglio di Stato la competenza di adottare i provvedimenti necessari per assicurare la transizione durante questo periodo, e ciò </w:t>
      </w:r>
      <w:r>
        <w:rPr>
          <w:rFonts w:cs="Arial"/>
        </w:rPr>
        <w:t>«</w:t>
      </w:r>
      <w:r w:rsidRPr="00443F39">
        <w:rPr>
          <w:i/>
        </w:rPr>
        <w:t>sia disponendo le misure concrete – non definite nel decreto di aggregazione - finalizzate a consentire la costituzione del nuovo Comune, sia con provvedimenti volti alla tutela di interessi preponderanti del costituendo Comune</w:t>
      </w:r>
      <w:r>
        <w:rPr>
          <w:rFonts w:cs="Arial"/>
        </w:rPr>
        <w:t>»</w:t>
      </w:r>
      <w:r>
        <w:t>.</w:t>
      </w:r>
    </w:p>
    <w:p w:rsidR="00FF4D61" w:rsidRDefault="00FF4D61" w:rsidP="00FF4D61"/>
    <w:p w:rsidR="00FF4D61" w:rsidRDefault="00FF4D61" w:rsidP="00FF4D61">
      <w:r>
        <w:t xml:space="preserve">Si tratta, in particolare, di evitare che i singoli Comuni in via di aggregazione </w:t>
      </w:r>
      <w:r>
        <w:rPr>
          <w:rFonts w:cs="Arial"/>
        </w:rPr>
        <w:t>«</w:t>
      </w:r>
      <w:r w:rsidRPr="007507AC">
        <w:rPr>
          <w:i/>
        </w:rPr>
        <w:t>assumano degli impegni o adottino delle decisioni rilevanti e non urgenti che potrebbero avere implicazioni negative significative (ad esempio dal profilo finanziario) per il futuro Comune, ritenuto come sia invece quest'ultimo che dovrà determinarsi alla luce delle necessità dell'insieme del nuovo ente. È il caso ad esempio della cessione, della vendita o dell'acquisto di immobili o beni di valore, della sottoscrizione di nuovi contratti, delle modifiche del regime retributivo dei dipendenti o del loro effettivo, della fissazione del moltiplicatore politico o ancora di altri obblighi o altre decisioni che impegnano il Comune che andrà ad aggregarsi e, di conseguenza, impegneranno il futuro Comune</w:t>
      </w:r>
      <w:r>
        <w:rPr>
          <w:rFonts w:cs="Arial"/>
        </w:rPr>
        <w:t>»</w:t>
      </w:r>
      <w:r>
        <w:t>.</w:t>
      </w:r>
    </w:p>
    <w:p w:rsidR="00FF4D61" w:rsidRDefault="00FF4D61" w:rsidP="00FF4D61"/>
    <w:p w:rsidR="00FF4D61" w:rsidRDefault="00FF4D61" w:rsidP="00FF4D61">
      <w:pPr>
        <w:rPr>
          <w:rFonts w:cs="Arial"/>
        </w:rPr>
      </w:pPr>
      <w:r>
        <w:t xml:space="preserve">Allo scopo di </w:t>
      </w:r>
      <w:r>
        <w:rPr>
          <w:rFonts w:cs="Arial"/>
        </w:rPr>
        <w:t>«</w:t>
      </w:r>
      <w:r w:rsidRPr="00AF5597">
        <w:rPr>
          <w:i/>
        </w:rPr>
        <w:t>maggiormente salvaguardare gli interessi del futuro Comune, ma anche dello Stato laddove interviene con sostegni finanziari, nonché di meglio garantire l'insieme dei Comuni in aggregazione</w:t>
      </w:r>
      <w:r>
        <w:rPr>
          <w:rFonts w:cs="Arial"/>
        </w:rPr>
        <w:t>»</w:t>
      </w:r>
      <w:r>
        <w:t xml:space="preserve">, il Consiglio di Stato propone di anticipare </w:t>
      </w:r>
      <w:r>
        <w:rPr>
          <w:rFonts w:cs="Arial"/>
        </w:rPr>
        <w:t>«</w:t>
      </w:r>
      <w:r w:rsidRPr="00AF5597">
        <w:rPr>
          <w:i/>
        </w:rPr>
        <w:t>la sua facoltà di intervento al momento dell'adozione del messaggio governativo che propone l'aggregazione</w:t>
      </w:r>
      <w:r>
        <w:rPr>
          <w:rFonts w:cs="Arial"/>
        </w:rPr>
        <w:t>»</w:t>
      </w:r>
      <w:r>
        <w:t>.</w:t>
      </w:r>
    </w:p>
    <w:p w:rsidR="00FF4D61" w:rsidRPr="00E31BA6" w:rsidRDefault="00FF4D61" w:rsidP="00FF4D61">
      <w:pPr>
        <w:rPr>
          <w:rFonts w:cs="Arial"/>
        </w:rPr>
      </w:pPr>
    </w:p>
    <w:p w:rsidR="00FF4D61" w:rsidRDefault="00FF4D61" w:rsidP="00FF4D61"/>
    <w:p w:rsidR="00FF4D61" w:rsidRDefault="00FF4D61" w:rsidP="00FF4D61"/>
    <w:p w:rsidR="009E0FBE" w:rsidRDefault="009E0FBE">
      <w:pPr>
        <w:rPr>
          <w:b/>
          <w:szCs w:val="24"/>
          <w:lang w:val="it-IT" w:eastAsia="it-IT"/>
        </w:rPr>
      </w:pPr>
      <w:r>
        <w:br w:type="page"/>
      </w:r>
    </w:p>
    <w:p w:rsidR="00FF4D61" w:rsidRPr="00F901F9" w:rsidRDefault="00FF4D61" w:rsidP="009E0FBE">
      <w:pPr>
        <w:pStyle w:val="Titolo1"/>
        <w:rPr>
          <w:caps/>
        </w:rPr>
      </w:pPr>
      <w:r w:rsidRPr="00F901F9">
        <w:lastRenderedPageBreak/>
        <w:t>LA POSIZIONE DELLA COMMISSIONE COSTITUZIONE E LEGGI</w:t>
      </w:r>
    </w:p>
    <w:p w:rsidR="00FF4D61" w:rsidRDefault="00FF4D61" w:rsidP="00FF4D61">
      <w:r>
        <w:t>L</w:t>
      </w:r>
      <w:r w:rsidRPr="00D42D7D">
        <w:t>a</w:t>
      </w:r>
      <w:r>
        <w:t xml:space="preserve"> Commissione Costituzione e leggi aderisce senz'altro alla</w:t>
      </w:r>
      <w:r w:rsidRPr="00D42D7D">
        <w:t xml:space="preserve"> proposta d</w:t>
      </w:r>
      <w:r>
        <w:t xml:space="preserve">i modifica dell'art. 12 </w:t>
      </w:r>
      <w:proofErr w:type="spellStart"/>
      <w:r>
        <w:t>LAggr</w:t>
      </w:r>
      <w:proofErr w:type="spellEnd"/>
      <w:r>
        <w:t xml:space="preserve"> così come avanzata dal Consiglio di Stato, ritenendola perfettamente sensata, facendo proprie le argomentazioni esposte nel messaggio governativo. Si tratta in buona sostanza di evitare che al nuovo Comune </w:t>
      </w:r>
      <w:r w:rsidRPr="007A4A7B">
        <w:t xml:space="preserve">vengano lasciati </w:t>
      </w:r>
      <w:r>
        <w:t>"</w:t>
      </w:r>
      <w:r w:rsidRPr="007A4A7B">
        <w:t>regalini avvelenati</w:t>
      </w:r>
      <w:r>
        <w:t>".</w:t>
      </w:r>
    </w:p>
    <w:p w:rsidR="00FF4D61" w:rsidRDefault="00FF4D61" w:rsidP="00FF4D61">
      <w:r>
        <w:t>Questa disposizione può sin d'ora inserirsi nel quadro legislativo vigente indipendentemente dal destino che avrà il PCA, la cui disamina permane in corso e, per certi versi, dipende anche dallo stato di avanzamento dei lavori relativi al cosiddetto progetto Ticino 2020. Proprio per questa ragione, la Commissione ritiene oggi ancora prematura una decisione relativa alla proposta di modifica (</w:t>
      </w:r>
      <w:r>
        <w:rPr>
          <w:rFonts w:cs="Arial"/>
        </w:rPr>
        <w:t>«</w:t>
      </w:r>
      <w:r>
        <w:rPr>
          <w:rFonts w:cs="Arial"/>
          <w:i/>
        </w:rPr>
        <w:t>completamento</w:t>
      </w:r>
      <w:r>
        <w:rPr>
          <w:rFonts w:cs="Arial"/>
        </w:rPr>
        <w:t>»</w:t>
      </w:r>
      <w:r>
        <w:t xml:space="preserve">) dell'art. 3 </w:t>
      </w:r>
      <w:proofErr w:type="spellStart"/>
      <w:r>
        <w:t>LAggr</w:t>
      </w:r>
      <w:proofErr w:type="spellEnd"/>
      <w:r>
        <w:t>, una novella legislativa questa sì legata a doppio filo con gli intendimenti del PCA, con sottrazione non necessariamente auspicata del potere decisionale parlamentare.</w:t>
      </w:r>
    </w:p>
    <w:p w:rsidR="00FF4D61" w:rsidRDefault="00FF4D61" w:rsidP="00FF4D61"/>
    <w:p w:rsidR="00FF4D61" w:rsidRPr="00321689" w:rsidRDefault="00FF4D61" w:rsidP="00FF4D61">
      <w:r>
        <w:t>È</w:t>
      </w:r>
      <w:r w:rsidRPr="00A06594">
        <w:t xml:space="preserve"> </w:t>
      </w:r>
      <w:r>
        <w:t xml:space="preserve">in effetti </w:t>
      </w:r>
      <w:r w:rsidRPr="00A06594">
        <w:t xml:space="preserve">palese che – con o senza i nuovi cpv. 2 e 3 che il </w:t>
      </w:r>
      <w:r>
        <w:t>Consiglio di Stato</w:t>
      </w:r>
      <w:r w:rsidRPr="00A06594">
        <w:t xml:space="preserve"> </w:t>
      </w:r>
      <w:r>
        <w:t>propone di</w:t>
      </w:r>
      <w:r w:rsidRPr="00A06594">
        <w:t xml:space="preserve"> inserire all'art. 3 </w:t>
      </w:r>
      <w:proofErr w:type="spellStart"/>
      <w:r w:rsidRPr="00A06594">
        <w:t>LAggr</w:t>
      </w:r>
      <w:proofErr w:type="spellEnd"/>
      <w:r w:rsidRPr="00A06594">
        <w:t xml:space="preserve"> – se la proposta aggregativa proveniente dal basso non </w:t>
      </w:r>
      <w:r>
        <w:t xml:space="preserve">dovesse </w:t>
      </w:r>
      <w:r w:rsidRPr="00A06594">
        <w:t>presenta</w:t>
      </w:r>
      <w:r>
        <w:t>re</w:t>
      </w:r>
      <w:r w:rsidRPr="00A06594">
        <w:t xml:space="preserve"> una sufficiente coerenza territoriale e non rientra</w:t>
      </w:r>
      <w:r>
        <w:t>sse</w:t>
      </w:r>
      <w:r w:rsidRPr="00A06594">
        <w:t xml:space="preserve"> ne</w:t>
      </w:r>
      <w:r>
        <w:t xml:space="preserve">gli intendimenti del </w:t>
      </w:r>
      <w:r w:rsidRPr="00A06594">
        <w:t xml:space="preserve">PCA, </w:t>
      </w:r>
      <w:r>
        <w:t>lo stesso Consiglio di Stato</w:t>
      </w:r>
      <w:r w:rsidRPr="00A06594">
        <w:t xml:space="preserve"> non vi darebbe seguito </w:t>
      </w:r>
      <w:r>
        <w:t>ma a</w:t>
      </w:r>
      <w:r w:rsidRPr="00A06594">
        <w:t xml:space="preserve">i Comuni </w:t>
      </w:r>
      <w:r>
        <w:t xml:space="preserve">permarrebbe comunque facoltà di rivolgersi </w:t>
      </w:r>
      <w:r w:rsidRPr="00A06594">
        <w:t>al G</w:t>
      </w:r>
      <w:r>
        <w:t>ran Consiglio</w:t>
      </w:r>
      <w:r w:rsidRPr="00A06594">
        <w:t>, al quale spetta l'ultima decisione</w:t>
      </w:r>
      <w:r>
        <w:t xml:space="preserve">. Questo aspetto, </w:t>
      </w:r>
      <w:r w:rsidRPr="00061803">
        <w:t>la piena e assoluta centralità dell'ultima parola parlamentare</w:t>
      </w:r>
      <w:r>
        <w:t xml:space="preserve">, è un elemento prezioso della vigente </w:t>
      </w:r>
      <w:proofErr w:type="spellStart"/>
      <w:r>
        <w:t>LAggr</w:t>
      </w:r>
      <w:proofErr w:type="spellEnd"/>
      <w:r>
        <w:t>, la cui erosione deve dipendere solo da assoluta e stringente necessità.</w:t>
      </w:r>
    </w:p>
    <w:p w:rsidR="00FF4D61" w:rsidRDefault="00FF4D61" w:rsidP="00FF4D61"/>
    <w:p w:rsidR="00FF4D61" w:rsidRDefault="00FF4D61" w:rsidP="00FF4D61">
      <w:r>
        <w:t xml:space="preserve">La Commissione Costituzione e leggi propende quindi, tramite un rapporto parziale, da un lato per l'accoglimento della modifica dell'art. 12 </w:t>
      </w:r>
      <w:proofErr w:type="spellStart"/>
      <w:r>
        <w:t>LAggr</w:t>
      </w:r>
      <w:proofErr w:type="spellEnd"/>
      <w:r>
        <w:t xml:space="preserve"> – essendo la stessa a un tempo pienamente giustificata e urgente –, dall'altro per rinviare l'evasione dell'art. 3 </w:t>
      </w:r>
      <w:proofErr w:type="spellStart"/>
      <w:r>
        <w:t>LAggr</w:t>
      </w:r>
      <w:proofErr w:type="spellEnd"/>
      <w:r>
        <w:t xml:space="preserve"> nell'ambito della trattazione del PCA.</w:t>
      </w:r>
    </w:p>
    <w:p w:rsidR="00FF4D61" w:rsidRDefault="00FF4D61" w:rsidP="00FF4D61"/>
    <w:p w:rsidR="00FF4D61" w:rsidRDefault="00FF4D61" w:rsidP="00FF4D61"/>
    <w:p w:rsidR="00FF4D61" w:rsidRDefault="00FF4D61" w:rsidP="00FF4D61"/>
    <w:p w:rsidR="00FF4D61" w:rsidRPr="00F901F9" w:rsidRDefault="00FF4D61" w:rsidP="00FF4D61">
      <w:pPr>
        <w:pStyle w:val="Titolo1"/>
        <w:rPr>
          <w:caps/>
        </w:rPr>
      </w:pPr>
      <w:r w:rsidRPr="00F901F9">
        <w:t>CONCLUSIONI</w:t>
      </w:r>
    </w:p>
    <w:p w:rsidR="00FF4D61" w:rsidRDefault="00FF4D61" w:rsidP="00FF4D61">
      <w:r>
        <w:t>In base alle considerazioni che precedono, la Commissione Costituzione e leggi invita il Gran Consiglio ad approvare il Disegno di legge allegato al presente rapporto.</w:t>
      </w:r>
    </w:p>
    <w:p w:rsidR="00FF4D61" w:rsidRPr="005B3E0C" w:rsidRDefault="00FF4D61" w:rsidP="00FF4D61">
      <w:pPr>
        <w:rPr>
          <w:szCs w:val="24"/>
        </w:rPr>
      </w:pPr>
    </w:p>
    <w:p w:rsidR="00FF4D61" w:rsidRDefault="00FF4D61" w:rsidP="00FF4D61">
      <w:pPr>
        <w:rPr>
          <w:szCs w:val="24"/>
        </w:rPr>
      </w:pPr>
    </w:p>
    <w:p w:rsidR="00FF4D61" w:rsidRDefault="00FF4D61" w:rsidP="00FF4D61">
      <w:pPr>
        <w:rPr>
          <w:szCs w:val="24"/>
        </w:rPr>
      </w:pPr>
    </w:p>
    <w:p w:rsidR="00FF4D61" w:rsidRPr="005B3E0C" w:rsidRDefault="00FF4D61" w:rsidP="00FF4D61">
      <w:pPr>
        <w:spacing w:after="120"/>
        <w:rPr>
          <w:szCs w:val="24"/>
        </w:rPr>
      </w:pPr>
      <w:r>
        <w:rPr>
          <w:szCs w:val="24"/>
        </w:rPr>
        <w:t>Per la Commissione Costituzione e leggi</w:t>
      </w:r>
      <w:r w:rsidRPr="005B3E0C">
        <w:rPr>
          <w:szCs w:val="24"/>
        </w:rPr>
        <w:t>:</w:t>
      </w:r>
    </w:p>
    <w:p w:rsidR="00FF4D61" w:rsidRDefault="00FF4D61" w:rsidP="00FF4D61">
      <w:pPr>
        <w:rPr>
          <w:szCs w:val="24"/>
        </w:rPr>
      </w:pPr>
      <w:r>
        <w:rPr>
          <w:szCs w:val="24"/>
        </w:rPr>
        <w:t>Nicola Corti, relatore</w:t>
      </w:r>
    </w:p>
    <w:p w:rsidR="00FF4D61" w:rsidRDefault="00FF4D61" w:rsidP="00FF4D61">
      <w:pPr>
        <w:rPr>
          <w:szCs w:val="24"/>
        </w:rPr>
      </w:pPr>
      <w:r w:rsidRPr="00BE7882">
        <w:rPr>
          <w:szCs w:val="24"/>
        </w:rPr>
        <w:t xml:space="preserve">Aldi - Balli </w:t>
      </w:r>
      <w:r>
        <w:rPr>
          <w:szCs w:val="24"/>
        </w:rPr>
        <w:t>-</w:t>
      </w:r>
      <w:r w:rsidRPr="00BE7882">
        <w:rPr>
          <w:szCs w:val="24"/>
        </w:rPr>
        <w:t xml:space="preserve"> </w:t>
      </w:r>
      <w:r>
        <w:rPr>
          <w:szCs w:val="24"/>
        </w:rPr>
        <w:t xml:space="preserve">Bertoli - </w:t>
      </w:r>
      <w:r w:rsidRPr="00BE7882">
        <w:rPr>
          <w:szCs w:val="24"/>
        </w:rPr>
        <w:t xml:space="preserve">Censi - Filippini </w:t>
      </w:r>
      <w:r>
        <w:rPr>
          <w:szCs w:val="24"/>
        </w:rPr>
        <w:t>-</w:t>
      </w:r>
      <w:r w:rsidRPr="00BE7882">
        <w:rPr>
          <w:szCs w:val="24"/>
        </w:rPr>
        <w:t xml:space="preserve"> </w:t>
      </w:r>
    </w:p>
    <w:p w:rsidR="00FF4D61" w:rsidRDefault="00FF4D61" w:rsidP="00FF4D61">
      <w:pPr>
        <w:rPr>
          <w:szCs w:val="24"/>
        </w:rPr>
      </w:pPr>
      <w:r w:rsidRPr="00BE7882">
        <w:rPr>
          <w:szCs w:val="24"/>
        </w:rPr>
        <w:t>Gendotti -</w:t>
      </w:r>
      <w:r>
        <w:rPr>
          <w:szCs w:val="24"/>
        </w:rPr>
        <w:t xml:space="preserve"> Gianella</w:t>
      </w:r>
      <w:r w:rsidRPr="00BE7882">
        <w:rPr>
          <w:szCs w:val="24"/>
        </w:rPr>
        <w:t xml:space="preserve"> - Isabella - Käppeli - Lepori </w:t>
      </w:r>
      <w:r>
        <w:rPr>
          <w:szCs w:val="24"/>
        </w:rPr>
        <w:t>-</w:t>
      </w:r>
    </w:p>
    <w:p w:rsidR="00FF4D61" w:rsidRPr="006E254A" w:rsidRDefault="00FF4D61" w:rsidP="00FF4D61">
      <w:pPr>
        <w:rPr>
          <w:szCs w:val="24"/>
        </w:rPr>
      </w:pPr>
      <w:r w:rsidRPr="00BE7882">
        <w:rPr>
          <w:szCs w:val="24"/>
        </w:rPr>
        <w:t>Lurati Grassi -</w:t>
      </w:r>
      <w:r>
        <w:rPr>
          <w:szCs w:val="24"/>
        </w:rPr>
        <w:t xml:space="preserve"> Ris - Rückert - Viscardi</w:t>
      </w:r>
    </w:p>
    <w:p w:rsidR="00FF4D61" w:rsidRPr="005B3E0C" w:rsidRDefault="00FF4D61" w:rsidP="00FF4D61">
      <w:pPr>
        <w:rPr>
          <w:szCs w:val="24"/>
        </w:rPr>
      </w:pPr>
    </w:p>
    <w:p w:rsidR="00FF4D61" w:rsidRDefault="00FF4D61" w:rsidP="00FF4D61">
      <w:r>
        <w:br w:type="page"/>
      </w:r>
    </w:p>
    <w:p w:rsidR="00FF4D61" w:rsidRDefault="00FF4D61" w:rsidP="00FF4D61">
      <w:r>
        <w:lastRenderedPageBreak/>
        <w:t>Disegno di</w:t>
      </w:r>
    </w:p>
    <w:p w:rsidR="00FF4D61" w:rsidRDefault="00FF4D61" w:rsidP="00FF4D61"/>
    <w:p w:rsidR="00FF4D61" w:rsidRPr="00934198" w:rsidRDefault="00FF4D61" w:rsidP="00FF4D61">
      <w:pPr>
        <w:spacing w:after="120"/>
        <w:rPr>
          <w:b/>
        </w:rPr>
      </w:pPr>
      <w:r w:rsidRPr="00934198">
        <w:rPr>
          <w:b/>
        </w:rPr>
        <w:t>L</w:t>
      </w:r>
      <w:r>
        <w:rPr>
          <w:b/>
        </w:rPr>
        <w:t>EGGE</w:t>
      </w:r>
    </w:p>
    <w:p w:rsidR="00FF4D61" w:rsidRPr="00934198" w:rsidRDefault="00FF4D61" w:rsidP="00FF4D61">
      <w:pPr>
        <w:rPr>
          <w:b/>
        </w:rPr>
      </w:pPr>
      <w:r>
        <w:rPr>
          <w:b/>
        </w:rPr>
        <w:t>sulle aggregazioni e separazioni dei Comuni del 16 dicembre 2003; modifica</w:t>
      </w:r>
    </w:p>
    <w:p w:rsidR="00FF4D61" w:rsidRDefault="00FF4D61" w:rsidP="00FF4D61"/>
    <w:p w:rsidR="00FF4D61" w:rsidRPr="0060024B" w:rsidRDefault="00FF4D61" w:rsidP="00FF4D61"/>
    <w:p w:rsidR="00FF4D61" w:rsidRPr="0060024B" w:rsidRDefault="00FF4D61" w:rsidP="00FF4D61">
      <w:r>
        <w:t>IL GRAN CONSIGLIO</w:t>
      </w:r>
    </w:p>
    <w:p w:rsidR="00FF4D61" w:rsidRPr="0060024B" w:rsidRDefault="00FF4D61" w:rsidP="00FF4D61">
      <w:r>
        <w:t>DELLA REPUBBLICA E CANTONE TICINO</w:t>
      </w:r>
    </w:p>
    <w:p w:rsidR="00FF4D61" w:rsidRPr="0060024B" w:rsidRDefault="00FF4D61" w:rsidP="00FF4D61"/>
    <w:p w:rsidR="00FF4D61" w:rsidRDefault="00FF4D61" w:rsidP="00FF4D61">
      <w:pPr>
        <w:tabs>
          <w:tab w:val="left" w:pos="284"/>
        </w:tabs>
      </w:pPr>
      <w:r>
        <w:t>-</w:t>
      </w:r>
      <w:r>
        <w:tab/>
      </w:r>
      <w:r w:rsidRPr="0060024B">
        <w:t>visto il messaggio</w:t>
      </w:r>
      <w:r>
        <w:t xml:space="preserve"> 5 dicembre 2018 n. 7607 del Consiglio di Stato,</w:t>
      </w:r>
    </w:p>
    <w:p w:rsidR="00FF4D61" w:rsidRPr="0060024B" w:rsidRDefault="00FF4D61" w:rsidP="00FF4D61">
      <w:pPr>
        <w:tabs>
          <w:tab w:val="left" w:pos="284"/>
        </w:tabs>
        <w:spacing w:before="120"/>
        <w:ind w:left="284" w:hanging="284"/>
      </w:pPr>
      <w:r>
        <w:t>-</w:t>
      </w:r>
      <w:r>
        <w:tab/>
        <w:t>visto il rapporto 12 novembre 2019 n. 7607R</w:t>
      </w:r>
      <w:r w:rsidRPr="00FF4D61">
        <w:rPr>
          <w:sz w:val="20"/>
          <w:szCs w:val="20"/>
        </w:rPr>
        <w:t xml:space="preserve">parz.1 </w:t>
      </w:r>
      <w:r>
        <w:t>della Commissione Costituzione e leggi,</w:t>
      </w:r>
    </w:p>
    <w:p w:rsidR="00FF4D61" w:rsidRDefault="00FF4D61" w:rsidP="00FF4D61"/>
    <w:p w:rsidR="00FF4D61" w:rsidRPr="0060024B" w:rsidRDefault="00FF4D61" w:rsidP="00FF4D61"/>
    <w:p w:rsidR="00FF4D61" w:rsidRPr="0060024B" w:rsidRDefault="00FF4D61" w:rsidP="00FF4D61">
      <w:pPr>
        <w:rPr>
          <w:b/>
        </w:rPr>
      </w:pPr>
      <w:r w:rsidRPr="0060024B">
        <w:rPr>
          <w:b/>
        </w:rPr>
        <w:t>d e c r e t a :</w:t>
      </w:r>
    </w:p>
    <w:p w:rsidR="00FF4D61" w:rsidRPr="0060024B" w:rsidRDefault="00FF4D61" w:rsidP="00FF4D61"/>
    <w:p w:rsidR="00FF4D61" w:rsidRPr="0060024B" w:rsidRDefault="00FF4D61" w:rsidP="00FF4D61"/>
    <w:p w:rsidR="00FF4D61" w:rsidRPr="0060024B" w:rsidRDefault="00FF4D61" w:rsidP="00FF4D61">
      <w:pPr>
        <w:spacing w:after="120"/>
        <w:rPr>
          <w:b/>
        </w:rPr>
      </w:pPr>
      <w:r>
        <w:rPr>
          <w:b/>
        </w:rPr>
        <w:t>I.</w:t>
      </w:r>
    </w:p>
    <w:p w:rsidR="00FF4D61" w:rsidRDefault="00FF4D61" w:rsidP="00FF4D61">
      <w:r w:rsidRPr="0060024B">
        <w:t xml:space="preserve">La </w:t>
      </w:r>
      <w:r>
        <w:t>l</w:t>
      </w:r>
      <w:r w:rsidRPr="0060024B">
        <w:t xml:space="preserve">egge </w:t>
      </w:r>
      <w:r>
        <w:t>sulle aggregazioni e separazioni dei Comuni del 16 dicembre 2003</w:t>
      </w:r>
      <w:r w:rsidRPr="0060024B">
        <w:t xml:space="preserve"> è </w:t>
      </w:r>
      <w:r>
        <w:t xml:space="preserve">così </w:t>
      </w:r>
      <w:r w:rsidRPr="0060024B">
        <w:t>modificata:</w:t>
      </w:r>
    </w:p>
    <w:p w:rsidR="00FF4D61" w:rsidRPr="0060024B" w:rsidRDefault="00FF4D61" w:rsidP="00FF4D61"/>
    <w:tbl>
      <w:tblPr>
        <w:tblW w:w="0" w:type="auto"/>
        <w:tblLayout w:type="fixed"/>
        <w:tblCellMar>
          <w:left w:w="70" w:type="dxa"/>
          <w:right w:w="70" w:type="dxa"/>
        </w:tblCellMar>
        <w:tblLook w:val="0000" w:firstRow="0" w:lastRow="0" w:firstColumn="0" w:lastColumn="0" w:noHBand="0" w:noVBand="0"/>
      </w:tblPr>
      <w:tblGrid>
        <w:gridCol w:w="1771"/>
        <w:gridCol w:w="7729"/>
      </w:tblGrid>
      <w:tr w:rsidR="00FF4D61" w:rsidRPr="00DB1D6D" w:rsidTr="008902D7">
        <w:tc>
          <w:tcPr>
            <w:tcW w:w="9500" w:type="dxa"/>
            <w:gridSpan w:val="2"/>
          </w:tcPr>
          <w:p w:rsidR="00FF4D61" w:rsidRPr="00DB1D6D" w:rsidRDefault="00FF4D61" w:rsidP="008902D7">
            <w:pPr>
              <w:rPr>
                <w:b/>
                <w:sz w:val="22"/>
              </w:rPr>
            </w:pPr>
            <w:r>
              <w:rPr>
                <w:b/>
                <w:sz w:val="22"/>
              </w:rPr>
              <w:t>Introduzione dell'</w:t>
            </w:r>
            <w:r w:rsidRPr="00DB1D6D">
              <w:rPr>
                <w:b/>
                <w:sz w:val="22"/>
              </w:rPr>
              <w:t xml:space="preserve">abbreviazione del titolo: </w:t>
            </w:r>
            <w:proofErr w:type="spellStart"/>
            <w:r w:rsidRPr="00DB1D6D">
              <w:rPr>
                <w:b/>
                <w:sz w:val="22"/>
              </w:rPr>
              <w:t>LAggr</w:t>
            </w:r>
            <w:proofErr w:type="spellEnd"/>
          </w:p>
          <w:p w:rsidR="00FF4D61" w:rsidRPr="00DB1D6D" w:rsidRDefault="00FF4D61" w:rsidP="008902D7">
            <w:pPr>
              <w:rPr>
                <w:sz w:val="22"/>
              </w:rPr>
            </w:pPr>
          </w:p>
        </w:tc>
      </w:tr>
      <w:tr w:rsidR="00FF4D61" w:rsidRPr="0060024B" w:rsidTr="008902D7">
        <w:tc>
          <w:tcPr>
            <w:tcW w:w="1771" w:type="dxa"/>
          </w:tcPr>
          <w:p w:rsidR="00FF4D61" w:rsidRPr="0060024B" w:rsidRDefault="00FF4D61" w:rsidP="008902D7">
            <w:pPr>
              <w:rPr>
                <w:b/>
                <w:sz w:val="20"/>
              </w:rPr>
            </w:pPr>
          </w:p>
          <w:p w:rsidR="00FF4D61" w:rsidRPr="0060024B" w:rsidRDefault="00FF4D61" w:rsidP="008902D7"/>
        </w:tc>
        <w:tc>
          <w:tcPr>
            <w:tcW w:w="7729" w:type="dxa"/>
          </w:tcPr>
          <w:p w:rsidR="00FF4D61" w:rsidRPr="00AE14C7" w:rsidRDefault="00FF4D61" w:rsidP="008902D7">
            <w:pPr>
              <w:spacing w:line="360" w:lineRule="auto"/>
              <w:rPr>
                <w:b/>
                <w:sz w:val="22"/>
              </w:rPr>
            </w:pPr>
            <w:r w:rsidRPr="00AE14C7">
              <w:rPr>
                <w:b/>
                <w:sz w:val="22"/>
              </w:rPr>
              <w:t>Art. 12 cpv. 2</w:t>
            </w:r>
          </w:p>
          <w:p w:rsidR="00FF4D61" w:rsidRPr="00AE14C7" w:rsidRDefault="00FF4D61" w:rsidP="008902D7">
            <w:pPr>
              <w:shd w:val="clear" w:color="auto" w:fill="FFFFFF"/>
              <w:rPr>
                <w:sz w:val="22"/>
              </w:rPr>
            </w:pPr>
            <w:r w:rsidRPr="00AE14C7">
              <w:rPr>
                <w:rFonts w:cs="Arial"/>
                <w:sz w:val="22"/>
                <w:vertAlign w:val="superscript"/>
              </w:rPr>
              <w:t>2</w:t>
            </w:r>
            <w:r w:rsidRPr="00AE14C7">
              <w:rPr>
                <w:rFonts w:cs="Arial"/>
                <w:sz w:val="22"/>
              </w:rPr>
              <w:t>Il Consiglio di Stato prende tutte le disposi</w:t>
            </w:r>
            <w:r>
              <w:rPr>
                <w:rFonts w:cs="Arial"/>
                <w:sz w:val="22"/>
              </w:rPr>
              <w:t>zioni concrete necessarie per l'</w:t>
            </w:r>
            <w:r w:rsidRPr="00AE14C7">
              <w:rPr>
                <w:rFonts w:cs="Arial"/>
                <w:sz w:val="22"/>
              </w:rPr>
              <w:t xml:space="preserve">entrata in funzione del nuovo Comune, non previste dal </w:t>
            </w:r>
            <w:r>
              <w:rPr>
                <w:rFonts w:cs="Arial"/>
                <w:sz w:val="22"/>
              </w:rPr>
              <w:t>decreto legislativo. A tutela d'</w:t>
            </w:r>
            <w:r w:rsidRPr="00AE14C7">
              <w:rPr>
                <w:rFonts w:cs="Arial"/>
                <w:sz w:val="22"/>
              </w:rPr>
              <w:t>interessi preponderanti del nuovo Comune, il Consiglio di Stato può inoltre annullare le risoluzioni degli organi comunali dei Comuni in aggregazione o prendere ulteriori provvedimenti a partire da quando sottopone la sua propo</w:t>
            </w:r>
            <w:r>
              <w:rPr>
                <w:rFonts w:cs="Arial"/>
                <w:sz w:val="22"/>
              </w:rPr>
              <w:t>sta al Gran Consiglio secondo l'</w:t>
            </w:r>
            <w:r w:rsidRPr="00AE14C7">
              <w:rPr>
                <w:rFonts w:cs="Arial"/>
                <w:sz w:val="22"/>
              </w:rPr>
              <w:t>art. 7.</w:t>
            </w:r>
          </w:p>
        </w:tc>
      </w:tr>
    </w:tbl>
    <w:p w:rsidR="00FF4D61" w:rsidRDefault="00FF4D61" w:rsidP="00FF4D61"/>
    <w:p w:rsidR="00FF4D61" w:rsidRPr="0060024B" w:rsidRDefault="00FF4D61" w:rsidP="00FF4D61"/>
    <w:p w:rsidR="00FF4D61" w:rsidRPr="0060024B" w:rsidRDefault="00FF4D61" w:rsidP="00FF4D61">
      <w:pPr>
        <w:spacing w:after="120"/>
        <w:rPr>
          <w:b/>
        </w:rPr>
      </w:pPr>
      <w:r>
        <w:rPr>
          <w:b/>
        </w:rPr>
        <w:t>II.</w:t>
      </w:r>
    </w:p>
    <w:p w:rsidR="00FF4D61" w:rsidRDefault="00FF4D61" w:rsidP="00FF4D61">
      <w:r w:rsidRPr="0060024B">
        <w:t>Trascorsi i termini per l</w:t>
      </w:r>
      <w:r>
        <w:t>'</w:t>
      </w:r>
      <w:r w:rsidRPr="0060024B">
        <w:t>esercizio del diritto di referendum, la presente modifica di legge è pubblicata nel Bollettino ufficiale delle leggi</w:t>
      </w:r>
      <w:r>
        <w:t>.</w:t>
      </w:r>
    </w:p>
    <w:p w:rsidR="00FF4D61" w:rsidRDefault="00FF4D61" w:rsidP="00FF4D61">
      <w:pPr>
        <w:spacing w:before="120"/>
        <w:rPr>
          <w:szCs w:val="24"/>
        </w:rPr>
      </w:pPr>
      <w:r w:rsidRPr="00ED5C2E">
        <w:rPr>
          <w:szCs w:val="24"/>
        </w:rPr>
        <w:t>Il Consiglio di Stato ne fissa la data di entrata in vigore</w:t>
      </w:r>
      <w:r>
        <w:rPr>
          <w:szCs w:val="24"/>
        </w:rPr>
        <w:t>.</w:t>
      </w:r>
    </w:p>
    <w:p w:rsidR="00CB127C" w:rsidRDefault="00CB127C" w:rsidP="00CB127C"/>
    <w:sectPr w:rsidR="00CB127C" w:rsidSect="00F242E5">
      <w:footerReference w:type="default" r:id="rId9"/>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9D9" w:rsidRDefault="006769D9" w:rsidP="008E77C6">
      <w:r>
        <w:separator/>
      </w:r>
    </w:p>
  </w:endnote>
  <w:endnote w:type="continuationSeparator" w:id="0">
    <w:p w:rsidR="006769D9" w:rsidRDefault="006769D9"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39159B" w:rsidRPr="0039159B">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9D9" w:rsidRDefault="006769D9" w:rsidP="008E77C6">
      <w:r>
        <w:separator/>
      </w:r>
    </w:p>
  </w:footnote>
  <w:footnote w:type="continuationSeparator" w:id="0">
    <w:p w:rsidR="006769D9" w:rsidRDefault="006769D9"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9AE"/>
    <w:multiLevelType w:val="hybridMultilevel"/>
    <w:tmpl w:val="F9888982"/>
    <w:lvl w:ilvl="0" w:tplc="3A32EC04">
      <w:numFmt w:val="bullet"/>
      <w:lvlText w:val="-"/>
      <w:lvlJc w:val="left"/>
      <w:pPr>
        <w:ind w:left="1776" w:hanging="360"/>
      </w:pPr>
      <w:rPr>
        <w:rFonts w:ascii="Arial" w:eastAsia="Times New Roman" w:hAnsi="Arial" w:cs="Arial" w:hint="default"/>
      </w:rPr>
    </w:lvl>
    <w:lvl w:ilvl="1" w:tplc="08100003" w:tentative="1">
      <w:start w:val="1"/>
      <w:numFmt w:val="bullet"/>
      <w:lvlText w:val="o"/>
      <w:lvlJc w:val="left"/>
      <w:pPr>
        <w:ind w:left="2496" w:hanging="360"/>
      </w:pPr>
      <w:rPr>
        <w:rFonts w:ascii="Courier New" w:hAnsi="Courier New" w:cs="Courier New" w:hint="default"/>
      </w:rPr>
    </w:lvl>
    <w:lvl w:ilvl="2" w:tplc="08100005" w:tentative="1">
      <w:start w:val="1"/>
      <w:numFmt w:val="bullet"/>
      <w:lvlText w:val=""/>
      <w:lvlJc w:val="left"/>
      <w:pPr>
        <w:ind w:left="3216" w:hanging="360"/>
      </w:pPr>
      <w:rPr>
        <w:rFonts w:ascii="Wingdings" w:hAnsi="Wingdings" w:hint="default"/>
      </w:rPr>
    </w:lvl>
    <w:lvl w:ilvl="3" w:tplc="08100001" w:tentative="1">
      <w:start w:val="1"/>
      <w:numFmt w:val="bullet"/>
      <w:lvlText w:val=""/>
      <w:lvlJc w:val="left"/>
      <w:pPr>
        <w:ind w:left="3936" w:hanging="360"/>
      </w:pPr>
      <w:rPr>
        <w:rFonts w:ascii="Symbol" w:hAnsi="Symbol" w:hint="default"/>
      </w:rPr>
    </w:lvl>
    <w:lvl w:ilvl="4" w:tplc="08100003" w:tentative="1">
      <w:start w:val="1"/>
      <w:numFmt w:val="bullet"/>
      <w:lvlText w:val="o"/>
      <w:lvlJc w:val="left"/>
      <w:pPr>
        <w:ind w:left="4656" w:hanging="360"/>
      </w:pPr>
      <w:rPr>
        <w:rFonts w:ascii="Courier New" w:hAnsi="Courier New" w:cs="Courier New" w:hint="default"/>
      </w:rPr>
    </w:lvl>
    <w:lvl w:ilvl="5" w:tplc="08100005" w:tentative="1">
      <w:start w:val="1"/>
      <w:numFmt w:val="bullet"/>
      <w:lvlText w:val=""/>
      <w:lvlJc w:val="left"/>
      <w:pPr>
        <w:ind w:left="5376" w:hanging="360"/>
      </w:pPr>
      <w:rPr>
        <w:rFonts w:ascii="Wingdings" w:hAnsi="Wingdings" w:hint="default"/>
      </w:rPr>
    </w:lvl>
    <w:lvl w:ilvl="6" w:tplc="08100001" w:tentative="1">
      <w:start w:val="1"/>
      <w:numFmt w:val="bullet"/>
      <w:lvlText w:val=""/>
      <w:lvlJc w:val="left"/>
      <w:pPr>
        <w:ind w:left="6096" w:hanging="360"/>
      </w:pPr>
      <w:rPr>
        <w:rFonts w:ascii="Symbol" w:hAnsi="Symbol" w:hint="default"/>
      </w:rPr>
    </w:lvl>
    <w:lvl w:ilvl="7" w:tplc="08100003" w:tentative="1">
      <w:start w:val="1"/>
      <w:numFmt w:val="bullet"/>
      <w:lvlText w:val="o"/>
      <w:lvlJc w:val="left"/>
      <w:pPr>
        <w:ind w:left="6816" w:hanging="360"/>
      </w:pPr>
      <w:rPr>
        <w:rFonts w:ascii="Courier New" w:hAnsi="Courier New" w:cs="Courier New" w:hint="default"/>
      </w:rPr>
    </w:lvl>
    <w:lvl w:ilvl="8" w:tplc="08100005" w:tentative="1">
      <w:start w:val="1"/>
      <w:numFmt w:val="bullet"/>
      <w:lvlText w:val=""/>
      <w:lvlJc w:val="left"/>
      <w:pPr>
        <w:ind w:left="7536" w:hanging="360"/>
      </w:pPr>
      <w:rPr>
        <w:rFonts w:ascii="Wingdings" w:hAnsi="Wingdings" w:hint="default"/>
      </w:rPr>
    </w:lvl>
  </w:abstractNum>
  <w:abstractNum w:abstractNumId="1">
    <w:nsid w:val="0A71514E"/>
    <w:multiLevelType w:val="hybridMultilevel"/>
    <w:tmpl w:val="53F69038"/>
    <w:lvl w:ilvl="0" w:tplc="EA2C3A1A">
      <w:numFmt w:val="bullet"/>
      <w:lvlText w:val="-"/>
      <w:lvlJc w:val="left"/>
      <w:pPr>
        <w:ind w:left="1428" w:hanging="360"/>
      </w:pPr>
      <w:rPr>
        <w:rFonts w:ascii="Arial" w:eastAsia="Times New Roman" w:hAnsi="Arial" w:cs="Arial" w:hint="default"/>
      </w:rPr>
    </w:lvl>
    <w:lvl w:ilvl="1" w:tplc="08100003" w:tentative="1">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2">
    <w:nsid w:val="0D355C0C"/>
    <w:multiLevelType w:val="hybridMultilevel"/>
    <w:tmpl w:val="8336490E"/>
    <w:lvl w:ilvl="0" w:tplc="04E66952">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3">
    <w:nsid w:val="0D965C65"/>
    <w:multiLevelType w:val="hybridMultilevel"/>
    <w:tmpl w:val="DE3431A4"/>
    <w:lvl w:ilvl="0" w:tplc="8E4091E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nsid w:val="0E7C5D3C"/>
    <w:multiLevelType w:val="hybridMultilevel"/>
    <w:tmpl w:val="2496F944"/>
    <w:lvl w:ilvl="0" w:tplc="09A2E726">
      <w:start w:val="1"/>
      <w:numFmt w:val="decimal"/>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5">
    <w:nsid w:val="1924418B"/>
    <w:multiLevelType w:val="hybridMultilevel"/>
    <w:tmpl w:val="4220162A"/>
    <w:lvl w:ilvl="0" w:tplc="1B4A4F6C">
      <w:numFmt w:val="bullet"/>
      <w:lvlText w:val="-"/>
      <w:lvlJc w:val="left"/>
      <w:pPr>
        <w:ind w:left="1428" w:hanging="360"/>
      </w:pPr>
      <w:rPr>
        <w:rFonts w:ascii="Arial" w:eastAsia="Times New Roman" w:hAnsi="Arial" w:cs="Arial" w:hint="default"/>
      </w:rPr>
    </w:lvl>
    <w:lvl w:ilvl="1" w:tplc="08100003">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6">
    <w:nsid w:val="2B1620F0"/>
    <w:multiLevelType w:val="hybridMultilevel"/>
    <w:tmpl w:val="57107804"/>
    <w:lvl w:ilvl="0" w:tplc="9706314A">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nsid w:val="2C352F91"/>
    <w:multiLevelType w:val="hybridMultilevel"/>
    <w:tmpl w:val="F4D8C652"/>
    <w:lvl w:ilvl="0" w:tplc="B2945954">
      <w:start w:val="1"/>
      <w:numFmt w:val="upperRoman"/>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8">
    <w:nsid w:val="30776FA0"/>
    <w:multiLevelType w:val="hybridMultilevel"/>
    <w:tmpl w:val="53263244"/>
    <w:lvl w:ilvl="0" w:tplc="D780E196">
      <w:start w:val="1"/>
      <w:numFmt w:val="bullet"/>
      <w:lvlText w:val="-"/>
      <w:lvlJc w:val="left"/>
      <w:pPr>
        <w:tabs>
          <w:tab w:val="num" w:pos="720"/>
        </w:tabs>
        <w:ind w:left="720" w:hanging="360"/>
      </w:pPr>
      <w:rPr>
        <w:rFonts w:ascii="Arial" w:hAnsi="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3E9B7043"/>
    <w:multiLevelType w:val="hybridMultilevel"/>
    <w:tmpl w:val="1D56D6A4"/>
    <w:lvl w:ilvl="0" w:tplc="8A5684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0">
    <w:nsid w:val="43C64E9E"/>
    <w:multiLevelType w:val="hybridMultilevel"/>
    <w:tmpl w:val="37EA8088"/>
    <w:lvl w:ilvl="0" w:tplc="30A69B2A">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1">
    <w:nsid w:val="444A068F"/>
    <w:multiLevelType w:val="hybridMultilevel"/>
    <w:tmpl w:val="2B86088E"/>
    <w:lvl w:ilvl="0" w:tplc="ED0A27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2">
    <w:nsid w:val="44E4171E"/>
    <w:multiLevelType w:val="hybridMultilevel"/>
    <w:tmpl w:val="86088168"/>
    <w:lvl w:ilvl="0" w:tplc="EA9E3FF0">
      <w:start w:val="1"/>
      <w:numFmt w:val="decimal"/>
      <w:lvlText w:val="%1."/>
      <w:lvlJc w:val="left"/>
      <w:pPr>
        <w:ind w:left="1428" w:hanging="360"/>
      </w:pPr>
      <w:rPr>
        <w:rFonts w:hint="default"/>
        <w:b/>
      </w:rPr>
    </w:lvl>
    <w:lvl w:ilvl="1" w:tplc="08100019" w:tentative="1">
      <w:start w:val="1"/>
      <w:numFmt w:val="lowerLetter"/>
      <w:lvlText w:val="%2."/>
      <w:lvlJc w:val="left"/>
      <w:pPr>
        <w:ind w:left="2148" w:hanging="360"/>
      </w:pPr>
    </w:lvl>
    <w:lvl w:ilvl="2" w:tplc="0810001B" w:tentative="1">
      <w:start w:val="1"/>
      <w:numFmt w:val="lowerRoman"/>
      <w:lvlText w:val="%3."/>
      <w:lvlJc w:val="right"/>
      <w:pPr>
        <w:ind w:left="2868" w:hanging="180"/>
      </w:pPr>
    </w:lvl>
    <w:lvl w:ilvl="3" w:tplc="0810000F" w:tentative="1">
      <w:start w:val="1"/>
      <w:numFmt w:val="decimal"/>
      <w:lvlText w:val="%4."/>
      <w:lvlJc w:val="left"/>
      <w:pPr>
        <w:ind w:left="3588" w:hanging="360"/>
      </w:pPr>
    </w:lvl>
    <w:lvl w:ilvl="4" w:tplc="08100019" w:tentative="1">
      <w:start w:val="1"/>
      <w:numFmt w:val="lowerLetter"/>
      <w:lvlText w:val="%5."/>
      <w:lvlJc w:val="left"/>
      <w:pPr>
        <w:ind w:left="4308" w:hanging="360"/>
      </w:pPr>
    </w:lvl>
    <w:lvl w:ilvl="5" w:tplc="0810001B" w:tentative="1">
      <w:start w:val="1"/>
      <w:numFmt w:val="lowerRoman"/>
      <w:lvlText w:val="%6."/>
      <w:lvlJc w:val="right"/>
      <w:pPr>
        <w:ind w:left="5028" w:hanging="180"/>
      </w:pPr>
    </w:lvl>
    <w:lvl w:ilvl="6" w:tplc="0810000F" w:tentative="1">
      <w:start w:val="1"/>
      <w:numFmt w:val="decimal"/>
      <w:lvlText w:val="%7."/>
      <w:lvlJc w:val="left"/>
      <w:pPr>
        <w:ind w:left="5748" w:hanging="360"/>
      </w:pPr>
    </w:lvl>
    <w:lvl w:ilvl="7" w:tplc="08100019" w:tentative="1">
      <w:start w:val="1"/>
      <w:numFmt w:val="lowerLetter"/>
      <w:lvlText w:val="%8."/>
      <w:lvlJc w:val="left"/>
      <w:pPr>
        <w:ind w:left="6468" w:hanging="360"/>
      </w:pPr>
    </w:lvl>
    <w:lvl w:ilvl="8" w:tplc="0810001B" w:tentative="1">
      <w:start w:val="1"/>
      <w:numFmt w:val="lowerRoman"/>
      <w:lvlText w:val="%9."/>
      <w:lvlJc w:val="right"/>
      <w:pPr>
        <w:ind w:left="7188" w:hanging="180"/>
      </w:pPr>
    </w:lvl>
  </w:abstractNum>
  <w:abstractNum w:abstractNumId="13">
    <w:nsid w:val="48C87670"/>
    <w:multiLevelType w:val="hybridMultilevel"/>
    <w:tmpl w:val="5C2457A6"/>
    <w:lvl w:ilvl="0" w:tplc="4AB6AA78">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4">
    <w:nsid w:val="49115CB3"/>
    <w:multiLevelType w:val="hybridMultilevel"/>
    <w:tmpl w:val="AABEAD84"/>
    <w:lvl w:ilvl="0" w:tplc="9856B380">
      <w:start w:val="1"/>
      <w:numFmt w:val="lowerLetter"/>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15">
    <w:nsid w:val="4A4E4B7B"/>
    <w:multiLevelType w:val="hybridMultilevel"/>
    <w:tmpl w:val="158CF016"/>
    <w:lvl w:ilvl="0" w:tplc="A440938E">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6">
    <w:nsid w:val="5CBC74B3"/>
    <w:multiLevelType w:val="hybridMultilevel"/>
    <w:tmpl w:val="BB8EA900"/>
    <w:lvl w:ilvl="0" w:tplc="0D7E058A">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7">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7"/>
  </w:num>
  <w:num w:numId="2">
    <w:abstractNumId w:val="17"/>
  </w:num>
  <w:num w:numId="3">
    <w:abstractNumId w:val="18"/>
  </w:num>
  <w:num w:numId="4">
    <w:abstractNumId w:val="2"/>
  </w:num>
  <w:num w:numId="5">
    <w:abstractNumId w:val="7"/>
  </w:num>
  <w:num w:numId="6">
    <w:abstractNumId w:val="6"/>
  </w:num>
  <w:num w:numId="7">
    <w:abstractNumId w:val="3"/>
  </w:num>
  <w:num w:numId="8">
    <w:abstractNumId w:val="13"/>
  </w:num>
  <w:num w:numId="9">
    <w:abstractNumId w:val="5"/>
  </w:num>
  <w:num w:numId="10">
    <w:abstractNumId w:val="10"/>
  </w:num>
  <w:num w:numId="11">
    <w:abstractNumId w:val="11"/>
  </w:num>
  <w:num w:numId="12">
    <w:abstractNumId w:val="14"/>
  </w:num>
  <w:num w:numId="13">
    <w:abstractNumId w:val="4"/>
  </w:num>
  <w:num w:numId="14">
    <w:abstractNumId w:val="12"/>
  </w:num>
  <w:num w:numId="15">
    <w:abstractNumId w:val="16"/>
  </w:num>
  <w:num w:numId="16">
    <w:abstractNumId w:val="0"/>
  </w:num>
  <w:num w:numId="17">
    <w:abstractNumId w:val="15"/>
  </w:num>
  <w:num w:numId="18">
    <w:abstractNumId w:val="1"/>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0B2940"/>
    <w:rsid w:val="002E5E40"/>
    <w:rsid w:val="00387A19"/>
    <w:rsid w:val="0039159B"/>
    <w:rsid w:val="003B7935"/>
    <w:rsid w:val="0052425A"/>
    <w:rsid w:val="0057039F"/>
    <w:rsid w:val="00586A8D"/>
    <w:rsid w:val="005F4380"/>
    <w:rsid w:val="006769D9"/>
    <w:rsid w:val="006D7A3B"/>
    <w:rsid w:val="007B5462"/>
    <w:rsid w:val="008034BD"/>
    <w:rsid w:val="00876352"/>
    <w:rsid w:val="008B4137"/>
    <w:rsid w:val="008C767A"/>
    <w:rsid w:val="008E77C6"/>
    <w:rsid w:val="009770BB"/>
    <w:rsid w:val="009E008D"/>
    <w:rsid w:val="009E0FBE"/>
    <w:rsid w:val="00A5465F"/>
    <w:rsid w:val="00A77678"/>
    <w:rsid w:val="00BC4C95"/>
    <w:rsid w:val="00BD5944"/>
    <w:rsid w:val="00CB127C"/>
    <w:rsid w:val="00CF6858"/>
    <w:rsid w:val="00D377B5"/>
    <w:rsid w:val="00D93B31"/>
    <w:rsid w:val="00F242E5"/>
    <w:rsid w:val="00FF4D61"/>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FF4D61"/>
    <w:pPr>
      <w:keepNext/>
      <w:numPr>
        <w:numId w:val="4"/>
      </w:numPr>
      <w:tabs>
        <w:tab w:val="left" w:pos="426"/>
      </w:tabs>
      <w:spacing w:after="120"/>
      <w:ind w:left="567" w:hanging="567"/>
      <w:outlineLvl w:val="0"/>
    </w:pPr>
    <w:rPr>
      <w:b/>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FF4D61"/>
    <w:rPr>
      <w:rFonts w:ascii="Arial" w:hAnsi="Arial"/>
      <w:b/>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Corpotesto">
    <w:name w:val="Body Text"/>
    <w:basedOn w:val="Normale"/>
    <w:link w:val="CorpotestoCarattere"/>
    <w:rsid w:val="00CB127C"/>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CB127C"/>
    <w:rPr>
      <w:rFonts w:ascii="Arial" w:eastAsia="Times New Roman" w:hAnsi="Arial" w:cs="Times New Roman"/>
      <w:sz w:val="24"/>
      <w:szCs w:val="20"/>
      <w:lang w:val="it-IT" w:eastAsia="it-IT"/>
    </w:rPr>
  </w:style>
  <w:style w:type="paragraph" w:styleId="Testonotaapidipagina">
    <w:name w:val="footnote text"/>
    <w:basedOn w:val="Normale"/>
    <w:link w:val="TestonotaapidipaginaCarattere"/>
    <w:uiPriority w:val="99"/>
    <w:semiHidden/>
    <w:unhideWhenUsed/>
    <w:rsid w:val="00CB127C"/>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CB127C"/>
    <w:rPr>
      <w:rFonts w:ascii="Arial" w:eastAsia="Times New Roman" w:hAnsi="Arial" w:cs="Times New Roman"/>
      <w:sz w:val="20"/>
      <w:szCs w:val="20"/>
      <w:lang w:val="it-IT" w:eastAsia="it-IT"/>
    </w:rPr>
  </w:style>
  <w:style w:type="character" w:styleId="Rimandonotaapidipagina">
    <w:name w:val="footnote reference"/>
    <w:basedOn w:val="Carpredefinitoparagrafo"/>
    <w:uiPriority w:val="99"/>
    <w:semiHidden/>
    <w:unhideWhenUsed/>
    <w:rsid w:val="00CB127C"/>
    <w:rPr>
      <w:vertAlign w:val="superscript"/>
    </w:rPr>
  </w:style>
  <w:style w:type="paragraph" w:customStyle="1" w:styleId="Default">
    <w:name w:val="Default"/>
    <w:rsid w:val="00CB127C"/>
    <w:pPr>
      <w:autoSpaceDE w:val="0"/>
      <w:autoSpaceDN w:val="0"/>
      <w:adjustRightInd w:val="0"/>
      <w:jc w:val="left"/>
    </w:pPr>
    <w:rPr>
      <w:rFonts w:ascii="Arial" w:hAnsi="Arial" w:cs="Arial"/>
      <w:color w:val="000000"/>
      <w:sz w:val="24"/>
      <w:szCs w:val="24"/>
    </w:rPr>
  </w:style>
  <w:style w:type="table" w:styleId="Grigliatabella">
    <w:name w:val="Table Grid"/>
    <w:basedOn w:val="Tabellanormale"/>
    <w:uiPriority w:val="39"/>
    <w:rsid w:val="00CB127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CB127C"/>
    <w:rPr>
      <w:color w:val="0000FF"/>
      <w:u w:val="single"/>
    </w:rPr>
  </w:style>
  <w:style w:type="paragraph" w:styleId="Testofumetto">
    <w:name w:val="Balloon Text"/>
    <w:basedOn w:val="Normale"/>
    <w:link w:val="TestofumettoCarattere"/>
    <w:uiPriority w:val="99"/>
    <w:semiHidden/>
    <w:unhideWhenUsed/>
    <w:rsid w:val="00387A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7A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FF4D61"/>
    <w:pPr>
      <w:keepNext/>
      <w:numPr>
        <w:numId w:val="4"/>
      </w:numPr>
      <w:tabs>
        <w:tab w:val="left" w:pos="426"/>
      </w:tabs>
      <w:spacing w:after="120"/>
      <w:ind w:left="567" w:hanging="567"/>
      <w:outlineLvl w:val="0"/>
    </w:pPr>
    <w:rPr>
      <w:b/>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FF4D61"/>
    <w:rPr>
      <w:rFonts w:ascii="Arial" w:hAnsi="Arial"/>
      <w:b/>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Corpotesto">
    <w:name w:val="Body Text"/>
    <w:basedOn w:val="Normale"/>
    <w:link w:val="CorpotestoCarattere"/>
    <w:rsid w:val="00CB127C"/>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CB127C"/>
    <w:rPr>
      <w:rFonts w:ascii="Arial" w:eastAsia="Times New Roman" w:hAnsi="Arial" w:cs="Times New Roman"/>
      <w:sz w:val="24"/>
      <w:szCs w:val="20"/>
      <w:lang w:val="it-IT" w:eastAsia="it-IT"/>
    </w:rPr>
  </w:style>
  <w:style w:type="paragraph" w:styleId="Testonotaapidipagina">
    <w:name w:val="footnote text"/>
    <w:basedOn w:val="Normale"/>
    <w:link w:val="TestonotaapidipaginaCarattere"/>
    <w:uiPriority w:val="99"/>
    <w:semiHidden/>
    <w:unhideWhenUsed/>
    <w:rsid w:val="00CB127C"/>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CB127C"/>
    <w:rPr>
      <w:rFonts w:ascii="Arial" w:eastAsia="Times New Roman" w:hAnsi="Arial" w:cs="Times New Roman"/>
      <w:sz w:val="20"/>
      <w:szCs w:val="20"/>
      <w:lang w:val="it-IT" w:eastAsia="it-IT"/>
    </w:rPr>
  </w:style>
  <w:style w:type="character" w:styleId="Rimandonotaapidipagina">
    <w:name w:val="footnote reference"/>
    <w:basedOn w:val="Carpredefinitoparagrafo"/>
    <w:uiPriority w:val="99"/>
    <w:semiHidden/>
    <w:unhideWhenUsed/>
    <w:rsid w:val="00CB127C"/>
    <w:rPr>
      <w:vertAlign w:val="superscript"/>
    </w:rPr>
  </w:style>
  <w:style w:type="paragraph" w:customStyle="1" w:styleId="Default">
    <w:name w:val="Default"/>
    <w:rsid w:val="00CB127C"/>
    <w:pPr>
      <w:autoSpaceDE w:val="0"/>
      <w:autoSpaceDN w:val="0"/>
      <w:adjustRightInd w:val="0"/>
      <w:jc w:val="left"/>
    </w:pPr>
    <w:rPr>
      <w:rFonts w:ascii="Arial" w:hAnsi="Arial" w:cs="Arial"/>
      <w:color w:val="000000"/>
      <w:sz w:val="24"/>
      <w:szCs w:val="24"/>
    </w:rPr>
  </w:style>
  <w:style w:type="table" w:styleId="Grigliatabella">
    <w:name w:val="Table Grid"/>
    <w:basedOn w:val="Tabellanormale"/>
    <w:uiPriority w:val="39"/>
    <w:rsid w:val="00CB127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CB127C"/>
    <w:rPr>
      <w:color w:val="0000FF"/>
      <w:u w:val="single"/>
    </w:rPr>
  </w:style>
  <w:style w:type="paragraph" w:styleId="Testofumetto">
    <w:name w:val="Balloon Text"/>
    <w:basedOn w:val="Normale"/>
    <w:link w:val="TestofumettoCarattere"/>
    <w:uiPriority w:val="99"/>
    <w:semiHidden/>
    <w:unhideWhenUsed/>
    <w:rsid w:val="00387A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7A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B5048-4E57-4D90-B668-243DCAFF6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1605</Words>
  <Characters>9151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5</cp:revision>
  <cp:lastPrinted>2019-11-21T16:25:00Z</cp:lastPrinted>
  <dcterms:created xsi:type="dcterms:W3CDTF">2019-11-21T16:14:00Z</dcterms:created>
  <dcterms:modified xsi:type="dcterms:W3CDTF">2019-11-27T11:38:00Z</dcterms:modified>
</cp:coreProperties>
</file>