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A062C8" w:rsidP="00B860C2">
      <w:r w:rsidRPr="00270118">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630F91" w:rsidP="00B860C2">
      <w:pPr>
        <w:tabs>
          <w:tab w:val="left" w:pos="2098"/>
          <w:tab w:val="left" w:pos="4933"/>
        </w:tabs>
        <w:rPr>
          <w:rFonts w:cs="Arial"/>
          <w:szCs w:val="24"/>
        </w:rPr>
      </w:pPr>
      <w:r>
        <w:rPr>
          <w:rFonts w:cs="Arial"/>
          <w:b/>
          <w:sz w:val="32"/>
          <w:szCs w:val="32"/>
        </w:rPr>
        <w:t>7748</w:t>
      </w:r>
      <w:r w:rsidR="00B860C2" w:rsidRPr="008B4137">
        <w:rPr>
          <w:rFonts w:cs="Arial"/>
          <w:b/>
          <w:sz w:val="32"/>
          <w:szCs w:val="32"/>
        </w:rPr>
        <w:t xml:space="preserve"> R</w:t>
      </w:r>
      <w:r w:rsidR="00B860C2" w:rsidRPr="008B4137">
        <w:rPr>
          <w:rFonts w:cs="Arial"/>
          <w:sz w:val="28"/>
          <w:szCs w:val="28"/>
        </w:rPr>
        <w:tab/>
      </w:r>
      <w:r>
        <w:rPr>
          <w:rFonts w:cs="Arial"/>
          <w:sz w:val="28"/>
          <w:szCs w:val="28"/>
        </w:rPr>
        <w:t>3 febbraio 2020</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630F91" w:rsidRDefault="00B860C2" w:rsidP="00B860C2">
      <w:pPr>
        <w:rPr>
          <w:rFonts w:cs="Arial"/>
          <w:b/>
          <w:sz w:val="28"/>
          <w:szCs w:val="28"/>
        </w:rPr>
      </w:pPr>
      <w:r w:rsidRPr="00630F91">
        <w:rPr>
          <w:rFonts w:cs="Arial"/>
          <w:b/>
          <w:sz w:val="28"/>
          <w:szCs w:val="28"/>
        </w:rPr>
        <w:t>della Commissione</w:t>
      </w:r>
      <w:r w:rsidR="00630F91" w:rsidRPr="00630F91">
        <w:rPr>
          <w:rFonts w:cs="Arial"/>
          <w:b/>
          <w:sz w:val="28"/>
          <w:szCs w:val="28"/>
        </w:rPr>
        <w:t xml:space="preserve"> formazione e cultura</w:t>
      </w:r>
    </w:p>
    <w:p w:rsidR="00B860C2" w:rsidRPr="00630F91" w:rsidRDefault="00B860C2" w:rsidP="00B860C2">
      <w:pPr>
        <w:rPr>
          <w:rFonts w:cs="Arial"/>
          <w:b/>
          <w:sz w:val="28"/>
          <w:szCs w:val="28"/>
        </w:rPr>
      </w:pPr>
      <w:r w:rsidRPr="00630F91">
        <w:rPr>
          <w:rFonts w:cs="Arial"/>
          <w:b/>
          <w:sz w:val="28"/>
          <w:szCs w:val="28"/>
        </w:rPr>
        <w:t xml:space="preserve">sul messaggio </w:t>
      </w:r>
      <w:r w:rsidR="00630F91" w:rsidRPr="00630F91">
        <w:rPr>
          <w:rFonts w:cs="Arial"/>
          <w:b/>
          <w:sz w:val="28"/>
          <w:szCs w:val="28"/>
        </w:rPr>
        <w:t xml:space="preserve">13 novembre 2019 concernente la modifica </w:t>
      </w:r>
      <w:r w:rsidR="00630F91" w:rsidRPr="00630F91">
        <w:rPr>
          <w:rFonts w:cs="Arial"/>
          <w:b/>
          <w:color w:val="000000"/>
          <w:sz w:val="28"/>
          <w:szCs w:val="28"/>
        </w:rPr>
        <w:t xml:space="preserve">della Legge </w:t>
      </w:r>
      <w:r w:rsidR="00630F91" w:rsidRPr="00630F91">
        <w:rPr>
          <w:b/>
          <w:sz w:val="28"/>
          <w:szCs w:val="28"/>
        </w:rPr>
        <w:t>della scuola riguardante la protezione dei dati personali degli allievi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565878" w:rsidRPr="002715B9" w:rsidRDefault="00565878" w:rsidP="00630F91">
      <w:pPr>
        <w:pStyle w:val="Titolo1"/>
      </w:pPr>
      <w:bookmarkStart w:id="1" w:name="_Toc532286235"/>
      <w:r w:rsidRPr="002715B9">
        <w:t>Int</w:t>
      </w:r>
      <w:r>
        <w:t>r</w:t>
      </w:r>
      <w:r w:rsidRPr="002715B9">
        <w:t>oduzione</w:t>
      </w:r>
    </w:p>
    <w:p w:rsidR="00565878" w:rsidRDefault="00565878" w:rsidP="00565878">
      <w:r>
        <w:t xml:space="preserve">In data 13.11.2019 alla Commissione formazione e cultura è stato attribuito il rapporto </w:t>
      </w:r>
      <w:r w:rsidR="009C5F4E">
        <w:br/>
      </w:r>
      <w:r>
        <w:t>n. 7748 inerente la modifica della legge della scuola riguardante la protezione dei dati personali degli allievi e più precisamente la modifica degli art. 91a, art. 91d cpv. 1 e il nuovo capoverso 2, sempre dell’art</w:t>
      </w:r>
      <w:r w:rsidR="009C5F4E">
        <w:t>icolo</w:t>
      </w:r>
      <w:r>
        <w:t xml:space="preserve"> 91d.</w:t>
      </w:r>
    </w:p>
    <w:p w:rsidR="00565878" w:rsidRDefault="00565878" w:rsidP="00565878"/>
    <w:p w:rsidR="00565878" w:rsidRPr="0028335C" w:rsidRDefault="00565878" w:rsidP="00565878">
      <w:r>
        <w:rPr>
          <w:rFonts w:cs="Arial"/>
          <w:bCs/>
        </w:rPr>
        <w:t>Il Consiglio di Stato in data 28.5.2019 (n. 2575) ha informato delle difficoltà riscontrate nell’applicazione dell’art. 91d Lsc, secondo il quale i dati relativi agli allievi possono essere conservati integralmente fino ad un massimo di 4 anni dalla fine della carriera scolastica e in seguito solo in forma anonimizzata.</w:t>
      </w:r>
    </w:p>
    <w:p w:rsidR="00565878" w:rsidRDefault="00565878" w:rsidP="00565878"/>
    <w:p w:rsidR="00565878" w:rsidRDefault="00565878" w:rsidP="00565878">
      <w:r>
        <w:t>Questo limite di quattro anni pone due problemi che queste modifiche di legge intendono risolvere.</w:t>
      </w:r>
    </w:p>
    <w:p w:rsidR="00565878" w:rsidRDefault="00565878" w:rsidP="00630F91">
      <w:pPr>
        <w:pStyle w:val="Paragrafoelenco"/>
        <w:numPr>
          <w:ilvl w:val="0"/>
          <w:numId w:val="13"/>
        </w:numPr>
        <w:spacing w:before="80"/>
        <w:ind w:left="425" w:hanging="425"/>
      </w:pPr>
      <w:r>
        <w:t>Con gli anni il percorso formativo di una persona non è più stato lineare come una volta. Oggigiorno una persona può formarsi su più anni, su più formazioni a causa della volatilità del lavoro. Questo implica sempre più una maggior richiesta di certificati di studio che per il limite odierno non possono essere emessi.</w:t>
      </w:r>
    </w:p>
    <w:p w:rsidR="00565878" w:rsidRDefault="00565878" w:rsidP="00630F91">
      <w:pPr>
        <w:pStyle w:val="Paragrafoelenco"/>
        <w:numPr>
          <w:ilvl w:val="0"/>
          <w:numId w:val="13"/>
        </w:numPr>
        <w:spacing w:before="80"/>
        <w:ind w:left="425" w:hanging="425"/>
      </w:pPr>
      <w:r>
        <w:t>Il secondo problema è quello relativo al monitoraggio del sistema formativo e più in generale alla ricerca, ovvero è fondamentale avere sempre dati a disposizione per capire e conoscere l’andamento della formazione e monitorare anche casi di ragazzi che escono dal sistema formativo senza disporre di un diploma di studio del secondario II.</w:t>
      </w:r>
    </w:p>
    <w:p w:rsidR="00630F91" w:rsidRDefault="00630F91" w:rsidP="00565878">
      <w:pPr>
        <w:pStyle w:val="Paragrafoelenco"/>
      </w:pPr>
    </w:p>
    <w:p w:rsidR="00565878" w:rsidRDefault="00565878" w:rsidP="00565878">
      <w:pPr>
        <w:pStyle w:val="Paragrafoelenco"/>
      </w:pPr>
      <w:r>
        <w:t>Per poter seguire questi giovani al loro eventuale rientro è infatti fondamentale disporre dei loro dati di dettaglio. Per queste ragioni è necessario superare l’attuale limite quadriennale relativo alla conservazione dei dati, disponendo più a lungo, nel rispetto della protezione dei dati personali, dei dati completi degli allievi che hanno svolto la loro formazione in Ticino.</w:t>
      </w:r>
    </w:p>
    <w:p w:rsidR="00565878" w:rsidRDefault="00565878" w:rsidP="00565878"/>
    <w:p w:rsidR="00565878" w:rsidRDefault="00565878" w:rsidP="00565878"/>
    <w:p w:rsidR="00565878" w:rsidRPr="00DD64D8" w:rsidRDefault="00565878" w:rsidP="00630F91">
      <w:pPr>
        <w:pStyle w:val="Titolo1"/>
      </w:pPr>
      <w:r w:rsidRPr="00DD64D8">
        <w:t>Modifica dell’articolo 91a cpv. 1</w:t>
      </w:r>
    </w:p>
    <w:p w:rsidR="00565878" w:rsidRDefault="00565878" w:rsidP="00630F91">
      <w:pPr>
        <w:spacing w:after="120"/>
      </w:pPr>
      <w:r>
        <w:t xml:space="preserve">Articolo in vigore </w:t>
      </w:r>
    </w:p>
    <w:p w:rsidR="00565878" w:rsidRPr="00630F91" w:rsidRDefault="00565878" w:rsidP="00565878">
      <w:pPr>
        <w:pStyle w:val="NormaleWeb"/>
        <w:shd w:val="clear" w:color="auto" w:fill="FFFFFF"/>
        <w:spacing w:before="0" w:beforeAutospacing="0" w:after="0" w:afterAutospacing="0"/>
        <w:ind w:left="720" w:right="187"/>
        <w:jc w:val="both"/>
        <w:rPr>
          <w:rFonts w:ascii="Arial" w:hAnsi="Arial" w:cs="Arial"/>
          <w:color w:val="000000"/>
          <w:sz w:val="21"/>
          <w:szCs w:val="21"/>
        </w:rPr>
      </w:pPr>
      <w:r w:rsidRPr="00630F91">
        <w:rPr>
          <w:rFonts w:ascii="Arial" w:hAnsi="Arial" w:cs="Arial"/>
          <w:b/>
          <w:bCs/>
          <w:color w:val="000000"/>
          <w:sz w:val="21"/>
          <w:szCs w:val="21"/>
        </w:rPr>
        <w:t>Art. 91a</w:t>
      </w:r>
      <w:hyperlink r:id="rId8" w:anchor="_ftn127" w:history="1">
        <w:r w:rsidRPr="00630F91">
          <w:rPr>
            <w:rStyle w:val="Collegamentoipertestuale"/>
            <w:rFonts w:ascii="Arial" w:hAnsi="Arial" w:cs="Arial"/>
            <w:color w:val="000000"/>
            <w:sz w:val="21"/>
            <w:szCs w:val="21"/>
            <w:vertAlign w:val="superscript"/>
          </w:rPr>
          <w:t>[127]</w:t>
        </w:r>
      </w:hyperlink>
      <w:r w:rsidRPr="00630F91">
        <w:rPr>
          <w:rFonts w:ascii="Arial" w:hAnsi="Arial" w:cs="Arial"/>
          <w:color w:val="000000"/>
          <w:position w:val="4"/>
          <w:sz w:val="21"/>
          <w:szCs w:val="21"/>
        </w:rPr>
        <w:t>1</w:t>
      </w:r>
      <w:r w:rsidRPr="00630F91">
        <w:rPr>
          <w:rFonts w:ascii="Arial" w:hAnsi="Arial" w:cs="Arial"/>
          <w:color w:val="000000"/>
          <w:sz w:val="21"/>
          <w:szCs w:val="21"/>
        </w:rPr>
        <w:t>Il Dipartimento competente, tramite le unità amministrative definite dal regolamento, gestisce la banca dati «Gestione allievi gestione istituti» (GAGI), per la gestione amministrativa e del curricolo formativo degli allievi, nonché per la gestione amministrativa degli istituti scolastici e dei relativi servizi centrali.</w:t>
      </w:r>
    </w:p>
    <w:p w:rsidR="00565878" w:rsidRPr="00630F91" w:rsidRDefault="00565878" w:rsidP="00630F91">
      <w:pPr>
        <w:pStyle w:val="NormaleWeb"/>
        <w:shd w:val="clear" w:color="auto" w:fill="FFFFFF"/>
        <w:spacing w:before="0" w:beforeAutospacing="0" w:after="80" w:afterAutospacing="0"/>
        <w:ind w:left="720" w:right="187"/>
        <w:jc w:val="both"/>
        <w:rPr>
          <w:rFonts w:ascii="Arial" w:hAnsi="Arial" w:cs="Arial"/>
          <w:color w:val="000000"/>
          <w:sz w:val="21"/>
          <w:szCs w:val="21"/>
        </w:rPr>
      </w:pPr>
      <w:r w:rsidRPr="00630F91">
        <w:rPr>
          <w:rFonts w:ascii="Arial" w:hAnsi="Arial" w:cs="Arial"/>
          <w:color w:val="000000"/>
          <w:position w:val="4"/>
          <w:sz w:val="21"/>
          <w:szCs w:val="21"/>
        </w:rPr>
        <w:lastRenderedPageBreak/>
        <w:t>2</w:t>
      </w:r>
      <w:r w:rsidRPr="00630F91">
        <w:rPr>
          <w:rFonts w:ascii="Arial" w:hAnsi="Arial" w:cs="Arial"/>
          <w:color w:val="000000"/>
          <w:sz w:val="21"/>
          <w:szCs w:val="21"/>
        </w:rPr>
        <w:t>La banca dati GAGI contiene i dati personali necessari all’adempimento dei compiti legali degli organi interessati, inclusi dati meritevoli di particolare protezione, segnatamente relativi allo stato di salute, alle sanzioni penali limitatamente all’iscrizione a casellario giudiziale e amministrative, ai provvedimenti disciplinari, nonché alla sfera famigliare se strettamente necessari per la gestione ordinaria della scuola.</w:t>
      </w:r>
    </w:p>
    <w:p w:rsidR="00565878" w:rsidRPr="00630F91" w:rsidRDefault="00565878" w:rsidP="00630F91">
      <w:pPr>
        <w:pStyle w:val="NormaleWeb"/>
        <w:shd w:val="clear" w:color="auto" w:fill="FFFFFF"/>
        <w:spacing w:before="0" w:beforeAutospacing="0" w:after="80" w:afterAutospacing="0"/>
        <w:ind w:left="720" w:right="187"/>
        <w:jc w:val="both"/>
        <w:rPr>
          <w:rFonts w:ascii="Arial" w:hAnsi="Arial" w:cs="Arial"/>
          <w:color w:val="000000"/>
          <w:sz w:val="21"/>
          <w:szCs w:val="21"/>
        </w:rPr>
      </w:pPr>
      <w:r w:rsidRPr="00630F91">
        <w:rPr>
          <w:rFonts w:ascii="Arial" w:hAnsi="Arial" w:cs="Arial"/>
          <w:color w:val="000000"/>
          <w:position w:val="4"/>
          <w:sz w:val="21"/>
          <w:szCs w:val="21"/>
        </w:rPr>
        <w:t>3</w:t>
      </w:r>
      <w:r w:rsidRPr="00630F91">
        <w:rPr>
          <w:rFonts w:ascii="Arial" w:hAnsi="Arial" w:cs="Arial"/>
          <w:color w:val="000000"/>
          <w:sz w:val="21"/>
          <w:szCs w:val="21"/>
        </w:rPr>
        <w:t>La banca dati GAGI può servire all’allestimento di statistiche.</w:t>
      </w:r>
    </w:p>
    <w:p w:rsidR="00630F91" w:rsidRDefault="00630F91" w:rsidP="00565878"/>
    <w:p w:rsidR="00565878" w:rsidRPr="00AB2777" w:rsidRDefault="00565878" w:rsidP="00630F91">
      <w:pPr>
        <w:spacing w:after="120"/>
      </w:pPr>
      <w:r>
        <w:t>Articolo modificato</w:t>
      </w:r>
    </w:p>
    <w:p w:rsidR="00565878" w:rsidRPr="00CC7442" w:rsidRDefault="00565878" w:rsidP="00565878">
      <w:pPr>
        <w:pStyle w:val="NormaleWeb"/>
        <w:tabs>
          <w:tab w:val="left" w:pos="1560"/>
        </w:tabs>
        <w:spacing w:before="0" w:beforeAutospacing="0" w:after="0" w:afterAutospacing="0"/>
        <w:ind w:left="1134" w:right="187"/>
        <w:jc w:val="both"/>
        <w:rPr>
          <w:rFonts w:ascii="Arial" w:hAnsi="Arial" w:cs="Arial"/>
          <w:b/>
          <w:bCs/>
          <w:sz w:val="21"/>
          <w:szCs w:val="21"/>
        </w:rPr>
      </w:pPr>
      <w:r w:rsidRPr="00CC7442">
        <w:rPr>
          <w:rFonts w:ascii="Arial" w:hAnsi="Arial" w:cs="Arial"/>
          <w:b/>
          <w:bCs/>
          <w:sz w:val="21"/>
          <w:szCs w:val="21"/>
        </w:rPr>
        <w:t>Art. 91a</w:t>
      </w:r>
    </w:p>
    <w:p w:rsidR="00565878" w:rsidRPr="00630F91" w:rsidRDefault="00565878" w:rsidP="00565878">
      <w:pPr>
        <w:pStyle w:val="NormaleWeb"/>
        <w:tabs>
          <w:tab w:val="left" w:pos="1560"/>
        </w:tabs>
        <w:spacing w:before="0" w:beforeAutospacing="0" w:after="0" w:afterAutospacing="0"/>
        <w:ind w:left="1134" w:right="187"/>
        <w:jc w:val="both"/>
        <w:rPr>
          <w:rFonts w:ascii="Arial" w:hAnsi="Arial" w:cs="Arial"/>
          <w:bCs/>
          <w:sz w:val="12"/>
          <w:szCs w:val="12"/>
        </w:rPr>
      </w:pPr>
    </w:p>
    <w:p w:rsidR="00565878" w:rsidRPr="00CC7442" w:rsidRDefault="00565878" w:rsidP="00565878">
      <w:pPr>
        <w:pStyle w:val="NormaleWeb"/>
        <w:tabs>
          <w:tab w:val="left" w:pos="1560"/>
        </w:tabs>
        <w:spacing w:before="0" w:beforeAutospacing="0" w:after="0" w:afterAutospacing="0"/>
        <w:ind w:left="1134" w:right="187"/>
        <w:jc w:val="both"/>
        <w:rPr>
          <w:rFonts w:ascii="Arial" w:hAnsi="Arial" w:cs="Arial"/>
          <w:sz w:val="21"/>
          <w:szCs w:val="21"/>
        </w:rPr>
      </w:pPr>
      <w:r w:rsidRPr="00CC7442">
        <w:rPr>
          <w:rFonts w:ascii="Arial" w:hAnsi="Arial" w:cs="Arial"/>
          <w:position w:val="4"/>
          <w:sz w:val="21"/>
          <w:szCs w:val="21"/>
          <w:vertAlign w:val="superscript"/>
        </w:rPr>
        <w:t>1</w:t>
      </w:r>
      <w:r w:rsidRPr="00CC7442">
        <w:rPr>
          <w:rFonts w:ascii="Arial" w:hAnsi="Arial" w:cs="Arial"/>
          <w:sz w:val="21"/>
          <w:szCs w:val="21"/>
        </w:rPr>
        <w:t>Il Dipartimento competente, tramite le unità amministrative definite dal regolamento, gestisce la banca dati «Gestione allievi gestione istituti» (GAGI), la quale serve:</w:t>
      </w:r>
    </w:p>
    <w:p w:rsidR="00565878" w:rsidRPr="00CC7442" w:rsidRDefault="00565878" w:rsidP="00565878">
      <w:pPr>
        <w:pStyle w:val="NormaleWeb"/>
        <w:numPr>
          <w:ilvl w:val="0"/>
          <w:numId w:val="12"/>
        </w:numPr>
        <w:tabs>
          <w:tab w:val="left" w:pos="1560"/>
        </w:tabs>
        <w:spacing w:before="60" w:beforeAutospacing="0" w:after="0" w:afterAutospacing="0"/>
        <w:ind w:left="1559" w:right="187" w:hanging="425"/>
        <w:jc w:val="both"/>
        <w:rPr>
          <w:rFonts w:ascii="Arial" w:hAnsi="Arial" w:cs="Arial"/>
          <w:sz w:val="21"/>
          <w:szCs w:val="21"/>
          <w:lang w:val="it-IT"/>
        </w:rPr>
      </w:pPr>
      <w:r w:rsidRPr="00CC7442">
        <w:rPr>
          <w:rFonts w:ascii="Arial" w:hAnsi="Arial" w:cs="Arial"/>
          <w:sz w:val="21"/>
          <w:szCs w:val="21"/>
        </w:rPr>
        <w:t>alla gestione amministrativa e del curricolo formativo degli allievi;</w:t>
      </w:r>
    </w:p>
    <w:p w:rsidR="00565878" w:rsidRPr="00CC7442" w:rsidRDefault="00565878" w:rsidP="00565878">
      <w:pPr>
        <w:pStyle w:val="NormaleWeb"/>
        <w:numPr>
          <w:ilvl w:val="0"/>
          <w:numId w:val="12"/>
        </w:numPr>
        <w:tabs>
          <w:tab w:val="left" w:pos="1560"/>
        </w:tabs>
        <w:spacing w:before="60" w:beforeAutospacing="0" w:after="0" w:afterAutospacing="0"/>
        <w:ind w:left="1559" w:right="187" w:hanging="425"/>
        <w:jc w:val="both"/>
        <w:rPr>
          <w:rFonts w:ascii="Arial" w:hAnsi="Arial" w:cs="Arial"/>
          <w:sz w:val="21"/>
          <w:szCs w:val="21"/>
          <w:lang w:val="it-IT"/>
        </w:rPr>
      </w:pPr>
      <w:r w:rsidRPr="00CC7442">
        <w:rPr>
          <w:rFonts w:ascii="Arial" w:hAnsi="Arial" w:cs="Arial"/>
          <w:sz w:val="21"/>
          <w:szCs w:val="21"/>
        </w:rPr>
        <w:t>alla gestione amministrativa degli istituti scolastici e dei relativi servizi centrali;</w:t>
      </w:r>
    </w:p>
    <w:p w:rsidR="00565878" w:rsidRPr="00CC7442" w:rsidRDefault="00565878" w:rsidP="00565878">
      <w:pPr>
        <w:pStyle w:val="NormaleWeb"/>
        <w:numPr>
          <w:ilvl w:val="0"/>
          <w:numId w:val="12"/>
        </w:numPr>
        <w:tabs>
          <w:tab w:val="left" w:pos="1560"/>
        </w:tabs>
        <w:spacing w:before="60" w:beforeAutospacing="0" w:after="0" w:afterAutospacing="0"/>
        <w:ind w:left="1559" w:right="187" w:hanging="425"/>
        <w:jc w:val="both"/>
        <w:rPr>
          <w:rFonts w:ascii="Arial" w:hAnsi="Arial" w:cs="Arial"/>
          <w:sz w:val="21"/>
          <w:szCs w:val="21"/>
          <w:lang w:val="it-IT"/>
        </w:rPr>
      </w:pPr>
      <w:r w:rsidRPr="00CC7442">
        <w:rPr>
          <w:rFonts w:ascii="Arial" w:hAnsi="Arial" w:cs="Arial"/>
          <w:sz w:val="21"/>
          <w:szCs w:val="21"/>
        </w:rPr>
        <w:t xml:space="preserve">a garantire </w:t>
      </w:r>
      <w:r w:rsidRPr="00CC7442">
        <w:rPr>
          <w:rFonts w:ascii="Arial" w:hAnsi="Arial" w:cs="Arial"/>
          <w:sz w:val="21"/>
          <w:szCs w:val="21"/>
          <w:lang w:val="it-IT"/>
        </w:rPr>
        <w:t>la disponibilità di attestati e diplomi per un periodo di tempo adeguato;</w:t>
      </w:r>
    </w:p>
    <w:p w:rsidR="00565878" w:rsidRPr="00CC7442" w:rsidRDefault="00565878" w:rsidP="00565878">
      <w:pPr>
        <w:pStyle w:val="NormaleWeb"/>
        <w:numPr>
          <w:ilvl w:val="0"/>
          <w:numId w:val="12"/>
        </w:numPr>
        <w:tabs>
          <w:tab w:val="left" w:pos="1560"/>
        </w:tabs>
        <w:spacing w:before="60" w:beforeAutospacing="0" w:after="0" w:afterAutospacing="0"/>
        <w:ind w:left="1559" w:right="187" w:hanging="425"/>
        <w:jc w:val="both"/>
        <w:rPr>
          <w:rFonts w:ascii="Arial" w:hAnsi="Arial" w:cs="Arial"/>
          <w:sz w:val="21"/>
          <w:szCs w:val="21"/>
          <w:lang w:val="it-IT"/>
        </w:rPr>
      </w:pPr>
      <w:r w:rsidRPr="00CC7442">
        <w:rPr>
          <w:rFonts w:ascii="Arial" w:hAnsi="Arial" w:cs="Arial"/>
          <w:sz w:val="21"/>
          <w:szCs w:val="21"/>
          <w:lang w:val="it-IT"/>
        </w:rPr>
        <w:t>a garantire il monitoraggio del sistema formativo per il pilotaggio delle politiche educative;</w:t>
      </w:r>
    </w:p>
    <w:p w:rsidR="00565878" w:rsidRPr="00CC7442" w:rsidRDefault="00565878" w:rsidP="00565878">
      <w:pPr>
        <w:pStyle w:val="NormaleWeb"/>
        <w:numPr>
          <w:ilvl w:val="0"/>
          <w:numId w:val="12"/>
        </w:numPr>
        <w:tabs>
          <w:tab w:val="left" w:pos="1560"/>
        </w:tabs>
        <w:spacing w:before="60" w:beforeAutospacing="0" w:after="0" w:afterAutospacing="0"/>
        <w:ind w:left="1559" w:right="187" w:hanging="425"/>
        <w:jc w:val="both"/>
        <w:rPr>
          <w:rFonts w:ascii="Arial" w:hAnsi="Arial" w:cs="Arial"/>
          <w:sz w:val="21"/>
          <w:szCs w:val="21"/>
          <w:lang w:val="it-IT"/>
        </w:rPr>
      </w:pPr>
      <w:r w:rsidRPr="00CC7442">
        <w:rPr>
          <w:rFonts w:ascii="Arial" w:hAnsi="Arial" w:cs="Arial"/>
          <w:sz w:val="21"/>
          <w:szCs w:val="21"/>
          <w:lang w:val="it-IT"/>
        </w:rPr>
        <w:t>ad accompagnare gli allievi in caso di rientro nel sistema formativo dopo un’interruzione;</w:t>
      </w:r>
    </w:p>
    <w:p w:rsidR="00565878" w:rsidRPr="00CC7442" w:rsidRDefault="00565878" w:rsidP="00565878">
      <w:pPr>
        <w:pStyle w:val="NormaleWeb"/>
        <w:numPr>
          <w:ilvl w:val="0"/>
          <w:numId w:val="12"/>
        </w:numPr>
        <w:tabs>
          <w:tab w:val="left" w:pos="1560"/>
        </w:tabs>
        <w:spacing w:before="60" w:beforeAutospacing="0" w:after="0" w:afterAutospacing="0"/>
        <w:ind w:left="1559" w:right="187" w:hanging="425"/>
        <w:jc w:val="both"/>
        <w:rPr>
          <w:rFonts w:ascii="Arial" w:hAnsi="Arial" w:cs="Arial"/>
          <w:sz w:val="21"/>
          <w:szCs w:val="21"/>
          <w:lang w:val="it-IT"/>
        </w:rPr>
      </w:pPr>
      <w:r w:rsidRPr="00CC7442">
        <w:rPr>
          <w:rFonts w:ascii="Arial" w:hAnsi="Arial" w:cs="Arial"/>
          <w:sz w:val="21"/>
          <w:szCs w:val="21"/>
          <w:lang w:val="it-IT"/>
        </w:rPr>
        <w:t>a scopo di ricerca e statistica.</w:t>
      </w:r>
    </w:p>
    <w:p w:rsidR="00565878" w:rsidRPr="00630F91" w:rsidRDefault="00565878" w:rsidP="00565878">
      <w:pPr>
        <w:pStyle w:val="NormaleWeb"/>
        <w:tabs>
          <w:tab w:val="left" w:pos="1560"/>
        </w:tabs>
        <w:spacing w:before="0" w:beforeAutospacing="0" w:after="0" w:afterAutospacing="0"/>
        <w:ind w:left="1134" w:right="187"/>
        <w:jc w:val="both"/>
        <w:rPr>
          <w:rFonts w:ascii="Arial" w:hAnsi="Arial" w:cs="Arial"/>
          <w:sz w:val="12"/>
          <w:szCs w:val="12"/>
          <w:lang w:val="it-IT"/>
        </w:rPr>
      </w:pPr>
    </w:p>
    <w:p w:rsidR="00565878" w:rsidRPr="00CC7442" w:rsidRDefault="00565878" w:rsidP="00565878">
      <w:pPr>
        <w:pStyle w:val="NormaleWeb"/>
        <w:tabs>
          <w:tab w:val="left" w:pos="1560"/>
        </w:tabs>
        <w:spacing w:before="0" w:beforeAutospacing="0" w:after="0" w:afterAutospacing="0"/>
        <w:ind w:left="1134" w:right="187"/>
        <w:jc w:val="both"/>
        <w:rPr>
          <w:rFonts w:ascii="Arial" w:hAnsi="Arial" w:cs="Arial"/>
          <w:sz w:val="21"/>
          <w:szCs w:val="21"/>
        </w:rPr>
      </w:pPr>
      <w:r w:rsidRPr="00CC7442">
        <w:rPr>
          <w:rFonts w:ascii="Arial" w:hAnsi="Arial" w:cs="Arial"/>
          <w:position w:val="4"/>
          <w:sz w:val="21"/>
          <w:szCs w:val="21"/>
          <w:vertAlign w:val="superscript"/>
        </w:rPr>
        <w:t>2</w:t>
      </w:r>
      <w:r w:rsidRPr="00CC7442">
        <w:rPr>
          <w:rFonts w:ascii="Arial" w:hAnsi="Arial" w:cs="Arial"/>
          <w:sz w:val="21"/>
          <w:szCs w:val="21"/>
        </w:rPr>
        <w:t>La banca dati GAGI contiene i dati personali necessari all’adempimento dei compiti legali degli organi interessati, inclusi dati meritevoli di particolare protezione relativi allo stato di salute, alle decisioni amministrative particolari, ai provvedimenti disciplinari, nonché alla sfera famigliare se strettamente necessari per la gestione ordinaria della scuola. Essa non contiene dati di natura penale.</w:t>
      </w:r>
    </w:p>
    <w:p w:rsidR="00565878" w:rsidRDefault="00565878" w:rsidP="00565878"/>
    <w:p w:rsidR="00565878" w:rsidRDefault="00565878" w:rsidP="00565878">
      <w:r w:rsidRPr="00E579A1">
        <w:t>La modifica dell’art. 91a cpv.</w:t>
      </w:r>
      <w:r>
        <w:t xml:space="preserve"> 1 definisce gli scopi della banca GAGI.</w:t>
      </w:r>
    </w:p>
    <w:p w:rsidR="00565878" w:rsidRDefault="00565878" w:rsidP="00565878">
      <w:r>
        <w:t xml:space="preserve">Infatti questa modifica risolverebbe la richiesta costante di attestati e diplomi durante la vita lavorativa e formativa di una persona. Inoltre monitorerebbe il sistema formativo in caso di rientro da parte di ex allievi dopo un’interruzione di diversi anni. </w:t>
      </w:r>
    </w:p>
    <w:p w:rsidR="00565878" w:rsidRDefault="00565878" w:rsidP="00565878"/>
    <w:p w:rsidR="00565878" w:rsidRDefault="00565878" w:rsidP="00565878">
      <w:r>
        <w:rPr>
          <w:rFonts w:cs="Arial"/>
        </w:rPr>
        <w:t>La modifica del cpv. 2</w:t>
      </w:r>
      <w:r w:rsidRPr="00E579A1">
        <w:t xml:space="preserve"> serve </w:t>
      </w:r>
      <w:r>
        <w:t xml:space="preserve">a definire in modo chiaro </w:t>
      </w:r>
      <w:r w:rsidRPr="00E579A1">
        <w:t xml:space="preserve">che la banca dati GAGI non </w:t>
      </w:r>
      <w:r w:rsidR="00025D1D">
        <w:t>deve contenere</w:t>
      </w:r>
      <w:r w:rsidRPr="00E579A1">
        <w:t xml:space="preserve"> dati di natura penale. </w:t>
      </w:r>
    </w:p>
    <w:p w:rsidR="00565878" w:rsidRDefault="00565878" w:rsidP="00565878"/>
    <w:p w:rsidR="00565878" w:rsidRDefault="00565878" w:rsidP="00565878"/>
    <w:p w:rsidR="00565878" w:rsidRPr="00DD64D8" w:rsidRDefault="00565878" w:rsidP="00630F91">
      <w:pPr>
        <w:pStyle w:val="Titolo1"/>
      </w:pPr>
      <w:r w:rsidRPr="00DD64D8">
        <w:t>Modifica dell’art. 91</w:t>
      </w:r>
      <w:r w:rsidR="009C5F4E">
        <w:t>d</w:t>
      </w:r>
      <w:r w:rsidRPr="00DD64D8">
        <w:t xml:space="preserve"> cpv. 1</w:t>
      </w:r>
    </w:p>
    <w:p w:rsidR="00565878" w:rsidRDefault="00565878" w:rsidP="00630F91">
      <w:pPr>
        <w:spacing w:after="120"/>
      </w:pPr>
      <w:r>
        <w:t>Articolo in vigore</w:t>
      </w:r>
    </w:p>
    <w:p w:rsidR="00565878" w:rsidRPr="00630F91" w:rsidRDefault="00565878" w:rsidP="00630F91">
      <w:pPr>
        <w:pStyle w:val="NormaleWeb"/>
        <w:shd w:val="clear" w:color="auto" w:fill="FFFFFF"/>
        <w:spacing w:before="0" w:beforeAutospacing="0" w:after="0" w:afterAutospacing="0"/>
        <w:ind w:left="720" w:right="187"/>
        <w:jc w:val="both"/>
        <w:rPr>
          <w:rFonts w:ascii="Arial" w:hAnsi="Arial" w:cs="Arial"/>
          <w:color w:val="000000"/>
          <w:sz w:val="21"/>
          <w:szCs w:val="21"/>
        </w:rPr>
      </w:pPr>
      <w:r w:rsidRPr="00630F91">
        <w:rPr>
          <w:rFonts w:ascii="Arial" w:hAnsi="Arial" w:cs="Arial"/>
          <w:b/>
          <w:bCs/>
          <w:color w:val="000000"/>
          <w:sz w:val="21"/>
          <w:szCs w:val="21"/>
        </w:rPr>
        <w:t>Art. 91d</w:t>
      </w:r>
      <w:hyperlink r:id="rId9" w:anchor="_ftn134" w:history="1">
        <w:r w:rsidRPr="00630F91">
          <w:rPr>
            <w:rStyle w:val="Collegamentoipertestuale"/>
            <w:rFonts w:cs="Arial"/>
            <w:color w:val="000000"/>
            <w:sz w:val="21"/>
            <w:szCs w:val="21"/>
            <w:vertAlign w:val="superscript"/>
          </w:rPr>
          <w:t>[134]</w:t>
        </w:r>
      </w:hyperlink>
      <w:r w:rsidRPr="00630F91">
        <w:rPr>
          <w:rFonts w:ascii="Arial" w:hAnsi="Arial" w:cs="Arial"/>
          <w:color w:val="000000"/>
          <w:position w:val="4"/>
          <w:sz w:val="21"/>
          <w:szCs w:val="21"/>
        </w:rPr>
        <w:t>1</w:t>
      </w:r>
      <w:r w:rsidRPr="00630F91">
        <w:rPr>
          <w:rFonts w:ascii="Arial" w:hAnsi="Arial" w:cs="Arial"/>
          <w:color w:val="000000"/>
          <w:sz w:val="21"/>
          <w:szCs w:val="21"/>
        </w:rPr>
        <w:t>I dati degli allievi possono essere conservati al massimo fino a 4 anni a partire dalla fine della carriera scolastica e in seguito solo in forma anonimizzata ai fini della statistica e della ricerca educativa; quelli meritevoli di particolare protezione possono essere conservati al massimo fino a 4 anni dalla conclusione del rispettivo ciclo scolastico e in seguito solo in forma anonimizzata ai fini della statistica e della ricerca educativa;</w:t>
      </w:r>
      <w:r w:rsidRPr="00630F91">
        <w:rPr>
          <w:rFonts w:ascii="Arial" w:hAnsi="Arial" w:cs="Arial"/>
          <w:color w:val="000000"/>
          <w:spacing w:val="-1"/>
          <w:sz w:val="21"/>
          <w:szCs w:val="21"/>
        </w:rPr>
        <w:t> </w:t>
      </w:r>
      <w:r w:rsidRPr="00630F91">
        <w:rPr>
          <w:rFonts w:ascii="Arial" w:hAnsi="Arial" w:cs="Arial"/>
          <w:color w:val="000000"/>
          <w:sz w:val="21"/>
          <w:szCs w:val="21"/>
        </w:rPr>
        <w:t>quelli di carattere penale possono essere conservati al massimo fino alla cancellazione dal casellario giudiziale.</w:t>
      </w:r>
    </w:p>
    <w:p w:rsidR="00565878" w:rsidRPr="00630F91" w:rsidRDefault="00565878" w:rsidP="009C5F4E">
      <w:pPr>
        <w:pStyle w:val="NormaleWeb"/>
        <w:shd w:val="clear" w:color="auto" w:fill="FFFFFF"/>
        <w:spacing w:before="80" w:beforeAutospacing="0" w:after="0" w:afterAutospacing="0"/>
        <w:ind w:left="720" w:right="187"/>
        <w:jc w:val="both"/>
        <w:rPr>
          <w:rFonts w:ascii="Arial" w:hAnsi="Arial" w:cs="Arial"/>
          <w:color w:val="000000"/>
          <w:sz w:val="21"/>
          <w:szCs w:val="21"/>
        </w:rPr>
      </w:pPr>
      <w:r w:rsidRPr="00630F91">
        <w:rPr>
          <w:rFonts w:ascii="Arial" w:hAnsi="Arial" w:cs="Arial"/>
          <w:color w:val="000000"/>
          <w:position w:val="4"/>
          <w:sz w:val="21"/>
          <w:szCs w:val="21"/>
        </w:rPr>
        <w:t>2</w:t>
      </w:r>
      <w:r w:rsidRPr="00630F91">
        <w:rPr>
          <w:rFonts w:ascii="Arial" w:hAnsi="Arial" w:cs="Arial"/>
          <w:color w:val="000000"/>
          <w:sz w:val="21"/>
          <w:szCs w:val="21"/>
        </w:rPr>
        <w:t>…</w:t>
      </w:r>
      <w:bookmarkStart w:id="2" w:name="_ftnref135"/>
      <w:bookmarkEnd w:id="2"/>
      <w:r w:rsidRPr="00630F91">
        <w:rPr>
          <w:rFonts w:ascii="Arial" w:hAnsi="Arial" w:cs="Arial"/>
          <w:color w:val="000000"/>
          <w:sz w:val="21"/>
          <w:szCs w:val="21"/>
        </w:rPr>
        <w:fldChar w:fldCharType="begin"/>
      </w:r>
      <w:r w:rsidRPr="00630F91">
        <w:rPr>
          <w:rFonts w:ascii="Arial" w:hAnsi="Arial" w:cs="Arial"/>
          <w:color w:val="000000"/>
          <w:sz w:val="21"/>
          <w:szCs w:val="21"/>
        </w:rPr>
        <w:instrText xml:space="preserve"> HYPERLINK "https://m3.ti.ch/CAN/RLeggi/public/index.php/raccolta-leggi/legge/num/207" \l "_ftn135" </w:instrText>
      </w:r>
      <w:r w:rsidRPr="00630F91">
        <w:rPr>
          <w:rFonts w:ascii="Arial" w:hAnsi="Arial" w:cs="Arial"/>
          <w:color w:val="000000"/>
          <w:sz w:val="21"/>
          <w:szCs w:val="21"/>
        </w:rPr>
        <w:fldChar w:fldCharType="separate"/>
      </w:r>
      <w:r w:rsidRPr="00630F91">
        <w:rPr>
          <w:rStyle w:val="Collegamentoipertestuale"/>
          <w:rFonts w:cs="Arial"/>
          <w:color w:val="000000"/>
          <w:sz w:val="21"/>
          <w:szCs w:val="21"/>
          <w:vertAlign w:val="superscript"/>
        </w:rPr>
        <w:t>[135]</w:t>
      </w:r>
      <w:r w:rsidRPr="00630F91">
        <w:rPr>
          <w:rFonts w:ascii="Arial" w:hAnsi="Arial" w:cs="Arial"/>
          <w:color w:val="000000"/>
          <w:sz w:val="21"/>
          <w:szCs w:val="21"/>
        </w:rPr>
        <w:fldChar w:fldCharType="end"/>
      </w:r>
    </w:p>
    <w:p w:rsidR="00565878" w:rsidRPr="00630F91" w:rsidRDefault="00565878" w:rsidP="009C5F4E">
      <w:pPr>
        <w:pStyle w:val="NormaleWeb"/>
        <w:shd w:val="clear" w:color="auto" w:fill="FFFFFF"/>
        <w:spacing w:before="80" w:beforeAutospacing="0" w:after="0" w:afterAutospacing="0"/>
        <w:ind w:left="720" w:right="187"/>
        <w:jc w:val="both"/>
        <w:rPr>
          <w:rFonts w:ascii="Arial" w:hAnsi="Arial" w:cs="Arial"/>
          <w:color w:val="000000"/>
          <w:sz w:val="21"/>
          <w:szCs w:val="21"/>
        </w:rPr>
      </w:pPr>
      <w:r w:rsidRPr="00630F91">
        <w:rPr>
          <w:rFonts w:ascii="Arial" w:hAnsi="Arial" w:cs="Arial"/>
          <w:color w:val="000000"/>
          <w:position w:val="4"/>
          <w:sz w:val="21"/>
          <w:szCs w:val="21"/>
        </w:rPr>
        <w:t>3</w:t>
      </w:r>
      <w:r w:rsidRPr="00630F91">
        <w:rPr>
          <w:rFonts w:ascii="Arial" w:hAnsi="Arial" w:cs="Arial"/>
          <w:color w:val="000000"/>
          <w:spacing w:val="-1"/>
          <w:sz w:val="21"/>
          <w:szCs w:val="21"/>
        </w:rPr>
        <w:t>I</w:t>
      </w:r>
      <w:r w:rsidRPr="00630F91">
        <w:rPr>
          <w:rFonts w:ascii="Arial" w:hAnsi="Arial" w:cs="Arial"/>
          <w:color w:val="000000"/>
          <w:sz w:val="21"/>
          <w:szCs w:val="21"/>
        </w:rPr>
        <w:t>l</w:t>
      </w:r>
      <w:r w:rsidR="00630F91">
        <w:rPr>
          <w:rFonts w:ascii="Arial" w:hAnsi="Arial" w:cs="Arial"/>
          <w:color w:val="000000"/>
          <w:spacing w:val="11"/>
          <w:sz w:val="21"/>
          <w:szCs w:val="21"/>
        </w:rPr>
        <w:t xml:space="preserve"> </w:t>
      </w:r>
      <w:r w:rsidRPr="00630F91">
        <w:rPr>
          <w:rFonts w:ascii="Arial" w:hAnsi="Arial" w:cs="Arial"/>
          <w:color w:val="000000"/>
          <w:sz w:val="21"/>
          <w:szCs w:val="21"/>
        </w:rPr>
        <w:t>dipartimento</w:t>
      </w:r>
      <w:r w:rsidR="00630F91">
        <w:rPr>
          <w:rFonts w:ascii="Arial" w:hAnsi="Arial" w:cs="Arial"/>
          <w:color w:val="000000"/>
          <w:spacing w:val="37"/>
          <w:sz w:val="21"/>
          <w:szCs w:val="21"/>
        </w:rPr>
        <w:t xml:space="preserve"> </w:t>
      </w:r>
      <w:r w:rsidRPr="00630F91">
        <w:rPr>
          <w:rFonts w:ascii="Arial" w:hAnsi="Arial" w:cs="Arial"/>
          <w:color w:val="000000"/>
          <w:sz w:val="21"/>
          <w:szCs w:val="21"/>
        </w:rPr>
        <w:t>adotta</w:t>
      </w:r>
      <w:r w:rsidR="00630F91">
        <w:rPr>
          <w:rFonts w:ascii="Arial" w:hAnsi="Arial" w:cs="Arial"/>
          <w:color w:val="000000"/>
          <w:spacing w:val="15"/>
          <w:sz w:val="21"/>
          <w:szCs w:val="21"/>
        </w:rPr>
        <w:t xml:space="preserve"> </w:t>
      </w:r>
      <w:r w:rsidRPr="00630F91">
        <w:rPr>
          <w:rFonts w:ascii="Arial" w:hAnsi="Arial" w:cs="Arial"/>
          <w:color w:val="000000"/>
          <w:sz w:val="21"/>
          <w:szCs w:val="21"/>
        </w:rPr>
        <w:t>i</w:t>
      </w:r>
      <w:r w:rsidR="00630F91">
        <w:rPr>
          <w:rFonts w:ascii="Arial" w:hAnsi="Arial" w:cs="Arial"/>
          <w:color w:val="000000"/>
          <w:spacing w:val="-38"/>
          <w:sz w:val="21"/>
          <w:szCs w:val="21"/>
        </w:rPr>
        <w:t xml:space="preserve"> </w:t>
      </w:r>
      <w:r w:rsidRPr="00630F91">
        <w:rPr>
          <w:rFonts w:ascii="Arial" w:hAnsi="Arial" w:cs="Arial"/>
          <w:color w:val="000000"/>
          <w:sz w:val="21"/>
          <w:szCs w:val="21"/>
        </w:rPr>
        <w:t>provvedimenti</w:t>
      </w:r>
      <w:r w:rsidR="00630F91">
        <w:rPr>
          <w:rFonts w:ascii="Arial" w:hAnsi="Arial" w:cs="Arial"/>
          <w:color w:val="000000"/>
          <w:spacing w:val="11"/>
          <w:sz w:val="21"/>
          <w:szCs w:val="21"/>
        </w:rPr>
        <w:t xml:space="preserve"> </w:t>
      </w:r>
      <w:r w:rsidRPr="00630F91">
        <w:rPr>
          <w:rFonts w:ascii="Arial" w:hAnsi="Arial" w:cs="Arial"/>
          <w:color w:val="000000"/>
          <w:sz w:val="21"/>
          <w:szCs w:val="21"/>
        </w:rPr>
        <w:t>tecnici</w:t>
      </w:r>
      <w:r w:rsidR="00630F91">
        <w:rPr>
          <w:rFonts w:ascii="Arial" w:hAnsi="Arial" w:cs="Arial"/>
          <w:color w:val="000000"/>
          <w:spacing w:val="21"/>
          <w:sz w:val="21"/>
          <w:szCs w:val="21"/>
        </w:rPr>
        <w:t xml:space="preserve"> </w:t>
      </w:r>
      <w:r w:rsidRPr="00630F91">
        <w:rPr>
          <w:rFonts w:ascii="Arial" w:hAnsi="Arial" w:cs="Arial"/>
          <w:color w:val="000000"/>
          <w:sz w:val="21"/>
          <w:szCs w:val="21"/>
        </w:rPr>
        <w:t>e</w:t>
      </w:r>
      <w:r w:rsidR="00630F91">
        <w:rPr>
          <w:rFonts w:ascii="Arial" w:hAnsi="Arial" w:cs="Arial"/>
          <w:color w:val="000000"/>
          <w:spacing w:val="12"/>
          <w:sz w:val="21"/>
          <w:szCs w:val="21"/>
        </w:rPr>
        <w:t xml:space="preserve"> </w:t>
      </w:r>
      <w:r w:rsidRPr="00630F91">
        <w:rPr>
          <w:rFonts w:ascii="Arial" w:hAnsi="Arial" w:cs="Arial"/>
          <w:color w:val="000000"/>
          <w:sz w:val="21"/>
          <w:szCs w:val="21"/>
        </w:rPr>
        <w:t>organizzativi necessari</w:t>
      </w:r>
      <w:r w:rsidR="00630F91">
        <w:rPr>
          <w:rFonts w:ascii="Arial" w:hAnsi="Arial" w:cs="Arial"/>
          <w:color w:val="000000"/>
          <w:spacing w:val="12"/>
          <w:sz w:val="21"/>
          <w:szCs w:val="21"/>
        </w:rPr>
        <w:t xml:space="preserve"> </w:t>
      </w:r>
      <w:r w:rsidRPr="00630F91">
        <w:rPr>
          <w:rFonts w:ascii="Arial" w:hAnsi="Arial" w:cs="Arial"/>
          <w:color w:val="000000"/>
          <w:sz w:val="21"/>
          <w:szCs w:val="21"/>
        </w:rPr>
        <w:t>per proteggere</w:t>
      </w:r>
      <w:r w:rsidR="00630F91">
        <w:rPr>
          <w:rFonts w:ascii="Arial" w:hAnsi="Arial" w:cs="Arial"/>
          <w:color w:val="000000"/>
          <w:sz w:val="21"/>
          <w:szCs w:val="21"/>
        </w:rPr>
        <w:t xml:space="preserve"> </w:t>
      </w:r>
      <w:r w:rsidRPr="00630F91">
        <w:rPr>
          <w:rFonts w:ascii="Arial" w:hAnsi="Arial" w:cs="Arial"/>
          <w:color w:val="000000"/>
          <w:sz w:val="21"/>
          <w:szCs w:val="21"/>
        </w:rPr>
        <w:t>i</w:t>
      </w:r>
      <w:r w:rsidR="00630F91">
        <w:rPr>
          <w:rFonts w:ascii="Arial" w:hAnsi="Arial" w:cs="Arial"/>
          <w:color w:val="000000"/>
          <w:sz w:val="21"/>
          <w:szCs w:val="21"/>
        </w:rPr>
        <w:t xml:space="preserve"> </w:t>
      </w:r>
      <w:r w:rsidRPr="00630F91">
        <w:rPr>
          <w:rFonts w:ascii="Arial" w:hAnsi="Arial" w:cs="Arial"/>
          <w:color w:val="000000"/>
          <w:sz w:val="21"/>
          <w:szCs w:val="21"/>
        </w:rPr>
        <w:t>sistemi</w:t>
      </w:r>
      <w:r w:rsidR="00630F91">
        <w:rPr>
          <w:rFonts w:ascii="Arial" w:hAnsi="Arial" w:cs="Arial"/>
          <w:color w:val="000000"/>
          <w:spacing w:val="16"/>
          <w:sz w:val="21"/>
          <w:szCs w:val="21"/>
        </w:rPr>
        <w:t xml:space="preserve"> </w:t>
      </w:r>
      <w:r w:rsidRPr="00630F91">
        <w:rPr>
          <w:rFonts w:ascii="Arial" w:hAnsi="Arial" w:cs="Arial"/>
          <w:color w:val="000000"/>
          <w:sz w:val="21"/>
          <w:szCs w:val="21"/>
        </w:rPr>
        <w:t>informativi</w:t>
      </w:r>
      <w:r w:rsidR="00630F91">
        <w:rPr>
          <w:rFonts w:ascii="Arial" w:hAnsi="Arial" w:cs="Arial"/>
          <w:color w:val="000000"/>
          <w:sz w:val="21"/>
          <w:szCs w:val="21"/>
        </w:rPr>
        <w:t xml:space="preserve"> </w:t>
      </w:r>
      <w:r w:rsidRPr="00630F91">
        <w:rPr>
          <w:rFonts w:ascii="Arial" w:hAnsi="Arial" w:cs="Arial"/>
          <w:color w:val="000000"/>
          <w:sz w:val="21"/>
          <w:szCs w:val="21"/>
        </w:rPr>
        <w:t>contro</w:t>
      </w:r>
      <w:r w:rsidR="00630F91">
        <w:rPr>
          <w:rFonts w:ascii="Arial" w:hAnsi="Arial" w:cs="Arial"/>
          <w:color w:val="000000"/>
          <w:sz w:val="21"/>
          <w:szCs w:val="21"/>
        </w:rPr>
        <w:t xml:space="preserve"> </w:t>
      </w:r>
      <w:r w:rsidRPr="00630F91">
        <w:rPr>
          <w:rFonts w:ascii="Arial" w:hAnsi="Arial" w:cs="Arial"/>
          <w:color w:val="000000"/>
          <w:sz w:val="21"/>
          <w:szCs w:val="21"/>
        </w:rPr>
        <w:t>la</w:t>
      </w:r>
      <w:r w:rsidR="00630F91">
        <w:rPr>
          <w:rFonts w:ascii="Arial" w:hAnsi="Arial" w:cs="Arial"/>
          <w:color w:val="000000"/>
          <w:sz w:val="21"/>
          <w:szCs w:val="21"/>
        </w:rPr>
        <w:t xml:space="preserve"> </w:t>
      </w:r>
      <w:r w:rsidRPr="00630F91">
        <w:rPr>
          <w:rFonts w:ascii="Arial" w:hAnsi="Arial" w:cs="Arial"/>
          <w:color w:val="000000"/>
          <w:sz w:val="21"/>
          <w:szCs w:val="21"/>
        </w:rPr>
        <w:t>perdita,</w:t>
      </w:r>
      <w:r w:rsidR="00630F91">
        <w:rPr>
          <w:rFonts w:ascii="Arial" w:hAnsi="Arial" w:cs="Arial"/>
          <w:color w:val="000000"/>
          <w:sz w:val="21"/>
          <w:szCs w:val="21"/>
        </w:rPr>
        <w:t xml:space="preserve"> </w:t>
      </w:r>
      <w:r w:rsidRPr="00630F91">
        <w:rPr>
          <w:rFonts w:ascii="Arial" w:hAnsi="Arial" w:cs="Arial"/>
          <w:color w:val="626262"/>
          <w:sz w:val="21"/>
          <w:szCs w:val="21"/>
        </w:rPr>
        <w:t>il</w:t>
      </w:r>
      <w:r w:rsidR="00630F91">
        <w:rPr>
          <w:rFonts w:ascii="Arial" w:hAnsi="Arial" w:cs="Arial"/>
          <w:color w:val="626262"/>
          <w:sz w:val="21"/>
          <w:szCs w:val="21"/>
        </w:rPr>
        <w:t xml:space="preserve"> </w:t>
      </w:r>
      <w:r w:rsidRPr="00630F91">
        <w:rPr>
          <w:rFonts w:ascii="Arial" w:hAnsi="Arial" w:cs="Arial"/>
          <w:color w:val="000000"/>
          <w:sz w:val="21"/>
          <w:szCs w:val="21"/>
        </w:rPr>
        <w:t>furto,</w:t>
      </w:r>
      <w:r w:rsidR="00630F91">
        <w:rPr>
          <w:rFonts w:ascii="Arial" w:hAnsi="Arial" w:cs="Arial"/>
          <w:color w:val="000000"/>
          <w:sz w:val="21"/>
          <w:szCs w:val="21"/>
        </w:rPr>
        <w:t xml:space="preserve"> </w:t>
      </w:r>
      <w:r w:rsidRPr="00630F91">
        <w:rPr>
          <w:rFonts w:ascii="Arial" w:hAnsi="Arial" w:cs="Arial"/>
          <w:color w:val="000000"/>
          <w:sz w:val="21"/>
          <w:szCs w:val="21"/>
        </w:rPr>
        <w:t>l’elaborazione</w:t>
      </w:r>
      <w:r w:rsidR="00630F91">
        <w:rPr>
          <w:rFonts w:ascii="Arial" w:hAnsi="Arial" w:cs="Arial"/>
          <w:color w:val="000000"/>
          <w:spacing w:val="19"/>
          <w:sz w:val="21"/>
          <w:szCs w:val="21"/>
        </w:rPr>
        <w:t xml:space="preserve"> </w:t>
      </w:r>
      <w:r w:rsidRPr="00630F91">
        <w:rPr>
          <w:rFonts w:ascii="Arial" w:hAnsi="Arial" w:cs="Arial"/>
          <w:color w:val="000000"/>
          <w:sz w:val="21"/>
          <w:szCs w:val="21"/>
        </w:rPr>
        <w:t>e</w:t>
      </w:r>
      <w:r w:rsidR="00630F91">
        <w:rPr>
          <w:rFonts w:ascii="Arial" w:hAnsi="Arial" w:cs="Arial"/>
          <w:color w:val="000000"/>
          <w:sz w:val="21"/>
          <w:szCs w:val="21"/>
        </w:rPr>
        <w:t xml:space="preserve"> </w:t>
      </w:r>
      <w:r w:rsidRPr="00630F91">
        <w:rPr>
          <w:rFonts w:ascii="Arial" w:hAnsi="Arial" w:cs="Arial"/>
          <w:color w:val="000000"/>
          <w:sz w:val="21"/>
          <w:szCs w:val="21"/>
        </w:rPr>
        <w:t>la consultazione illeci</w:t>
      </w:r>
      <w:r w:rsidRPr="00630F91">
        <w:rPr>
          <w:rFonts w:ascii="Arial" w:hAnsi="Arial" w:cs="Arial"/>
          <w:color w:val="000000"/>
          <w:spacing w:val="-1"/>
          <w:sz w:val="21"/>
          <w:szCs w:val="21"/>
        </w:rPr>
        <w:t>t</w:t>
      </w:r>
      <w:r w:rsidR="009C5F4E">
        <w:rPr>
          <w:rFonts w:ascii="Arial" w:hAnsi="Arial" w:cs="Arial"/>
          <w:color w:val="000000"/>
          <w:spacing w:val="-1"/>
          <w:sz w:val="21"/>
          <w:szCs w:val="21"/>
        </w:rPr>
        <w:t>e</w:t>
      </w:r>
      <w:r w:rsidR="009C5F4E">
        <w:rPr>
          <w:rFonts w:ascii="Arial" w:hAnsi="Arial" w:cs="Arial"/>
          <w:color w:val="000000"/>
          <w:sz w:val="21"/>
          <w:szCs w:val="21"/>
        </w:rPr>
        <w:t xml:space="preserve"> </w:t>
      </w:r>
      <w:r w:rsidRPr="00630F91">
        <w:rPr>
          <w:rFonts w:ascii="Arial" w:hAnsi="Arial" w:cs="Arial"/>
          <w:color w:val="000000"/>
          <w:sz w:val="21"/>
          <w:szCs w:val="21"/>
        </w:rPr>
        <w:t>dei</w:t>
      </w:r>
      <w:r w:rsidR="009C5F4E">
        <w:rPr>
          <w:rFonts w:ascii="Arial" w:hAnsi="Arial" w:cs="Arial"/>
          <w:color w:val="000000"/>
          <w:sz w:val="21"/>
          <w:szCs w:val="21"/>
        </w:rPr>
        <w:t xml:space="preserve"> </w:t>
      </w:r>
      <w:r w:rsidRPr="00630F91">
        <w:rPr>
          <w:rFonts w:ascii="Arial" w:hAnsi="Arial" w:cs="Arial"/>
          <w:color w:val="000000"/>
          <w:sz w:val="21"/>
          <w:szCs w:val="21"/>
        </w:rPr>
        <w:t>dati.</w:t>
      </w:r>
    </w:p>
    <w:p w:rsidR="00565878" w:rsidRPr="00630F91" w:rsidRDefault="00565878" w:rsidP="00565878">
      <w:pPr>
        <w:pStyle w:val="NormaleWeb"/>
        <w:shd w:val="clear" w:color="auto" w:fill="FFFFFF"/>
        <w:spacing w:before="0" w:beforeAutospacing="0" w:after="0" w:afterAutospacing="0"/>
        <w:ind w:right="187"/>
        <w:jc w:val="both"/>
        <w:rPr>
          <w:rFonts w:ascii="Arial" w:hAnsi="Arial" w:cs="Arial"/>
          <w:color w:val="000000"/>
        </w:rPr>
      </w:pPr>
    </w:p>
    <w:p w:rsidR="009C5F4E" w:rsidRDefault="009C5F4E">
      <w:r>
        <w:br w:type="page"/>
      </w:r>
    </w:p>
    <w:p w:rsidR="00565878" w:rsidRDefault="00565878" w:rsidP="00630F91">
      <w:pPr>
        <w:spacing w:after="120"/>
      </w:pPr>
      <w:r>
        <w:lastRenderedPageBreak/>
        <w:t>Nuovo articolo</w:t>
      </w:r>
    </w:p>
    <w:p w:rsidR="00565878" w:rsidRPr="00CC7442" w:rsidRDefault="00565878" w:rsidP="00565878">
      <w:pPr>
        <w:pStyle w:val="NormaleWeb"/>
        <w:tabs>
          <w:tab w:val="left" w:pos="1560"/>
        </w:tabs>
        <w:spacing w:before="0" w:beforeAutospacing="0" w:after="0" w:afterAutospacing="0"/>
        <w:ind w:left="1134" w:right="187"/>
        <w:jc w:val="both"/>
        <w:rPr>
          <w:rFonts w:ascii="Arial" w:hAnsi="Arial" w:cs="Arial"/>
          <w:b/>
          <w:bCs/>
          <w:sz w:val="21"/>
          <w:szCs w:val="21"/>
        </w:rPr>
      </w:pPr>
      <w:r w:rsidRPr="00CC7442">
        <w:rPr>
          <w:rFonts w:ascii="Arial" w:hAnsi="Arial" w:cs="Arial"/>
          <w:b/>
          <w:bCs/>
          <w:sz w:val="21"/>
          <w:szCs w:val="21"/>
        </w:rPr>
        <w:t>Art. 91d cpv. 1 e cpv. 2 (nuovo)</w:t>
      </w:r>
    </w:p>
    <w:p w:rsidR="00565878" w:rsidRPr="009C5F4E" w:rsidRDefault="00565878" w:rsidP="00565878">
      <w:pPr>
        <w:pStyle w:val="NormaleWeb"/>
        <w:tabs>
          <w:tab w:val="left" w:pos="1560"/>
        </w:tabs>
        <w:spacing w:before="0" w:beforeAutospacing="0" w:after="0" w:afterAutospacing="0"/>
        <w:ind w:left="1134" w:right="187"/>
        <w:jc w:val="both"/>
        <w:rPr>
          <w:rFonts w:ascii="Arial" w:hAnsi="Arial" w:cs="Arial"/>
          <w:bCs/>
          <w:sz w:val="12"/>
          <w:szCs w:val="12"/>
        </w:rPr>
      </w:pPr>
    </w:p>
    <w:p w:rsidR="00565878" w:rsidRPr="00CC7442" w:rsidRDefault="00565878" w:rsidP="00565878">
      <w:pPr>
        <w:pStyle w:val="NormaleWeb"/>
        <w:tabs>
          <w:tab w:val="left" w:pos="1560"/>
        </w:tabs>
        <w:spacing w:before="0" w:beforeAutospacing="0" w:after="0" w:afterAutospacing="0"/>
        <w:ind w:left="1134" w:right="187"/>
        <w:jc w:val="both"/>
        <w:rPr>
          <w:rFonts w:ascii="Arial" w:hAnsi="Arial" w:cs="Arial"/>
          <w:sz w:val="21"/>
          <w:szCs w:val="21"/>
        </w:rPr>
      </w:pPr>
      <w:r w:rsidRPr="00CC7442">
        <w:rPr>
          <w:rFonts w:ascii="Arial" w:hAnsi="Arial" w:cs="Arial"/>
          <w:position w:val="4"/>
          <w:sz w:val="21"/>
          <w:szCs w:val="21"/>
          <w:vertAlign w:val="superscript"/>
        </w:rPr>
        <w:t>1</w:t>
      </w:r>
      <w:r w:rsidRPr="00CC7442">
        <w:rPr>
          <w:rFonts w:ascii="Arial" w:hAnsi="Arial" w:cs="Arial"/>
          <w:sz w:val="21"/>
          <w:szCs w:val="21"/>
        </w:rPr>
        <w:t>I dati degli allievi sono conservati al massimo per 15 anni a partire dalla fine della carriera scolastica e in seguito solo in forma anonimizzata ai fini della statistica e della ricerca educativa; quelli meritevoli di particolare protezione sono conservati al massimo per 4 anni dalla conclusione del rispettivo ciclo scolastico e in seguito solo in forma anonimizzata ai fini della statistica e della ricerca educativa.</w:t>
      </w:r>
    </w:p>
    <w:p w:rsidR="00565878" w:rsidRPr="009C5F4E" w:rsidRDefault="00565878" w:rsidP="00565878">
      <w:pPr>
        <w:pStyle w:val="NormaleWeb"/>
        <w:tabs>
          <w:tab w:val="left" w:pos="1560"/>
        </w:tabs>
        <w:spacing w:before="0" w:beforeAutospacing="0" w:after="0" w:afterAutospacing="0"/>
        <w:ind w:left="1134" w:right="187"/>
        <w:jc w:val="both"/>
        <w:rPr>
          <w:rFonts w:ascii="Arial" w:hAnsi="Arial" w:cs="Arial"/>
          <w:sz w:val="12"/>
          <w:szCs w:val="12"/>
        </w:rPr>
      </w:pPr>
    </w:p>
    <w:p w:rsidR="00565878" w:rsidRPr="00CC7442" w:rsidRDefault="00565878" w:rsidP="00565878">
      <w:pPr>
        <w:pStyle w:val="NormaleWeb"/>
        <w:tabs>
          <w:tab w:val="left" w:pos="1560"/>
        </w:tabs>
        <w:spacing w:before="0" w:beforeAutospacing="0" w:after="0" w:afterAutospacing="0"/>
        <w:ind w:left="1134" w:right="187"/>
        <w:jc w:val="both"/>
        <w:rPr>
          <w:rFonts w:ascii="Arial" w:hAnsi="Arial" w:cs="Arial"/>
          <w:sz w:val="21"/>
          <w:szCs w:val="21"/>
        </w:rPr>
      </w:pPr>
      <w:r w:rsidRPr="00CC7442">
        <w:rPr>
          <w:rFonts w:ascii="Arial" w:hAnsi="Arial" w:cs="Arial"/>
          <w:sz w:val="21"/>
          <w:szCs w:val="21"/>
          <w:vertAlign w:val="superscript"/>
        </w:rPr>
        <w:t>2</w:t>
      </w:r>
      <w:r w:rsidRPr="00CC7442">
        <w:rPr>
          <w:rFonts w:ascii="Arial" w:hAnsi="Arial" w:cs="Arial"/>
          <w:sz w:val="21"/>
          <w:szCs w:val="21"/>
        </w:rPr>
        <w:t>Gli attestati scolastici e i titoli sono conservati al massimo per 50 anni a partire dalla fine della carriera scolastica ai fini della richiesta da parte della persona che li ha conseguiti.</w:t>
      </w:r>
    </w:p>
    <w:p w:rsidR="00565878" w:rsidRDefault="00565878" w:rsidP="00565878"/>
    <w:p w:rsidR="00565878" w:rsidRDefault="00565878" w:rsidP="00565878">
      <w:r>
        <w:t>La modifica del cpv. 1 estende a</w:t>
      </w:r>
      <w:r w:rsidRPr="00E579A1">
        <w:t xml:space="preserve"> 15 anni il termine generale di conservazione dei dati e mantiene a 4 anni dalla fine del ciclo formativo specifico il limite di conservazione dei soli dati meritevoli di particolare protezione</w:t>
      </w:r>
      <w:r>
        <w:t>.</w:t>
      </w:r>
    </w:p>
    <w:p w:rsidR="00565878" w:rsidRDefault="00565878" w:rsidP="00565878"/>
    <w:p w:rsidR="00565878" w:rsidRDefault="00565878" w:rsidP="00565878">
      <w:r>
        <w:t xml:space="preserve">Il termine di 15 anni, al posto dell’attuale 4, è stato pensato poiché dopo questo lasso di tempo una persona difficilmente rientra in un percorso formativo, invece con il lasso di tempo attuale questo è molto più probabile. </w:t>
      </w:r>
    </w:p>
    <w:p w:rsidR="00565878" w:rsidRDefault="00565878" w:rsidP="00565878"/>
    <w:p w:rsidR="00565878" w:rsidRDefault="00565878" w:rsidP="00565878">
      <w:r w:rsidRPr="00E579A1">
        <w:t xml:space="preserve">Il nuovo cpv. </w:t>
      </w:r>
      <w:r>
        <w:t>2 invece è stato inserito per gestire gli attestati scolastici in forma digitale.</w:t>
      </w:r>
    </w:p>
    <w:p w:rsidR="00565878" w:rsidRDefault="00565878" w:rsidP="00565878">
      <w:r>
        <w:t>Questo è un servizio moderno e collegato direttamente alla banca dati GAGI che racchiude tutti i documenti che una persona potrebbe aver bisogno dell’arco della sua vita lavorativa; infatti</w:t>
      </w:r>
      <w:r w:rsidRPr="00E579A1">
        <w:t xml:space="preserve"> </w:t>
      </w:r>
      <w:r>
        <w:t>i</w:t>
      </w:r>
      <w:r w:rsidRPr="00F31C46">
        <w:t xml:space="preserve"> 50</w:t>
      </w:r>
      <w:r>
        <w:t xml:space="preserve"> anni </w:t>
      </w:r>
      <w:r w:rsidRPr="00F31C46">
        <w:t xml:space="preserve">sono </w:t>
      </w:r>
      <w:r>
        <w:t>calcolati sull’ipotesi massima (</w:t>
      </w:r>
      <w:r w:rsidRPr="00F31C46">
        <w:t>persona che avesse terminato gli studi a 15</w:t>
      </w:r>
      <w:r>
        <w:t xml:space="preserve"> anni e </w:t>
      </w:r>
      <w:r w:rsidRPr="00F31C46">
        <w:t xml:space="preserve">a 65 </w:t>
      </w:r>
      <w:r>
        <w:t>anni viene pensionata).</w:t>
      </w:r>
    </w:p>
    <w:p w:rsidR="00565878" w:rsidRDefault="00565878" w:rsidP="00565878"/>
    <w:p w:rsidR="00565878" w:rsidRDefault="00565878" w:rsidP="00565878"/>
    <w:p w:rsidR="00565878" w:rsidRPr="00DD64D8" w:rsidRDefault="00565878" w:rsidP="00630F91">
      <w:pPr>
        <w:pStyle w:val="Titolo1"/>
      </w:pPr>
      <w:r w:rsidRPr="00DD64D8">
        <w:t>Conclusione</w:t>
      </w:r>
    </w:p>
    <w:p w:rsidR="00565878" w:rsidRDefault="00025D1D" w:rsidP="00630F91">
      <w:r>
        <w:t>Visto quanto sopra</w:t>
      </w:r>
      <w:r w:rsidR="000604BA">
        <w:t>,</w:t>
      </w:r>
      <w:r>
        <w:t xml:space="preserve"> la C</w:t>
      </w:r>
      <w:r w:rsidR="00565878">
        <w:t xml:space="preserve">ommissione </w:t>
      </w:r>
      <w:r>
        <w:t xml:space="preserve">formazione e cultura </w:t>
      </w:r>
      <w:r w:rsidR="00630F91">
        <w:t xml:space="preserve">invita il Gran Consiglio ad </w:t>
      </w:r>
      <w:r w:rsidR="00565878">
        <w:t>approva</w:t>
      </w:r>
      <w:r w:rsidR="00630F91">
        <w:t>re</w:t>
      </w:r>
      <w:r w:rsidR="000604BA">
        <w:t xml:space="preserve"> le </w:t>
      </w:r>
      <w:r w:rsidR="00565878">
        <w:t xml:space="preserve">modifiche di </w:t>
      </w:r>
      <w:r w:rsidR="000604BA">
        <w:t>legge annesse al messaggio governativo</w:t>
      </w:r>
      <w:r w:rsidR="00630F91">
        <w:t>,</w:t>
      </w:r>
      <w:r w:rsidR="00565878">
        <w:t xml:space="preserve"> ma sottolinea che i dati contenuti in GAGI devono essere sempre trattati in maniera esemplare e rispettosa della privacy.</w:t>
      </w:r>
    </w:p>
    <w:p w:rsidR="00565878" w:rsidRDefault="00565878" w:rsidP="00565878">
      <w:pPr>
        <w:rPr>
          <w:rFonts w:cs="Arial"/>
        </w:rPr>
      </w:pPr>
    </w:p>
    <w:p w:rsidR="00630F91" w:rsidRPr="00076E70" w:rsidRDefault="00630F91" w:rsidP="00630F91">
      <w:pPr>
        <w:rPr>
          <w:rFonts w:cs="Arial"/>
          <w:szCs w:val="24"/>
        </w:rPr>
      </w:pPr>
    </w:p>
    <w:p w:rsidR="00630F91" w:rsidRPr="00076E70" w:rsidRDefault="00630F91" w:rsidP="00630F91">
      <w:pPr>
        <w:spacing w:after="120"/>
        <w:rPr>
          <w:rFonts w:cs="Arial"/>
          <w:szCs w:val="24"/>
        </w:rPr>
      </w:pPr>
      <w:r w:rsidRPr="00076E70">
        <w:rPr>
          <w:rFonts w:cs="Arial"/>
          <w:szCs w:val="24"/>
        </w:rPr>
        <w:t>Per la Commissione</w:t>
      </w:r>
      <w:r>
        <w:rPr>
          <w:rFonts w:cs="Arial"/>
          <w:szCs w:val="24"/>
        </w:rPr>
        <w:t xml:space="preserve"> formazione e cultura</w:t>
      </w:r>
      <w:r w:rsidRPr="00076E70">
        <w:rPr>
          <w:rFonts w:cs="Arial"/>
          <w:szCs w:val="24"/>
        </w:rPr>
        <w:t>:</w:t>
      </w:r>
    </w:p>
    <w:p w:rsidR="00630F91" w:rsidRPr="00076E70" w:rsidRDefault="00630F91" w:rsidP="00630F91">
      <w:pPr>
        <w:rPr>
          <w:rFonts w:cs="Arial"/>
          <w:szCs w:val="24"/>
        </w:rPr>
      </w:pPr>
      <w:r>
        <w:rPr>
          <w:rFonts w:cs="Arial"/>
          <w:szCs w:val="24"/>
        </w:rPr>
        <w:t>Sara Imelli</w:t>
      </w:r>
      <w:r w:rsidRPr="00076E70">
        <w:rPr>
          <w:rFonts w:cs="Arial"/>
          <w:szCs w:val="24"/>
        </w:rPr>
        <w:t>, relatr</w:t>
      </w:r>
      <w:r>
        <w:rPr>
          <w:rFonts w:cs="Arial"/>
          <w:szCs w:val="24"/>
        </w:rPr>
        <w:t>ic</w:t>
      </w:r>
      <w:r w:rsidRPr="00076E70">
        <w:rPr>
          <w:rFonts w:cs="Arial"/>
          <w:szCs w:val="24"/>
        </w:rPr>
        <w:t>e</w:t>
      </w:r>
    </w:p>
    <w:p w:rsidR="00630F91" w:rsidRDefault="00630F91" w:rsidP="00630F91">
      <w:r>
        <w:t xml:space="preserve">Biscossa - Ermotti-Lepori - Gardenghi - Ghisla - </w:t>
      </w:r>
    </w:p>
    <w:p w:rsidR="00630F91" w:rsidRDefault="00630F91" w:rsidP="00630F91">
      <w:r>
        <w:t xml:space="preserve">Ghisletta - Guscio </w:t>
      </w:r>
      <w:r w:rsidR="009C5F4E">
        <w:t xml:space="preserve">- </w:t>
      </w:r>
      <w:r>
        <w:t xml:space="preserve">Morisoli - Piezzi - Polli - </w:t>
      </w:r>
    </w:p>
    <w:p w:rsidR="00630F91" w:rsidRDefault="00630F91" w:rsidP="00630F91">
      <w:r>
        <w:t>Pugno Ghirlanda - Speziali - Tenconi - Tonini</w:t>
      </w:r>
    </w:p>
    <w:p w:rsidR="00630F91" w:rsidRDefault="00630F91" w:rsidP="00630F91">
      <w:pPr>
        <w:tabs>
          <w:tab w:val="left" w:pos="284"/>
        </w:tabs>
      </w:pPr>
    </w:p>
    <w:bookmarkEnd w:id="1"/>
    <w:sectPr w:rsidR="00630F91"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062C8" w:rsidRPr="00A062C8">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AC709E0"/>
    <w:multiLevelType w:val="hybridMultilevel"/>
    <w:tmpl w:val="E856B6AA"/>
    <w:lvl w:ilvl="0" w:tplc="30BC2C0E">
      <w:start w:val="1"/>
      <w:numFmt w:val="lowerLetter"/>
      <w:lvlText w:val="%1)"/>
      <w:lvlJc w:val="left"/>
      <w:pPr>
        <w:ind w:left="1440" w:hanging="360"/>
      </w:pPr>
      <w:rPr>
        <w:rFonts w:ascii="Arial" w:eastAsia="Times New Roman" w:hAnsi="Arial" w:cs="Arial"/>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E2671D8"/>
    <w:multiLevelType w:val="hybridMultilevel"/>
    <w:tmpl w:val="58A087A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6"/>
  </w:num>
  <w:num w:numId="6">
    <w:abstractNumId w:val="0"/>
  </w:num>
  <w:num w:numId="7">
    <w:abstractNumId w:val="10"/>
  </w:num>
  <w:num w:numId="8">
    <w:abstractNumId w:val="2"/>
  </w:num>
  <w:num w:numId="9">
    <w:abstractNumId w:val="8"/>
  </w:num>
  <w:num w:numId="10">
    <w:abstractNumId w:val="7"/>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25D1D"/>
    <w:rsid w:val="000604BA"/>
    <w:rsid w:val="00076E70"/>
    <w:rsid w:val="001574D7"/>
    <w:rsid w:val="00260C8C"/>
    <w:rsid w:val="002677DC"/>
    <w:rsid w:val="002E5E40"/>
    <w:rsid w:val="0052425A"/>
    <w:rsid w:val="00565878"/>
    <w:rsid w:val="00586A8D"/>
    <w:rsid w:val="00630F91"/>
    <w:rsid w:val="006C17AA"/>
    <w:rsid w:val="006D7A3B"/>
    <w:rsid w:val="006E4AE2"/>
    <w:rsid w:val="007352D3"/>
    <w:rsid w:val="007B5462"/>
    <w:rsid w:val="008034BD"/>
    <w:rsid w:val="00876352"/>
    <w:rsid w:val="008B2655"/>
    <w:rsid w:val="008B4137"/>
    <w:rsid w:val="008C767A"/>
    <w:rsid w:val="008E77C6"/>
    <w:rsid w:val="009770BB"/>
    <w:rsid w:val="009C5F4E"/>
    <w:rsid w:val="009E008D"/>
    <w:rsid w:val="00A062C8"/>
    <w:rsid w:val="00A5465F"/>
    <w:rsid w:val="00A77678"/>
    <w:rsid w:val="00B860C2"/>
    <w:rsid w:val="00BC4C95"/>
    <w:rsid w:val="00BD5944"/>
    <w:rsid w:val="00CF6858"/>
    <w:rsid w:val="00D377B5"/>
    <w:rsid w:val="00D93B31"/>
    <w:rsid w:val="00E505DB"/>
    <w:rsid w:val="00E662F0"/>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E975D-0448-4C90-94D0-D249C30D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nhideWhenUsed/>
    <w:rsid w:val="00565878"/>
    <w:rPr>
      <w:color w:val="0000FF"/>
      <w:u w:val="single"/>
    </w:rPr>
  </w:style>
  <w:style w:type="paragraph" w:styleId="NormaleWeb">
    <w:name w:val="Normal (Web)"/>
    <w:basedOn w:val="Normale"/>
    <w:uiPriority w:val="99"/>
    <w:unhideWhenUsed/>
    <w:rsid w:val="00565878"/>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3.ti.ch/CAN/RLeggi/public/index.php/raccolta-leggi/legge/num/2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3.ti.ch/CAN/RLeggi/public/index.php/raccolta-leggi/legge/num/2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F72A-BFE5-461A-BF45-5106AE5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2020-02-04T13:31:00Z</cp:lastPrinted>
  <dcterms:created xsi:type="dcterms:W3CDTF">2020-02-05T09:51:00Z</dcterms:created>
  <dcterms:modified xsi:type="dcterms:W3CDTF">2020-02-05T09:51:00Z</dcterms:modified>
</cp:coreProperties>
</file>