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Pr="00653DB9" w:rsidRDefault="00653DB9" w:rsidP="00B860C2">
      <w:pPr>
        <w:rPr>
          <w:rFonts w:ascii="Gill Sans MT" w:hAnsi="Gill Sans MT"/>
          <w:b/>
          <w:sz w:val="52"/>
          <w:szCs w:val="52"/>
        </w:rPr>
      </w:pPr>
      <w:r w:rsidRPr="00653DB9">
        <w:rPr>
          <w:rFonts w:ascii="Gill Sans MT" w:hAnsi="Gill Sans MT"/>
          <w:b/>
          <w:sz w:val="52"/>
          <w:szCs w:val="52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06470C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7756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3 febbraio 2020</w:t>
      </w:r>
      <w:r w:rsidR="00B860C2" w:rsidRPr="008B4137">
        <w:rPr>
          <w:rFonts w:cs="Arial"/>
          <w:sz w:val="28"/>
          <w:szCs w:val="28"/>
        </w:rPr>
        <w:tab/>
      </w:r>
      <w:r w:rsidR="00B057CA">
        <w:rPr>
          <w:sz w:val="28"/>
        </w:rPr>
        <w:t>TERRITORIO</w:t>
      </w:r>
    </w:p>
    <w:p w:rsidR="00B860C2" w:rsidRPr="00653DB9" w:rsidRDefault="00B860C2" w:rsidP="00B860C2">
      <w:pPr>
        <w:rPr>
          <w:rFonts w:cs="Arial"/>
          <w:sz w:val="22"/>
        </w:rPr>
      </w:pPr>
    </w:p>
    <w:p w:rsidR="00B860C2" w:rsidRPr="00653DB9" w:rsidRDefault="00B860C2" w:rsidP="00B860C2">
      <w:pPr>
        <w:rPr>
          <w:rFonts w:cs="Arial"/>
          <w:sz w:val="22"/>
        </w:rPr>
      </w:pPr>
      <w:bookmarkStart w:id="0" w:name="_GoBack"/>
      <w:bookmarkEnd w:id="0"/>
    </w:p>
    <w:p w:rsidR="00B860C2" w:rsidRPr="00653DB9" w:rsidRDefault="00B860C2" w:rsidP="00B860C2">
      <w:pPr>
        <w:rPr>
          <w:rFonts w:cs="Arial"/>
          <w:sz w:val="22"/>
        </w:rPr>
      </w:pPr>
    </w:p>
    <w:p w:rsidR="00B860C2" w:rsidRPr="0006470C" w:rsidRDefault="00B860C2" w:rsidP="00B860C2">
      <w:pPr>
        <w:rPr>
          <w:rFonts w:cs="Arial"/>
          <w:b/>
          <w:sz w:val="28"/>
          <w:szCs w:val="28"/>
        </w:rPr>
      </w:pPr>
      <w:r w:rsidRPr="0006470C">
        <w:rPr>
          <w:rFonts w:cs="Arial"/>
          <w:b/>
          <w:sz w:val="28"/>
          <w:szCs w:val="28"/>
        </w:rPr>
        <w:t>della Commissione</w:t>
      </w:r>
      <w:r w:rsidR="0006470C" w:rsidRPr="0006470C">
        <w:rPr>
          <w:rFonts w:cs="Arial"/>
          <w:b/>
          <w:sz w:val="28"/>
          <w:szCs w:val="28"/>
        </w:rPr>
        <w:t xml:space="preserve"> formazione e cultura</w:t>
      </w:r>
    </w:p>
    <w:p w:rsidR="00B860C2" w:rsidRPr="0006470C" w:rsidRDefault="00B860C2" w:rsidP="00B860C2">
      <w:pPr>
        <w:rPr>
          <w:rFonts w:cs="Arial"/>
          <w:b/>
          <w:sz w:val="28"/>
          <w:szCs w:val="28"/>
        </w:rPr>
      </w:pPr>
      <w:r w:rsidRPr="0006470C">
        <w:rPr>
          <w:rFonts w:cs="Arial"/>
          <w:b/>
          <w:sz w:val="28"/>
          <w:szCs w:val="28"/>
        </w:rPr>
        <w:t xml:space="preserve">sul messaggio </w:t>
      </w:r>
      <w:r w:rsidR="0006470C" w:rsidRPr="0006470C">
        <w:rPr>
          <w:rFonts w:cs="Arial"/>
          <w:b/>
          <w:sz w:val="28"/>
          <w:szCs w:val="28"/>
        </w:rPr>
        <w:t xml:space="preserve">20 novembre 2019 concernente la richiesta del </w:t>
      </w:r>
      <w:r w:rsidR="0006470C" w:rsidRPr="0006470C">
        <w:rPr>
          <w:rFonts w:cs="Arial"/>
          <w:b/>
          <w:bCs/>
          <w:sz w:val="28"/>
          <w:szCs w:val="28"/>
        </w:rPr>
        <w:t>credito per le prestazioni della Scuola universitaria professionale della Svizzera italiana (SUPSI) nei settori delle acque, dei pericoli naturali, della geologia, dell’energia, dei materiali e costruzioni, dello sviluppo sostenibile e della comunicazione per il periodo 2020-2024</w:t>
      </w:r>
    </w:p>
    <w:p w:rsidR="00B860C2" w:rsidRPr="00653DB9" w:rsidRDefault="00B860C2" w:rsidP="00B860C2">
      <w:pPr>
        <w:rPr>
          <w:rFonts w:cs="Arial"/>
          <w:sz w:val="22"/>
        </w:rPr>
      </w:pPr>
    </w:p>
    <w:p w:rsidR="00B860C2" w:rsidRPr="00653DB9" w:rsidRDefault="00B860C2" w:rsidP="00B860C2">
      <w:pPr>
        <w:rPr>
          <w:rFonts w:cs="Arial"/>
          <w:sz w:val="22"/>
        </w:rPr>
      </w:pPr>
    </w:p>
    <w:p w:rsidR="00B860C2" w:rsidRPr="00653DB9" w:rsidRDefault="00B860C2" w:rsidP="00B860C2">
      <w:pPr>
        <w:rPr>
          <w:rFonts w:cs="Arial"/>
          <w:sz w:val="22"/>
        </w:rPr>
      </w:pPr>
    </w:p>
    <w:p w:rsidR="00B819FE" w:rsidRPr="001D0A10" w:rsidRDefault="00B819FE" w:rsidP="0006470C">
      <w:pPr>
        <w:pStyle w:val="Titolo1"/>
      </w:pPr>
      <w:bookmarkStart w:id="1" w:name="_Toc532286235"/>
      <w:r w:rsidRPr="001D0A10">
        <w:t>COLLABORAZIONE CANTONE-SUPSI</w:t>
      </w:r>
    </w:p>
    <w:p w:rsidR="00B819FE" w:rsidRPr="001D0A10" w:rsidRDefault="00B819FE" w:rsidP="0006470C">
      <w:r w:rsidRPr="001D0A10">
        <w:t>Come noto, dall’istituzione dell’Università della Svizzera italiana (1996) e poi della scuola universitaria professionale della Svizzera italiana (1997), alcuni compiti dell’Amministrazione cantonale sono stati trasferiti alle strutture universitarie: ad esempio, già nel 1996 l’IRE venne trasferito all’USI, e nel 1997 l’Istituto geologico cantonale venne trasferito alla SUPSI.</w:t>
      </w:r>
    </w:p>
    <w:p w:rsidR="00B819FE" w:rsidRPr="001D0A10" w:rsidRDefault="00B819FE" w:rsidP="0006470C">
      <w:r w:rsidRPr="001D0A10">
        <w:t xml:space="preserve">Dal 2003, poi, la collaborazione tra Amministrazione cantonale e SUPSI è regolata da mandati di prestazione quadriennali, che precisano quali sono i compiti tecnico-scientifici, affidati alla </w:t>
      </w:r>
      <w:r w:rsidR="0006470C" w:rsidRPr="001D0A10">
        <w:t>SUPSI</w:t>
      </w:r>
      <w:r w:rsidRPr="001D0A10">
        <w:t xml:space="preserve">, e quali quelli gestionali e decisionali, che competono all’Amministrazione cantonale. Già da allora, si colse l’opportunità di delegare a un ente universitario di diritto pubblico le attività di formazione, di ricerca e di ricerca applicata, perché una struttura universitaria è più idonea a svilupparle, metterle in rete e condividerle con altri atenei in modo che conoscenze e competenze siano accessibili sia a livello pubblico (amministrazione cantonale) che privato (aziende/imprese). </w:t>
      </w:r>
    </w:p>
    <w:p w:rsidR="00B819FE" w:rsidRPr="001D0A10" w:rsidRDefault="00B819FE" w:rsidP="0006470C"/>
    <w:p w:rsidR="00B819FE" w:rsidRPr="001D0A10" w:rsidRDefault="0006470C" w:rsidP="0006470C">
      <w:r>
        <w:t>La C</w:t>
      </w:r>
      <w:r w:rsidR="00B819FE" w:rsidRPr="001D0A10">
        <w:t>ommissione condivide il principio della collaborazione tra università professionale e Amministrazione cantonale, in cui l’Amministrazione Cantonale prende le decisioni strategiche, mentre la università offre il necessario supporto tecnico-scientifico, occupandosi in particolare della raccolta sistematica di dati, la loro valutazione e la messa a disposizione.</w:t>
      </w:r>
    </w:p>
    <w:p w:rsidR="00B819FE" w:rsidRPr="001D0A10" w:rsidRDefault="00B819FE" w:rsidP="0006470C"/>
    <w:p w:rsidR="00B819FE" w:rsidRPr="001D0A10" w:rsidRDefault="00B819FE" w:rsidP="0006470C">
      <w:r w:rsidRPr="001D0A10">
        <w:t>Si tratta di una collaborazione che è vantaggiosa per le due parti: per i servizi cantonali, che possono così confrontarsi con la ricerca applicata avanzata, le nuove tecnologie, e sono maggiormente in grado di innovare, trovare nuove piste di azione, nuove modalità di lavoro, e magari proporre nuove misure che sappiano tener conto dei cambiamenti intervenuti nella società, dei nuovi problemi come il riscaldamento climatico, della gestione oculata delle risorse naturali, eccetera. E per la SUPSI, che può così sviluppare competenze scientifiche aderenti alle esigenze del territorio, favorire la ricerca applicata, valorizzando le ricadute positive sulla formazione di base e continua dei professionisti, potenziando le risorse messe a disposizione dello Stato e attirando in Ticino finanziamenti federali di Innosuisse e Uffici federali (BFE, ARE, BAFU, DDPS-SWISSTOPO), del Fondo nazionale svizzero per la ricerca scientifica (FNSRS) e dell’Unione europea.</w:t>
      </w:r>
    </w:p>
    <w:p w:rsidR="00B819FE" w:rsidRPr="001D0A10" w:rsidRDefault="00B819FE" w:rsidP="0006470C">
      <w:pPr>
        <w:rPr>
          <w:rFonts w:cs="Arial"/>
        </w:rPr>
      </w:pPr>
    </w:p>
    <w:p w:rsidR="00B819FE" w:rsidRPr="001D0A10" w:rsidRDefault="00B819FE" w:rsidP="0006470C">
      <w:pPr>
        <w:pStyle w:val="Titolo1"/>
      </w:pPr>
      <w:r w:rsidRPr="001D0A10">
        <w:lastRenderedPageBreak/>
        <w:t>MODALITÀ:</w:t>
      </w:r>
      <w:r>
        <w:t xml:space="preserve"> </w:t>
      </w:r>
      <w:r w:rsidRPr="001D0A10">
        <w:t>MANDATO DI PRESTAZIONE</w:t>
      </w:r>
    </w:p>
    <w:p w:rsidR="00B819FE" w:rsidRPr="001D0A10" w:rsidRDefault="00B819FE" w:rsidP="0006470C">
      <w:r w:rsidRPr="001D0A10">
        <w:t xml:space="preserve">Lo strumento del mandato di prestazione è efficace, in particolare per la sua flessibilità nella ridefinizione dei compiti, che sono costantemente </w:t>
      </w:r>
    </w:p>
    <w:p w:rsidR="00B819FE" w:rsidRPr="001D0A10" w:rsidRDefault="00B819FE" w:rsidP="0006470C">
      <w:r w:rsidRPr="001D0A10">
        <w:t>aggiornati per venire incontro alle reali necessità ed esigenze dei servizi, oltre che per tener conto delle nuove problematiche che emergono dalla società, o da atti parlamentari, o da eventuali sopravvenute modifiche di legge, e che richiedono approfondimenti tecnico-scientifici, di banche dati di supporto o analisi quantitative e qualitative. Senza parlare delle nuove sfide che derivano dai cambiamenti climatici in atto.</w:t>
      </w:r>
    </w:p>
    <w:p w:rsidR="00B819FE" w:rsidRPr="001D0A10" w:rsidRDefault="00B819FE" w:rsidP="0006470C"/>
    <w:p w:rsidR="00B819FE" w:rsidRPr="001D0A10" w:rsidRDefault="00B819FE" w:rsidP="0006470C">
      <w:r w:rsidRPr="001D0A10">
        <w:t xml:space="preserve">Anche stavolta, nella definizione del mansionario, dei compiti e della loro quantificazione finanziaria, i compiti sono stati </w:t>
      </w:r>
      <w:r>
        <w:t>così</w:t>
      </w:r>
      <w:r w:rsidRPr="001D0A10">
        <w:t xml:space="preserve"> nuovamente verificati, sono stati apportati correttivi e aggiornamenti, ed è stato allestito dove possibile, un dettagliato capitolato d’oneri</w:t>
      </w:r>
    </w:p>
    <w:p w:rsidR="00B819FE" w:rsidRPr="001D0A10" w:rsidRDefault="00B819FE" w:rsidP="0006470C">
      <w:r w:rsidRPr="001D0A10">
        <w:t xml:space="preserve">I costi dei diversi compiti sono calcolati non sul numero di unità di personale necessario allo svolgimento del compito stesso, ma in base alle attività e agli obiettivi da raggiungere. </w:t>
      </w:r>
    </w:p>
    <w:p w:rsidR="00B819FE" w:rsidRPr="001D0A10" w:rsidRDefault="00B819FE" w:rsidP="0006470C">
      <w:r w:rsidRPr="001D0A10">
        <w:t>Le modifiche apportate al mandato, con le relative motivazioni, sono illustrate in modo preciso ed esauriente nel Messaggio, cui rimandiamo.</w:t>
      </w:r>
    </w:p>
    <w:p w:rsidR="00B819FE" w:rsidRPr="001D0A10" w:rsidRDefault="00B819FE" w:rsidP="0006470C"/>
    <w:p w:rsidR="00B819FE" w:rsidRPr="001D0A10" w:rsidRDefault="00B819FE" w:rsidP="0006470C">
      <w:r w:rsidRPr="001D0A10">
        <w:t xml:space="preserve">In particolare, segnaliamo la rinuncia a un compito, (centro di certificazione Minergie e centro di competenza per il Certificato energetico cantonale degli edifici), in quanto ora attribuito a TicinoEnergia, e la nuova collaborazione in due campi  “Costruire in funzione del cambiamento climatico”, per valutare la problematica delle cosiddette “isole di calore” causate dalla sigillatura del suolo prodotta dalle costruzioni in città e dalle emissioni di calore, e  “Monitoraggio antibiotico-resistenza nel lago di Lugano e immissari”,  per valutare la problematica della diffusione di geni di resistenza agli antibiotici. </w:t>
      </w:r>
    </w:p>
    <w:p w:rsidR="00B819FE" w:rsidRDefault="00B819FE" w:rsidP="0006470C"/>
    <w:p w:rsidR="0006470C" w:rsidRPr="001D0A10" w:rsidRDefault="0006470C" w:rsidP="0006470C"/>
    <w:p w:rsidR="00B819FE" w:rsidRPr="001D0A10" w:rsidRDefault="0006470C" w:rsidP="0006470C">
      <w:pPr>
        <w:pStyle w:val="Titolo1"/>
      </w:pPr>
      <w:r>
        <w:t xml:space="preserve">IL </w:t>
      </w:r>
      <w:r w:rsidR="00B819FE">
        <w:t>CREDITO</w:t>
      </w:r>
    </w:p>
    <w:p w:rsidR="00B819FE" w:rsidRPr="001D0A10" w:rsidRDefault="00B819FE" w:rsidP="0006470C">
      <w:r>
        <w:t xml:space="preserve">Siamo oggi al </w:t>
      </w:r>
      <w:r w:rsidRPr="001D0A10">
        <w:t xml:space="preserve">quinto mandato di prestazione. </w:t>
      </w:r>
    </w:p>
    <w:p w:rsidR="00B819FE" w:rsidRPr="001D0A10" w:rsidRDefault="00B819FE" w:rsidP="0006470C">
      <w:r w:rsidRPr="001D0A10">
        <w:t>Va rilevato che esso, in via eccezionale, vale per il periodo 2020-2024, ossia per cinque anni, per allineare questo specifico accordo con tutti i contratti che legano la SUPSI all’Amministrazione cantonale e con il Messaggio quadriennale di politica universitaria: sarà così più facile, per il Parlamento, avere una visione complessiva dei legami istituzionali fra il Cantone e la SUPSI.</w:t>
      </w:r>
    </w:p>
    <w:p w:rsidR="00B819FE" w:rsidRPr="001D0A10" w:rsidRDefault="00B819FE" w:rsidP="0006470C">
      <w:pPr>
        <w:spacing w:before="120"/>
        <w:rPr>
          <w:b/>
          <w:bCs/>
        </w:rPr>
      </w:pPr>
      <w:r w:rsidRPr="001D0A10">
        <w:t xml:space="preserve">Appunto tenendo conto dei compiti affidati alla </w:t>
      </w:r>
      <w:r w:rsidR="0006470C" w:rsidRPr="001D0A10">
        <w:t>SUPSI</w:t>
      </w:r>
      <w:r w:rsidRPr="001D0A10">
        <w:t xml:space="preserve">, il credito ha subito una evoluzione negli anni: dai CHF 1'140'000 annui nel primo quadriennio, si è passati a CHF 1'650'000 annui nel secondo e nel terzo quadriennio, a 1'423'000 nel quarto, e ora si chiede un importo globale di CHF </w:t>
      </w:r>
      <w:r w:rsidRPr="001D0A10">
        <w:rPr>
          <w:b/>
          <w:bCs/>
        </w:rPr>
        <w:t>1'532'000 annui.</w:t>
      </w:r>
    </w:p>
    <w:p w:rsidR="00B819FE" w:rsidRPr="001D0A10" w:rsidRDefault="00B819FE" w:rsidP="0006470C">
      <w:pPr>
        <w:spacing w:before="120"/>
      </w:pPr>
      <w:r w:rsidRPr="001D0A10">
        <w:t>Tale importo va a coprire le prestazioni del Dipartimento ambiente costruzioni e design della SUPSI - tramite l’Istituto scienze della Terra (IST), l’Istituto di sostenibilità applicata all’ambiente costruito (ISAAC), l’Istituto materiali e costruzioni (IMC), il Laboratorio di cultura visiva (LCV) e il Laboratorio di microbiologia applicata (LMA)</w:t>
      </w:r>
      <w:r w:rsidR="0006470C">
        <w:t xml:space="preserve"> -</w:t>
      </w:r>
      <w:r w:rsidRPr="001D0A10">
        <w:t xml:space="preserve"> in ambito di ricerca e sviluppo, raccolta sistematica di dati nei settori delle acque, dei pericoli naturali, della geologia, dell’energia, dei materiali e costruzioni, dello sviluppo sostenibile e della comunicazione. </w:t>
      </w:r>
    </w:p>
    <w:p w:rsidR="00B819FE" w:rsidRPr="001D0A10" w:rsidRDefault="00B819FE" w:rsidP="0006470C">
      <w:pPr>
        <w:spacing w:before="120"/>
      </w:pPr>
      <w:r w:rsidRPr="001D0A10">
        <w:t xml:space="preserve">I compiti solo illustrati in modo esauriente e completo nelle Schede descrittive dei compiti, allegate al Messaggio. </w:t>
      </w:r>
    </w:p>
    <w:p w:rsidR="00B819FE" w:rsidRPr="001D0A10" w:rsidRDefault="00B819FE" w:rsidP="0006470C">
      <w:pPr>
        <w:spacing w:before="120"/>
      </w:pPr>
      <w:r w:rsidRPr="001D0A10">
        <w:t>Segnaliamo solo l’importante aumento del budget attribuito al compito 6, ossia al Monitoraggio della qualità delle acque superficiali, in particolare per studiare la presenza di microplastiche nel Ceresio.</w:t>
      </w:r>
    </w:p>
    <w:p w:rsidR="00B819FE" w:rsidRPr="0006470C" w:rsidRDefault="00B819FE" w:rsidP="0006470C">
      <w:pPr>
        <w:spacing w:before="120"/>
        <w:rPr>
          <w:sz w:val="12"/>
          <w:szCs w:val="12"/>
        </w:rPr>
      </w:pPr>
    </w:p>
    <w:p w:rsidR="00B819FE" w:rsidRPr="001D0A10" w:rsidRDefault="00B819FE" w:rsidP="0006470C">
      <w:r w:rsidRPr="001D0A10">
        <w:lastRenderedPageBreak/>
        <w:t xml:space="preserve">Come in passato si continuerà ad avvalersi del gruppo di accompagnamento di tecnici (delle due parti), che definisce le esigenze dei servizi cantonali e monitora l’adempimento dei compiti, e del comitato finanziario amministrativo (misto anch’esso) che verifica il mandato e di definisce il credito globale. </w:t>
      </w:r>
    </w:p>
    <w:p w:rsidR="00B819FE" w:rsidRPr="001D0A10" w:rsidRDefault="00B819FE" w:rsidP="0006470C">
      <w:pPr>
        <w:spacing w:before="120"/>
      </w:pPr>
      <w:r w:rsidRPr="001D0A10">
        <w:t>L’avanzamento dei lavori viene monitorato ogni anno.</w:t>
      </w:r>
    </w:p>
    <w:p w:rsidR="00B819FE" w:rsidRPr="001D0A10" w:rsidRDefault="00B819FE" w:rsidP="0006470C">
      <w:pPr>
        <w:spacing w:before="120"/>
      </w:pPr>
      <w:r w:rsidRPr="001D0A10">
        <w:t>Vi è infine un responsabile SUPSI per la gestione amministrativa e per la tempistica del compito (coordinamento, organizzazione, definizione obiettivi temporali, gestione delle riunioni, eccetera).</w:t>
      </w:r>
    </w:p>
    <w:p w:rsidR="00B819FE" w:rsidRPr="001D0A10" w:rsidRDefault="00B819FE" w:rsidP="0006470C">
      <w:pPr>
        <w:spacing w:before="120"/>
      </w:pPr>
      <w:r w:rsidRPr="001D0A10">
        <w:t>Secondo la convenzione, infine, viene pubblicato un rapporto finale quadriennale: il prossimo è previsto a breve.</w:t>
      </w:r>
    </w:p>
    <w:p w:rsidR="00B819FE" w:rsidRPr="001D0A10" w:rsidRDefault="00B819FE" w:rsidP="0006470C"/>
    <w:p w:rsidR="00B819FE" w:rsidRPr="001D0A10" w:rsidRDefault="00B819FE" w:rsidP="0006470C">
      <w:r w:rsidRPr="001D0A10">
        <w:t>Per concludere, segnaliamo che il credito in questione è in linea con il Rapporto sugli indirizzi rispettivamente con le Linee direttive del Consiglio di Stato per la legislatura 2015-2019, con particolare riferimento alla quarta area di intervento prioritario “Sviluppo territoriale, mobilità, ambiente, energia”, e che la sua approvazione richiede la maggioranza assoluta dei membri del Gran Consiglio.</w:t>
      </w:r>
    </w:p>
    <w:p w:rsidR="00B819FE" w:rsidRDefault="00B819FE" w:rsidP="0006470C"/>
    <w:p w:rsidR="0006470C" w:rsidRDefault="0006470C" w:rsidP="0006470C">
      <w:pPr>
        <w:rPr>
          <w:rFonts w:cs="Arial"/>
          <w:szCs w:val="24"/>
        </w:rPr>
      </w:pPr>
    </w:p>
    <w:p w:rsidR="0006470C" w:rsidRPr="00B860C2" w:rsidRDefault="0006470C" w:rsidP="0006470C">
      <w:pPr>
        <w:jc w:val="center"/>
        <w:rPr>
          <w:rFonts w:cs="Arial"/>
          <w:sz w:val="28"/>
          <w:szCs w:val="28"/>
        </w:rPr>
      </w:pP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  <w:r w:rsidRPr="00B860C2">
        <w:rPr>
          <w:rFonts w:cs="Arial"/>
          <w:sz w:val="28"/>
          <w:szCs w:val="28"/>
        </w:rPr>
        <w:t xml:space="preserve"> </w:t>
      </w:r>
      <w:r w:rsidRPr="00B860C2">
        <w:rPr>
          <w:rFonts w:cs="Arial"/>
          <w:sz w:val="28"/>
          <w:szCs w:val="28"/>
        </w:rPr>
        <w:sym w:font="Wingdings" w:char="F0AF"/>
      </w:r>
    </w:p>
    <w:p w:rsidR="0006470C" w:rsidRDefault="0006470C" w:rsidP="0006470C">
      <w:pPr>
        <w:rPr>
          <w:rFonts w:cs="Arial"/>
          <w:szCs w:val="24"/>
        </w:rPr>
      </w:pPr>
    </w:p>
    <w:p w:rsidR="0006470C" w:rsidRPr="001D0A10" w:rsidRDefault="0006470C" w:rsidP="0006470C"/>
    <w:p w:rsidR="00B819FE" w:rsidRPr="001D0A10" w:rsidRDefault="00B819FE" w:rsidP="0006470C">
      <w:r w:rsidRPr="001D0A10">
        <w:t xml:space="preserve">Sulla base delle considerazioni esposte, vi invitiamo ad approvare </w:t>
      </w:r>
      <w:r w:rsidR="0006470C">
        <w:t>il</w:t>
      </w:r>
      <w:r w:rsidRPr="001D0A10">
        <w:t xml:space="preserve"> Decreto legislativo relativo al credito annuale per i prossimi 5 anni per la delega di prestazioni dal Cantone Ticino alla SUPSI dal 2020 al 2024. </w:t>
      </w:r>
    </w:p>
    <w:p w:rsidR="00B860C2" w:rsidRDefault="00B860C2" w:rsidP="00B860C2"/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 la Commissione</w:t>
      </w:r>
      <w:r w:rsidR="0006470C">
        <w:rPr>
          <w:rFonts w:cs="Arial"/>
          <w:szCs w:val="24"/>
        </w:rPr>
        <w:t xml:space="preserve"> formazione e cultura</w:t>
      </w:r>
      <w:r w:rsidRPr="00076E70">
        <w:rPr>
          <w:rFonts w:cs="Arial"/>
          <w:szCs w:val="24"/>
        </w:rPr>
        <w:t>:</w:t>
      </w:r>
    </w:p>
    <w:p w:rsidR="00B860C2" w:rsidRPr="00076E70" w:rsidRDefault="0006470C" w:rsidP="00B860C2">
      <w:pPr>
        <w:rPr>
          <w:rFonts w:cs="Arial"/>
          <w:szCs w:val="24"/>
        </w:rPr>
      </w:pPr>
      <w:r>
        <w:rPr>
          <w:rFonts w:cs="Arial"/>
          <w:szCs w:val="24"/>
        </w:rPr>
        <w:t>Maddalena Ermotti-Lepori</w:t>
      </w:r>
      <w:r w:rsidR="00B860C2" w:rsidRPr="00076E70">
        <w:rPr>
          <w:rFonts w:cs="Arial"/>
          <w:szCs w:val="24"/>
        </w:rPr>
        <w:t>, relatr</w:t>
      </w:r>
      <w:r>
        <w:rPr>
          <w:rFonts w:cs="Arial"/>
          <w:szCs w:val="24"/>
        </w:rPr>
        <w:t>ic</w:t>
      </w:r>
      <w:r w:rsidR="00B860C2" w:rsidRPr="00076E70">
        <w:rPr>
          <w:rFonts w:cs="Arial"/>
          <w:szCs w:val="24"/>
        </w:rPr>
        <w:t>e</w:t>
      </w:r>
    </w:p>
    <w:p w:rsidR="00504951" w:rsidRDefault="00504951" w:rsidP="00504951">
      <w:r>
        <w:t xml:space="preserve">Biscossa - Gardenghi - Ghisla - </w:t>
      </w:r>
    </w:p>
    <w:p w:rsidR="00504951" w:rsidRDefault="00504951" w:rsidP="00504951">
      <w:r>
        <w:t xml:space="preserve">Ghisletta - Guscio - Imelli - Käppeli - </w:t>
      </w:r>
    </w:p>
    <w:p w:rsidR="00504951" w:rsidRDefault="00504951" w:rsidP="00504951">
      <w:r>
        <w:t xml:space="preserve">Morisoli - Piezzi - Polli - Pugno Ghirlanda - </w:t>
      </w:r>
    </w:p>
    <w:p w:rsidR="00504951" w:rsidRDefault="00504951" w:rsidP="00504951">
      <w:r>
        <w:t>Robbiani - Speziali - Tenconi - Tonini</w:t>
      </w:r>
    </w:p>
    <w:p w:rsidR="00B860C2" w:rsidRDefault="00B860C2" w:rsidP="00B860C2">
      <w:pPr>
        <w:tabs>
          <w:tab w:val="left" w:pos="284"/>
        </w:tabs>
      </w:pPr>
    </w:p>
    <w:sectPr w:rsidR="00B860C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653DB9" w:rsidRPr="00653DB9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97E17"/>
    <w:multiLevelType w:val="hybridMultilevel"/>
    <w:tmpl w:val="D3F4DE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6470C"/>
    <w:rsid w:val="00076E70"/>
    <w:rsid w:val="001574D7"/>
    <w:rsid w:val="00260C8C"/>
    <w:rsid w:val="002677DC"/>
    <w:rsid w:val="002E5E40"/>
    <w:rsid w:val="00504951"/>
    <w:rsid w:val="0052425A"/>
    <w:rsid w:val="00586A8D"/>
    <w:rsid w:val="00653DB9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057CA"/>
    <w:rsid w:val="00B819FE"/>
    <w:rsid w:val="00B860C2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DB829"/>
  <w15:docId w15:val="{FB85588E-8079-40DB-9B05-48518AEA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B81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7F5B-0334-4358-B745-671F9ECB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2020-02-06T08:56:00Z</cp:lastPrinted>
  <dcterms:created xsi:type="dcterms:W3CDTF">2020-02-06T08:58:00Z</dcterms:created>
  <dcterms:modified xsi:type="dcterms:W3CDTF">2020-02-06T08:58:00Z</dcterms:modified>
</cp:coreProperties>
</file>