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971392" w:rsidP="00F242E5">
      <w:pPr>
        <w:tabs>
          <w:tab w:val="left" w:pos="2495"/>
        </w:tabs>
        <w:spacing w:before="80" w:after="40"/>
        <w:rPr>
          <w:rFonts w:ascii="Gill Sans MT" w:hAnsi="Gill Sans MT"/>
          <w:b/>
          <w:sz w:val="56"/>
          <w:szCs w:val="56"/>
        </w:rPr>
      </w:pPr>
      <w:r w:rsidRPr="00971392">
        <w:rPr>
          <w:rFonts w:ascii="Gill Sans MT" w:hAnsi="Gill Sans MT"/>
          <w:b/>
          <w:sz w:val="56"/>
          <w:szCs w:val="56"/>
        </w:rPr>
        <w:t>Rapporto</w:t>
      </w:r>
      <w:r w:rsidRPr="00971392">
        <w:rPr>
          <w:rFonts w:ascii="Gill Sans MT" w:hAnsi="Gill Sans MT"/>
          <w:b/>
          <w:sz w:val="56"/>
          <w:szCs w:val="56"/>
        </w:rPr>
        <w:t xml:space="preserve"> </w:t>
      </w:r>
      <w:r w:rsidR="00F242E5" w:rsidRPr="005C669B">
        <w:rPr>
          <w:rFonts w:ascii="Gill Sans MT" w:hAnsi="Gill Sans MT"/>
          <w:b/>
          <w:sz w:val="56"/>
          <w:szCs w:val="56"/>
        </w:rPr>
        <w:t>di m</w:t>
      </w:r>
      <w:bookmarkStart w:id="0" w:name="_GoBack"/>
      <w:bookmarkEnd w:id="0"/>
      <w:r w:rsidR="00F242E5" w:rsidRPr="005C669B">
        <w:rPr>
          <w:rFonts w:ascii="Gill Sans MT" w:hAnsi="Gill Sans MT"/>
          <w:b/>
          <w:sz w:val="56"/>
          <w:szCs w:val="56"/>
        </w:rPr>
        <w:t>i</w:t>
      </w:r>
      <w:r w:rsidR="00204A7D">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6D46CD" w:rsidRDefault="006D46CD" w:rsidP="006D46CD">
      <w:pPr>
        <w:tabs>
          <w:tab w:val="left" w:pos="2098"/>
          <w:tab w:val="left" w:pos="4933"/>
        </w:tabs>
        <w:rPr>
          <w:lang w:bidi="en-US"/>
        </w:rPr>
      </w:pPr>
      <w:r>
        <w:rPr>
          <w:rFonts w:eastAsia="Arial" w:cs="Arial"/>
          <w:b/>
          <w:sz w:val="32"/>
          <w:lang w:bidi="en-US"/>
        </w:rPr>
        <w:t>7691 R2</w:t>
      </w:r>
      <w:r>
        <w:rPr>
          <w:sz w:val="28"/>
          <w:lang w:bidi="en-US"/>
        </w:rPr>
        <w:t xml:space="preserve"> </w:t>
      </w:r>
      <w:r>
        <w:rPr>
          <w:sz w:val="28"/>
          <w:lang w:bidi="en-US"/>
        </w:rPr>
        <w:tab/>
      </w:r>
      <w:r>
        <w:rPr>
          <w:rFonts w:cs="Arial"/>
          <w:sz w:val="28"/>
          <w:szCs w:val="28"/>
        </w:rPr>
        <w:t>11 febbraio 2</w:t>
      </w:r>
      <w:r w:rsidRPr="00A76ABC">
        <w:rPr>
          <w:rFonts w:cs="Arial"/>
          <w:sz w:val="28"/>
          <w:szCs w:val="28"/>
        </w:rPr>
        <w:t>020</w:t>
      </w:r>
      <w:r>
        <w:rPr>
          <w:sz w:val="28"/>
          <w:lang w:bidi="en-US"/>
        </w:rPr>
        <w:tab/>
      </w:r>
      <w:r w:rsidRPr="00A76ABC">
        <w:rPr>
          <w:sz w:val="28"/>
        </w:rPr>
        <w:t>CANCELLERIA DELLO STATO</w:t>
      </w:r>
    </w:p>
    <w:p w:rsidR="006D46CD" w:rsidRPr="00A76ABC" w:rsidRDefault="006D46CD" w:rsidP="006D46CD">
      <w:pPr>
        <w:rPr>
          <w:rFonts w:cs="Arial"/>
          <w:szCs w:val="24"/>
        </w:rPr>
      </w:pPr>
    </w:p>
    <w:p w:rsidR="006D46CD" w:rsidRPr="00A76ABC" w:rsidRDefault="006D46CD" w:rsidP="006D46CD">
      <w:pPr>
        <w:rPr>
          <w:rFonts w:cs="Arial"/>
          <w:szCs w:val="24"/>
        </w:rPr>
      </w:pPr>
    </w:p>
    <w:p w:rsidR="006D46CD" w:rsidRPr="00A76ABC" w:rsidRDefault="006D46CD" w:rsidP="006D46CD">
      <w:pPr>
        <w:rPr>
          <w:rFonts w:cs="Arial"/>
          <w:szCs w:val="24"/>
        </w:rPr>
      </w:pPr>
    </w:p>
    <w:p w:rsidR="006D46CD" w:rsidRDefault="006D46CD" w:rsidP="006D46CD">
      <w:pPr>
        <w:ind w:left="17" w:right="11"/>
        <w:rPr>
          <w:rFonts w:eastAsia="Arial" w:cs="Arial"/>
          <w:b/>
          <w:sz w:val="28"/>
          <w:lang w:bidi="en-US"/>
        </w:rPr>
      </w:pPr>
      <w:r>
        <w:rPr>
          <w:rFonts w:eastAsia="Arial" w:cs="Arial"/>
          <w:b/>
          <w:sz w:val="28"/>
          <w:lang w:bidi="en-US"/>
        </w:rPr>
        <w:t>della Commissione Costituzione e leggi</w:t>
      </w:r>
    </w:p>
    <w:p w:rsidR="006D46CD" w:rsidRDefault="006D46CD" w:rsidP="006D46CD">
      <w:pPr>
        <w:ind w:left="17" w:right="11"/>
        <w:rPr>
          <w:lang w:bidi="en-US"/>
        </w:rPr>
      </w:pPr>
      <w:r>
        <w:rPr>
          <w:rFonts w:eastAsia="Arial" w:cs="Arial"/>
          <w:b/>
          <w:sz w:val="28"/>
          <w:lang w:bidi="en-US"/>
        </w:rPr>
        <w:t xml:space="preserve">sull'iniziativa parlamentare 18 febbraio 2019 presentata nella forma elaborata da Massimiliano Robbiani e cofirmatari per la modifica </w:t>
      </w:r>
      <w:r>
        <w:rPr>
          <w:rFonts w:eastAsia="Arial" w:cs="Arial"/>
          <w:b/>
          <w:sz w:val="28"/>
          <w:lang w:bidi="en-US"/>
        </w:rPr>
        <w:br/>
        <w:t>dell'art. 60 della Legge sull'esercizio dei diritti politici (LEDP): introduzione dell'obbligo di presentazione del casellario giudiziale di altri Paesi se si è in possesso di una seconda cittadinanza!</w:t>
      </w:r>
    </w:p>
    <w:p w:rsidR="006D46CD" w:rsidRPr="00C57F87" w:rsidRDefault="006D46CD" w:rsidP="006D46CD">
      <w:pPr>
        <w:spacing w:before="100"/>
        <w:rPr>
          <w:rFonts w:cs="Arial"/>
          <w:b/>
          <w:sz w:val="26"/>
          <w:szCs w:val="26"/>
        </w:rPr>
      </w:pPr>
      <w:r w:rsidRPr="00C57F87">
        <w:rPr>
          <w:rFonts w:cs="Arial"/>
          <w:b/>
          <w:sz w:val="26"/>
          <w:szCs w:val="26"/>
        </w:rPr>
        <w:t>(v. messagg</w:t>
      </w:r>
      <w:r>
        <w:rPr>
          <w:rFonts w:cs="Arial"/>
          <w:b/>
          <w:sz w:val="26"/>
          <w:szCs w:val="26"/>
        </w:rPr>
        <w:t>io 21 agosto 2019 n. 7691)</w:t>
      </w:r>
    </w:p>
    <w:p w:rsidR="006D46CD" w:rsidRPr="00C57F87" w:rsidRDefault="006D46CD" w:rsidP="006D46CD"/>
    <w:p w:rsidR="006D46CD" w:rsidRPr="00C57F87" w:rsidRDefault="006D46CD" w:rsidP="006D46CD"/>
    <w:p w:rsidR="006D46CD" w:rsidRPr="00C57F87" w:rsidRDefault="006D46CD" w:rsidP="006D46CD"/>
    <w:p w:rsidR="00204A7D" w:rsidRPr="00965351" w:rsidRDefault="00204A7D" w:rsidP="00204A7D">
      <w:pPr>
        <w:pStyle w:val="Titolo1"/>
      </w:pPr>
      <w:r>
        <w:t>1.</w:t>
      </w:r>
      <w:r>
        <w:tab/>
        <w:t>La richiesta dell'iniziativa</w:t>
      </w:r>
    </w:p>
    <w:p w:rsidR="00204A7D" w:rsidRDefault="00204A7D" w:rsidP="00204A7D">
      <w:pPr>
        <w:rPr>
          <w:lang w:val="it-IT"/>
        </w:rPr>
      </w:pPr>
      <w:r>
        <w:rPr>
          <w:lang w:val="it-IT"/>
        </w:rPr>
        <w:t>L'iniziativa parlamentare elaborata di Massimiliano Robbiani e cofirmatari propone – allo scopo di «</w:t>
      </w:r>
      <w:r w:rsidRPr="0027345A">
        <w:rPr>
          <w:i/>
          <w:lang w:val="it-IT"/>
        </w:rPr>
        <w:t>garantire la massima trasparenza nei confronti dei cittadini</w:t>
      </w:r>
      <w:r>
        <w:rPr>
          <w:lang w:val="it-IT"/>
        </w:rPr>
        <w:t xml:space="preserve">» – che i candidati alla carica di </w:t>
      </w:r>
      <w:r w:rsidRPr="00AF39DD">
        <w:rPr>
          <w:lang w:val="it-IT"/>
        </w:rPr>
        <w:t>Municipale, Granconsigliere e Consigliere di Stato</w:t>
      </w:r>
      <w:r>
        <w:rPr>
          <w:lang w:val="it-IT"/>
        </w:rPr>
        <w:t xml:space="preserve"> «</w:t>
      </w:r>
      <w:r w:rsidRPr="00786F02">
        <w:rPr>
          <w:i/>
          <w:lang w:val="it-IT"/>
        </w:rPr>
        <w:t>in possesso di una seconda cittadinanza</w:t>
      </w:r>
      <w:r>
        <w:rPr>
          <w:lang w:val="it-IT"/>
        </w:rPr>
        <w:t>» debbano presentare, oltre al «</w:t>
      </w:r>
      <w:r>
        <w:rPr>
          <w:i/>
          <w:lang w:val="it-IT"/>
        </w:rPr>
        <w:t>casellario giudiziale svizzero</w:t>
      </w:r>
      <w:r>
        <w:rPr>
          <w:lang w:val="it-IT"/>
        </w:rPr>
        <w:t>», anche il «</w:t>
      </w:r>
      <w:r>
        <w:rPr>
          <w:i/>
          <w:lang w:val="it-IT"/>
        </w:rPr>
        <w:t>casellario del secondo Paese</w:t>
      </w:r>
      <w:r>
        <w:rPr>
          <w:lang w:val="it-IT"/>
        </w:rPr>
        <w:t>».</w:t>
      </w:r>
    </w:p>
    <w:p w:rsidR="00204A7D" w:rsidRDefault="00204A7D" w:rsidP="00204A7D">
      <w:pPr>
        <w:rPr>
          <w:lang w:val="it-IT"/>
        </w:rPr>
      </w:pPr>
    </w:p>
    <w:p w:rsidR="00204A7D" w:rsidRDefault="00204A7D" w:rsidP="00204A7D">
      <w:pPr>
        <w:rPr>
          <w:lang w:val="it-IT"/>
        </w:rPr>
      </w:pPr>
      <w:r>
        <w:rPr>
          <w:lang w:val="it-IT"/>
        </w:rPr>
        <w:t>L'iniziativista chiede pertanto di modificare nel seguente modo l'art. 60 cpv. 3 della Legge sull'esercizio dei diritti politici (LEDP), concernente le candidature per le elezioni:</w:t>
      </w:r>
    </w:p>
    <w:p w:rsidR="00204A7D" w:rsidRPr="00B73823" w:rsidRDefault="00204A7D" w:rsidP="00204A7D">
      <w:pPr>
        <w:spacing w:before="120"/>
        <w:ind w:left="567" w:right="567"/>
        <w:rPr>
          <w:i/>
          <w:sz w:val="22"/>
          <w:lang w:val="it-IT"/>
        </w:rPr>
      </w:pPr>
      <w:r w:rsidRPr="00B73823">
        <w:rPr>
          <w:i/>
          <w:sz w:val="22"/>
          <w:vertAlign w:val="superscript"/>
          <w:lang w:val="it-IT"/>
        </w:rPr>
        <w:t>3</w:t>
      </w:r>
      <w:r w:rsidRPr="00B73823">
        <w:rPr>
          <w:i/>
          <w:sz w:val="22"/>
          <w:lang w:val="it-IT"/>
        </w:rPr>
        <w:t>Alla proposta devono essere uniti i seguenti documenti in originale:</w:t>
      </w:r>
    </w:p>
    <w:p w:rsidR="00204A7D" w:rsidRPr="00B73823" w:rsidRDefault="00204A7D" w:rsidP="00204A7D">
      <w:pPr>
        <w:tabs>
          <w:tab w:val="left" w:pos="851"/>
        </w:tabs>
        <w:spacing w:before="60"/>
        <w:ind w:left="567" w:right="567"/>
        <w:rPr>
          <w:i/>
          <w:sz w:val="22"/>
          <w:lang w:val="it-IT"/>
        </w:rPr>
      </w:pPr>
      <w:r w:rsidRPr="00B73823">
        <w:rPr>
          <w:i/>
          <w:sz w:val="22"/>
          <w:lang w:val="it-IT"/>
        </w:rPr>
        <w:t>-</w:t>
      </w:r>
      <w:r w:rsidRPr="00B73823">
        <w:rPr>
          <w:i/>
          <w:sz w:val="22"/>
          <w:lang w:val="it-IT"/>
        </w:rPr>
        <w:tab/>
        <w:t>la dichiarazione di accettazione firmata dal candidato;</w:t>
      </w:r>
    </w:p>
    <w:p w:rsidR="00204A7D" w:rsidRPr="00B73823" w:rsidRDefault="00204A7D" w:rsidP="00204A7D">
      <w:pPr>
        <w:tabs>
          <w:tab w:val="left" w:pos="851"/>
        </w:tabs>
        <w:spacing w:before="60"/>
        <w:ind w:left="851" w:right="567" w:hanging="284"/>
        <w:rPr>
          <w:i/>
          <w:sz w:val="22"/>
        </w:rPr>
      </w:pPr>
      <w:r w:rsidRPr="00B73823">
        <w:rPr>
          <w:i/>
          <w:sz w:val="22"/>
          <w:lang w:val="it-IT"/>
        </w:rPr>
        <w:t>-</w:t>
      </w:r>
      <w:r w:rsidRPr="00B73823">
        <w:rPr>
          <w:i/>
          <w:sz w:val="22"/>
          <w:lang w:val="it-IT"/>
        </w:rPr>
        <w:tab/>
        <w:t xml:space="preserve">l'estratto del casellario giudiziale </w:t>
      </w:r>
      <w:r w:rsidRPr="00B73823">
        <w:rPr>
          <w:b/>
          <w:i/>
          <w:sz w:val="22"/>
          <w:lang w:val="it-IT"/>
        </w:rPr>
        <w:t>svizzero</w:t>
      </w:r>
      <w:r w:rsidRPr="00B73823">
        <w:rPr>
          <w:i/>
          <w:sz w:val="22"/>
          <w:lang w:val="it-IT"/>
        </w:rPr>
        <w:t xml:space="preserve"> e</w:t>
      </w:r>
      <w:r w:rsidRPr="00B73823">
        <w:rPr>
          <w:b/>
          <w:i/>
          <w:sz w:val="22"/>
          <w:lang w:val="it-IT"/>
        </w:rPr>
        <w:t>, per chi è in possesso di un'altra cittadinanza, anche quello del secondo Paese</w:t>
      </w:r>
      <w:r w:rsidRPr="00B73823">
        <w:rPr>
          <w:i/>
          <w:sz w:val="22"/>
          <w:lang w:val="it-IT"/>
        </w:rPr>
        <w:t xml:space="preserve"> nelle elezioni cantonali ai sensi dell'art. 1 cpv. 3 e nell'elezione del Municipio; il regolamento disciplina i particolari.</w:t>
      </w:r>
    </w:p>
    <w:p w:rsidR="00204A7D" w:rsidRDefault="00204A7D" w:rsidP="00204A7D"/>
    <w:p w:rsidR="00204A7D" w:rsidRDefault="00204A7D" w:rsidP="00204A7D"/>
    <w:p w:rsidR="00204A7D" w:rsidRDefault="00204A7D" w:rsidP="00204A7D"/>
    <w:p w:rsidR="00204A7D" w:rsidRPr="00965351" w:rsidRDefault="00204A7D" w:rsidP="00204A7D">
      <w:pPr>
        <w:pStyle w:val="Titolo1"/>
      </w:pPr>
      <w:r>
        <w:t>2.</w:t>
      </w:r>
      <w:r>
        <w:tab/>
        <w:t>La posizione del Consiglio di Stato</w:t>
      </w:r>
    </w:p>
    <w:p w:rsidR="00204A7D" w:rsidRDefault="00204A7D" w:rsidP="00204A7D">
      <w:pPr>
        <w:spacing w:before="120"/>
        <w:rPr>
          <w:rFonts w:cs="Arial"/>
        </w:rPr>
      </w:pPr>
      <w:r>
        <w:t xml:space="preserve">Il Consiglio di Stato – malgrado ammetta che l'atto parlamentare abbia una sua logica, </w:t>
      </w:r>
      <w:r>
        <w:br/>
      </w:r>
      <w:r w:rsidRPr="00494778">
        <w:t>dato</w:t>
      </w:r>
      <w:r w:rsidRPr="00494778">
        <w:rPr>
          <w:i/>
        </w:rPr>
        <w:t xml:space="preserve"> </w:t>
      </w:r>
      <w:r w:rsidRPr="00494778">
        <w:t xml:space="preserve">che </w:t>
      </w:r>
      <w:r w:rsidRPr="00494778">
        <w:rPr>
          <w:rFonts w:cs="Arial"/>
        </w:rPr>
        <w:t>«</w:t>
      </w:r>
      <w:r w:rsidRPr="00494778">
        <w:rPr>
          <w:rFonts w:cs="Arial"/>
          <w:i/>
        </w:rPr>
        <w:t xml:space="preserve">cercherebbe di perseguire l'obiettivo secondo cui l'autorità, e quindi il </w:t>
      </w:r>
      <w:r>
        <w:rPr>
          <w:rFonts w:cs="Arial"/>
          <w:i/>
        </w:rPr>
        <w:br/>
      </w:r>
      <w:r w:rsidRPr="00494778">
        <w:rPr>
          <w:rFonts w:cs="Arial"/>
          <w:i/>
        </w:rPr>
        <w:t>cittadino […] ottiene l'informazione su qualsiasi condanna in qualsiasi Paese subita da un candidato</w:t>
      </w:r>
      <w:r>
        <w:rPr>
          <w:rFonts w:cs="Arial"/>
        </w:rPr>
        <w:t>» – non ritiene che «</w:t>
      </w:r>
      <w:r>
        <w:rPr>
          <w:rFonts w:cs="Arial"/>
          <w:i/>
        </w:rPr>
        <w:t>nella realtà</w:t>
      </w:r>
      <w:r>
        <w:rPr>
          <w:rFonts w:cs="Arial"/>
        </w:rPr>
        <w:t>» questo obiettivo sia raggiungibile, ciò per i seguenti motivi:</w:t>
      </w:r>
    </w:p>
    <w:p w:rsidR="00204A7D" w:rsidRDefault="00204A7D" w:rsidP="00204A7D">
      <w:pPr>
        <w:tabs>
          <w:tab w:val="left" w:pos="284"/>
        </w:tabs>
        <w:spacing w:before="80"/>
        <w:ind w:left="284" w:hanging="284"/>
        <w:rPr>
          <w:rFonts w:cs="Arial"/>
        </w:rPr>
      </w:pPr>
      <w:r>
        <w:rPr>
          <w:rFonts w:cs="Arial"/>
        </w:rPr>
        <w:t>-</w:t>
      </w:r>
      <w:r>
        <w:rPr>
          <w:rFonts w:cs="Arial"/>
        </w:rPr>
        <w:tab/>
        <w:t>le autorità non sono necessariamente a conoscenza se un cittadino svizzero abbia una o più altre nazionalità;</w:t>
      </w:r>
    </w:p>
    <w:p w:rsidR="00204A7D" w:rsidRDefault="00204A7D" w:rsidP="00204A7D">
      <w:pPr>
        <w:tabs>
          <w:tab w:val="left" w:pos="284"/>
        </w:tabs>
        <w:spacing w:before="80"/>
        <w:ind w:left="284" w:hanging="284"/>
        <w:rPr>
          <w:rFonts w:cs="Arial"/>
        </w:rPr>
      </w:pPr>
      <w:r>
        <w:rPr>
          <w:rFonts w:cs="Arial"/>
        </w:rPr>
        <w:t>-</w:t>
      </w:r>
      <w:r>
        <w:rPr>
          <w:rFonts w:cs="Arial"/>
        </w:rPr>
        <w:tab/>
        <w:t xml:space="preserve">esiste la possibilità che le condanne pronunciate all'estero nei confronti di cittadini svizzeri (indipendentemente dal fatto che abbiano anche una o più altre nazionalità) non siano sempre segnalate all'Ufficio federale di polizia. Inoltre, se lo sono, può darsi che la comunicazione non avvenga in maniera tempestiva, visto che l'art. 22 della </w:t>
      </w:r>
      <w:r w:rsidRPr="00FA4BBD">
        <w:rPr>
          <w:rFonts w:cs="Arial"/>
        </w:rPr>
        <w:t>Convenzione europea di assistenza giudiziaria in materia penale</w:t>
      </w:r>
      <w:r>
        <w:rPr>
          <w:rFonts w:cs="Arial"/>
        </w:rPr>
        <w:t xml:space="preserve"> stabilisce che tale comunicazione </w:t>
      </w:r>
      <w:r>
        <w:rPr>
          <w:rFonts w:cs="Arial"/>
        </w:rPr>
        <w:lastRenderedPageBreak/>
        <w:t>debba essere trasmessa soltanto «</w:t>
      </w:r>
      <w:r w:rsidRPr="008E1E99">
        <w:rPr>
          <w:rFonts w:cs="Arial"/>
          <w:i/>
        </w:rPr>
        <w:t>almeno una volta all'anno</w:t>
      </w:r>
      <w:r>
        <w:rPr>
          <w:rFonts w:cs="Arial"/>
        </w:rPr>
        <w:t xml:space="preserve">», per cui </w:t>
      </w:r>
      <w:r w:rsidRPr="00432CA7">
        <w:rPr>
          <w:rFonts w:cs="Arial"/>
        </w:rPr>
        <w:t xml:space="preserve">le </w:t>
      </w:r>
      <w:r>
        <w:rPr>
          <w:rFonts w:cs="Arial"/>
        </w:rPr>
        <w:t>«</w:t>
      </w:r>
      <w:r w:rsidRPr="00432CA7">
        <w:rPr>
          <w:rFonts w:cs="Arial"/>
          <w:i/>
        </w:rPr>
        <w:t>informazioni su condanne pronunciate all'estero non sempre sono aggiornate</w:t>
      </w:r>
      <w:r>
        <w:rPr>
          <w:rFonts w:cs="Arial"/>
        </w:rPr>
        <w:t>»;</w:t>
      </w:r>
    </w:p>
    <w:p w:rsidR="00204A7D" w:rsidRDefault="00204A7D" w:rsidP="00204A7D">
      <w:pPr>
        <w:tabs>
          <w:tab w:val="left" w:pos="284"/>
        </w:tabs>
        <w:spacing w:before="80"/>
        <w:ind w:left="284" w:hanging="284"/>
        <w:rPr>
          <w:rFonts w:cs="Arial"/>
        </w:rPr>
      </w:pPr>
      <w:r>
        <w:rPr>
          <w:rFonts w:cs="Arial"/>
        </w:rPr>
        <w:t>-</w:t>
      </w:r>
      <w:r>
        <w:rPr>
          <w:rFonts w:cs="Arial"/>
        </w:rPr>
        <w:tab/>
        <w:t xml:space="preserve">sempre secondo l'art. 22 della </w:t>
      </w:r>
      <w:r w:rsidRPr="00432CA7">
        <w:rPr>
          <w:rFonts w:cs="Arial"/>
        </w:rPr>
        <w:t>Convenzione europea di assistenza giudiziaria in materia penale</w:t>
      </w:r>
      <w:r>
        <w:rPr>
          <w:rFonts w:cs="Arial"/>
        </w:rPr>
        <w:t xml:space="preserve">, </w:t>
      </w:r>
      <w:r w:rsidRPr="009A768C">
        <w:rPr>
          <w:rFonts w:cs="Arial"/>
        </w:rPr>
        <w:t xml:space="preserve">le autorità svizzere </w:t>
      </w:r>
      <w:r>
        <w:rPr>
          <w:rFonts w:cs="Arial"/>
        </w:rPr>
        <w:t>«</w:t>
      </w:r>
      <w:r w:rsidRPr="009A768C">
        <w:rPr>
          <w:rFonts w:cs="Arial"/>
          <w:i/>
        </w:rPr>
        <w:t>non ricevono la comunicazione della condanna di una persona svizzera con la cittadinanza di un altro Stato, se questa è stata condannata sul territorio di questo secondo Stato</w:t>
      </w:r>
      <w:r>
        <w:rPr>
          <w:rFonts w:cs="Arial"/>
        </w:rPr>
        <w:t>».</w:t>
      </w:r>
    </w:p>
    <w:p w:rsidR="00204A7D" w:rsidRDefault="00204A7D" w:rsidP="00204A7D"/>
    <w:p w:rsidR="00204A7D" w:rsidRDefault="00204A7D" w:rsidP="00204A7D">
      <w:r>
        <w:t>Il Consiglio di Stato conclude la sua presa di posizione affermando che vi sono «</w:t>
      </w:r>
      <w:r w:rsidRPr="00383845">
        <w:rPr>
          <w:i/>
        </w:rPr>
        <w:t>importanti ragioni pratiche che sconsigliano la modifica proposta nell'atto parlamentare</w:t>
      </w:r>
      <w:r>
        <w:t>» e invita pertanto il Gran Consiglio a respingere l'atto parlamentare di Massimiliano Robbiani.</w:t>
      </w:r>
    </w:p>
    <w:p w:rsidR="00204A7D" w:rsidRDefault="00204A7D" w:rsidP="00204A7D"/>
    <w:p w:rsidR="00204A7D" w:rsidRDefault="00204A7D" w:rsidP="00204A7D"/>
    <w:p w:rsidR="006D46CD" w:rsidRPr="00C57F87" w:rsidRDefault="006D46CD" w:rsidP="006D46CD"/>
    <w:p w:rsidR="006D46CD" w:rsidRPr="00C57F87" w:rsidRDefault="00204A7D" w:rsidP="00204A7D">
      <w:pPr>
        <w:pStyle w:val="Titolo1"/>
      </w:pPr>
      <w:r>
        <w:t>3.</w:t>
      </w:r>
      <w:r>
        <w:tab/>
      </w:r>
      <w:r w:rsidR="006D46CD" w:rsidRPr="00C57F87">
        <w:t xml:space="preserve">Le riflessioni della minoranza della Commissione  </w:t>
      </w:r>
    </w:p>
    <w:p w:rsidR="006D46CD" w:rsidRPr="00C57F87" w:rsidRDefault="006D46CD" w:rsidP="006D46CD">
      <w:pPr>
        <w:spacing w:before="120"/>
        <w:rPr>
          <w:rFonts w:cs="Arial"/>
          <w:szCs w:val="24"/>
          <w:lang w:bidi="en-US"/>
        </w:rPr>
      </w:pPr>
      <w:r w:rsidRPr="00C57F87">
        <w:rPr>
          <w:rFonts w:cs="Arial"/>
          <w:szCs w:val="24"/>
          <w:lang w:bidi="en-US"/>
        </w:rPr>
        <w:t>A titolo di premessa, si rileva che l'atto parlamentare fa riferimento alla legge del 7 ottobre 1998. Il 19 novembre 2018 il Gran Consiglio ha accolto la nuova LEDP, entrata in vigore il 1° settembre 2019: la norma che secondo l'iniziativista dovrebbe essere modificata risulta pertanto essere l'art. 47 cpv. 3, che regola il deposito dell'estra</w:t>
      </w:r>
      <w:r>
        <w:rPr>
          <w:rFonts w:cs="Arial"/>
          <w:szCs w:val="24"/>
          <w:lang w:bidi="en-US"/>
        </w:rPr>
        <w:t>tto del casellario giudiziale.</w:t>
      </w:r>
    </w:p>
    <w:p w:rsidR="006D46CD" w:rsidRPr="00C57F87" w:rsidRDefault="006D46CD" w:rsidP="006D46CD">
      <w:pPr>
        <w:ind w:left="15"/>
        <w:rPr>
          <w:rFonts w:cs="Arial"/>
          <w:szCs w:val="24"/>
          <w:lang w:bidi="en-US"/>
        </w:rPr>
      </w:pPr>
    </w:p>
    <w:p w:rsidR="006D46CD" w:rsidRPr="00C57F87" w:rsidRDefault="006D46CD" w:rsidP="006D46CD">
      <w:pPr>
        <w:ind w:right="4"/>
        <w:rPr>
          <w:rFonts w:cs="Arial"/>
          <w:szCs w:val="24"/>
          <w:lang w:bidi="en-US"/>
        </w:rPr>
      </w:pPr>
      <w:r w:rsidRPr="00C57F87">
        <w:rPr>
          <w:rFonts w:cs="Arial"/>
          <w:szCs w:val="24"/>
          <w:lang w:bidi="en-US"/>
        </w:rPr>
        <w:t>D</w:t>
      </w:r>
      <w:r>
        <w:rPr>
          <w:rFonts w:cs="Arial"/>
          <w:szCs w:val="24"/>
          <w:lang w:bidi="en-US"/>
        </w:rPr>
        <w:t>opo aver sentito in audizione l'</w:t>
      </w:r>
      <w:r w:rsidRPr="00C57F87">
        <w:rPr>
          <w:rFonts w:cs="Arial"/>
          <w:szCs w:val="24"/>
          <w:lang w:bidi="en-US"/>
        </w:rPr>
        <w:t>8 ottobre 2019 il primo firmatario dell</w:t>
      </w:r>
      <w:r>
        <w:rPr>
          <w:rFonts w:cs="Arial"/>
          <w:szCs w:val="24"/>
          <w:lang w:bidi="en-US"/>
        </w:rPr>
        <w:t>'</w:t>
      </w:r>
      <w:r w:rsidRPr="00C57F87">
        <w:rPr>
          <w:rFonts w:cs="Arial"/>
          <w:szCs w:val="24"/>
          <w:lang w:bidi="en-US"/>
        </w:rPr>
        <w:t xml:space="preserve">iniziativa, </w:t>
      </w:r>
      <w:r>
        <w:rPr>
          <w:rFonts w:cs="Arial"/>
          <w:szCs w:val="24"/>
          <w:lang w:bidi="en-US"/>
        </w:rPr>
        <w:t xml:space="preserve">e </w:t>
      </w:r>
      <w:r w:rsidRPr="00C57F87">
        <w:rPr>
          <w:rFonts w:cs="Arial"/>
          <w:szCs w:val="24"/>
          <w:lang w:bidi="en-US"/>
        </w:rPr>
        <w:t>averne</w:t>
      </w:r>
      <w:r>
        <w:rPr>
          <w:rFonts w:cs="Arial"/>
          <w:szCs w:val="24"/>
          <w:lang w:bidi="en-US"/>
        </w:rPr>
        <w:t xml:space="preserve"> così</w:t>
      </w:r>
      <w:r w:rsidRPr="00C57F87">
        <w:rPr>
          <w:rFonts w:cs="Arial"/>
          <w:szCs w:val="24"/>
          <w:lang w:bidi="en-US"/>
        </w:rPr>
        <w:t xml:space="preserve"> compreso le motivazioni che lo hanno spinto a presentare l</w:t>
      </w:r>
      <w:r>
        <w:rPr>
          <w:rFonts w:cs="Arial"/>
          <w:szCs w:val="24"/>
          <w:lang w:bidi="en-US"/>
        </w:rPr>
        <w:t>'</w:t>
      </w:r>
      <w:r w:rsidRPr="00C57F87">
        <w:rPr>
          <w:rFonts w:cs="Arial"/>
          <w:szCs w:val="24"/>
          <w:lang w:bidi="en-US"/>
        </w:rPr>
        <w:t>atto parlamentare, nella Commissione Costituzione e leggi si sono delineate fra i commissari essenzialmente due differenti posizioni: chi non ne vede l</w:t>
      </w:r>
      <w:r>
        <w:rPr>
          <w:rFonts w:cs="Arial"/>
          <w:szCs w:val="24"/>
          <w:lang w:bidi="en-US"/>
        </w:rPr>
        <w:t>'</w:t>
      </w:r>
      <w:r w:rsidRPr="00C57F87">
        <w:rPr>
          <w:rFonts w:cs="Arial"/>
          <w:szCs w:val="24"/>
          <w:lang w:bidi="en-US"/>
        </w:rPr>
        <w:t>utilità e chiede di bocciare il testo tout court e chi, sebbene le difficoltà d</w:t>
      </w:r>
      <w:r>
        <w:rPr>
          <w:rFonts w:cs="Arial"/>
          <w:szCs w:val="24"/>
          <w:lang w:bidi="en-US"/>
        </w:rPr>
        <w:t>'</w:t>
      </w:r>
      <w:r w:rsidRPr="00C57F87">
        <w:rPr>
          <w:rFonts w:cs="Arial"/>
          <w:szCs w:val="24"/>
          <w:lang w:bidi="en-US"/>
        </w:rPr>
        <w:t>applicazione, ne comprende le buone intenzioni.</w:t>
      </w:r>
    </w:p>
    <w:p w:rsidR="006D46CD" w:rsidRPr="00C57F87" w:rsidRDefault="006D46CD" w:rsidP="006D46CD">
      <w:pPr>
        <w:spacing w:before="120"/>
        <w:ind w:right="6"/>
        <w:rPr>
          <w:rFonts w:cs="Arial"/>
          <w:szCs w:val="24"/>
          <w:lang w:bidi="en-US"/>
        </w:rPr>
      </w:pPr>
      <w:r>
        <w:rPr>
          <w:rFonts w:cs="Arial"/>
          <w:szCs w:val="24"/>
          <w:lang w:bidi="en-US"/>
        </w:rPr>
        <w:t xml:space="preserve">Durante l'audizione l'iniziativista ha avuto modo di </w:t>
      </w:r>
      <w:r w:rsidRPr="00C57F87">
        <w:rPr>
          <w:rFonts w:cs="Arial"/>
          <w:szCs w:val="24"/>
          <w:lang w:bidi="en-US"/>
        </w:rPr>
        <w:t xml:space="preserve">ribadire il fine che questa modifica vorrebbe perseguire, ovvero </w:t>
      </w:r>
      <w:r>
        <w:rPr>
          <w:rFonts w:cs="Arial"/>
          <w:szCs w:val="24"/>
          <w:lang w:bidi="en-US"/>
        </w:rPr>
        <w:t>«</w:t>
      </w:r>
      <w:r w:rsidRPr="00C57F87">
        <w:rPr>
          <w:rFonts w:cs="Arial"/>
          <w:i/>
          <w:szCs w:val="24"/>
          <w:lang w:bidi="en-US"/>
        </w:rPr>
        <w:t>di garantire la massima trasparenza nei confronti dei cittadini</w:t>
      </w:r>
      <w:r>
        <w:rPr>
          <w:rFonts w:cs="Arial"/>
          <w:szCs w:val="24"/>
          <w:lang w:bidi="en-US"/>
        </w:rPr>
        <w:t>»</w:t>
      </w:r>
      <w:r w:rsidRPr="00C57F87">
        <w:rPr>
          <w:rFonts w:cs="Arial"/>
          <w:szCs w:val="24"/>
          <w:lang w:bidi="en-US"/>
        </w:rPr>
        <w:t>, rendendo attenti gli elettori sui trascorsi giudiziari del candidato non solo su suolo elvetico ma anche in Stati terzi. Un principio di trasparenza condivisibile, che la minoranza della Commissione ritiene debba essere sostenuto.</w:t>
      </w:r>
    </w:p>
    <w:p w:rsidR="006D46CD" w:rsidRPr="00C57F87" w:rsidRDefault="006D46CD" w:rsidP="006D46CD">
      <w:pPr>
        <w:spacing w:before="120"/>
        <w:ind w:right="6"/>
        <w:rPr>
          <w:rFonts w:cs="Arial"/>
          <w:szCs w:val="24"/>
          <w:lang w:bidi="en-US"/>
        </w:rPr>
      </w:pPr>
      <w:r w:rsidRPr="00C57F87">
        <w:rPr>
          <w:rFonts w:cs="Arial"/>
          <w:szCs w:val="24"/>
          <w:lang w:bidi="en-US"/>
        </w:rPr>
        <w:t xml:space="preserve">Sebbene anche la minoranza della Commissione </w:t>
      </w:r>
      <w:r>
        <w:rPr>
          <w:rFonts w:cs="Arial"/>
          <w:szCs w:val="24"/>
          <w:lang w:bidi="en-US"/>
        </w:rPr>
        <w:t xml:space="preserve">sia </w:t>
      </w:r>
      <w:r w:rsidRPr="00C57F87">
        <w:rPr>
          <w:rFonts w:cs="Arial"/>
          <w:szCs w:val="24"/>
          <w:lang w:bidi="en-US"/>
        </w:rPr>
        <w:t>convinta che questa specifica modifica legislativa non risolva il problema, la ricerca di una soluzione per garantire u</w:t>
      </w:r>
      <w:r>
        <w:rPr>
          <w:rFonts w:cs="Arial"/>
          <w:szCs w:val="24"/>
          <w:lang w:bidi="en-US"/>
        </w:rPr>
        <w:t>na maggiore trasparenza verso l'</w:t>
      </w:r>
      <w:r w:rsidRPr="00C57F87">
        <w:rPr>
          <w:rFonts w:cs="Arial"/>
          <w:szCs w:val="24"/>
          <w:lang w:bidi="en-US"/>
        </w:rPr>
        <w:t>elettore può essere percorribile.</w:t>
      </w:r>
    </w:p>
    <w:p w:rsidR="006D46CD" w:rsidRPr="00C57F87" w:rsidRDefault="006D46CD" w:rsidP="006D46CD">
      <w:pPr>
        <w:spacing w:before="120"/>
        <w:ind w:right="6"/>
        <w:rPr>
          <w:rFonts w:cs="Arial"/>
          <w:szCs w:val="24"/>
          <w:lang w:bidi="en-US"/>
        </w:rPr>
      </w:pPr>
      <w:r w:rsidRPr="00C57F87">
        <w:rPr>
          <w:rFonts w:cs="Arial"/>
          <w:szCs w:val="24"/>
          <w:lang w:bidi="en-US"/>
        </w:rPr>
        <w:t xml:space="preserve">Un candidato con doppia (o plurima) cittadinanza, anche qualora fosse obbligato a presentare il casellario giudiziale per ogni passaporto in suo possesso, non garantirebbe che lo stesso non abbia commesso reati in Stati terzi. Pertanto anche la minoranza della Commissione invita a respingere il testo </w:t>
      </w:r>
      <w:r>
        <w:rPr>
          <w:rFonts w:cs="Arial"/>
          <w:szCs w:val="24"/>
          <w:lang w:bidi="en-US"/>
        </w:rPr>
        <w:t>dell'</w:t>
      </w:r>
      <w:r w:rsidRPr="00C57F87">
        <w:rPr>
          <w:rFonts w:cs="Arial"/>
          <w:szCs w:val="24"/>
          <w:lang w:bidi="en-US"/>
        </w:rPr>
        <w:t xml:space="preserve">iniziativa, ma </w:t>
      </w:r>
      <w:r>
        <w:rPr>
          <w:rFonts w:cs="Arial"/>
          <w:szCs w:val="24"/>
          <w:lang w:bidi="en-US"/>
        </w:rPr>
        <w:t>ne sostiene invece l'</w:t>
      </w:r>
      <w:r w:rsidRPr="00C57F87">
        <w:rPr>
          <w:rFonts w:cs="Arial"/>
          <w:szCs w:val="24"/>
          <w:lang w:bidi="en-US"/>
        </w:rPr>
        <w:t>intento.</w:t>
      </w:r>
    </w:p>
    <w:p w:rsidR="006D46CD" w:rsidRDefault="006D46CD" w:rsidP="006D46CD">
      <w:pPr>
        <w:ind w:right="4"/>
        <w:rPr>
          <w:rFonts w:cs="Arial"/>
          <w:szCs w:val="24"/>
          <w:lang w:bidi="en-US"/>
        </w:rPr>
      </w:pPr>
    </w:p>
    <w:p w:rsidR="00204A7D" w:rsidRPr="00C57F87" w:rsidRDefault="00204A7D" w:rsidP="006D46CD">
      <w:pPr>
        <w:ind w:right="4"/>
        <w:rPr>
          <w:rFonts w:cs="Arial"/>
          <w:szCs w:val="24"/>
          <w:lang w:bidi="en-US"/>
        </w:rPr>
      </w:pPr>
    </w:p>
    <w:p w:rsidR="006D46CD" w:rsidRPr="00C57F87" w:rsidRDefault="006D46CD" w:rsidP="00204A7D">
      <w:pPr>
        <w:pStyle w:val="Titolo2"/>
        <w:rPr>
          <w:lang w:bidi="en-US"/>
        </w:rPr>
      </w:pPr>
      <w:r w:rsidRPr="00C57F87">
        <w:rPr>
          <w:lang w:bidi="en-US"/>
        </w:rPr>
        <w:t>Formulario di autocertificazione</w:t>
      </w:r>
    </w:p>
    <w:p w:rsidR="006D46CD" w:rsidRPr="00C57F87" w:rsidRDefault="006D46CD" w:rsidP="00204A7D">
      <w:pPr>
        <w:rPr>
          <w:lang w:bidi="en-US"/>
        </w:rPr>
      </w:pPr>
      <w:r w:rsidRPr="00C57F87">
        <w:rPr>
          <w:lang w:bidi="en-US"/>
        </w:rPr>
        <w:t>La minoranza della Commissione, in accordo con il primo firma</w:t>
      </w:r>
      <w:r>
        <w:rPr>
          <w:lang w:bidi="en-US"/>
        </w:rPr>
        <w:t>tario, ha deciso di proporre un'</w:t>
      </w:r>
      <w:r w:rsidRPr="00C57F87">
        <w:rPr>
          <w:lang w:bidi="en-US"/>
        </w:rPr>
        <w:t>alternativa che permetta di raggiungere</w:t>
      </w:r>
      <w:r>
        <w:rPr>
          <w:lang w:bidi="en-US"/>
        </w:rPr>
        <w:t>,</w:t>
      </w:r>
      <w:r w:rsidRPr="00C57F87">
        <w:rPr>
          <w:lang w:bidi="en-US"/>
        </w:rPr>
        <w:t xml:space="preserve"> o quantomeno tentare di ottenere</w:t>
      </w:r>
      <w:r>
        <w:rPr>
          <w:lang w:bidi="en-US"/>
        </w:rPr>
        <w:t>, i risultati auspicati dall'</w:t>
      </w:r>
      <w:r w:rsidRPr="00C57F87">
        <w:rPr>
          <w:lang w:bidi="en-US"/>
        </w:rPr>
        <w:t>iniziativa: ogni candidato alla carica di Municipale, Granconsigliere e Consigliere di Stato dovrà sottoscrivere un formulario di autocertificazione che indichi di avere/non avere a s</w:t>
      </w:r>
      <w:r>
        <w:rPr>
          <w:lang w:bidi="en-US"/>
        </w:rPr>
        <w:t>uo carico condanne inflitte all'</w:t>
      </w:r>
      <w:r w:rsidRPr="00C57F87">
        <w:rPr>
          <w:lang w:bidi="en-US"/>
        </w:rPr>
        <w:t>estero.</w:t>
      </w:r>
    </w:p>
    <w:p w:rsidR="00204A7D" w:rsidRDefault="00204A7D" w:rsidP="00204A7D">
      <w:pPr>
        <w:rPr>
          <w:lang w:bidi="en-US"/>
        </w:rPr>
      </w:pPr>
    </w:p>
    <w:p w:rsidR="006D46CD" w:rsidRPr="00C57F87" w:rsidRDefault="006D46CD" w:rsidP="00204A7D">
      <w:pPr>
        <w:rPr>
          <w:lang w:bidi="en-US"/>
        </w:rPr>
      </w:pPr>
      <w:r w:rsidRPr="00C57F87">
        <w:rPr>
          <w:lang w:bidi="en-US"/>
        </w:rPr>
        <w:t>La minoranza della Commissione è cosciente che questo metodo di autocertificazione non permetta un controllo sistematico della veridicità delle dichiarazioni e che basi le su</w:t>
      </w:r>
      <w:r>
        <w:rPr>
          <w:lang w:bidi="en-US"/>
        </w:rPr>
        <w:t>e</w:t>
      </w:r>
      <w:r w:rsidRPr="00C57F87">
        <w:rPr>
          <w:lang w:bidi="en-US"/>
        </w:rPr>
        <w:t xml:space="preserve"> fondamenta sul principio della buona fede (principio peraltro in vigore anche in altri atti uff</w:t>
      </w:r>
      <w:r>
        <w:rPr>
          <w:lang w:bidi="en-US"/>
        </w:rPr>
        <w:t>iciali quale la dichiarazione d'</w:t>
      </w:r>
      <w:r w:rsidRPr="00C57F87">
        <w:rPr>
          <w:lang w:bidi="en-US"/>
        </w:rPr>
        <w:t>imposta), ma permetterebbe però:</w:t>
      </w:r>
    </w:p>
    <w:p w:rsidR="006D46CD" w:rsidRPr="00204A7D" w:rsidRDefault="00204A7D" w:rsidP="00204A7D">
      <w:pPr>
        <w:tabs>
          <w:tab w:val="left" w:pos="284"/>
        </w:tabs>
        <w:spacing w:before="80"/>
        <w:ind w:left="284" w:hanging="284"/>
        <w:rPr>
          <w:rFonts w:cs="Arial"/>
        </w:rPr>
      </w:pPr>
      <w:r>
        <w:rPr>
          <w:rFonts w:cs="Arial"/>
        </w:rPr>
        <w:t>-</w:t>
      </w:r>
      <w:r>
        <w:rPr>
          <w:rFonts w:cs="Arial"/>
        </w:rPr>
        <w:tab/>
      </w:r>
      <w:r w:rsidR="006D46CD" w:rsidRPr="00204A7D">
        <w:rPr>
          <w:rFonts w:cs="Arial"/>
        </w:rPr>
        <w:t>al candidato di essere trasparente con l'elettore;</w:t>
      </w:r>
    </w:p>
    <w:p w:rsidR="006D46CD" w:rsidRPr="00204A7D" w:rsidRDefault="00204A7D" w:rsidP="00204A7D">
      <w:pPr>
        <w:tabs>
          <w:tab w:val="left" w:pos="284"/>
        </w:tabs>
        <w:spacing w:before="80"/>
        <w:ind w:left="284" w:hanging="284"/>
        <w:rPr>
          <w:rFonts w:cs="Arial"/>
        </w:rPr>
      </w:pPr>
      <w:r>
        <w:rPr>
          <w:rFonts w:cs="Arial"/>
        </w:rPr>
        <w:lastRenderedPageBreak/>
        <w:t>-</w:t>
      </w:r>
      <w:r>
        <w:rPr>
          <w:rFonts w:cs="Arial"/>
        </w:rPr>
        <w:tab/>
      </w:r>
      <w:r w:rsidR="006D46CD" w:rsidRPr="00204A7D">
        <w:rPr>
          <w:rFonts w:cs="Arial"/>
        </w:rPr>
        <w:t>alle autorità cantonali di sanzionare il candidato qualora volontariamente abbia dichiarato il falso.</w:t>
      </w:r>
    </w:p>
    <w:p w:rsidR="006D46CD" w:rsidRPr="00C57F87" w:rsidRDefault="006D46CD" w:rsidP="006D46CD">
      <w:pPr>
        <w:ind w:left="15"/>
        <w:rPr>
          <w:rFonts w:cs="Arial"/>
          <w:szCs w:val="24"/>
          <w:lang w:bidi="en-US"/>
        </w:rPr>
      </w:pPr>
    </w:p>
    <w:p w:rsidR="006D46CD" w:rsidRPr="00C57F87" w:rsidRDefault="006D46CD" w:rsidP="006D46CD">
      <w:pPr>
        <w:rPr>
          <w:rFonts w:cs="Arial"/>
          <w:szCs w:val="24"/>
          <w:lang w:bidi="en-US"/>
        </w:rPr>
      </w:pPr>
      <w:r>
        <w:rPr>
          <w:rFonts w:cs="Arial"/>
          <w:szCs w:val="24"/>
          <w:lang w:bidi="en-US"/>
        </w:rPr>
        <w:t>L'</w:t>
      </w:r>
      <w:r w:rsidRPr="00C57F87">
        <w:rPr>
          <w:rFonts w:cs="Arial"/>
          <w:szCs w:val="24"/>
          <w:lang w:bidi="en-US"/>
        </w:rPr>
        <w:t>introduzione di questa misura non comporterebbe inoltre un incremento significativo dei carichi burocratici; sarebbe difatti sufficiente caricare sul sito del Cantone un documento digitale e stampabile da allegare alla presentazione del casellario giudiziale.</w:t>
      </w:r>
    </w:p>
    <w:p w:rsidR="006D46CD" w:rsidRDefault="006D46CD" w:rsidP="006D46CD">
      <w:pPr>
        <w:rPr>
          <w:rFonts w:cs="Arial"/>
          <w:szCs w:val="24"/>
          <w:lang w:bidi="en-US"/>
        </w:rPr>
      </w:pPr>
    </w:p>
    <w:p w:rsidR="006D46CD" w:rsidRPr="00C57F87" w:rsidRDefault="006D46CD" w:rsidP="006D46CD">
      <w:pPr>
        <w:rPr>
          <w:rFonts w:cs="Arial"/>
          <w:szCs w:val="24"/>
          <w:lang w:bidi="en-US"/>
        </w:rPr>
      </w:pPr>
    </w:p>
    <w:p w:rsidR="006D46CD" w:rsidRPr="00C57F87" w:rsidRDefault="006D46CD" w:rsidP="006D46CD">
      <w:pPr>
        <w:rPr>
          <w:rFonts w:cs="Arial"/>
          <w:szCs w:val="24"/>
          <w:lang w:bidi="en-US"/>
        </w:rPr>
      </w:pPr>
    </w:p>
    <w:p w:rsidR="006D46CD" w:rsidRPr="00C57F87" w:rsidRDefault="00204A7D" w:rsidP="00204A7D">
      <w:pPr>
        <w:pStyle w:val="Titolo1"/>
      </w:pPr>
      <w:r>
        <w:t>4.</w:t>
      </w:r>
      <w:r>
        <w:tab/>
      </w:r>
      <w:r w:rsidR="006D46CD">
        <w:t>Conclusioni</w:t>
      </w:r>
    </w:p>
    <w:p w:rsidR="006D46CD" w:rsidRPr="00C57F87" w:rsidRDefault="006D46CD" w:rsidP="006D46CD">
      <w:pPr>
        <w:spacing w:before="120"/>
        <w:ind w:right="6"/>
        <w:rPr>
          <w:rFonts w:cs="Arial"/>
          <w:szCs w:val="24"/>
          <w:lang w:bidi="en-US"/>
        </w:rPr>
      </w:pPr>
      <w:r w:rsidRPr="00C57F87">
        <w:rPr>
          <w:rFonts w:cs="Arial"/>
          <w:szCs w:val="24"/>
          <w:lang w:bidi="en-US"/>
        </w:rPr>
        <w:t>La minoranza della Commissione Costituzione e leggi, in base alle considerazioni sopraesposte, invita il Gran Consiglio a</w:t>
      </w:r>
      <w:r>
        <w:rPr>
          <w:rFonts w:cs="Arial"/>
          <w:szCs w:val="24"/>
          <w:lang w:bidi="en-US"/>
        </w:rPr>
        <w:t xml:space="preserve"> ritenere evasa</w:t>
      </w:r>
      <w:r w:rsidRPr="00C57F87">
        <w:rPr>
          <w:rFonts w:cs="Arial"/>
          <w:szCs w:val="24"/>
          <w:lang w:bidi="en-US"/>
        </w:rPr>
        <w:t xml:space="preserve"> l'iniziativa parlamentare elaborata di Massimiliano Robbiani e cofirmatari "Modifica dell'art. 60 della Legge sull'esercizio dei diritti politici (LEDP): introduzione dell'obbligo di presentazione del casellario giudiziale di altri Paesi se si è in possesso</w:t>
      </w:r>
      <w:r>
        <w:rPr>
          <w:rFonts w:cs="Arial"/>
          <w:szCs w:val="24"/>
          <w:lang w:bidi="en-US"/>
        </w:rPr>
        <w:t xml:space="preserve"> di una seconda cittadinanza!", approvando, quale controprogetto, la proposta di modifica legislativa annessa al presente rapporto.</w:t>
      </w:r>
    </w:p>
    <w:p w:rsidR="006D46CD" w:rsidRPr="00C57F87" w:rsidRDefault="006D46CD" w:rsidP="006D46CD">
      <w:pPr>
        <w:ind w:left="15"/>
        <w:rPr>
          <w:rFonts w:cs="Arial"/>
          <w:szCs w:val="24"/>
          <w:lang w:bidi="en-US"/>
        </w:rPr>
      </w:pPr>
    </w:p>
    <w:p w:rsidR="006D46CD" w:rsidRPr="00C57F87" w:rsidRDefault="006D46CD" w:rsidP="006D46CD">
      <w:pPr>
        <w:ind w:left="15"/>
        <w:rPr>
          <w:rFonts w:cs="Arial"/>
          <w:szCs w:val="24"/>
          <w:lang w:bidi="en-US"/>
        </w:rPr>
      </w:pPr>
    </w:p>
    <w:p w:rsidR="006D46CD" w:rsidRPr="00C57F87" w:rsidRDefault="006D46CD" w:rsidP="006D46CD">
      <w:pPr>
        <w:ind w:left="15"/>
        <w:rPr>
          <w:rFonts w:cs="Arial"/>
          <w:szCs w:val="24"/>
          <w:lang w:bidi="en-US"/>
        </w:rPr>
      </w:pPr>
    </w:p>
    <w:p w:rsidR="006D46CD" w:rsidRPr="00C57F87" w:rsidRDefault="006D46CD" w:rsidP="006D46CD">
      <w:pPr>
        <w:ind w:right="4"/>
        <w:rPr>
          <w:rFonts w:cs="Arial"/>
          <w:szCs w:val="24"/>
          <w:lang w:bidi="en-US"/>
        </w:rPr>
      </w:pPr>
      <w:r w:rsidRPr="00C57F87">
        <w:rPr>
          <w:rFonts w:cs="Arial"/>
          <w:szCs w:val="24"/>
          <w:lang w:bidi="en-US"/>
        </w:rPr>
        <w:t xml:space="preserve">Per la minoranza della Commissione Costituzione e leggi:  </w:t>
      </w:r>
    </w:p>
    <w:p w:rsidR="006D46CD" w:rsidRDefault="006D46CD" w:rsidP="006D46CD">
      <w:pPr>
        <w:spacing w:before="120"/>
        <w:ind w:right="6"/>
        <w:rPr>
          <w:rFonts w:cs="Arial"/>
          <w:szCs w:val="24"/>
          <w:lang w:bidi="en-US"/>
        </w:rPr>
      </w:pPr>
      <w:r w:rsidRPr="00C57F87">
        <w:rPr>
          <w:rFonts w:cs="Arial"/>
          <w:szCs w:val="24"/>
          <w:lang w:bidi="en-US"/>
        </w:rPr>
        <w:t>Andrea Censi, relatore</w:t>
      </w:r>
    </w:p>
    <w:p w:rsidR="006D46CD" w:rsidRDefault="006D46CD" w:rsidP="006D46CD">
      <w:pPr>
        <w:ind w:right="6"/>
        <w:rPr>
          <w:rFonts w:cs="Arial"/>
          <w:szCs w:val="24"/>
          <w:lang w:bidi="en-US"/>
        </w:rPr>
      </w:pPr>
      <w:r w:rsidRPr="002C0DF1">
        <w:rPr>
          <w:rFonts w:cs="Arial"/>
          <w:szCs w:val="24"/>
          <w:lang w:bidi="en-US"/>
        </w:rPr>
        <w:t>Aldi</w:t>
      </w:r>
      <w:r>
        <w:rPr>
          <w:rFonts w:cs="Arial"/>
          <w:szCs w:val="24"/>
          <w:lang w:bidi="en-US"/>
        </w:rPr>
        <w:t xml:space="preserve"> -</w:t>
      </w:r>
      <w:r w:rsidRPr="002C0DF1">
        <w:rPr>
          <w:rFonts w:cs="Arial"/>
          <w:szCs w:val="24"/>
          <w:lang w:bidi="en-US"/>
        </w:rPr>
        <w:t xml:space="preserve"> Balli</w:t>
      </w:r>
      <w:r>
        <w:rPr>
          <w:rFonts w:cs="Arial"/>
          <w:szCs w:val="24"/>
          <w:lang w:bidi="en-US"/>
        </w:rPr>
        <w:t xml:space="preserve"> -</w:t>
      </w:r>
      <w:r w:rsidRPr="002C0DF1">
        <w:rPr>
          <w:rFonts w:cs="Arial"/>
          <w:szCs w:val="24"/>
          <w:lang w:bidi="en-US"/>
        </w:rPr>
        <w:t xml:space="preserve"> Filippini</w:t>
      </w:r>
      <w:r>
        <w:rPr>
          <w:rFonts w:cs="Arial"/>
          <w:szCs w:val="24"/>
          <w:lang w:bidi="en-US"/>
        </w:rPr>
        <w:t xml:space="preserve"> -</w:t>
      </w:r>
      <w:r w:rsidRPr="002C0DF1">
        <w:rPr>
          <w:rFonts w:cs="Arial"/>
          <w:szCs w:val="24"/>
          <w:lang w:bidi="en-US"/>
        </w:rPr>
        <w:t xml:space="preserve"> Ghisolfi</w:t>
      </w:r>
      <w:r>
        <w:rPr>
          <w:rFonts w:cs="Arial"/>
          <w:szCs w:val="24"/>
          <w:lang w:bidi="en-US"/>
        </w:rPr>
        <w:t xml:space="preserve"> -</w:t>
      </w:r>
    </w:p>
    <w:p w:rsidR="006D46CD" w:rsidRDefault="006D46CD" w:rsidP="006D46CD">
      <w:pPr>
        <w:ind w:right="6"/>
        <w:rPr>
          <w:rFonts w:cs="Arial"/>
          <w:szCs w:val="24"/>
          <w:lang w:bidi="en-US"/>
        </w:rPr>
      </w:pPr>
      <w:r w:rsidRPr="002C0DF1">
        <w:rPr>
          <w:rFonts w:cs="Arial"/>
          <w:szCs w:val="24"/>
          <w:lang w:bidi="en-US"/>
        </w:rPr>
        <w:t xml:space="preserve">Isabella </w:t>
      </w:r>
      <w:r>
        <w:rPr>
          <w:rFonts w:cs="Arial"/>
          <w:szCs w:val="24"/>
          <w:lang w:bidi="en-US"/>
        </w:rPr>
        <w:t xml:space="preserve">- </w:t>
      </w:r>
      <w:r w:rsidRPr="002C0DF1">
        <w:rPr>
          <w:rFonts w:cs="Arial"/>
          <w:szCs w:val="24"/>
          <w:lang w:bidi="en-US"/>
        </w:rPr>
        <w:t>Rückert</w:t>
      </w:r>
    </w:p>
    <w:p w:rsidR="00204A7D" w:rsidRPr="00C57F87" w:rsidRDefault="00204A7D" w:rsidP="006D46CD">
      <w:pPr>
        <w:ind w:right="6"/>
        <w:rPr>
          <w:rFonts w:cs="Arial"/>
          <w:szCs w:val="24"/>
          <w:lang w:bidi="en-US"/>
        </w:rPr>
      </w:pPr>
    </w:p>
    <w:p w:rsidR="006D46CD" w:rsidRDefault="006D46CD" w:rsidP="006D46CD">
      <w:pPr>
        <w:rPr>
          <w:rFonts w:cs="Arial"/>
          <w:szCs w:val="24"/>
        </w:rPr>
      </w:pPr>
      <w:r>
        <w:rPr>
          <w:rFonts w:cs="Arial"/>
          <w:szCs w:val="24"/>
        </w:rPr>
        <w:br w:type="page"/>
      </w:r>
    </w:p>
    <w:p w:rsidR="006D46CD" w:rsidRPr="00C1090A" w:rsidRDefault="006D46CD" w:rsidP="006D46CD">
      <w:pPr>
        <w:rPr>
          <w:rFonts w:cs="Arial"/>
        </w:rPr>
      </w:pPr>
      <w:r w:rsidRPr="00C1090A">
        <w:rPr>
          <w:rFonts w:cs="Arial"/>
        </w:rPr>
        <w:lastRenderedPageBreak/>
        <w:t>Disegno di</w:t>
      </w:r>
    </w:p>
    <w:p w:rsidR="006D46CD" w:rsidRPr="00C1090A" w:rsidRDefault="006D46CD" w:rsidP="006D46CD">
      <w:pPr>
        <w:rPr>
          <w:rFonts w:cs="Arial"/>
        </w:rPr>
      </w:pPr>
    </w:p>
    <w:p w:rsidR="006D46CD" w:rsidRPr="00C1090A" w:rsidRDefault="006D46CD" w:rsidP="006D46CD">
      <w:pPr>
        <w:spacing w:before="120"/>
        <w:rPr>
          <w:rFonts w:cs="Arial"/>
          <w:b/>
        </w:rPr>
      </w:pPr>
      <w:r w:rsidRPr="00C1090A">
        <w:rPr>
          <w:rFonts w:cs="Arial"/>
          <w:b/>
        </w:rPr>
        <w:t>LEGGE</w:t>
      </w:r>
    </w:p>
    <w:p w:rsidR="006D46CD" w:rsidRPr="00C1090A" w:rsidRDefault="006D46CD" w:rsidP="006D46CD">
      <w:pPr>
        <w:spacing w:before="120"/>
        <w:rPr>
          <w:rFonts w:cs="Arial"/>
          <w:b/>
        </w:rPr>
      </w:pPr>
      <w:r>
        <w:rPr>
          <w:rFonts w:cs="Arial"/>
          <w:b/>
        </w:rPr>
        <w:t>sull'esercizio dei diritti politici (LEDP)</w:t>
      </w:r>
      <w:r w:rsidRPr="00C1090A">
        <w:rPr>
          <w:rFonts w:cs="Arial"/>
          <w:b/>
        </w:rPr>
        <w:t xml:space="preserve"> del </w:t>
      </w:r>
      <w:r>
        <w:rPr>
          <w:rFonts w:cs="Arial"/>
          <w:b/>
        </w:rPr>
        <w:t xml:space="preserve">19 novembre </w:t>
      </w:r>
      <w:r w:rsidRPr="00C1090A">
        <w:rPr>
          <w:rFonts w:cs="Arial"/>
          <w:b/>
        </w:rPr>
        <w:t>201</w:t>
      </w:r>
      <w:r>
        <w:rPr>
          <w:rFonts w:cs="Arial"/>
          <w:b/>
        </w:rPr>
        <w:t>8</w:t>
      </w:r>
      <w:r w:rsidRPr="00C1090A">
        <w:rPr>
          <w:rFonts w:cs="Arial"/>
          <w:b/>
        </w:rPr>
        <w:t>; modifica</w:t>
      </w:r>
    </w:p>
    <w:p w:rsidR="006D46CD" w:rsidRPr="00C1090A" w:rsidRDefault="006D46CD" w:rsidP="006D46CD">
      <w:pPr>
        <w:rPr>
          <w:rFonts w:cs="Arial"/>
        </w:rPr>
      </w:pPr>
    </w:p>
    <w:p w:rsidR="006D46CD" w:rsidRPr="00C1090A" w:rsidRDefault="006D46CD" w:rsidP="006D46CD">
      <w:pPr>
        <w:rPr>
          <w:rFonts w:cs="Arial"/>
        </w:rPr>
      </w:pPr>
    </w:p>
    <w:p w:rsidR="006D46CD" w:rsidRPr="00C1090A" w:rsidRDefault="006D46CD" w:rsidP="006D46CD">
      <w:pPr>
        <w:rPr>
          <w:rFonts w:cs="Arial"/>
        </w:rPr>
      </w:pPr>
      <w:r w:rsidRPr="00C1090A">
        <w:rPr>
          <w:rFonts w:cs="Arial"/>
        </w:rPr>
        <w:t>Il Gran Consiglio</w:t>
      </w:r>
    </w:p>
    <w:p w:rsidR="006D46CD" w:rsidRPr="00C1090A" w:rsidRDefault="006D46CD" w:rsidP="006D46CD">
      <w:pPr>
        <w:rPr>
          <w:rFonts w:cs="Arial"/>
        </w:rPr>
      </w:pPr>
      <w:r w:rsidRPr="00C1090A">
        <w:rPr>
          <w:rFonts w:cs="Arial"/>
        </w:rPr>
        <w:t>della Repubblica e Cantone Ticino</w:t>
      </w:r>
    </w:p>
    <w:p w:rsidR="006D46CD" w:rsidRPr="00C1090A" w:rsidRDefault="006D46CD" w:rsidP="006D46CD">
      <w:pPr>
        <w:rPr>
          <w:rFonts w:cs="Arial"/>
        </w:rPr>
      </w:pPr>
    </w:p>
    <w:p w:rsidR="006D46CD" w:rsidRDefault="006D46CD" w:rsidP="006D46CD">
      <w:pPr>
        <w:pStyle w:val="Paragrafoelenco"/>
        <w:ind w:left="284" w:hanging="284"/>
        <w:rPr>
          <w:rFonts w:cs="Arial"/>
        </w:rPr>
      </w:pPr>
      <w:r w:rsidRPr="00C1090A">
        <w:rPr>
          <w:rFonts w:cs="Arial"/>
        </w:rPr>
        <w:t>-</w:t>
      </w:r>
      <w:r w:rsidRPr="00C1090A">
        <w:rPr>
          <w:rFonts w:cs="Arial"/>
        </w:rPr>
        <w:tab/>
        <w:t>vista l'iniziativa parlamentare 1</w:t>
      </w:r>
      <w:r>
        <w:rPr>
          <w:rFonts w:cs="Arial"/>
        </w:rPr>
        <w:t xml:space="preserve">8 febbraio </w:t>
      </w:r>
      <w:r w:rsidRPr="00C1090A">
        <w:rPr>
          <w:rFonts w:cs="Arial"/>
        </w:rPr>
        <w:t xml:space="preserve">2019 presentata nella forma elaborata da </w:t>
      </w:r>
      <w:r>
        <w:rPr>
          <w:rFonts w:cs="Arial"/>
        </w:rPr>
        <w:t xml:space="preserve">Massimiliano Robbiani </w:t>
      </w:r>
      <w:r w:rsidRPr="00C1090A">
        <w:rPr>
          <w:rFonts w:cs="Arial"/>
        </w:rPr>
        <w:t>e cofirmatari</w:t>
      </w:r>
      <w:r>
        <w:rPr>
          <w:rFonts w:cs="Arial"/>
        </w:rPr>
        <w:t>,</w:t>
      </w:r>
    </w:p>
    <w:p w:rsidR="006D46CD" w:rsidRPr="00C1090A" w:rsidRDefault="006D46CD" w:rsidP="00204A7D">
      <w:pPr>
        <w:pStyle w:val="Paragrafoelenco"/>
        <w:spacing w:before="120"/>
        <w:ind w:left="284" w:hanging="284"/>
        <w:rPr>
          <w:rFonts w:cs="Arial"/>
        </w:rPr>
      </w:pPr>
      <w:r>
        <w:rPr>
          <w:rFonts w:cs="Arial"/>
        </w:rPr>
        <w:t>-</w:t>
      </w:r>
      <w:r>
        <w:rPr>
          <w:rFonts w:cs="Arial"/>
        </w:rPr>
        <w:tab/>
        <w:t>visto il messaggio 21 agosto 2019 n. 7691 del Consiglio di Stato,</w:t>
      </w:r>
    </w:p>
    <w:p w:rsidR="006D46CD" w:rsidRPr="00C1090A" w:rsidRDefault="006D46CD" w:rsidP="00204A7D">
      <w:pPr>
        <w:pStyle w:val="Paragrafoelenco"/>
        <w:spacing w:before="120"/>
        <w:ind w:left="284" w:hanging="284"/>
        <w:rPr>
          <w:rFonts w:cs="Arial"/>
        </w:rPr>
      </w:pPr>
      <w:r w:rsidRPr="00C1090A">
        <w:rPr>
          <w:rFonts w:cs="Arial"/>
        </w:rPr>
        <w:t>-</w:t>
      </w:r>
      <w:r w:rsidRPr="00C1090A">
        <w:rPr>
          <w:rFonts w:cs="Arial"/>
        </w:rPr>
        <w:tab/>
        <w:t>visto il rapporto</w:t>
      </w:r>
      <w:r>
        <w:rPr>
          <w:rFonts w:cs="Arial"/>
        </w:rPr>
        <w:t xml:space="preserve"> di minoranza</w:t>
      </w:r>
      <w:r w:rsidRPr="00C1090A">
        <w:rPr>
          <w:rFonts w:cs="Arial"/>
        </w:rPr>
        <w:t xml:space="preserve"> </w:t>
      </w:r>
      <w:r>
        <w:rPr>
          <w:rFonts w:cs="Arial"/>
        </w:rPr>
        <w:t xml:space="preserve">11 febbraio 2020 n. 7691 R2 </w:t>
      </w:r>
      <w:r w:rsidRPr="00C1090A">
        <w:rPr>
          <w:rFonts w:cs="Arial"/>
        </w:rPr>
        <w:t>della Commissione Costituzione e leggi,</w:t>
      </w:r>
    </w:p>
    <w:p w:rsidR="006D46CD" w:rsidRPr="00C1090A" w:rsidRDefault="006D46CD" w:rsidP="006D46CD">
      <w:pPr>
        <w:rPr>
          <w:rFonts w:cs="Arial"/>
        </w:rPr>
      </w:pPr>
    </w:p>
    <w:p w:rsidR="006D46CD" w:rsidRPr="00C1090A" w:rsidRDefault="006D46CD" w:rsidP="006D46CD">
      <w:pPr>
        <w:rPr>
          <w:rFonts w:cs="Arial"/>
        </w:rPr>
      </w:pPr>
    </w:p>
    <w:p w:rsidR="006D46CD" w:rsidRPr="00C1090A" w:rsidRDefault="006D46CD" w:rsidP="006D46CD">
      <w:pPr>
        <w:rPr>
          <w:rFonts w:cs="Arial"/>
          <w:b/>
        </w:rPr>
      </w:pPr>
      <w:r w:rsidRPr="00C1090A">
        <w:rPr>
          <w:rFonts w:cs="Arial"/>
          <w:b/>
        </w:rPr>
        <w:t>d e c r e t a :</w:t>
      </w:r>
    </w:p>
    <w:p w:rsidR="006D46CD" w:rsidRPr="00C1090A" w:rsidRDefault="006D46CD" w:rsidP="006D46CD">
      <w:pPr>
        <w:rPr>
          <w:rFonts w:cs="Arial"/>
        </w:rPr>
      </w:pPr>
    </w:p>
    <w:p w:rsidR="006D46CD" w:rsidRPr="00C1090A" w:rsidRDefault="006D46CD" w:rsidP="006D46CD">
      <w:pPr>
        <w:rPr>
          <w:rFonts w:cs="Arial"/>
        </w:rPr>
      </w:pPr>
    </w:p>
    <w:p w:rsidR="006D46CD" w:rsidRPr="00C1090A" w:rsidRDefault="006D46CD" w:rsidP="006D46CD">
      <w:pPr>
        <w:rPr>
          <w:rFonts w:cs="Arial"/>
          <w:b/>
        </w:rPr>
      </w:pPr>
      <w:r w:rsidRPr="00C1090A">
        <w:rPr>
          <w:rFonts w:cs="Arial"/>
          <w:b/>
        </w:rPr>
        <w:t>I.</w:t>
      </w:r>
    </w:p>
    <w:p w:rsidR="006D46CD" w:rsidRPr="00C1090A" w:rsidRDefault="006D46CD" w:rsidP="006D46CD">
      <w:pPr>
        <w:spacing w:before="120"/>
        <w:rPr>
          <w:rFonts w:cs="Arial"/>
        </w:rPr>
      </w:pPr>
      <w:r w:rsidRPr="00C1090A">
        <w:rPr>
          <w:rFonts w:cs="Arial"/>
        </w:rPr>
        <w:t xml:space="preserve">La Legge </w:t>
      </w:r>
      <w:r>
        <w:rPr>
          <w:rFonts w:cs="Arial"/>
        </w:rPr>
        <w:t>sull'esercizio dei diritti politici</w:t>
      </w:r>
      <w:r w:rsidRPr="00C1090A">
        <w:rPr>
          <w:rFonts w:cs="Arial"/>
        </w:rPr>
        <w:t xml:space="preserve"> (L</w:t>
      </w:r>
      <w:r>
        <w:rPr>
          <w:rFonts w:cs="Arial"/>
        </w:rPr>
        <w:t>EDP</w:t>
      </w:r>
      <w:r w:rsidRPr="00C1090A">
        <w:rPr>
          <w:rFonts w:cs="Arial"/>
        </w:rPr>
        <w:t xml:space="preserve">) del </w:t>
      </w:r>
      <w:r>
        <w:rPr>
          <w:rFonts w:cs="Arial"/>
        </w:rPr>
        <w:t>19 novembre 2018</w:t>
      </w:r>
      <w:r w:rsidRPr="00C1090A">
        <w:rPr>
          <w:rFonts w:cs="Arial"/>
        </w:rPr>
        <w:t xml:space="preserve"> è modificata come segue:</w:t>
      </w:r>
    </w:p>
    <w:p w:rsidR="006D46CD" w:rsidRPr="00C1090A" w:rsidRDefault="006D46CD" w:rsidP="006D46CD">
      <w:pPr>
        <w:rPr>
          <w:rFonts w:cs="Arial"/>
        </w:rPr>
      </w:pPr>
    </w:p>
    <w:p w:rsidR="006D46CD" w:rsidRPr="00C1090A" w:rsidRDefault="006D46CD" w:rsidP="006D46CD">
      <w:pPr>
        <w:ind w:left="1134"/>
        <w:rPr>
          <w:b/>
        </w:rPr>
      </w:pPr>
      <w:r>
        <w:rPr>
          <w:b/>
        </w:rPr>
        <w:t>Art. 47</w:t>
      </w:r>
      <w:r w:rsidRPr="00C1090A">
        <w:rPr>
          <w:b/>
        </w:rPr>
        <w:t xml:space="preserve"> cpv. </w:t>
      </w:r>
      <w:r>
        <w:rPr>
          <w:b/>
        </w:rPr>
        <w:t>3</w:t>
      </w:r>
    </w:p>
    <w:p w:rsidR="006D46CD" w:rsidRPr="00C1090A" w:rsidRDefault="006D46CD" w:rsidP="006D46CD">
      <w:pPr>
        <w:ind w:left="1134"/>
      </w:pPr>
    </w:p>
    <w:p w:rsidR="006D46CD" w:rsidRPr="00950527" w:rsidRDefault="006D46CD" w:rsidP="006D46CD">
      <w:pPr>
        <w:ind w:left="1134"/>
      </w:pPr>
      <w:r w:rsidRPr="00FF4776">
        <w:rPr>
          <w:vertAlign w:val="superscript"/>
        </w:rPr>
        <w:t>3</w:t>
      </w:r>
      <w:r w:rsidRPr="00950527">
        <w:t>Alla proposta devono essere uniti i seguenti documenti in originale:</w:t>
      </w:r>
    </w:p>
    <w:p w:rsidR="006D46CD" w:rsidRPr="00950527" w:rsidRDefault="006D46CD" w:rsidP="00204A7D">
      <w:pPr>
        <w:tabs>
          <w:tab w:val="left" w:pos="1560"/>
        </w:tabs>
        <w:spacing w:before="60"/>
        <w:ind w:left="1134"/>
      </w:pPr>
      <w:r>
        <w:t>-</w:t>
      </w:r>
      <w:r>
        <w:rPr>
          <w:rFonts w:cs="Arial"/>
        </w:rPr>
        <w:tab/>
      </w:r>
      <w:r w:rsidRPr="00950527">
        <w:t>la dichiarazione di accettazione firmata dal candidato;</w:t>
      </w:r>
    </w:p>
    <w:p w:rsidR="006D46CD" w:rsidRDefault="006D46CD" w:rsidP="00204A7D">
      <w:pPr>
        <w:tabs>
          <w:tab w:val="left" w:pos="1560"/>
        </w:tabs>
        <w:spacing w:before="60"/>
        <w:ind w:left="1560" w:hanging="426"/>
      </w:pPr>
      <w:r>
        <w:t>-</w:t>
      </w:r>
      <w:r>
        <w:rPr>
          <w:rFonts w:cs="Arial"/>
        </w:rPr>
        <w:tab/>
      </w:r>
      <w:r>
        <w:t>l'</w:t>
      </w:r>
      <w:r w:rsidRPr="00950527">
        <w:t>estratto del casellario giudiziale nelle e</w:t>
      </w:r>
      <w:r>
        <w:t>lezioni cantonali ai sensi dell'</w:t>
      </w:r>
      <w:r w:rsidRPr="00950527">
        <w:t>articolo 1 capoverso 3 e nell</w:t>
      </w:r>
      <w:r>
        <w:t>'</w:t>
      </w:r>
      <w:r w:rsidRPr="00950527">
        <w:t>elezione del Municipio; il regol</w:t>
      </w:r>
      <w:r>
        <w:t>amento disciplina i particolari;</w:t>
      </w:r>
    </w:p>
    <w:p w:rsidR="006D46CD" w:rsidRPr="00C1090A" w:rsidRDefault="006D46CD" w:rsidP="00204A7D">
      <w:pPr>
        <w:tabs>
          <w:tab w:val="left" w:pos="1560"/>
        </w:tabs>
        <w:spacing w:before="60"/>
        <w:ind w:left="1560" w:hanging="426"/>
      </w:pPr>
      <w:r>
        <w:t>-</w:t>
      </w:r>
      <w:r>
        <w:rPr>
          <w:rFonts w:cs="Arial"/>
        </w:rPr>
        <w:tab/>
      </w:r>
      <w:r w:rsidRPr="003B4FD0">
        <w:rPr>
          <w:b/>
        </w:rPr>
        <w:t xml:space="preserve">il formulario </w:t>
      </w:r>
      <w:r>
        <w:rPr>
          <w:b/>
        </w:rPr>
        <w:t>di autocertificazione concernente eventuali c</w:t>
      </w:r>
      <w:r w:rsidRPr="003B4FD0">
        <w:rPr>
          <w:b/>
        </w:rPr>
        <w:t>ondanne inflitte all'estero</w:t>
      </w:r>
      <w:r>
        <w:rPr>
          <w:b/>
        </w:rPr>
        <w:t xml:space="preserve"> </w:t>
      </w:r>
      <w:r w:rsidRPr="003B4FD0">
        <w:rPr>
          <w:b/>
        </w:rPr>
        <w:t>nelle elezioni cantonali ai sensi dell'articolo 1 capoverso 3 e nell'elezione del Municipio; il regolamento disciplina i particolari.</w:t>
      </w:r>
    </w:p>
    <w:p w:rsidR="006D46CD" w:rsidRDefault="006D46CD" w:rsidP="006D46CD">
      <w:pPr>
        <w:rPr>
          <w:rFonts w:cs="Arial"/>
        </w:rPr>
      </w:pPr>
    </w:p>
    <w:p w:rsidR="00204A7D" w:rsidRPr="00C1090A" w:rsidRDefault="00204A7D" w:rsidP="006D46CD">
      <w:pPr>
        <w:rPr>
          <w:rFonts w:cs="Arial"/>
        </w:rPr>
      </w:pPr>
    </w:p>
    <w:p w:rsidR="006D46CD" w:rsidRPr="00C1090A" w:rsidRDefault="006D46CD" w:rsidP="006D46CD">
      <w:pPr>
        <w:rPr>
          <w:rFonts w:cs="Arial"/>
          <w:b/>
        </w:rPr>
      </w:pPr>
      <w:r w:rsidRPr="00C1090A">
        <w:rPr>
          <w:rFonts w:cs="Arial"/>
          <w:b/>
        </w:rPr>
        <w:t>II.</w:t>
      </w:r>
    </w:p>
    <w:p w:rsidR="006D46CD" w:rsidRDefault="006D46CD" w:rsidP="006D46CD">
      <w:pPr>
        <w:spacing w:before="120"/>
        <w:rPr>
          <w:rFonts w:cs="Arial"/>
        </w:rPr>
      </w:pPr>
      <w:r w:rsidRPr="00C1090A">
        <w:rPr>
          <w:rFonts w:cs="Arial"/>
        </w:rPr>
        <w:t>Trascorsi i termini per l'esercizio del diritto di referendum, la presente modifica di legge è pubblicata nel Bollett</w:t>
      </w:r>
      <w:r>
        <w:rPr>
          <w:rFonts w:cs="Arial"/>
        </w:rPr>
        <w:t>ino ufficiale delle leggi</w:t>
      </w:r>
      <w:r w:rsidRPr="00C1090A">
        <w:rPr>
          <w:rFonts w:cs="Arial"/>
        </w:rPr>
        <w:t>.</w:t>
      </w:r>
    </w:p>
    <w:p w:rsidR="006D46CD" w:rsidRPr="00C1090A" w:rsidRDefault="006D46CD" w:rsidP="006D46CD">
      <w:pPr>
        <w:spacing w:before="120"/>
        <w:rPr>
          <w:rFonts w:cs="Arial"/>
        </w:rPr>
      </w:pPr>
      <w:r w:rsidRPr="00EE58EF">
        <w:rPr>
          <w:rFonts w:cs="Arial"/>
        </w:rPr>
        <w:t>Il Consiglio di Stato ne fissa la data di entrata in vigore</w:t>
      </w:r>
      <w:r>
        <w:rPr>
          <w:rFonts w:cs="Arial"/>
        </w:rPr>
        <w:t>.</w:t>
      </w:r>
    </w:p>
    <w:p w:rsidR="00CB127C" w:rsidRDefault="00CB127C" w:rsidP="00CB127C">
      <w:pPr>
        <w:rPr>
          <w:rFonts w:cs="Arial"/>
        </w:rPr>
      </w:pPr>
    </w:p>
    <w:sectPr w:rsidR="00CB127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71B6D" w:rsidRPr="00E71B6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BAC165A"/>
    <w:multiLevelType w:val="hybridMultilevel"/>
    <w:tmpl w:val="FFFFFFFF"/>
    <w:lvl w:ilvl="0" w:tplc="6582A55E">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5E8A74C">
      <w:start w:val="1"/>
      <w:numFmt w:val="lowerLetter"/>
      <w:lvlText w:val="%2"/>
      <w:lvlJc w:val="left"/>
      <w:pPr>
        <w:ind w:left="12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AE235B2">
      <w:start w:val="1"/>
      <w:numFmt w:val="lowerRoman"/>
      <w:lvlText w:val="%3"/>
      <w:lvlJc w:val="left"/>
      <w:pPr>
        <w:ind w:left="19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8B4C4F0">
      <w:start w:val="1"/>
      <w:numFmt w:val="decimal"/>
      <w:lvlText w:val="%4"/>
      <w:lvlJc w:val="left"/>
      <w:pPr>
        <w:ind w:left="26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AE1EC">
      <w:start w:val="1"/>
      <w:numFmt w:val="lowerLetter"/>
      <w:lvlText w:val="%5"/>
      <w:lvlJc w:val="left"/>
      <w:pPr>
        <w:ind w:left="33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0F03784">
      <w:start w:val="1"/>
      <w:numFmt w:val="lowerRoman"/>
      <w:lvlText w:val="%6"/>
      <w:lvlJc w:val="left"/>
      <w:pPr>
        <w:ind w:left="41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9D0A9AA">
      <w:start w:val="1"/>
      <w:numFmt w:val="decimal"/>
      <w:lvlText w:val="%7"/>
      <w:lvlJc w:val="left"/>
      <w:pPr>
        <w:ind w:left="48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B2E236">
      <w:start w:val="1"/>
      <w:numFmt w:val="lowerLetter"/>
      <w:lvlText w:val="%8"/>
      <w:lvlJc w:val="left"/>
      <w:pPr>
        <w:ind w:left="55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06C408A">
      <w:start w:val="1"/>
      <w:numFmt w:val="lowerRoman"/>
      <w:lvlText w:val="%9"/>
      <w:lvlJc w:val="left"/>
      <w:pPr>
        <w:ind w:left="62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9F7602D"/>
    <w:multiLevelType w:val="hybridMultilevel"/>
    <w:tmpl w:val="FFFFFFFF"/>
    <w:lvl w:ilvl="0" w:tplc="BB40123A">
      <w:start w:val="1"/>
      <w:numFmt w:val="bullet"/>
      <w:lvlText w:val="-"/>
      <w:lvlJc w:val="left"/>
      <w:pPr>
        <w:ind w:left="9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EA27650">
      <w:start w:val="1"/>
      <w:numFmt w:val="bullet"/>
      <w:lvlText w:val="o"/>
      <w:lvlJc w:val="left"/>
      <w:pPr>
        <w:ind w:left="164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64A05C0">
      <w:start w:val="1"/>
      <w:numFmt w:val="bullet"/>
      <w:lvlText w:val="▪"/>
      <w:lvlJc w:val="left"/>
      <w:pPr>
        <w:ind w:left="23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FBE6A1C">
      <w:start w:val="1"/>
      <w:numFmt w:val="bullet"/>
      <w:lvlText w:val="•"/>
      <w:lvlJc w:val="left"/>
      <w:pPr>
        <w:ind w:left="30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54692BC">
      <w:start w:val="1"/>
      <w:numFmt w:val="bullet"/>
      <w:lvlText w:val="o"/>
      <w:lvlJc w:val="left"/>
      <w:pPr>
        <w:ind w:left="380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2D4BCB4">
      <w:start w:val="1"/>
      <w:numFmt w:val="bullet"/>
      <w:lvlText w:val="▪"/>
      <w:lvlJc w:val="left"/>
      <w:pPr>
        <w:ind w:left="45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390CD30">
      <w:start w:val="1"/>
      <w:numFmt w:val="bullet"/>
      <w:lvlText w:val="•"/>
      <w:lvlJc w:val="left"/>
      <w:pPr>
        <w:ind w:left="524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5D26560">
      <w:start w:val="1"/>
      <w:numFmt w:val="bullet"/>
      <w:lvlText w:val="o"/>
      <w:lvlJc w:val="left"/>
      <w:pPr>
        <w:ind w:left="59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31E39FC">
      <w:start w:val="1"/>
      <w:numFmt w:val="bullet"/>
      <w:lvlText w:val="▪"/>
      <w:lvlJc w:val="left"/>
      <w:pPr>
        <w:ind w:left="668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0FD082A"/>
    <w:multiLevelType w:val="hybridMultilevel"/>
    <w:tmpl w:val="FFFFFFFF"/>
    <w:lvl w:ilvl="0" w:tplc="CFC0886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03BD8">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DAAAD2">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03BBC">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0411C">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02FA22">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FAD2FC">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AA3CA">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6A1676">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0"/>
  </w:num>
  <w:num w:numId="4">
    <w:abstractNumId w:val="2"/>
  </w:num>
  <w:num w:numId="5">
    <w:abstractNumId w:val="8"/>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6"/>
  </w:num>
  <w:num w:numId="18">
    <w:abstractNumId w:val="1"/>
  </w:num>
  <w:num w:numId="19">
    <w:abstractNumId w:val="9"/>
  </w:num>
  <w:num w:numId="20">
    <w:abstractNumId w:val="1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04A7D"/>
    <w:rsid w:val="002E5E40"/>
    <w:rsid w:val="003B7935"/>
    <w:rsid w:val="0052425A"/>
    <w:rsid w:val="0057039F"/>
    <w:rsid w:val="00586A8D"/>
    <w:rsid w:val="005F4380"/>
    <w:rsid w:val="006D46CD"/>
    <w:rsid w:val="006D7A3B"/>
    <w:rsid w:val="007B5462"/>
    <w:rsid w:val="008034BD"/>
    <w:rsid w:val="00876352"/>
    <w:rsid w:val="008B4137"/>
    <w:rsid w:val="008C767A"/>
    <w:rsid w:val="008E77C6"/>
    <w:rsid w:val="00971392"/>
    <w:rsid w:val="009770BB"/>
    <w:rsid w:val="009E008D"/>
    <w:rsid w:val="00A5465F"/>
    <w:rsid w:val="00A77678"/>
    <w:rsid w:val="00BC4C95"/>
    <w:rsid w:val="00BD5944"/>
    <w:rsid w:val="00CB127C"/>
    <w:rsid w:val="00CF6858"/>
    <w:rsid w:val="00D377B5"/>
    <w:rsid w:val="00D93B31"/>
    <w:rsid w:val="00E71B6D"/>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802C"/>
  <w15:docId w15:val="{641E58E1-7C11-4F61-B5DD-D9A1EDC4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04A7D"/>
    <w:pPr>
      <w:keepNext/>
      <w:tabs>
        <w:tab w:val="left" w:pos="567"/>
      </w:tabs>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04A7D"/>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204A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4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FA76-4B8B-480B-8CB9-CC8C5D5C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cp:lastModifiedBy>
  <cp:revision>2</cp:revision>
  <cp:lastPrinted>2020-02-21T14:01:00Z</cp:lastPrinted>
  <dcterms:created xsi:type="dcterms:W3CDTF">2020-02-25T14:38:00Z</dcterms:created>
  <dcterms:modified xsi:type="dcterms:W3CDTF">2020-02-25T14:38:00Z</dcterms:modified>
</cp:coreProperties>
</file>