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0C2" w:rsidRPr="00703805" w:rsidRDefault="00703805" w:rsidP="00B860C2">
      <w:pPr>
        <w:rPr>
          <w:rFonts w:ascii="Gill Sans MT" w:hAnsi="Gill Sans MT" w:cstheme="minorHAnsi"/>
          <w:b/>
          <w:sz w:val="56"/>
          <w:szCs w:val="56"/>
        </w:rPr>
      </w:pPr>
      <w:r w:rsidRPr="00703805">
        <w:rPr>
          <w:rFonts w:ascii="Gill Sans MT" w:hAnsi="Gill Sans MT" w:cstheme="minorHAnsi"/>
          <w:b/>
          <w:sz w:val="56"/>
          <w:szCs w:val="56"/>
        </w:rPr>
        <w:t>Rapporto</w:t>
      </w:r>
    </w:p>
    <w:p w:rsidR="00B860C2" w:rsidRDefault="00B860C2" w:rsidP="00B860C2">
      <w:pPr>
        <w:rPr>
          <w:rFonts w:cs="Arial"/>
          <w:szCs w:val="24"/>
        </w:rPr>
      </w:pPr>
    </w:p>
    <w:p w:rsidR="00B860C2" w:rsidRDefault="00B860C2" w:rsidP="00B860C2">
      <w:pPr>
        <w:rPr>
          <w:rFonts w:cs="Arial"/>
          <w:szCs w:val="24"/>
        </w:rPr>
      </w:pPr>
    </w:p>
    <w:p w:rsidR="00B860C2" w:rsidRDefault="00644102" w:rsidP="00B860C2">
      <w:pPr>
        <w:tabs>
          <w:tab w:val="left" w:pos="2098"/>
          <w:tab w:val="left" w:pos="4933"/>
        </w:tabs>
        <w:rPr>
          <w:rFonts w:cs="Arial"/>
          <w:szCs w:val="24"/>
        </w:rPr>
      </w:pPr>
      <w:r>
        <w:rPr>
          <w:rFonts w:cs="Arial"/>
          <w:b/>
          <w:sz w:val="32"/>
          <w:szCs w:val="32"/>
        </w:rPr>
        <w:t>7734</w:t>
      </w:r>
      <w:r w:rsidR="00B860C2" w:rsidRPr="008B4137">
        <w:rPr>
          <w:rFonts w:cs="Arial"/>
          <w:b/>
          <w:sz w:val="32"/>
          <w:szCs w:val="32"/>
        </w:rPr>
        <w:t xml:space="preserve"> R</w:t>
      </w:r>
      <w:r w:rsidR="00B860C2" w:rsidRPr="008B4137">
        <w:rPr>
          <w:rFonts w:cs="Arial"/>
          <w:sz w:val="28"/>
          <w:szCs w:val="28"/>
        </w:rPr>
        <w:tab/>
      </w:r>
      <w:r>
        <w:rPr>
          <w:rFonts w:cs="Arial"/>
          <w:sz w:val="28"/>
          <w:szCs w:val="28"/>
        </w:rPr>
        <w:t>28 aprile 2020</w:t>
      </w:r>
      <w:r w:rsidR="00B860C2" w:rsidRPr="008B4137">
        <w:rPr>
          <w:rFonts w:cs="Arial"/>
          <w:sz w:val="28"/>
          <w:szCs w:val="28"/>
        </w:rPr>
        <w:tab/>
      </w:r>
      <w:r>
        <w:rPr>
          <w:sz w:val="28"/>
        </w:rPr>
        <w:t>SANITÀ E SOCIALITÀ</w:t>
      </w:r>
    </w:p>
    <w:p w:rsidR="00B860C2" w:rsidRPr="00703805" w:rsidRDefault="00B860C2" w:rsidP="00B860C2">
      <w:pPr>
        <w:rPr>
          <w:rFonts w:cs="Arial"/>
          <w:sz w:val="20"/>
          <w:szCs w:val="20"/>
        </w:rPr>
      </w:pPr>
    </w:p>
    <w:p w:rsidR="00B860C2" w:rsidRPr="00703805" w:rsidRDefault="00B860C2" w:rsidP="00B860C2">
      <w:pPr>
        <w:rPr>
          <w:rFonts w:cs="Arial"/>
          <w:sz w:val="20"/>
          <w:szCs w:val="20"/>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w:t>
      </w:r>
      <w:r w:rsidRPr="00644102">
        <w:rPr>
          <w:rFonts w:cs="Arial"/>
          <w:b/>
          <w:sz w:val="28"/>
          <w:szCs w:val="28"/>
        </w:rPr>
        <w:t>gestione e finanze</w:t>
      </w:r>
    </w:p>
    <w:p w:rsidR="00B860C2" w:rsidRPr="008B2655" w:rsidRDefault="00B860C2" w:rsidP="00B860C2">
      <w:pPr>
        <w:rPr>
          <w:rFonts w:cs="Arial"/>
          <w:b/>
          <w:sz w:val="26"/>
          <w:szCs w:val="26"/>
        </w:rPr>
      </w:pPr>
      <w:r w:rsidRPr="000D6BD0">
        <w:rPr>
          <w:rFonts w:cs="Arial"/>
          <w:b/>
          <w:sz w:val="28"/>
          <w:szCs w:val="28"/>
        </w:rPr>
        <w:t>sul</w:t>
      </w:r>
      <w:r>
        <w:rPr>
          <w:rFonts w:cs="Arial"/>
          <w:b/>
          <w:sz w:val="28"/>
          <w:szCs w:val="28"/>
        </w:rPr>
        <w:t xml:space="preserve"> messaggio</w:t>
      </w:r>
      <w:r>
        <w:rPr>
          <w:rFonts w:cs="Arial"/>
          <w:b/>
          <w:sz w:val="26"/>
          <w:szCs w:val="26"/>
        </w:rPr>
        <w:t xml:space="preserve"> </w:t>
      </w:r>
      <w:r w:rsidR="00644102">
        <w:rPr>
          <w:b/>
          <w:sz w:val="28"/>
          <w:szCs w:val="28"/>
        </w:rPr>
        <w:t xml:space="preserve">23 ottobre </w:t>
      </w:r>
      <w:r w:rsidR="00644102" w:rsidRPr="00914462">
        <w:rPr>
          <w:b/>
          <w:sz w:val="28"/>
          <w:szCs w:val="28"/>
        </w:rPr>
        <w:t>201</w:t>
      </w:r>
      <w:r w:rsidR="00644102">
        <w:rPr>
          <w:b/>
          <w:sz w:val="28"/>
          <w:szCs w:val="28"/>
        </w:rPr>
        <w:t>9 concernente</w:t>
      </w:r>
      <w:r w:rsidR="00644102">
        <w:rPr>
          <w:rFonts w:cs="Arial"/>
          <w:b/>
          <w:sz w:val="28"/>
          <w:szCs w:val="28"/>
        </w:rPr>
        <w:t xml:space="preserve"> </w:t>
      </w:r>
      <w:r w:rsidR="00644102" w:rsidRPr="004E1290">
        <w:rPr>
          <w:rFonts w:cs="Arial"/>
          <w:b/>
          <w:sz w:val="28"/>
          <w:szCs w:val="28"/>
        </w:rPr>
        <w:t>l’approvazione del Rapporto annuale 201</w:t>
      </w:r>
      <w:r w:rsidR="00644102">
        <w:rPr>
          <w:rFonts w:cs="Arial"/>
          <w:b/>
          <w:sz w:val="28"/>
          <w:szCs w:val="28"/>
        </w:rPr>
        <w:t>8</w:t>
      </w:r>
      <w:r w:rsidR="00644102" w:rsidRPr="004E1290">
        <w:rPr>
          <w:rFonts w:cs="Arial"/>
          <w:b/>
          <w:sz w:val="28"/>
          <w:szCs w:val="28"/>
        </w:rPr>
        <w:t xml:space="preserve"> dell'Ente Ospedaliero Cantonale (EOC)</w:t>
      </w:r>
    </w:p>
    <w:p w:rsidR="00B860C2" w:rsidRPr="00703805" w:rsidRDefault="00B860C2" w:rsidP="00B860C2">
      <w:pPr>
        <w:rPr>
          <w:rFonts w:cs="Arial"/>
          <w:sz w:val="20"/>
          <w:szCs w:val="20"/>
        </w:rPr>
      </w:pPr>
      <w:bookmarkStart w:id="0" w:name="_GoBack"/>
    </w:p>
    <w:p w:rsidR="00B860C2" w:rsidRPr="00703805" w:rsidRDefault="00B860C2" w:rsidP="00B860C2">
      <w:pPr>
        <w:rPr>
          <w:rFonts w:cs="Arial"/>
          <w:sz w:val="20"/>
          <w:szCs w:val="20"/>
        </w:rPr>
      </w:pPr>
    </w:p>
    <w:bookmarkEnd w:id="0"/>
    <w:p w:rsidR="00B860C2" w:rsidRDefault="00B860C2" w:rsidP="00B860C2">
      <w:pPr>
        <w:rPr>
          <w:rFonts w:cs="Arial"/>
          <w:szCs w:val="24"/>
        </w:rPr>
      </w:pPr>
    </w:p>
    <w:p w:rsidR="003B2ADE" w:rsidRPr="00B76798" w:rsidRDefault="00644102" w:rsidP="006749F9">
      <w:pPr>
        <w:pStyle w:val="Titolo1"/>
        <w:numPr>
          <w:ilvl w:val="0"/>
          <w:numId w:val="0"/>
        </w:numPr>
        <w:ind w:left="567" w:hanging="567"/>
      </w:pPr>
      <w:bookmarkStart w:id="1" w:name="_Toc532286235"/>
      <w:r>
        <w:t>Premessa</w:t>
      </w:r>
    </w:p>
    <w:p w:rsidR="003B2ADE" w:rsidRDefault="003B2ADE" w:rsidP="003B2ADE">
      <w:pPr>
        <w:rPr>
          <w:szCs w:val="24"/>
        </w:rPr>
      </w:pPr>
      <w:r>
        <w:rPr>
          <w:szCs w:val="24"/>
        </w:rPr>
        <w:t xml:space="preserve">Il presente rapporto riguarda l’approvazione dei conti EOC dell’anno 2018. </w:t>
      </w:r>
    </w:p>
    <w:p w:rsidR="003B2ADE" w:rsidRDefault="003B2ADE" w:rsidP="003B2ADE">
      <w:pPr>
        <w:rPr>
          <w:szCs w:val="24"/>
        </w:rPr>
      </w:pPr>
      <w:r>
        <w:rPr>
          <w:szCs w:val="24"/>
        </w:rPr>
        <w:t>Ciò non di meno, la scrivente Commissione, visto il momento in cui lo stesso verrà discusso in parlamento, ovvero nel contesto dello stato di emergenza COVID 19, ritiene corretto:</w:t>
      </w:r>
    </w:p>
    <w:p w:rsidR="003B2ADE" w:rsidRDefault="003B2ADE" w:rsidP="00285BB5">
      <w:pPr>
        <w:pStyle w:val="Paragrafoelenco"/>
        <w:numPr>
          <w:ilvl w:val="0"/>
          <w:numId w:val="45"/>
        </w:numPr>
        <w:spacing w:before="100"/>
        <w:ind w:left="284" w:hanging="284"/>
        <w:rPr>
          <w:szCs w:val="24"/>
        </w:rPr>
      </w:pPr>
      <w:r w:rsidRPr="00B76798">
        <w:rPr>
          <w:szCs w:val="24"/>
          <w:u w:val="single"/>
        </w:rPr>
        <w:t>da un lato</w:t>
      </w:r>
      <w:r>
        <w:rPr>
          <w:szCs w:val="24"/>
        </w:rPr>
        <w:t>,</w:t>
      </w:r>
      <w:r w:rsidRPr="00652155">
        <w:rPr>
          <w:szCs w:val="24"/>
        </w:rPr>
        <w:t xml:space="preserve"> esprimere un grosso e sentito ringraziamento alle strutture dirigenziali, al per</w:t>
      </w:r>
      <w:r w:rsidRPr="00AA7B2D">
        <w:rPr>
          <w:szCs w:val="24"/>
        </w:rPr>
        <w:t>s</w:t>
      </w:r>
      <w:r w:rsidRPr="00B76798">
        <w:rPr>
          <w:szCs w:val="24"/>
        </w:rPr>
        <w:t>onale medico, paramedico ed infermieristico, senza dimenticare quello ammnistrativo e dei servizi quali ristorazione e pulizie dell’EOC per quanto fatto a favore della popolazione con spiriti di servizio e abnegazione. Analogo ringraziamento va esteso anche alle cliniche private ed al loro personale la quali hanno avuto un ruolo significativo sia per quelle che sono state più attive in prima linea sia per quelle che hanno manifestato disponibilità ed affrontato preparativi per essere di supporto nel caso in cui la situazione si fosse presentata ancora più grave</w:t>
      </w:r>
      <w:r>
        <w:rPr>
          <w:szCs w:val="24"/>
        </w:rPr>
        <w:t>;</w:t>
      </w:r>
    </w:p>
    <w:p w:rsidR="003B2ADE" w:rsidRPr="001719CF" w:rsidRDefault="003B2ADE" w:rsidP="00285BB5">
      <w:pPr>
        <w:pStyle w:val="Paragrafoelenco"/>
        <w:numPr>
          <w:ilvl w:val="0"/>
          <w:numId w:val="45"/>
        </w:numPr>
        <w:spacing w:before="100"/>
        <w:ind w:left="284" w:hanging="284"/>
        <w:rPr>
          <w:szCs w:val="24"/>
        </w:rPr>
      </w:pPr>
      <w:r w:rsidRPr="00B76798">
        <w:rPr>
          <w:szCs w:val="24"/>
          <w:u w:val="single"/>
        </w:rPr>
        <w:t>dall’altro lato</w:t>
      </w:r>
      <w:r>
        <w:rPr>
          <w:szCs w:val="24"/>
        </w:rPr>
        <w:t>, non appena possibile bisognerà trarre delle conseguenze dall’esperienza fatta e comprendere quanto sia opportuno mettere in atto o meno a livello di potenziamento di determinati servizi e/o reparti di cure intense, di formazione in particolare di quello residente, gestione e/o gratificazione del personale, di collaborazione pubblico-privato e non da ultimo la politica dovrà decidere in che misura un contributo di solidarietà da parte dell’EOC al Cantone potrà ancora essere richiesto negli anni a venire (dopo la rinuncia a quelli del 2019 e 2020 decise, risp. annunciate dal Governo) rispettivamente risolto altrimenti col meccanismo del capitale di dotazione.</w:t>
      </w:r>
      <w:r w:rsidRPr="00ED0F43">
        <w:rPr>
          <w:strike/>
          <w:szCs w:val="24"/>
        </w:rPr>
        <w:t xml:space="preserve"> </w:t>
      </w:r>
    </w:p>
    <w:p w:rsidR="003B2ADE" w:rsidRDefault="003B2ADE" w:rsidP="00644102">
      <w:pPr>
        <w:rPr>
          <w:szCs w:val="24"/>
        </w:rPr>
      </w:pPr>
    </w:p>
    <w:p w:rsidR="00285BB5" w:rsidRPr="00644102" w:rsidRDefault="00285BB5" w:rsidP="00644102">
      <w:pPr>
        <w:rPr>
          <w:szCs w:val="24"/>
        </w:rPr>
      </w:pPr>
    </w:p>
    <w:p w:rsidR="003B2ADE" w:rsidRDefault="003B2ADE" w:rsidP="003B2ADE">
      <w:pPr>
        <w:rPr>
          <w:szCs w:val="24"/>
        </w:rPr>
      </w:pPr>
    </w:p>
    <w:p w:rsidR="003B2ADE" w:rsidRDefault="003B2ADE" w:rsidP="003B2ADE">
      <w:pPr>
        <w:pStyle w:val="Titolo1"/>
        <w:ind w:left="0" w:firstLine="0"/>
      </w:pPr>
      <w:r w:rsidRPr="00D3338D">
        <w:t>Rapport</w:t>
      </w:r>
      <w:r>
        <w:t>o</w:t>
      </w:r>
      <w:r w:rsidRPr="00D3338D">
        <w:t xml:space="preserve"> annual</w:t>
      </w:r>
      <w:r>
        <w:t>e</w:t>
      </w:r>
      <w:r w:rsidRPr="00D3338D">
        <w:t xml:space="preserve"> EOC</w:t>
      </w:r>
      <w:r>
        <w:t xml:space="preserve"> e Piano strategico</w:t>
      </w:r>
    </w:p>
    <w:p w:rsidR="003B2ADE" w:rsidRDefault="003B2ADE" w:rsidP="003B2ADE">
      <w:pPr>
        <w:rPr>
          <w:rFonts w:cs="Arial"/>
          <w:szCs w:val="24"/>
        </w:rPr>
      </w:pPr>
      <w:r w:rsidRPr="00AD1A24">
        <w:rPr>
          <w:rFonts w:cs="Arial"/>
          <w:szCs w:val="24"/>
        </w:rPr>
        <w:t>I</w:t>
      </w:r>
      <w:r>
        <w:rPr>
          <w:rFonts w:cs="Arial"/>
          <w:szCs w:val="24"/>
        </w:rPr>
        <w:t>l</w:t>
      </w:r>
      <w:r w:rsidRPr="00AD1A24">
        <w:rPr>
          <w:rFonts w:cs="Arial"/>
          <w:szCs w:val="24"/>
        </w:rPr>
        <w:t xml:space="preserve"> </w:t>
      </w:r>
      <w:r>
        <w:rPr>
          <w:rFonts w:cs="Arial"/>
          <w:szCs w:val="24"/>
        </w:rPr>
        <w:t xml:space="preserve">Rapporto annuale completo dell’EOC 2018 – inclusivo dei Rapporti sociali e </w:t>
      </w:r>
      <w:r w:rsidR="007E04C2">
        <w:rPr>
          <w:rFonts w:cs="Arial"/>
          <w:szCs w:val="24"/>
        </w:rPr>
        <w:br/>
      </w:r>
      <w:r>
        <w:rPr>
          <w:rFonts w:cs="Arial"/>
          <w:szCs w:val="24"/>
        </w:rPr>
        <w:t>ambientali - è reperibile e scaricabili dal sito web dell’EOC</w:t>
      </w:r>
      <w:r w:rsidRPr="001113D3">
        <w:t xml:space="preserve"> </w:t>
      </w:r>
      <w:r w:rsidRPr="001113D3">
        <w:rPr>
          <w:rFonts w:cs="Arial"/>
          <w:szCs w:val="24"/>
        </w:rPr>
        <w:t xml:space="preserve">all’indirizzo </w:t>
      </w:r>
      <w:hyperlink r:id="rId8" w:history="1">
        <w:r w:rsidRPr="00791163">
          <w:rPr>
            <w:rStyle w:val="Collegamentoipertestuale"/>
            <w:rFonts w:cs="Arial"/>
            <w:color w:val="0070C0"/>
            <w:sz w:val="22"/>
          </w:rPr>
          <w:t>www.eoc.ch/comunicazione/Documenti-EOC.html</w:t>
        </w:r>
      </w:hyperlink>
      <w:r w:rsidRPr="00E721F0">
        <w:rPr>
          <w:rFonts w:cs="Arial"/>
          <w:szCs w:val="24"/>
        </w:rPr>
        <w:t>.</w:t>
      </w:r>
    </w:p>
    <w:p w:rsidR="00285BB5" w:rsidRDefault="00285BB5" w:rsidP="003B2ADE">
      <w:pPr>
        <w:rPr>
          <w:rFonts w:cs="Arial"/>
          <w:szCs w:val="24"/>
        </w:rPr>
      </w:pPr>
    </w:p>
    <w:p w:rsidR="003B2ADE" w:rsidRDefault="003B2ADE" w:rsidP="003B2ADE">
      <w:pPr>
        <w:rPr>
          <w:rFonts w:cs="Arial"/>
          <w:szCs w:val="24"/>
        </w:rPr>
      </w:pPr>
      <w:r>
        <w:rPr>
          <w:rFonts w:cs="Arial"/>
          <w:szCs w:val="24"/>
        </w:rPr>
        <w:t>Sul medesimo sito risultano pubblicati anche:</w:t>
      </w:r>
    </w:p>
    <w:p w:rsidR="003B2ADE" w:rsidRDefault="003B2ADE" w:rsidP="00285BB5">
      <w:pPr>
        <w:pStyle w:val="Paragrafoelenco"/>
        <w:numPr>
          <w:ilvl w:val="0"/>
          <w:numId w:val="36"/>
        </w:numPr>
        <w:spacing w:before="100"/>
        <w:ind w:left="284" w:hanging="284"/>
        <w:rPr>
          <w:rFonts w:cs="Arial"/>
          <w:szCs w:val="24"/>
          <w:lang w:eastAsia="it-CH"/>
        </w:rPr>
      </w:pPr>
      <w:r w:rsidRPr="00443DE0">
        <w:rPr>
          <w:rFonts w:cs="Arial"/>
          <w:szCs w:val="24"/>
        </w:rPr>
        <w:t xml:space="preserve">il Rapporto scientifico. Ciò è particolarmente apprezzabile non solo per la pubblicità dei risultati raggiunti con fondi pubblici o privati ma anche nell’ottica di poter comprovare il ruolo strategico </w:t>
      </w:r>
      <w:r>
        <w:rPr>
          <w:rFonts w:cs="Arial"/>
          <w:szCs w:val="24"/>
        </w:rPr>
        <w:t xml:space="preserve">dell’EOC per </w:t>
      </w:r>
      <w:r w:rsidRPr="00443DE0">
        <w:rPr>
          <w:rFonts w:cs="Arial"/>
          <w:szCs w:val="24"/>
        </w:rPr>
        <w:t>“</w:t>
      </w:r>
      <w:r w:rsidRPr="00443DE0">
        <w:rPr>
          <w:rFonts w:cs="Arial"/>
          <w:b/>
          <w:sz w:val="23"/>
          <w:szCs w:val="23"/>
        </w:rPr>
        <w:t>Un Ticino ospedaliero di valenza nazionale e universitario</w:t>
      </w:r>
      <w:r w:rsidRPr="00443DE0">
        <w:rPr>
          <w:rFonts w:cs="Arial"/>
          <w:szCs w:val="24"/>
        </w:rPr>
        <w:t>”</w:t>
      </w:r>
      <w:r>
        <w:rPr>
          <w:rFonts w:cs="Arial"/>
          <w:szCs w:val="24"/>
        </w:rPr>
        <w:t xml:space="preserve">. Il settore della </w:t>
      </w:r>
      <w:r w:rsidRPr="00722FE8">
        <w:rPr>
          <w:rFonts w:cs="Arial"/>
          <w:b/>
          <w:bCs/>
          <w:szCs w:val="24"/>
        </w:rPr>
        <w:t>ricerca scientifica nel settore medico</w:t>
      </w:r>
      <w:r>
        <w:rPr>
          <w:rFonts w:cs="Arial"/>
          <w:szCs w:val="24"/>
        </w:rPr>
        <w:t xml:space="preserve">, e dei suoi finanziamenti, è e sarà oggetto di particolare attenzione anche da parte della scrivente Commissione, oltre che di sviluppo segnatamente nei prossimi anni. Gli istituti </w:t>
      </w:r>
      <w:r>
        <w:rPr>
          <w:rFonts w:cs="Arial"/>
          <w:szCs w:val="24"/>
        </w:rPr>
        <w:lastRenderedPageBreak/>
        <w:t>specialistici dell’EOC, tra cui il nuovo Istituto Cardiocentro Ticino a far tempo dalla fine del 2020, le Fondazioni private collaboreranno sempre di più sotto il cappello dell’USI favoriranno l’ulteriore crescita di un polo di attrazione e di interesse per lo sviluppo competitivo del Cantone. Al giusto entusiasmo dovrà accompagnarsi l’equivalente rigore e la trasparenza dei risultati e dei conti.</w:t>
      </w:r>
    </w:p>
    <w:p w:rsidR="003B2ADE" w:rsidRPr="00443DE0" w:rsidRDefault="003B2ADE" w:rsidP="00285BB5">
      <w:pPr>
        <w:pStyle w:val="Paragrafoelenco"/>
        <w:numPr>
          <w:ilvl w:val="0"/>
          <w:numId w:val="36"/>
        </w:numPr>
        <w:spacing w:before="100"/>
        <w:ind w:left="284" w:hanging="284"/>
        <w:rPr>
          <w:rFonts w:cs="Arial"/>
          <w:szCs w:val="24"/>
          <w:lang w:eastAsia="it-CH"/>
        </w:rPr>
      </w:pPr>
      <w:r w:rsidRPr="00443DE0">
        <w:rPr>
          <w:rFonts w:cs="Arial"/>
          <w:szCs w:val="24"/>
        </w:rPr>
        <w:t>il nuovo Piano strategico entrato in vigore proprio nel 2018 (fino al 2021). Per una sintesi sul vecchio piano strategico e un breve introduzione al nuovo, rinviamo al Rapporto di questa commissione con cui sono stati approvati i Messaggi governativi quo ai C</w:t>
      </w:r>
      <w:r>
        <w:rPr>
          <w:rFonts w:cs="Arial"/>
          <w:szCs w:val="24"/>
        </w:rPr>
        <w:t>onti EOC</w:t>
      </w:r>
      <w:r w:rsidRPr="00443DE0">
        <w:rPr>
          <w:rFonts w:cs="Arial"/>
          <w:szCs w:val="24"/>
        </w:rPr>
        <w:t xml:space="preserve"> 2016 e 2017.</w:t>
      </w:r>
    </w:p>
    <w:p w:rsidR="003B2ADE" w:rsidRPr="00C2452F" w:rsidRDefault="003B2ADE" w:rsidP="003B2ADE">
      <w:pPr>
        <w:rPr>
          <w:szCs w:val="24"/>
        </w:rPr>
      </w:pPr>
    </w:p>
    <w:p w:rsidR="003B2ADE" w:rsidRDefault="003B2ADE" w:rsidP="003B2ADE">
      <w:pPr>
        <w:spacing w:after="60"/>
        <w:rPr>
          <w:szCs w:val="24"/>
        </w:rPr>
      </w:pPr>
      <w:r w:rsidRPr="00D31BC5">
        <w:rPr>
          <w:szCs w:val="24"/>
        </w:rPr>
        <w:t xml:space="preserve">Il </w:t>
      </w:r>
      <w:r w:rsidRPr="00D31BC5">
        <w:rPr>
          <w:b/>
          <w:szCs w:val="24"/>
        </w:rPr>
        <w:t xml:space="preserve">nuovo Piano Strategico 2018-2021 </w:t>
      </w:r>
      <w:r w:rsidRPr="00D31BC5">
        <w:rPr>
          <w:szCs w:val="24"/>
        </w:rPr>
        <w:t xml:space="preserve">pone l’accento sul consolidamento del ruolo di Ospedale cantonale dell’EOC </w:t>
      </w:r>
      <w:r>
        <w:rPr>
          <w:szCs w:val="24"/>
        </w:rPr>
        <w:t xml:space="preserve">insediato </w:t>
      </w:r>
      <w:r w:rsidRPr="00D31BC5">
        <w:rPr>
          <w:szCs w:val="24"/>
        </w:rPr>
        <w:t xml:space="preserve">a pieno titolo a livello nazionale tra gli ospedali </w:t>
      </w:r>
      <w:r>
        <w:rPr>
          <w:szCs w:val="24"/>
        </w:rPr>
        <w:t xml:space="preserve">universitari e i principali ospedali cantonali, </w:t>
      </w:r>
      <w:r w:rsidRPr="00D31BC5">
        <w:rPr>
          <w:szCs w:val="24"/>
        </w:rPr>
        <w:t>che, oltre alle cure di base e specialistiche più comuni, assicurano anche quelle più rare e complesse</w:t>
      </w:r>
      <w:r>
        <w:rPr>
          <w:szCs w:val="24"/>
        </w:rPr>
        <w:t xml:space="preserve">: </w:t>
      </w:r>
      <w:r w:rsidRPr="00D31BC5">
        <w:rPr>
          <w:szCs w:val="24"/>
        </w:rPr>
        <w:t xml:space="preserve">tra </w:t>
      </w:r>
      <w:r>
        <w:rPr>
          <w:szCs w:val="24"/>
        </w:rPr>
        <w:t xml:space="preserve">queste vengono annoverate </w:t>
      </w:r>
      <w:r w:rsidRPr="00D31BC5">
        <w:rPr>
          <w:szCs w:val="24"/>
        </w:rPr>
        <w:t>anche prestazioni di Medicina Altamente Specializzata</w:t>
      </w:r>
      <w:r>
        <w:rPr>
          <w:szCs w:val="24"/>
        </w:rPr>
        <w:t xml:space="preserve"> (STROKE, ferite gravi, chirurgia viscerale complessa)</w:t>
      </w:r>
      <w:r w:rsidRPr="00D31BC5">
        <w:rPr>
          <w:szCs w:val="24"/>
        </w:rPr>
        <w:t>, il tutto con un nuovo slancio verso la dimensione universitaria. Fondamentale resta l’obiettivo di garantire una buona solidità finanziaria.</w:t>
      </w:r>
    </w:p>
    <w:p w:rsidR="003B2ADE" w:rsidRDefault="003B2ADE" w:rsidP="003B2ADE">
      <w:pPr>
        <w:rPr>
          <w:szCs w:val="24"/>
        </w:rPr>
      </w:pPr>
    </w:p>
    <w:p w:rsidR="00285BB5" w:rsidRPr="00C2452F" w:rsidRDefault="00285BB5" w:rsidP="003B2ADE">
      <w:pPr>
        <w:rPr>
          <w:szCs w:val="24"/>
        </w:rPr>
      </w:pPr>
    </w:p>
    <w:p w:rsidR="003B2ADE" w:rsidRPr="00C2452F" w:rsidRDefault="003B2ADE" w:rsidP="003B2ADE">
      <w:pPr>
        <w:jc w:val="center"/>
        <w:rPr>
          <w:szCs w:val="24"/>
        </w:rPr>
      </w:pPr>
      <w:r w:rsidRPr="00C2452F">
        <w:rPr>
          <w:noProof/>
          <w:szCs w:val="24"/>
          <w:lang w:eastAsia="it-CH"/>
        </w:rPr>
        <w:drawing>
          <wp:inline distT="0" distB="0" distL="0" distR="0" wp14:anchorId="387FA23B" wp14:editId="137F7EFD">
            <wp:extent cx="2938463" cy="254762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3275" cy="2569131"/>
                    </a:xfrm>
                    <a:prstGeom prst="rect">
                      <a:avLst/>
                    </a:prstGeom>
                    <a:noFill/>
                  </pic:spPr>
                </pic:pic>
              </a:graphicData>
            </a:graphic>
          </wp:inline>
        </w:drawing>
      </w:r>
    </w:p>
    <w:p w:rsidR="003B2ADE" w:rsidRPr="00230BA3" w:rsidRDefault="003B2ADE" w:rsidP="003B2ADE">
      <w:pPr>
        <w:rPr>
          <w:b/>
          <w:sz w:val="12"/>
          <w:szCs w:val="12"/>
        </w:rPr>
      </w:pPr>
    </w:p>
    <w:p w:rsidR="003B2ADE" w:rsidRDefault="003B2ADE" w:rsidP="003B2ADE">
      <w:pPr>
        <w:rPr>
          <w:bCs/>
          <w:szCs w:val="24"/>
        </w:rPr>
      </w:pPr>
    </w:p>
    <w:p w:rsidR="00285BB5" w:rsidRDefault="00285BB5" w:rsidP="003B2ADE">
      <w:pPr>
        <w:rPr>
          <w:bCs/>
          <w:szCs w:val="24"/>
        </w:rPr>
      </w:pPr>
    </w:p>
    <w:p w:rsidR="003B2ADE" w:rsidRDefault="003B2ADE" w:rsidP="003B2ADE">
      <w:pPr>
        <w:rPr>
          <w:bCs/>
          <w:szCs w:val="24"/>
        </w:rPr>
      </w:pPr>
      <w:r w:rsidRPr="00911DC9">
        <w:rPr>
          <w:bCs/>
          <w:szCs w:val="24"/>
        </w:rPr>
        <w:t xml:space="preserve">Qualità </w:t>
      </w:r>
      <w:r>
        <w:rPr>
          <w:bCs/>
          <w:szCs w:val="24"/>
        </w:rPr>
        <w:t xml:space="preserve">delle cure </w:t>
      </w:r>
      <w:r w:rsidRPr="00911DC9">
        <w:rPr>
          <w:bCs/>
          <w:szCs w:val="24"/>
        </w:rPr>
        <w:t xml:space="preserve">e sicurezza dei pazienti sono costantemente promosse tramite attività specifiche interne ed esterne alle strutture ospedaliere. </w:t>
      </w:r>
    </w:p>
    <w:p w:rsidR="006749F9" w:rsidRDefault="006749F9" w:rsidP="003B2ADE">
      <w:pPr>
        <w:rPr>
          <w:bCs/>
          <w:szCs w:val="24"/>
        </w:rPr>
      </w:pPr>
    </w:p>
    <w:p w:rsidR="006749F9" w:rsidRDefault="006749F9">
      <w:pPr>
        <w:rPr>
          <w:bCs/>
          <w:szCs w:val="24"/>
        </w:rPr>
      </w:pPr>
      <w:r>
        <w:rPr>
          <w:bCs/>
          <w:szCs w:val="24"/>
        </w:rPr>
        <w:br w:type="page"/>
      </w:r>
    </w:p>
    <w:p w:rsidR="003B2ADE" w:rsidRPr="00911DC9" w:rsidRDefault="003B2ADE" w:rsidP="003B2ADE">
      <w:pPr>
        <w:rPr>
          <w:bCs/>
          <w:szCs w:val="24"/>
        </w:rPr>
      </w:pPr>
      <w:r w:rsidRPr="00911DC9">
        <w:rPr>
          <w:bCs/>
          <w:szCs w:val="24"/>
        </w:rPr>
        <w:t>Qui di seguito l’elenco dei percorsi di certificazione o accreditamento.</w:t>
      </w:r>
    </w:p>
    <w:p w:rsidR="003B2ADE" w:rsidRDefault="003B2ADE" w:rsidP="003B2ADE">
      <w:pPr>
        <w:rPr>
          <w:bCs/>
          <w:szCs w:val="24"/>
        </w:rPr>
      </w:pPr>
    </w:p>
    <w:p w:rsidR="003B2ADE" w:rsidRDefault="003B2ADE" w:rsidP="003B2ADE">
      <w:pPr>
        <w:rPr>
          <w:bCs/>
          <w:szCs w:val="24"/>
        </w:rPr>
      </w:pPr>
      <w:r w:rsidRPr="00911DC9">
        <w:rPr>
          <w:noProof/>
          <w:lang w:eastAsia="it-CH"/>
        </w:rPr>
        <w:drawing>
          <wp:inline distT="0" distB="0" distL="0" distR="0" wp14:anchorId="1D376350" wp14:editId="70E9BEC3">
            <wp:extent cx="5275441" cy="3810000"/>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053" cy="3815497"/>
                    </a:xfrm>
                    <a:prstGeom prst="rect">
                      <a:avLst/>
                    </a:prstGeom>
                    <a:noFill/>
                    <a:ln>
                      <a:noFill/>
                    </a:ln>
                  </pic:spPr>
                </pic:pic>
              </a:graphicData>
            </a:graphic>
          </wp:inline>
        </w:drawing>
      </w:r>
    </w:p>
    <w:p w:rsidR="003B2ADE" w:rsidRPr="00CE56EA" w:rsidRDefault="003B2ADE" w:rsidP="003B2ADE">
      <w:pPr>
        <w:rPr>
          <w:bCs/>
          <w:szCs w:val="24"/>
        </w:rPr>
      </w:pPr>
    </w:p>
    <w:p w:rsidR="003B2ADE" w:rsidRPr="00CE56EA" w:rsidRDefault="003B2ADE" w:rsidP="003B2ADE">
      <w:pPr>
        <w:rPr>
          <w:szCs w:val="24"/>
        </w:rPr>
      </w:pPr>
      <w:r w:rsidRPr="00CE56EA">
        <w:rPr>
          <w:szCs w:val="24"/>
        </w:rPr>
        <w:t xml:space="preserve">I medici, il personale curante e il personale amministrativo e tecnico dell’EOC godono della </w:t>
      </w:r>
      <w:r w:rsidRPr="00534C46">
        <w:rPr>
          <w:b/>
          <w:bCs/>
          <w:szCs w:val="24"/>
        </w:rPr>
        <w:t>fiducia dei pazienti</w:t>
      </w:r>
      <w:r w:rsidRPr="00CE56EA">
        <w:rPr>
          <w:szCs w:val="24"/>
        </w:rPr>
        <w:t xml:space="preserve"> (dati sondaggio 2018). </w:t>
      </w:r>
      <w:r>
        <w:rPr>
          <w:szCs w:val="24"/>
        </w:rPr>
        <w:t xml:space="preserve">Questa </w:t>
      </w:r>
      <w:r w:rsidRPr="006334C2">
        <w:rPr>
          <w:b/>
          <w:bCs/>
          <w:szCs w:val="24"/>
        </w:rPr>
        <w:t>non va persa</w:t>
      </w:r>
      <w:r>
        <w:rPr>
          <w:szCs w:val="24"/>
        </w:rPr>
        <w:t>.</w:t>
      </w:r>
    </w:p>
    <w:p w:rsidR="003B2ADE" w:rsidRPr="00CE56EA" w:rsidRDefault="003B2ADE" w:rsidP="003B2ADE">
      <w:pPr>
        <w:rPr>
          <w:szCs w:val="24"/>
        </w:rPr>
      </w:pPr>
    </w:p>
    <w:p w:rsidR="003B2ADE" w:rsidRPr="00CE56EA" w:rsidRDefault="003B2ADE" w:rsidP="003B2ADE">
      <w:pPr>
        <w:rPr>
          <w:szCs w:val="24"/>
        </w:rPr>
      </w:pPr>
      <w:r w:rsidRPr="00CE56EA">
        <w:rPr>
          <w:noProof/>
          <w:lang w:eastAsia="it-CH"/>
        </w:rPr>
        <w:drawing>
          <wp:inline distT="0" distB="0" distL="0" distR="0" wp14:anchorId="524842B6" wp14:editId="39343455">
            <wp:extent cx="5762625" cy="130048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300480"/>
                    </a:xfrm>
                    <a:prstGeom prst="rect">
                      <a:avLst/>
                    </a:prstGeom>
                    <a:noFill/>
                    <a:ln>
                      <a:noFill/>
                    </a:ln>
                  </pic:spPr>
                </pic:pic>
              </a:graphicData>
            </a:graphic>
          </wp:inline>
        </w:drawing>
      </w:r>
    </w:p>
    <w:p w:rsidR="00285BB5" w:rsidRDefault="00285BB5" w:rsidP="003B2ADE">
      <w:pPr>
        <w:rPr>
          <w:szCs w:val="24"/>
        </w:rPr>
      </w:pPr>
    </w:p>
    <w:p w:rsidR="006749F9" w:rsidRDefault="006749F9" w:rsidP="003B2ADE">
      <w:pPr>
        <w:rPr>
          <w:szCs w:val="24"/>
        </w:rPr>
      </w:pPr>
    </w:p>
    <w:p w:rsidR="003B2ADE" w:rsidRPr="00CE56EA" w:rsidRDefault="003B2ADE" w:rsidP="003B2ADE">
      <w:pPr>
        <w:rPr>
          <w:szCs w:val="24"/>
        </w:rPr>
      </w:pPr>
      <w:r>
        <w:rPr>
          <w:szCs w:val="24"/>
        </w:rPr>
        <w:t>Sulle modalità di verifica e controllo del grado di soddisfazione si annota solo che a livello svizzero sono in corso discussioni circa le modalità con cui questi sondaggi possono essere realizzati.</w:t>
      </w:r>
    </w:p>
    <w:p w:rsidR="003B2ADE" w:rsidRDefault="003B2ADE" w:rsidP="003B2ADE">
      <w:pPr>
        <w:rPr>
          <w:szCs w:val="24"/>
        </w:rPr>
      </w:pPr>
    </w:p>
    <w:p w:rsidR="003B2ADE" w:rsidRPr="00CE56EA" w:rsidRDefault="003B2ADE" w:rsidP="003B2ADE">
      <w:pPr>
        <w:rPr>
          <w:szCs w:val="24"/>
        </w:rPr>
      </w:pPr>
      <w:r w:rsidRPr="00CE56EA">
        <w:rPr>
          <w:szCs w:val="24"/>
        </w:rPr>
        <w:t xml:space="preserve">Ciò premesso non va sottaciuto, anzi, che </w:t>
      </w:r>
      <w:r>
        <w:rPr>
          <w:szCs w:val="24"/>
        </w:rPr>
        <w:t xml:space="preserve">due </w:t>
      </w:r>
      <w:r w:rsidRPr="00CE56EA">
        <w:rPr>
          <w:szCs w:val="24"/>
        </w:rPr>
        <w:t xml:space="preserve">eventi </w:t>
      </w:r>
      <w:r>
        <w:rPr>
          <w:szCs w:val="24"/>
        </w:rPr>
        <w:t xml:space="preserve">2018 </w:t>
      </w:r>
      <w:r w:rsidRPr="00CE56EA">
        <w:rPr>
          <w:szCs w:val="24"/>
        </w:rPr>
        <w:t xml:space="preserve">relativamente a casi (fortunatamente isolati) di personale che ha irresponsabilmente mancato di assolvere ai </w:t>
      </w:r>
      <w:r>
        <w:rPr>
          <w:szCs w:val="24"/>
        </w:rPr>
        <w:t>propri</w:t>
      </w:r>
      <w:r w:rsidRPr="00CE56EA">
        <w:rPr>
          <w:szCs w:val="24"/>
        </w:rPr>
        <w:t xml:space="preserve"> importanti doveri destano preoccupazione e feriscono ingiustamente l’immagine della sanità pubblica (come quella privata) in un Ticino in cui per contro la qualità punta ad essere innalzata a tutti i livelli.</w:t>
      </w:r>
    </w:p>
    <w:p w:rsidR="003B2ADE" w:rsidRDefault="003B2ADE" w:rsidP="003B2ADE">
      <w:pPr>
        <w:rPr>
          <w:szCs w:val="24"/>
        </w:rPr>
      </w:pPr>
      <w:r>
        <w:rPr>
          <w:szCs w:val="24"/>
        </w:rPr>
        <w:t xml:space="preserve">Questi </w:t>
      </w:r>
      <w:r w:rsidRPr="00CE56EA">
        <w:rPr>
          <w:szCs w:val="24"/>
        </w:rPr>
        <w:t>eventi hanno indotto il personale medico e infermieristico</w:t>
      </w:r>
      <w:r>
        <w:rPr>
          <w:szCs w:val="24"/>
        </w:rPr>
        <w:t>, oltre a segnalare il caso alle autorità di vigilanza e agli inquirenti,</w:t>
      </w:r>
      <w:r w:rsidRPr="00CE56EA">
        <w:rPr>
          <w:szCs w:val="24"/>
        </w:rPr>
        <w:t xml:space="preserve"> a condurre un’ulteriore verifica interna delle procedure, per modificarle e migliorarle ancora laddove necessario e opportuno.</w:t>
      </w:r>
    </w:p>
    <w:p w:rsidR="00285BB5" w:rsidRDefault="00285BB5" w:rsidP="003B2ADE">
      <w:pPr>
        <w:rPr>
          <w:szCs w:val="24"/>
        </w:rPr>
      </w:pPr>
    </w:p>
    <w:p w:rsidR="00285BB5" w:rsidRDefault="00285BB5">
      <w:pPr>
        <w:rPr>
          <w:szCs w:val="24"/>
        </w:rPr>
      </w:pPr>
      <w:r>
        <w:rPr>
          <w:szCs w:val="24"/>
        </w:rPr>
        <w:br w:type="page"/>
      </w:r>
    </w:p>
    <w:p w:rsidR="003B2ADE" w:rsidRDefault="003B2ADE" w:rsidP="003B2ADE">
      <w:pPr>
        <w:rPr>
          <w:szCs w:val="24"/>
        </w:rPr>
      </w:pPr>
      <w:r w:rsidRPr="00CE56EA">
        <w:rPr>
          <w:szCs w:val="24"/>
        </w:rPr>
        <w:t>Le attività di promozione e miglioramento della qualità delle cure e della sicurezza dei pazienti condotte all’EOC integrano tre distinti approcci:</w:t>
      </w:r>
    </w:p>
    <w:p w:rsidR="003B2ADE" w:rsidRPr="00CE56EA" w:rsidRDefault="003B2ADE" w:rsidP="00285BB5">
      <w:pPr>
        <w:spacing w:before="80"/>
        <w:ind w:left="284" w:hanging="284"/>
        <w:rPr>
          <w:szCs w:val="24"/>
        </w:rPr>
      </w:pPr>
      <w:r w:rsidRPr="00CE56EA">
        <w:rPr>
          <w:szCs w:val="24"/>
        </w:rPr>
        <w:t>•</w:t>
      </w:r>
      <w:r w:rsidRPr="00CE56EA">
        <w:rPr>
          <w:szCs w:val="24"/>
        </w:rPr>
        <w:tab/>
        <w:t>l’approccio organizzativo</w:t>
      </w:r>
      <w:r>
        <w:rPr>
          <w:szCs w:val="24"/>
        </w:rPr>
        <w:t xml:space="preserve">, </w:t>
      </w:r>
      <w:r w:rsidRPr="00CE56EA">
        <w:rPr>
          <w:szCs w:val="24"/>
        </w:rPr>
        <w:t>manageriale, che promuove l’efficienza dell’organizzazione attraverso una visione sistemica delle problematiche;</w:t>
      </w:r>
    </w:p>
    <w:p w:rsidR="003B2ADE" w:rsidRPr="00CE56EA" w:rsidRDefault="003B2ADE" w:rsidP="00285BB5">
      <w:pPr>
        <w:spacing w:before="80"/>
        <w:ind w:left="284" w:hanging="284"/>
        <w:rPr>
          <w:szCs w:val="24"/>
        </w:rPr>
      </w:pPr>
      <w:r w:rsidRPr="00CE56EA">
        <w:rPr>
          <w:szCs w:val="24"/>
        </w:rPr>
        <w:t>•</w:t>
      </w:r>
      <w:r w:rsidRPr="00CE56EA">
        <w:rPr>
          <w:szCs w:val="24"/>
        </w:rPr>
        <w:tab/>
        <w:t>l’approccio tecnico</w:t>
      </w:r>
      <w:r>
        <w:rPr>
          <w:szCs w:val="24"/>
        </w:rPr>
        <w:t>,</w:t>
      </w:r>
      <w:r w:rsidRPr="00CE56EA">
        <w:rPr>
          <w:szCs w:val="24"/>
        </w:rPr>
        <w:t xml:space="preserve"> professionale, basato sulle prove di efficacia, volto a promuovere l’appropriatezza e l’efficacia clinica;</w:t>
      </w:r>
    </w:p>
    <w:p w:rsidR="003B2ADE" w:rsidRPr="00CE56EA" w:rsidRDefault="003B2ADE" w:rsidP="00285BB5">
      <w:pPr>
        <w:spacing w:before="80"/>
        <w:ind w:left="284" w:hanging="284"/>
        <w:rPr>
          <w:szCs w:val="24"/>
        </w:rPr>
      </w:pPr>
      <w:r w:rsidRPr="00CE56EA">
        <w:rPr>
          <w:szCs w:val="24"/>
        </w:rPr>
        <w:t>•</w:t>
      </w:r>
      <w:r w:rsidRPr="00CE56EA">
        <w:rPr>
          <w:szCs w:val="24"/>
        </w:rPr>
        <w:tab/>
        <w:t>l’approccio relazionale, che promuove la qualità del rapporto con il paziente e con le organizzazioni e i professionisti partner.</w:t>
      </w:r>
    </w:p>
    <w:p w:rsidR="003B2ADE" w:rsidRPr="007E4CF3" w:rsidRDefault="003B2ADE" w:rsidP="003B2ADE">
      <w:pPr>
        <w:rPr>
          <w:szCs w:val="24"/>
        </w:rPr>
      </w:pPr>
    </w:p>
    <w:p w:rsidR="003B2ADE" w:rsidRPr="007E4CF3" w:rsidRDefault="003B2ADE" w:rsidP="003B2ADE">
      <w:pPr>
        <w:rPr>
          <w:szCs w:val="24"/>
        </w:rPr>
      </w:pPr>
      <w:r w:rsidRPr="007E4CF3">
        <w:rPr>
          <w:szCs w:val="24"/>
        </w:rPr>
        <w:t xml:space="preserve">Lean Hospital – ospedale snello – è il modello organizzativo scelto dall’EOC per rendere il lavoro più efficiente e orientato alla relazione con il paziente, migliorando qualità e sicurezza delle cure. </w:t>
      </w:r>
    </w:p>
    <w:p w:rsidR="003B2ADE" w:rsidRPr="007E4CF3" w:rsidRDefault="003B2ADE" w:rsidP="003B2ADE">
      <w:pPr>
        <w:rPr>
          <w:szCs w:val="24"/>
        </w:rPr>
      </w:pPr>
      <w:r w:rsidRPr="007E4CF3">
        <w:rPr>
          <w:szCs w:val="24"/>
        </w:rPr>
        <w:t>Quale apripista per questo nuovo approccio è stato scelto il reparto di Medicina 2 dell’Ospedale di Mendrisio. Il progetto pilota ha così permesso di intraprendere una minuziosa analisi per individuare criticità, eliminare sprechi (di tempo, di materiali, ecc.) e identificare una migliore allocazione delle risorse in quel reparto. Anche l’iniziativa “Migliorare ogni giorno” si iscrive nel Piano strategico 2018-2021; essa prevede l’introduzione progressiva di una cultura lean all’interno delle strutture EOC. Al nuovo modello organizzativo è dedicato un ampio approfondimento nel magazine per i collaboratori “presente” di gennaio 2019, disponibile sul sito</w:t>
      </w:r>
      <w:r>
        <w:rPr>
          <w:szCs w:val="24"/>
        </w:rPr>
        <w:t xml:space="preserve"> </w:t>
      </w:r>
      <w:hyperlink r:id="rId12" w:history="1">
        <w:r w:rsidRPr="00041DC6">
          <w:rPr>
            <w:rStyle w:val="Collegamentoipertestuale"/>
            <w:szCs w:val="24"/>
          </w:rPr>
          <w:t>www.eoc.ch</w:t>
        </w:r>
      </w:hyperlink>
      <w:r>
        <w:rPr>
          <w:szCs w:val="24"/>
        </w:rPr>
        <w:t xml:space="preserve"> </w:t>
      </w:r>
      <w:r w:rsidRPr="007E4CF3">
        <w:rPr>
          <w:szCs w:val="24"/>
        </w:rPr>
        <w:t>.</w:t>
      </w:r>
    </w:p>
    <w:p w:rsidR="003B2ADE" w:rsidRDefault="003B2ADE" w:rsidP="003B2ADE">
      <w:pPr>
        <w:rPr>
          <w:szCs w:val="24"/>
        </w:rPr>
      </w:pPr>
    </w:p>
    <w:p w:rsidR="003B2ADE" w:rsidRPr="003719E9" w:rsidRDefault="003B2ADE" w:rsidP="003B2ADE">
      <w:pPr>
        <w:rPr>
          <w:szCs w:val="24"/>
        </w:rPr>
      </w:pPr>
      <w:r w:rsidRPr="003719E9">
        <w:rPr>
          <w:szCs w:val="24"/>
        </w:rPr>
        <w:t xml:space="preserve">L’organigramma dell’EOC nel biennio 2018/2019 ha registrato alcuni avvicendamenti e sostituzioni. </w:t>
      </w:r>
    </w:p>
    <w:p w:rsidR="003B2ADE" w:rsidRDefault="003B2ADE" w:rsidP="003B2ADE">
      <w:pPr>
        <w:rPr>
          <w:szCs w:val="24"/>
        </w:rPr>
      </w:pPr>
    </w:p>
    <w:p w:rsidR="003B2ADE" w:rsidRDefault="003B2ADE" w:rsidP="003B2ADE">
      <w:pPr>
        <w:rPr>
          <w:szCs w:val="24"/>
        </w:rPr>
      </w:pPr>
      <w:r>
        <w:rPr>
          <w:noProof/>
          <w:lang w:eastAsia="it-CH"/>
        </w:rPr>
        <w:drawing>
          <wp:inline distT="0" distB="0" distL="0" distR="0" wp14:anchorId="22C87028" wp14:editId="7E8368BF">
            <wp:extent cx="4880974" cy="3352800"/>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36" t="10856" r="33381" b="12328"/>
                    <a:stretch/>
                  </pic:blipFill>
                  <pic:spPr bwMode="auto">
                    <a:xfrm>
                      <a:off x="0" y="0"/>
                      <a:ext cx="4989521" cy="3427362"/>
                    </a:xfrm>
                    <a:prstGeom prst="rect">
                      <a:avLst/>
                    </a:prstGeom>
                    <a:ln>
                      <a:noFill/>
                    </a:ln>
                    <a:extLst>
                      <a:ext uri="{53640926-AAD7-44D8-BBD7-CCE9431645EC}">
                        <a14:shadowObscured xmlns:a14="http://schemas.microsoft.com/office/drawing/2010/main"/>
                      </a:ext>
                    </a:extLst>
                  </pic:spPr>
                </pic:pic>
              </a:graphicData>
            </a:graphic>
          </wp:inline>
        </w:drawing>
      </w:r>
    </w:p>
    <w:p w:rsidR="006749F9" w:rsidRDefault="006749F9" w:rsidP="003B2ADE">
      <w:pPr>
        <w:rPr>
          <w:szCs w:val="24"/>
        </w:rPr>
      </w:pPr>
    </w:p>
    <w:p w:rsidR="003B2ADE" w:rsidRPr="00191BE0" w:rsidRDefault="003B2ADE" w:rsidP="003B2ADE">
      <w:pPr>
        <w:rPr>
          <w:szCs w:val="24"/>
        </w:rPr>
      </w:pPr>
      <w:r>
        <w:rPr>
          <w:szCs w:val="24"/>
        </w:rPr>
        <w:t xml:space="preserve"> </w:t>
      </w:r>
      <w:r>
        <w:rPr>
          <w:noProof/>
          <w:szCs w:val="24"/>
          <w:lang w:eastAsia="it-CH"/>
        </w:rPr>
        <w:drawing>
          <wp:inline distT="0" distB="0" distL="0" distR="0" wp14:anchorId="12566CC3" wp14:editId="1897349B">
            <wp:extent cx="4824413" cy="3823335"/>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651" cy="3856016"/>
                    </a:xfrm>
                    <a:prstGeom prst="rect">
                      <a:avLst/>
                    </a:prstGeom>
                    <a:noFill/>
                  </pic:spPr>
                </pic:pic>
              </a:graphicData>
            </a:graphic>
          </wp:inline>
        </w:drawing>
      </w:r>
    </w:p>
    <w:p w:rsidR="00285BB5" w:rsidRDefault="00285BB5" w:rsidP="003B2ADE">
      <w:pPr>
        <w:rPr>
          <w:szCs w:val="24"/>
        </w:rPr>
      </w:pPr>
    </w:p>
    <w:p w:rsidR="00285BB5" w:rsidRDefault="00285BB5" w:rsidP="003B2ADE">
      <w:pPr>
        <w:rPr>
          <w:szCs w:val="24"/>
        </w:rPr>
      </w:pPr>
    </w:p>
    <w:p w:rsidR="006749F9" w:rsidRDefault="006749F9">
      <w:pPr>
        <w:rPr>
          <w:szCs w:val="24"/>
        </w:rPr>
      </w:pPr>
      <w:r>
        <w:rPr>
          <w:szCs w:val="24"/>
        </w:rPr>
        <w:br w:type="page"/>
      </w:r>
    </w:p>
    <w:p w:rsidR="003B2ADE" w:rsidRDefault="003B2ADE" w:rsidP="003B2ADE">
      <w:r w:rsidRPr="00191BE0">
        <w:rPr>
          <w:szCs w:val="24"/>
        </w:rPr>
        <w:t xml:space="preserve">Riprendiamo </w:t>
      </w:r>
      <w:r>
        <w:rPr>
          <w:szCs w:val="24"/>
        </w:rPr>
        <w:t xml:space="preserve">dal </w:t>
      </w:r>
      <w:r w:rsidRPr="00E51369">
        <w:rPr>
          <w:szCs w:val="24"/>
        </w:rPr>
        <w:t>Rapporto 2018 EOC: circa</w:t>
      </w:r>
      <w:r w:rsidRPr="00E51369">
        <w:t xml:space="preserve"> la popolazione di riferimento.</w:t>
      </w:r>
    </w:p>
    <w:p w:rsidR="003B2ADE" w:rsidRDefault="003B2ADE" w:rsidP="003B2ADE"/>
    <w:p w:rsidR="003B2ADE" w:rsidRDefault="003B2ADE" w:rsidP="003B2ADE">
      <w:r w:rsidRPr="00C12595">
        <w:rPr>
          <w:noProof/>
          <w:lang w:eastAsia="it-CH"/>
        </w:rPr>
        <w:drawing>
          <wp:inline distT="0" distB="0" distL="0" distR="0" wp14:anchorId="7BC9E7E3" wp14:editId="0BD1D78B">
            <wp:extent cx="7252335" cy="662366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7338" cy="6628229"/>
                    </a:xfrm>
                    <a:prstGeom prst="rect">
                      <a:avLst/>
                    </a:prstGeom>
                    <a:noFill/>
                    <a:ln>
                      <a:noFill/>
                    </a:ln>
                  </pic:spPr>
                </pic:pic>
              </a:graphicData>
            </a:graphic>
          </wp:inline>
        </w:drawing>
      </w:r>
    </w:p>
    <w:p w:rsidR="003B2ADE" w:rsidRPr="0066158F" w:rsidRDefault="003B2ADE" w:rsidP="003B2ADE">
      <w:r w:rsidRPr="00C12595">
        <w:rPr>
          <w:noProof/>
          <w:lang w:eastAsia="it-CH"/>
        </w:rPr>
        <w:drawing>
          <wp:inline distT="0" distB="0" distL="0" distR="0" wp14:anchorId="0C46AE84" wp14:editId="0EA1A837">
            <wp:extent cx="6120130" cy="3357245"/>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357245"/>
                    </a:xfrm>
                    <a:prstGeom prst="rect">
                      <a:avLst/>
                    </a:prstGeom>
                    <a:noFill/>
                    <a:ln>
                      <a:noFill/>
                    </a:ln>
                  </pic:spPr>
                </pic:pic>
              </a:graphicData>
            </a:graphic>
          </wp:inline>
        </w:drawing>
      </w:r>
    </w:p>
    <w:p w:rsidR="003B2ADE" w:rsidRPr="006749F9" w:rsidRDefault="003B2ADE" w:rsidP="006749F9"/>
    <w:p w:rsidR="006749F9" w:rsidRPr="006749F9" w:rsidRDefault="006749F9" w:rsidP="006749F9"/>
    <w:p w:rsidR="003B2ADE" w:rsidRDefault="003B2ADE" w:rsidP="003B2ADE">
      <w:pPr>
        <w:widowControl w:val="0"/>
        <w:autoSpaceDE w:val="0"/>
        <w:autoSpaceDN w:val="0"/>
        <w:spacing w:before="105"/>
        <w:ind w:left="936"/>
        <w:jc w:val="left"/>
        <w:outlineLvl w:val="2"/>
        <w:rPr>
          <w:rFonts w:ascii="Trebuchet MS" w:eastAsia="Trebuchet MS" w:hAnsi="Trebuchet MS" w:cs="Trebuchet MS"/>
          <w:color w:val="76B9C7"/>
          <w:szCs w:val="24"/>
          <w:lang w:val="it-IT" w:eastAsia="it-IT" w:bidi="it-IT"/>
        </w:rPr>
      </w:pPr>
      <w:r w:rsidRPr="00801365">
        <w:rPr>
          <w:rFonts w:ascii="Trebuchet MS" w:eastAsia="Trebuchet MS" w:hAnsi="Trebuchet MS" w:cs="Trebuchet MS"/>
          <w:color w:val="76B9C7"/>
          <w:szCs w:val="24"/>
          <w:lang w:val="it-IT" w:eastAsia="it-IT" w:bidi="it-IT"/>
        </w:rPr>
        <w:t>Indicatori relativi ai mandati</w:t>
      </w:r>
    </w:p>
    <w:p w:rsidR="003B2ADE" w:rsidRPr="00801365" w:rsidRDefault="003B2ADE" w:rsidP="003B2ADE">
      <w:pPr>
        <w:widowControl w:val="0"/>
        <w:autoSpaceDE w:val="0"/>
        <w:autoSpaceDN w:val="0"/>
        <w:spacing w:before="105"/>
        <w:jc w:val="left"/>
        <w:outlineLvl w:val="2"/>
        <w:rPr>
          <w:rFonts w:ascii="Trebuchet MS" w:eastAsia="Trebuchet MS" w:hAnsi="Trebuchet MS" w:cs="Trebuchet MS"/>
          <w:szCs w:val="24"/>
          <w:lang w:val="it-IT" w:eastAsia="it-IT" w:bidi="it-IT"/>
        </w:rPr>
      </w:pPr>
      <w:r w:rsidRPr="00C12595">
        <w:rPr>
          <w:noProof/>
          <w:lang w:eastAsia="it-CH"/>
        </w:rPr>
        <w:drawing>
          <wp:inline distT="0" distB="0" distL="0" distR="0" wp14:anchorId="6ABF0A8A" wp14:editId="3E0431B1">
            <wp:extent cx="6677025" cy="3711575"/>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7025" cy="3711575"/>
                    </a:xfrm>
                    <a:prstGeom prst="rect">
                      <a:avLst/>
                    </a:prstGeom>
                    <a:noFill/>
                    <a:ln>
                      <a:noFill/>
                    </a:ln>
                  </pic:spPr>
                </pic:pic>
              </a:graphicData>
            </a:graphic>
          </wp:inline>
        </w:drawing>
      </w:r>
    </w:p>
    <w:p w:rsidR="003B2ADE" w:rsidRDefault="003B2ADE" w:rsidP="006749F9">
      <w:pPr>
        <w:rPr>
          <w:lang w:val="it-IT" w:eastAsia="it-IT" w:bidi="it-IT"/>
        </w:rPr>
      </w:pPr>
      <w:bookmarkStart w:id="2" w:name="_Hlk31708008"/>
    </w:p>
    <w:p w:rsidR="006749F9" w:rsidRPr="00671FB7" w:rsidRDefault="006749F9" w:rsidP="006749F9">
      <w:pPr>
        <w:rPr>
          <w:lang w:val="it-IT" w:eastAsia="it-IT" w:bidi="it-IT"/>
        </w:rPr>
      </w:pPr>
    </w:p>
    <w:bookmarkEnd w:id="2"/>
    <w:p w:rsidR="006749F9" w:rsidRDefault="006749F9">
      <w:pPr>
        <w:rPr>
          <w:b/>
          <w:caps/>
          <w:szCs w:val="24"/>
          <w:lang w:val="it-IT" w:eastAsia="it-IT"/>
        </w:rPr>
      </w:pPr>
      <w:r>
        <w:br w:type="page"/>
      </w:r>
    </w:p>
    <w:p w:rsidR="003B2ADE" w:rsidRDefault="003B2ADE" w:rsidP="003B2ADE">
      <w:pPr>
        <w:pStyle w:val="Titolo1"/>
        <w:ind w:left="0" w:firstLine="0"/>
      </w:pPr>
      <w:r>
        <w:t>Il mESSAGGIo n. 7734 e il Rapporto EOC sui Conti 2018</w:t>
      </w:r>
    </w:p>
    <w:p w:rsidR="003B2ADE" w:rsidRDefault="003B2ADE" w:rsidP="003B2ADE">
      <w:pPr>
        <w:rPr>
          <w:szCs w:val="24"/>
        </w:rPr>
      </w:pPr>
      <w:r>
        <w:rPr>
          <w:szCs w:val="24"/>
        </w:rPr>
        <w:t xml:space="preserve">Il </w:t>
      </w:r>
      <w:r w:rsidRPr="00C477D3">
        <w:rPr>
          <w:szCs w:val="24"/>
        </w:rPr>
        <w:t>Rapport</w:t>
      </w:r>
      <w:r>
        <w:rPr>
          <w:szCs w:val="24"/>
        </w:rPr>
        <w:t>o</w:t>
      </w:r>
      <w:r w:rsidRPr="00C477D3">
        <w:rPr>
          <w:szCs w:val="24"/>
        </w:rPr>
        <w:t xml:space="preserve"> annual</w:t>
      </w:r>
      <w:r>
        <w:rPr>
          <w:szCs w:val="24"/>
        </w:rPr>
        <w:t>e</w:t>
      </w:r>
      <w:r w:rsidRPr="00C477D3">
        <w:rPr>
          <w:szCs w:val="24"/>
        </w:rPr>
        <w:t xml:space="preserve"> 201</w:t>
      </w:r>
      <w:r>
        <w:rPr>
          <w:szCs w:val="24"/>
        </w:rPr>
        <w:t xml:space="preserve">8 </w:t>
      </w:r>
      <w:r w:rsidRPr="00C477D3">
        <w:rPr>
          <w:szCs w:val="24"/>
        </w:rPr>
        <w:t xml:space="preserve">dell’Ente Ospedaliero Cantonale (EOC) </w:t>
      </w:r>
      <w:r>
        <w:rPr>
          <w:szCs w:val="24"/>
        </w:rPr>
        <w:t xml:space="preserve">deve essere approvato dal Consiglio di Stato e di seguito dal Gran Consiglio </w:t>
      </w:r>
      <w:r w:rsidRPr="00C477D3">
        <w:rPr>
          <w:szCs w:val="24"/>
        </w:rPr>
        <w:t>conformemente all’art. 25 lett. c) della Legge sull’EOC (LEOC) del 19 dicembre 2000.</w:t>
      </w:r>
      <w:r>
        <w:rPr>
          <w:szCs w:val="24"/>
        </w:rPr>
        <w:t xml:space="preserve"> Il Messaggio governativo – secondo un meccanismo consolidato e che si riprende qui di seguito, a mero scopo propedeutico, solo in considerazione dell’intervenuto ricambio di parte del Parlamento dopo le elezioni di aprile 2019 - f</w:t>
      </w:r>
      <w:r w:rsidRPr="00C477D3">
        <w:rPr>
          <w:szCs w:val="24"/>
        </w:rPr>
        <w:t>ornisc</w:t>
      </w:r>
      <w:r>
        <w:rPr>
          <w:szCs w:val="24"/>
        </w:rPr>
        <w:t>e</w:t>
      </w:r>
      <w:r w:rsidRPr="00C477D3">
        <w:rPr>
          <w:szCs w:val="24"/>
        </w:rPr>
        <w:t xml:space="preserve"> altresì gli approfondimenti riguardanti il calcolo e l’utilizzo del contributo globale nonché il rispetto del contratto di prestazione ai sensi dell’art. 66d LCAMal.</w:t>
      </w:r>
      <w:r>
        <w:rPr>
          <w:szCs w:val="24"/>
        </w:rPr>
        <w:t xml:space="preserve"> </w:t>
      </w:r>
    </w:p>
    <w:p w:rsidR="003B2ADE" w:rsidRPr="00D71C18" w:rsidRDefault="003B2ADE" w:rsidP="003B2ADE">
      <w:pPr>
        <w:rPr>
          <w:szCs w:val="24"/>
        </w:rPr>
      </w:pPr>
      <w:r>
        <w:rPr>
          <w:szCs w:val="24"/>
        </w:rPr>
        <w:t>L</w:t>
      </w:r>
      <w:r w:rsidRPr="00D71C18">
        <w:rPr>
          <w:szCs w:val="24"/>
        </w:rPr>
        <w:t>a modalità di concretizzazione dell’art. 66d LCAMal t</w:t>
      </w:r>
      <w:r>
        <w:rPr>
          <w:szCs w:val="24"/>
        </w:rPr>
        <w:t>iene</w:t>
      </w:r>
      <w:r w:rsidRPr="00D71C18">
        <w:rPr>
          <w:szCs w:val="24"/>
        </w:rPr>
        <w:t xml:space="preserve"> conto delle differenti tempistiche d’allestimento dei conti dello Stato, da un lato, e dei contratti di prestazione, dall’altro.</w:t>
      </w:r>
      <w:r>
        <w:rPr>
          <w:szCs w:val="24"/>
        </w:rPr>
        <w:t xml:space="preserve"> Detta norma prevede</w:t>
      </w:r>
      <w:r w:rsidRPr="00D71C18">
        <w:rPr>
          <w:szCs w:val="24"/>
        </w:rPr>
        <w:t xml:space="preserve"> pertanto che </w:t>
      </w:r>
      <w:r w:rsidRPr="00924CB7">
        <w:rPr>
          <w:szCs w:val="24"/>
        </w:rPr>
        <w:t>nel sottoporre al Gran Consiglio il contributo globale per le ospedalizzazioni nel Cantone, il Consiglio di Stato proceda nella maniera seguente:</w:t>
      </w:r>
    </w:p>
    <w:p w:rsidR="003B2ADE" w:rsidRPr="00D71C18" w:rsidRDefault="003B2ADE" w:rsidP="003B2ADE">
      <w:pPr>
        <w:tabs>
          <w:tab w:val="left" w:pos="284"/>
        </w:tabs>
        <w:spacing w:before="80"/>
        <w:ind w:left="284" w:hanging="284"/>
        <w:rPr>
          <w:szCs w:val="24"/>
        </w:rPr>
      </w:pPr>
      <w:r w:rsidRPr="00D71C18">
        <w:rPr>
          <w:szCs w:val="24"/>
        </w:rPr>
        <w:t>-</w:t>
      </w:r>
      <w:r w:rsidRPr="00D71C18">
        <w:rPr>
          <w:szCs w:val="24"/>
        </w:rPr>
        <w:tab/>
        <w:t xml:space="preserve">nel messaggio sul </w:t>
      </w:r>
      <w:r w:rsidRPr="004163DC">
        <w:rPr>
          <w:szCs w:val="24"/>
          <w:u w:val="single"/>
        </w:rPr>
        <w:t>preventivo</w:t>
      </w:r>
      <w:r w:rsidRPr="00D71C18">
        <w:rPr>
          <w:szCs w:val="24"/>
        </w:rPr>
        <w:t xml:space="preserve"> del Cantone, fornendo un’indicazione del contributo globale non suddiviso tra i vari istituti. Il preventivo dello Stato viene infatti allestito prima dell’inizio delle trattative con i diversi istituti, per cui una stima dei singoli contributi arrecherebbe pregiudizio alle stesse;</w:t>
      </w:r>
    </w:p>
    <w:p w:rsidR="003B2ADE" w:rsidRPr="00D71C18" w:rsidRDefault="003B2ADE" w:rsidP="003B2ADE">
      <w:pPr>
        <w:tabs>
          <w:tab w:val="left" w:pos="284"/>
        </w:tabs>
        <w:spacing w:before="80"/>
        <w:ind w:left="284" w:hanging="284"/>
        <w:rPr>
          <w:szCs w:val="24"/>
        </w:rPr>
      </w:pPr>
      <w:r w:rsidRPr="00D71C18">
        <w:rPr>
          <w:szCs w:val="24"/>
        </w:rPr>
        <w:t>-</w:t>
      </w:r>
      <w:r w:rsidRPr="00D71C18">
        <w:rPr>
          <w:szCs w:val="24"/>
        </w:rPr>
        <w:tab/>
        <w:t xml:space="preserve">nel messaggio sul </w:t>
      </w:r>
      <w:r w:rsidRPr="004163DC">
        <w:rPr>
          <w:szCs w:val="24"/>
          <w:u w:val="single"/>
        </w:rPr>
        <w:t>consuntivo</w:t>
      </w:r>
      <w:r w:rsidRPr="00D71C18">
        <w:rPr>
          <w:szCs w:val="24"/>
        </w:rPr>
        <w:t xml:space="preserve"> del Cantone, provvedendo all’inserimento (dal 2015) del dettaglio dei contributi globali versati per singolo istituto e del resoconto per ospedale in merito all’utilizzo dei contributi globali e al rispetto dei contratti di prestazione (dato di competenza relativo all’anno precedente);</w:t>
      </w:r>
    </w:p>
    <w:p w:rsidR="003B2ADE" w:rsidRPr="003207C8" w:rsidRDefault="003B2ADE" w:rsidP="003B2ADE">
      <w:pPr>
        <w:tabs>
          <w:tab w:val="left" w:pos="284"/>
        </w:tabs>
        <w:spacing w:before="80"/>
        <w:ind w:left="284" w:hanging="284"/>
        <w:rPr>
          <w:szCs w:val="24"/>
        </w:rPr>
      </w:pPr>
      <w:r>
        <w:rPr>
          <w:szCs w:val="24"/>
        </w:rPr>
        <w:t>-</w:t>
      </w:r>
      <w:r>
        <w:rPr>
          <w:szCs w:val="24"/>
        </w:rPr>
        <w:tab/>
      </w:r>
      <w:r w:rsidRPr="00D71C18">
        <w:rPr>
          <w:szCs w:val="24"/>
        </w:rPr>
        <w:t>allestendo un messaggio a sé stante per l’approvazione de</w:t>
      </w:r>
      <w:r>
        <w:rPr>
          <w:szCs w:val="24"/>
        </w:rPr>
        <w:t>i singoli</w:t>
      </w:r>
      <w:r w:rsidRPr="00D71C18">
        <w:rPr>
          <w:szCs w:val="24"/>
        </w:rPr>
        <w:t xml:space="preserve"> rapport</w:t>
      </w:r>
      <w:r>
        <w:rPr>
          <w:szCs w:val="24"/>
        </w:rPr>
        <w:t>i</w:t>
      </w:r>
      <w:r w:rsidRPr="00D71C18">
        <w:rPr>
          <w:szCs w:val="24"/>
        </w:rPr>
        <w:t xml:space="preserve"> annual</w:t>
      </w:r>
      <w:r>
        <w:rPr>
          <w:szCs w:val="24"/>
        </w:rPr>
        <w:t>i</w:t>
      </w:r>
      <w:r w:rsidRPr="00D71C18">
        <w:rPr>
          <w:szCs w:val="24"/>
        </w:rPr>
        <w:t xml:space="preserve"> </w:t>
      </w:r>
      <w:r w:rsidRPr="003207C8">
        <w:rPr>
          <w:szCs w:val="24"/>
        </w:rPr>
        <w:t>dell’EOC e che sono infine l’oggetto specifico di questo rapporto.</w:t>
      </w:r>
    </w:p>
    <w:p w:rsidR="003B2ADE" w:rsidRDefault="003B2ADE" w:rsidP="003B2ADE">
      <w:pPr>
        <w:rPr>
          <w:szCs w:val="24"/>
        </w:rPr>
      </w:pPr>
    </w:p>
    <w:p w:rsidR="003B2ADE" w:rsidRPr="005A5D31" w:rsidRDefault="003B2ADE" w:rsidP="003B2ADE">
      <w:pPr>
        <w:rPr>
          <w:szCs w:val="24"/>
          <w:lang w:bidi="it-IT"/>
        </w:rPr>
      </w:pPr>
      <w:r w:rsidRPr="005A5D31">
        <w:rPr>
          <w:szCs w:val="24"/>
          <w:lang w:bidi="it-IT"/>
        </w:rPr>
        <w:t xml:space="preserve">L’esercizio 2018 presenta una leggera flessione dell’attività stazionaria, mentre quella ambulatoriale </w:t>
      </w:r>
      <w:r>
        <w:rPr>
          <w:szCs w:val="24"/>
          <w:lang w:bidi="it-IT"/>
        </w:rPr>
        <w:t xml:space="preserve">ha risentito dell’introduzione della nuova struttura tariffale TarMed, </w:t>
      </w:r>
      <w:r w:rsidRPr="005A5D31">
        <w:rPr>
          <w:szCs w:val="24"/>
          <w:lang w:bidi="it-IT"/>
        </w:rPr>
        <w:t xml:space="preserve">il sistema </w:t>
      </w:r>
      <w:r>
        <w:rPr>
          <w:szCs w:val="24"/>
          <w:lang w:bidi="it-IT"/>
        </w:rPr>
        <w:t xml:space="preserve">nazionale </w:t>
      </w:r>
      <w:r w:rsidRPr="005A5D31">
        <w:rPr>
          <w:szCs w:val="24"/>
          <w:lang w:bidi="it-IT"/>
        </w:rPr>
        <w:t>di fatturazione di prestazioni mediche ambulatoriali, imposta dal Consiglio federale con effetto dal 1° gennaio 2018</w:t>
      </w:r>
      <w:r>
        <w:rPr>
          <w:szCs w:val="24"/>
          <w:lang w:bidi="it-IT"/>
        </w:rPr>
        <w:t>, limitando l’aumento di queste prestazioni in punti allo 0.2%</w:t>
      </w:r>
      <w:r w:rsidRPr="005A5D31">
        <w:rPr>
          <w:szCs w:val="24"/>
          <w:lang w:bidi="it-IT"/>
        </w:rPr>
        <w:t xml:space="preserve">. </w:t>
      </w:r>
      <w:r>
        <w:rPr>
          <w:szCs w:val="24"/>
          <w:lang w:bidi="it-IT"/>
        </w:rPr>
        <w:t>Malgrado questi effetti i</w:t>
      </w:r>
      <w:r w:rsidRPr="005A5D31">
        <w:rPr>
          <w:szCs w:val="24"/>
          <w:lang w:bidi="it-IT"/>
        </w:rPr>
        <w:t xml:space="preserve">l risultato operativo (EBITDA) è migliorato, anche se rimane su un livello modesto se rapportato all’importante volume di investimenti programmato. </w:t>
      </w:r>
    </w:p>
    <w:p w:rsidR="003B2ADE" w:rsidRPr="006C2D6B" w:rsidRDefault="003B2ADE" w:rsidP="003B2ADE">
      <w:pPr>
        <w:rPr>
          <w:szCs w:val="24"/>
          <w:lang w:bidi="it-IT"/>
        </w:rPr>
      </w:pPr>
    </w:p>
    <w:p w:rsidR="003B2ADE" w:rsidRPr="006C2D6B" w:rsidRDefault="003B2ADE" w:rsidP="003B2ADE">
      <w:pPr>
        <w:rPr>
          <w:szCs w:val="24"/>
          <w:lang w:bidi="it-IT"/>
        </w:rPr>
      </w:pPr>
      <w:r w:rsidRPr="006C2D6B">
        <w:rPr>
          <w:szCs w:val="24"/>
          <w:lang w:bidi="it-IT"/>
        </w:rPr>
        <w:t>Nel 2018 si è accentuata la pressione della politica federale per contenere l’aumento dei costi della salute, che si traduce nel continuo aumento dei premi di cassa malati. Diverse sono le misure messe in atto dalla Confederazione e dai Cantoni:</w:t>
      </w:r>
    </w:p>
    <w:p w:rsidR="003B2ADE" w:rsidRPr="006C2D6B" w:rsidRDefault="003B2ADE" w:rsidP="00285BB5">
      <w:pPr>
        <w:pStyle w:val="Paragrafoelenco"/>
        <w:numPr>
          <w:ilvl w:val="0"/>
          <w:numId w:val="36"/>
        </w:numPr>
        <w:spacing w:before="80"/>
        <w:ind w:left="284" w:hanging="284"/>
        <w:rPr>
          <w:szCs w:val="24"/>
          <w:lang w:bidi="it-IT"/>
        </w:rPr>
      </w:pPr>
      <w:r w:rsidRPr="006C2D6B">
        <w:rPr>
          <w:szCs w:val="24"/>
          <w:lang w:bidi="it-IT"/>
        </w:rPr>
        <w:t>la revisione del TARMED;</w:t>
      </w:r>
    </w:p>
    <w:p w:rsidR="003B2ADE" w:rsidRPr="006C2D6B" w:rsidRDefault="003B2ADE" w:rsidP="00285BB5">
      <w:pPr>
        <w:pStyle w:val="Paragrafoelenco"/>
        <w:numPr>
          <w:ilvl w:val="0"/>
          <w:numId w:val="36"/>
        </w:numPr>
        <w:spacing w:before="80"/>
        <w:ind w:left="284" w:hanging="284"/>
        <w:rPr>
          <w:szCs w:val="24"/>
          <w:lang w:bidi="it-IT"/>
        </w:rPr>
      </w:pPr>
      <w:r w:rsidRPr="006C2D6B">
        <w:rPr>
          <w:szCs w:val="24"/>
          <w:lang w:bidi="it-IT"/>
        </w:rPr>
        <w:t xml:space="preserve">la messa in vigore a partire dal 1° gennaio 2019 dell’ordinanza federale volta a trasferire sei tipi di interventi chirurgici dal regime stazionario a quello ambulatoriale, pena il mancato riconoscimento per l’ospedale di un’adeguata remunerazione. </w:t>
      </w:r>
    </w:p>
    <w:p w:rsidR="003B2ADE" w:rsidRDefault="003B2ADE" w:rsidP="003B2ADE">
      <w:pPr>
        <w:rPr>
          <w:szCs w:val="24"/>
          <w:lang w:bidi="it-IT"/>
        </w:rPr>
      </w:pPr>
    </w:p>
    <w:p w:rsidR="003B2ADE" w:rsidRPr="006C2D6B" w:rsidRDefault="003B2ADE" w:rsidP="003B2ADE">
      <w:pPr>
        <w:rPr>
          <w:szCs w:val="24"/>
          <w:lang w:bidi="it-IT"/>
        </w:rPr>
      </w:pPr>
      <w:r w:rsidRPr="006C2D6B">
        <w:rPr>
          <w:szCs w:val="24"/>
          <w:lang w:bidi="it-IT"/>
        </w:rPr>
        <w:t>L’EOC ha elaborato al proprio interno un piano d’azione che sarà avviato nel 2019:</w:t>
      </w:r>
    </w:p>
    <w:p w:rsidR="003B2ADE" w:rsidRPr="006C2D6B" w:rsidRDefault="003B2ADE" w:rsidP="00285BB5">
      <w:pPr>
        <w:pStyle w:val="Paragrafoelenco"/>
        <w:numPr>
          <w:ilvl w:val="0"/>
          <w:numId w:val="36"/>
        </w:numPr>
        <w:spacing w:before="80"/>
        <w:ind w:left="284" w:hanging="284"/>
        <w:rPr>
          <w:szCs w:val="24"/>
          <w:lang w:bidi="it-IT"/>
        </w:rPr>
      </w:pPr>
      <w:r w:rsidRPr="006C2D6B">
        <w:rPr>
          <w:szCs w:val="24"/>
          <w:lang w:bidi="it-IT"/>
        </w:rPr>
        <w:t xml:space="preserve"> creazione di un’Unità di Chirurgia Ambulatoriale con una struttura e personale dedicati. </w:t>
      </w:r>
    </w:p>
    <w:p w:rsidR="003B2ADE" w:rsidRPr="006C2D6B" w:rsidRDefault="003B2ADE" w:rsidP="00285BB5">
      <w:pPr>
        <w:pStyle w:val="Paragrafoelenco"/>
        <w:numPr>
          <w:ilvl w:val="0"/>
          <w:numId w:val="36"/>
        </w:numPr>
        <w:spacing w:before="80"/>
        <w:ind w:left="284" w:hanging="284"/>
        <w:rPr>
          <w:szCs w:val="24"/>
          <w:lang w:bidi="it-IT"/>
        </w:rPr>
      </w:pPr>
      <w:r w:rsidRPr="006C2D6B">
        <w:rPr>
          <w:szCs w:val="24"/>
          <w:lang w:bidi="it-IT"/>
        </w:rPr>
        <w:t xml:space="preserve">applicazione di </w:t>
      </w:r>
      <w:r>
        <w:rPr>
          <w:szCs w:val="24"/>
          <w:lang w:bidi="it-IT"/>
        </w:rPr>
        <w:t>u</w:t>
      </w:r>
      <w:r w:rsidRPr="006C2D6B">
        <w:rPr>
          <w:szCs w:val="24"/>
          <w:lang w:bidi="it-IT"/>
        </w:rPr>
        <w:t>n protocollo comune di gestione del paziente ambulatoriale, in grado di ottimizzare e velocizzare i flussi di attività, nel rispetto della massima sicurezza del paziente in tutti i quattro ospedali</w:t>
      </w:r>
      <w:r>
        <w:rPr>
          <w:szCs w:val="24"/>
          <w:lang w:bidi="it-IT"/>
        </w:rPr>
        <w:t xml:space="preserve"> regionali</w:t>
      </w:r>
      <w:r w:rsidRPr="006C2D6B">
        <w:rPr>
          <w:szCs w:val="24"/>
          <w:lang w:bidi="it-IT"/>
        </w:rPr>
        <w:t>.</w:t>
      </w:r>
    </w:p>
    <w:p w:rsidR="003B2ADE" w:rsidRDefault="003B2ADE" w:rsidP="003B2ADE">
      <w:pPr>
        <w:rPr>
          <w:szCs w:val="24"/>
          <w:lang w:bidi="it-IT"/>
        </w:rPr>
      </w:pPr>
    </w:p>
    <w:p w:rsidR="003B2ADE" w:rsidRPr="006C2D6B" w:rsidRDefault="003B2ADE" w:rsidP="003B2ADE">
      <w:pPr>
        <w:rPr>
          <w:szCs w:val="24"/>
          <w:lang w:bidi="it-IT"/>
        </w:rPr>
      </w:pPr>
      <w:r w:rsidRPr="006C2D6B">
        <w:rPr>
          <w:szCs w:val="24"/>
          <w:lang w:bidi="it-IT"/>
        </w:rPr>
        <w:t xml:space="preserve">Tutte queste azioni sono volute: </w:t>
      </w:r>
    </w:p>
    <w:p w:rsidR="003B2ADE" w:rsidRDefault="003B2ADE" w:rsidP="00285BB5">
      <w:pPr>
        <w:pStyle w:val="Paragrafoelenco"/>
        <w:numPr>
          <w:ilvl w:val="0"/>
          <w:numId w:val="36"/>
        </w:numPr>
        <w:spacing w:before="80"/>
        <w:ind w:left="284" w:hanging="284"/>
        <w:rPr>
          <w:szCs w:val="24"/>
          <w:lang w:bidi="it-IT"/>
        </w:rPr>
      </w:pPr>
      <w:r w:rsidRPr="006C2D6B">
        <w:rPr>
          <w:szCs w:val="24"/>
          <w:lang w:bidi="it-IT"/>
        </w:rPr>
        <w:t xml:space="preserve">per accrescere la selezione tra i diversi fornitori di prestazioni, inserendo dei requisiti supplementari incentrati su aspetti quantitativi, anziché qualitativi, più facilmente misurabili; dall’altro </w:t>
      </w:r>
    </w:p>
    <w:p w:rsidR="003B2ADE" w:rsidRPr="006C2D6B" w:rsidRDefault="003B2ADE" w:rsidP="00285BB5">
      <w:pPr>
        <w:pStyle w:val="Paragrafoelenco"/>
        <w:numPr>
          <w:ilvl w:val="0"/>
          <w:numId w:val="36"/>
        </w:numPr>
        <w:spacing w:before="80"/>
        <w:ind w:left="284" w:hanging="284"/>
        <w:rPr>
          <w:szCs w:val="24"/>
          <w:lang w:bidi="it-IT"/>
        </w:rPr>
      </w:pPr>
      <w:r w:rsidRPr="006C2D6B">
        <w:rPr>
          <w:szCs w:val="24"/>
          <w:lang w:bidi="it-IT"/>
        </w:rPr>
        <w:t xml:space="preserve">per puntare su interventi meno costosi e, proprio perché ambulatoriali, verosimilmente anche più apprezzati dai pazienti. </w:t>
      </w:r>
    </w:p>
    <w:p w:rsidR="003B2ADE" w:rsidRPr="006C2D6B" w:rsidRDefault="003B2ADE" w:rsidP="003B2ADE">
      <w:pPr>
        <w:rPr>
          <w:szCs w:val="24"/>
          <w:lang w:bidi="it-IT"/>
        </w:rPr>
      </w:pPr>
    </w:p>
    <w:p w:rsidR="003B2ADE" w:rsidRPr="006C2D6B" w:rsidRDefault="003B2ADE" w:rsidP="003B2ADE">
      <w:pPr>
        <w:rPr>
          <w:szCs w:val="24"/>
          <w:lang w:bidi="it-IT"/>
        </w:rPr>
      </w:pPr>
      <w:r w:rsidRPr="006C2D6B">
        <w:rPr>
          <w:szCs w:val="24"/>
          <w:lang w:bidi="it-IT"/>
        </w:rPr>
        <w:t xml:space="preserve">L’EOC multisito si è fortemente attivato per garantire un adeguato equilibrio tra il bisogno di concentrare determinate attività specialistiche sul sito di Lugano per le attività multidisciplinari e complesse e della Medicina Altamente Specializzata (MAS); sul sito di Bellinzona per le cure pediatriche </w:t>
      </w:r>
      <w:r>
        <w:rPr>
          <w:szCs w:val="24"/>
          <w:lang w:bidi="it-IT"/>
        </w:rPr>
        <w:t xml:space="preserve">specialistiche </w:t>
      </w:r>
      <w:r w:rsidRPr="006C2D6B">
        <w:rPr>
          <w:szCs w:val="24"/>
          <w:lang w:bidi="it-IT"/>
        </w:rPr>
        <w:t xml:space="preserve">– e la necessità di garantire un’ampia offerta di cure di prossimità su tutto il territorio cantonale. </w:t>
      </w:r>
    </w:p>
    <w:p w:rsidR="003B2ADE" w:rsidRDefault="003B2ADE" w:rsidP="003B2ADE">
      <w:pPr>
        <w:rPr>
          <w:szCs w:val="24"/>
          <w:lang w:bidi="it-IT"/>
        </w:rPr>
      </w:pPr>
    </w:p>
    <w:p w:rsidR="003B2ADE" w:rsidRDefault="003B2ADE" w:rsidP="003B2ADE">
      <w:pPr>
        <w:rPr>
          <w:szCs w:val="24"/>
          <w:lang w:bidi="it-IT"/>
        </w:rPr>
      </w:pPr>
      <w:r w:rsidRPr="006C2D6B">
        <w:rPr>
          <w:szCs w:val="24"/>
          <w:lang w:bidi="it-IT"/>
        </w:rPr>
        <w:t>L’EOC ha sostenuto uno sforzo importante a favore dei due ospedali di valle di Acquarossa, con l’apertura dei 30 letti RAMI (Reparto acuto di minore intensità), e di Faido, con il potenziamento a 45 letti dedicati alla riabilitazione acuta, accanto al mantenimento di quindici letti di Medicina interna acuta con annesso Pronto Soccorso, così come stabilito dal Gran Consiglio.</w:t>
      </w:r>
    </w:p>
    <w:p w:rsidR="003B2ADE" w:rsidRDefault="003B2ADE" w:rsidP="003B2ADE">
      <w:pPr>
        <w:rPr>
          <w:szCs w:val="24"/>
          <w:lang w:bidi="it-IT"/>
        </w:rPr>
      </w:pPr>
    </w:p>
    <w:p w:rsidR="00644102" w:rsidRDefault="00644102" w:rsidP="003B2ADE">
      <w:pPr>
        <w:rPr>
          <w:szCs w:val="24"/>
          <w:lang w:bidi="it-IT"/>
        </w:rPr>
      </w:pPr>
    </w:p>
    <w:p w:rsidR="003B2ADE" w:rsidRPr="006C2D6B" w:rsidRDefault="003B2ADE" w:rsidP="003B2ADE">
      <w:pPr>
        <w:rPr>
          <w:szCs w:val="24"/>
          <w:lang w:bidi="it-IT"/>
        </w:rPr>
      </w:pPr>
    </w:p>
    <w:p w:rsidR="003B2ADE" w:rsidRPr="00E17536" w:rsidRDefault="003B2ADE" w:rsidP="003B2ADE">
      <w:pPr>
        <w:pStyle w:val="Titolo1"/>
        <w:tabs>
          <w:tab w:val="clear" w:pos="567"/>
          <w:tab w:val="left" w:pos="709"/>
        </w:tabs>
        <w:ind w:left="0" w:firstLine="0"/>
      </w:pPr>
      <w:r w:rsidRPr="002F49D5">
        <w:t>Finanze</w:t>
      </w:r>
    </w:p>
    <w:p w:rsidR="003B2ADE" w:rsidRPr="00EB6851" w:rsidRDefault="006749F9" w:rsidP="00644102">
      <w:pPr>
        <w:pStyle w:val="Titolo2"/>
      </w:pPr>
      <w:r>
        <w:t>3</w:t>
      </w:r>
      <w:r w:rsidR="00644102">
        <w:t>.1</w:t>
      </w:r>
      <w:r w:rsidR="00644102">
        <w:tab/>
      </w:r>
      <w:r w:rsidR="003B2ADE" w:rsidRPr="00EB6851">
        <w:t xml:space="preserve">Risultato </w:t>
      </w:r>
      <w:r w:rsidR="003B2ADE" w:rsidRPr="00841B83">
        <w:t>d’esercizio 2018</w:t>
      </w:r>
      <w:r w:rsidR="003B2ADE">
        <w:t xml:space="preserve"> e d</w:t>
      </w:r>
      <w:r w:rsidR="003B2ADE" w:rsidRPr="00265A3A">
        <w:t>estinazione dell’util</w:t>
      </w:r>
      <w:r w:rsidR="003B2ADE">
        <w:t>e</w:t>
      </w:r>
    </w:p>
    <w:p w:rsidR="003B2ADE" w:rsidRDefault="003B2ADE" w:rsidP="003B2ADE">
      <w:pPr>
        <w:rPr>
          <w:rFonts w:cs="Arial"/>
          <w:szCs w:val="24"/>
        </w:rPr>
      </w:pPr>
    </w:p>
    <w:p w:rsidR="003B2ADE" w:rsidRPr="005A5D31" w:rsidRDefault="003B2ADE" w:rsidP="003B2ADE">
      <w:pPr>
        <w:rPr>
          <w:rFonts w:cs="Arial"/>
          <w:szCs w:val="24"/>
        </w:rPr>
      </w:pPr>
      <w:r>
        <w:rPr>
          <w:rFonts w:cs="Arial"/>
          <w:noProof/>
          <w:szCs w:val="24"/>
          <w:lang w:eastAsia="it-CH"/>
        </w:rPr>
        <w:drawing>
          <wp:inline distT="0" distB="0" distL="0" distR="0" wp14:anchorId="41F319CF" wp14:editId="2631F11E">
            <wp:extent cx="5742940" cy="246888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468880"/>
                    </a:xfrm>
                    <a:prstGeom prst="rect">
                      <a:avLst/>
                    </a:prstGeom>
                    <a:noFill/>
                  </pic:spPr>
                </pic:pic>
              </a:graphicData>
            </a:graphic>
          </wp:inline>
        </w:drawing>
      </w:r>
    </w:p>
    <w:p w:rsidR="003B2ADE" w:rsidRPr="005A5D31" w:rsidRDefault="003B2ADE" w:rsidP="003B2ADE">
      <w:pPr>
        <w:rPr>
          <w:rFonts w:cs="Arial"/>
          <w:szCs w:val="24"/>
        </w:rPr>
      </w:pPr>
    </w:p>
    <w:p w:rsidR="003B2ADE" w:rsidRPr="005A5D31" w:rsidRDefault="003B2ADE" w:rsidP="003B2ADE">
      <w:pPr>
        <w:rPr>
          <w:rFonts w:cs="Arial"/>
          <w:szCs w:val="24"/>
        </w:rPr>
      </w:pPr>
    </w:p>
    <w:p w:rsidR="003B2ADE" w:rsidRPr="005A5D31" w:rsidRDefault="003B2ADE" w:rsidP="003B2ADE">
      <w:pPr>
        <w:rPr>
          <w:rFonts w:cs="Arial"/>
          <w:szCs w:val="24"/>
        </w:rPr>
      </w:pPr>
      <w:r w:rsidRPr="005A5D31">
        <w:rPr>
          <w:rFonts w:cs="Arial"/>
          <w:szCs w:val="24"/>
        </w:rPr>
        <w:t xml:space="preserve">La ricerca di una sempre maggiore qualità delle prestazioni offerte in presenza di tariffe, soprattutto in ambito ambulatoriale inique e lontane dal coprire i costi, hanno determinato </w:t>
      </w:r>
      <w:r>
        <w:rPr>
          <w:rFonts w:cs="Arial"/>
          <w:szCs w:val="24"/>
        </w:rPr>
        <w:t xml:space="preserve">negli anni </w:t>
      </w:r>
      <w:r w:rsidRPr="005A5D31">
        <w:rPr>
          <w:rFonts w:cs="Arial"/>
          <w:szCs w:val="24"/>
        </w:rPr>
        <w:t xml:space="preserve">un progressivo peggioramento del risultato operativo e, di conseguenza, del margine di autofinanziamento (EBITDA). È un dato, questo, che si contrappone all’accelerazione registrata sul fronte degli ambiziosi investimenti per i pazienti, in modo particolare </w:t>
      </w:r>
      <w:r>
        <w:rPr>
          <w:rFonts w:cs="Arial"/>
          <w:szCs w:val="24"/>
        </w:rPr>
        <w:t xml:space="preserve">di quelli </w:t>
      </w:r>
      <w:r w:rsidRPr="005A5D31">
        <w:rPr>
          <w:rFonts w:cs="Arial"/>
          <w:szCs w:val="24"/>
        </w:rPr>
        <w:t>logistici.</w:t>
      </w:r>
    </w:p>
    <w:p w:rsidR="003B2ADE" w:rsidRDefault="003B2ADE" w:rsidP="003B2ADE">
      <w:pPr>
        <w:rPr>
          <w:rFonts w:cs="Arial"/>
          <w:szCs w:val="24"/>
        </w:rPr>
      </w:pPr>
    </w:p>
    <w:p w:rsidR="003B2ADE" w:rsidRDefault="003B2ADE" w:rsidP="003B2ADE">
      <w:pPr>
        <w:rPr>
          <w:rFonts w:cs="Arial"/>
          <w:szCs w:val="24"/>
        </w:rPr>
      </w:pPr>
    </w:p>
    <w:p w:rsidR="003B2ADE" w:rsidRDefault="003B2ADE" w:rsidP="003B2ADE">
      <w:pPr>
        <w:rPr>
          <w:rFonts w:cs="Arial"/>
          <w:szCs w:val="24"/>
        </w:rPr>
      </w:pPr>
      <w:r>
        <w:rPr>
          <w:rFonts w:cs="Arial"/>
          <w:szCs w:val="24"/>
        </w:rPr>
        <w:t>D</w:t>
      </w:r>
      <w:r w:rsidRPr="004F0AA7">
        <w:rPr>
          <w:rFonts w:cs="Arial"/>
          <w:szCs w:val="24"/>
        </w:rPr>
        <w:t>al messaggio</w:t>
      </w:r>
      <w:r>
        <w:rPr>
          <w:rFonts w:cs="Arial"/>
          <w:szCs w:val="24"/>
        </w:rPr>
        <w:t xml:space="preserve"> n. 7734 si trascrive quanto segue:</w:t>
      </w:r>
    </w:p>
    <w:p w:rsidR="003B2ADE" w:rsidRPr="00634A1F" w:rsidRDefault="003B2ADE" w:rsidP="003B2ADE">
      <w:pPr>
        <w:rPr>
          <w:sz w:val="14"/>
          <w:szCs w:val="14"/>
        </w:rPr>
      </w:pPr>
      <w:bookmarkStart w:id="3" w:name="_Hlk1076520"/>
    </w:p>
    <w:p w:rsidR="003B2ADE" w:rsidRDefault="003B2ADE" w:rsidP="003B2ADE">
      <w:pPr>
        <w:rPr>
          <w:i/>
          <w:iCs/>
          <w:szCs w:val="24"/>
          <w:lang w:val="it-IT"/>
        </w:rPr>
      </w:pPr>
      <w:r w:rsidRPr="00841B83">
        <w:rPr>
          <w:i/>
          <w:iCs/>
          <w:szCs w:val="24"/>
          <w:lang w:val="it-IT"/>
        </w:rPr>
        <w:t xml:space="preserve">L’esercizio 2018 registra un importante </w:t>
      </w:r>
      <w:r w:rsidRPr="00841B83">
        <w:rPr>
          <w:b/>
          <w:i/>
          <w:iCs/>
          <w:szCs w:val="24"/>
          <w:lang w:val="it-IT"/>
        </w:rPr>
        <w:t xml:space="preserve">utile di fr. 18'266'300 </w:t>
      </w:r>
      <w:r w:rsidRPr="00841B83">
        <w:rPr>
          <w:i/>
          <w:iCs/>
          <w:szCs w:val="24"/>
          <w:lang w:val="it-IT"/>
        </w:rPr>
        <w:t>(2017: perdita</w:t>
      </w:r>
      <w:r w:rsidRPr="00841B83">
        <w:rPr>
          <w:b/>
          <w:i/>
          <w:iCs/>
          <w:szCs w:val="24"/>
          <w:lang w:val="it-IT"/>
        </w:rPr>
        <w:t xml:space="preserve"> </w:t>
      </w:r>
      <w:r w:rsidRPr="00841B83">
        <w:rPr>
          <w:i/>
          <w:iCs/>
          <w:szCs w:val="24"/>
          <w:lang w:val="it-IT"/>
        </w:rPr>
        <w:t xml:space="preserve">di fr. 2'304'400), influenzato da due operazioni straordinarie relative agli accantonamenti. </w:t>
      </w:r>
    </w:p>
    <w:p w:rsidR="003B2ADE" w:rsidRDefault="003B2ADE" w:rsidP="00285BB5">
      <w:pPr>
        <w:pStyle w:val="Paragrafoelenco"/>
        <w:numPr>
          <w:ilvl w:val="0"/>
          <w:numId w:val="36"/>
        </w:numPr>
        <w:spacing w:before="80"/>
        <w:ind w:left="284" w:hanging="284"/>
        <w:rPr>
          <w:i/>
          <w:iCs/>
          <w:szCs w:val="24"/>
          <w:lang w:val="it-IT"/>
        </w:rPr>
      </w:pPr>
      <w:r w:rsidRPr="00841B83">
        <w:rPr>
          <w:i/>
          <w:iCs/>
          <w:szCs w:val="24"/>
          <w:lang w:val="it-IT"/>
        </w:rPr>
        <w:t xml:space="preserve">Da un lato, vi è stato lo scioglimento per fr. 22.7 Mio dell’accantonamento costituito negli scorsi anni per l’equilibrio finanziario del Fondo di previdenza dell’EOC (FEOC), non più necessario grazie alle misure implementate nel 2018 al fine di garantire il finanziamento a lungo termine degli impegni previdenziali. </w:t>
      </w:r>
    </w:p>
    <w:p w:rsidR="003B2ADE" w:rsidRPr="00841B83" w:rsidRDefault="003B2ADE" w:rsidP="00285BB5">
      <w:pPr>
        <w:pStyle w:val="Paragrafoelenco"/>
        <w:numPr>
          <w:ilvl w:val="0"/>
          <w:numId w:val="36"/>
        </w:numPr>
        <w:spacing w:before="80"/>
        <w:ind w:left="284" w:hanging="284"/>
        <w:rPr>
          <w:i/>
          <w:iCs/>
          <w:szCs w:val="24"/>
          <w:lang w:val="it-IT"/>
        </w:rPr>
      </w:pPr>
      <w:r w:rsidRPr="00841B83">
        <w:rPr>
          <w:i/>
          <w:iCs/>
          <w:szCs w:val="24"/>
          <w:lang w:val="it-IT"/>
        </w:rPr>
        <w:t>D’altro lato, nel 2018 è stato costituito un nuovo accantonamento di fr. 5.1 Mio a fronte del prodotto derivato su tassi d’interesse (Payer Interest Rate Swap) sottoscritto dall’EOC nel 2013, di nominale 30 Mio e durata 2015-2028. L’accantonamento si giustifica quale copertura del valore di riacquisto del contratto Swap, dopo che lo stesso ha perso il suo carattere di strumento di copertura del rischio a seguito della modifica della strategia di finanziamento dell’EOC (dal breve al lungo termine).</w:t>
      </w:r>
    </w:p>
    <w:p w:rsidR="003B2ADE" w:rsidRPr="00841B83" w:rsidRDefault="003B2ADE" w:rsidP="003B2ADE">
      <w:pPr>
        <w:rPr>
          <w:i/>
          <w:iCs/>
          <w:szCs w:val="24"/>
          <w:lang w:val="it-IT"/>
        </w:rPr>
      </w:pPr>
    </w:p>
    <w:p w:rsidR="003B2ADE" w:rsidRPr="00841B83" w:rsidRDefault="003B2ADE" w:rsidP="003B2ADE">
      <w:pPr>
        <w:rPr>
          <w:i/>
          <w:iCs/>
          <w:szCs w:val="24"/>
          <w:lang w:val="it-IT"/>
        </w:rPr>
      </w:pPr>
      <w:r w:rsidRPr="00841B83">
        <w:rPr>
          <w:i/>
          <w:iCs/>
          <w:szCs w:val="24"/>
          <w:lang w:val="it-IT"/>
        </w:rPr>
        <w:t>Al netto di queste due operazioni straordinarie, il risultato d’esercizio 2018 risulta pressoché neutro (fr. 0.7 Mio). Il risultato operativo prima degli ammortamenti e interessi (</w:t>
      </w:r>
      <w:r w:rsidRPr="00841B83">
        <w:rPr>
          <w:b/>
          <w:i/>
          <w:iCs/>
          <w:szCs w:val="24"/>
          <w:lang w:val="it-IT"/>
        </w:rPr>
        <w:t>EBITDA</w:t>
      </w:r>
      <w:r w:rsidRPr="00841B83">
        <w:rPr>
          <w:i/>
          <w:iCs/>
          <w:szCs w:val="24"/>
          <w:lang w:val="it-IT"/>
        </w:rPr>
        <w:t xml:space="preserve">) ammonta a </w:t>
      </w:r>
      <w:r w:rsidRPr="00841B83">
        <w:rPr>
          <w:b/>
          <w:i/>
          <w:iCs/>
          <w:szCs w:val="24"/>
          <w:lang w:val="it-IT"/>
        </w:rPr>
        <w:t>fr. 21.6 Mio</w:t>
      </w:r>
      <w:r w:rsidRPr="00841B83">
        <w:rPr>
          <w:i/>
          <w:iCs/>
          <w:szCs w:val="24"/>
          <w:lang w:val="it-IT"/>
        </w:rPr>
        <w:t xml:space="preserve"> (2017: fr. 16.1 Mio) e corrisponde al 3.0% dei ricavi d’esercizio (2017: 2.3%).</w:t>
      </w:r>
    </w:p>
    <w:p w:rsidR="003B2ADE" w:rsidRPr="00841B83" w:rsidRDefault="003B2ADE" w:rsidP="003B2ADE">
      <w:pPr>
        <w:rPr>
          <w:i/>
          <w:iCs/>
          <w:szCs w:val="24"/>
          <w:lang w:val="it-IT"/>
        </w:rPr>
      </w:pPr>
    </w:p>
    <w:p w:rsidR="003B2ADE" w:rsidRPr="00841B83" w:rsidRDefault="003B2ADE" w:rsidP="003B2ADE">
      <w:pPr>
        <w:rPr>
          <w:i/>
          <w:iCs/>
          <w:szCs w:val="24"/>
          <w:lang w:val="it-IT"/>
        </w:rPr>
      </w:pPr>
      <w:r w:rsidRPr="00841B83">
        <w:rPr>
          <w:i/>
          <w:iCs/>
          <w:szCs w:val="24"/>
          <w:lang w:val="it-IT"/>
        </w:rPr>
        <w:t>L’utile 2018 si compone di una perdita di fr. 1'623’800 nella gestione finanziata con contributo globale, compensata da un utile di fr. 19'890’100 in quella di pertinenza dell’EOC.</w:t>
      </w:r>
    </w:p>
    <w:p w:rsidR="003B2ADE" w:rsidRDefault="003B2ADE" w:rsidP="003B2ADE">
      <w:pPr>
        <w:rPr>
          <w:i/>
          <w:iCs/>
          <w:szCs w:val="24"/>
          <w:lang w:val="it-IT"/>
        </w:rPr>
      </w:pPr>
    </w:p>
    <w:p w:rsidR="003B2ADE" w:rsidRPr="00841B83" w:rsidRDefault="003B2ADE" w:rsidP="003B2ADE">
      <w:pPr>
        <w:rPr>
          <w:i/>
          <w:iCs/>
          <w:szCs w:val="24"/>
          <w:lang w:val="it-IT"/>
        </w:rPr>
      </w:pPr>
      <w:r w:rsidRPr="00841B83">
        <w:rPr>
          <w:i/>
          <w:iCs/>
          <w:szCs w:val="24"/>
          <w:lang w:val="it-IT"/>
        </w:rPr>
        <w:t xml:space="preserve">Il Consiglio di Amministrazione dell’EOC ha approvato la seguente </w:t>
      </w:r>
      <w:r w:rsidRPr="00841B83">
        <w:rPr>
          <w:i/>
          <w:iCs/>
          <w:szCs w:val="24"/>
          <w:u w:val="single"/>
          <w:lang w:val="it-IT"/>
        </w:rPr>
        <w:t>attribuzione del risultato</w:t>
      </w:r>
      <w:r w:rsidRPr="00841B83">
        <w:rPr>
          <w:i/>
          <w:iCs/>
          <w:szCs w:val="24"/>
          <w:lang w:val="it-IT"/>
        </w:rPr>
        <w:t>: la perdita di fr. 1'623’800 è addebitata al Fondo di compensazione dei rischi di pertinenza dello Stato, portandone il saldo al 31.12.2018 a fr. 17'007’100, mentre l’utile di fr. 19'890’100 è attribuito nella misura di fr. 2 Mio al Fondo di ricerca EOC, fr. 5 Mio finanziano il contributo di solidarietà richiesto dal Cantone per il 2018 e la rimanenza è accreditata ai Risultati riportati.</w:t>
      </w:r>
    </w:p>
    <w:p w:rsidR="003B2ADE" w:rsidRPr="00841B83" w:rsidRDefault="003B2ADE" w:rsidP="003B2ADE">
      <w:pPr>
        <w:rPr>
          <w:i/>
          <w:iCs/>
          <w:szCs w:val="24"/>
          <w:lang w:val="it-IT"/>
        </w:rPr>
      </w:pPr>
    </w:p>
    <w:p w:rsidR="003B2ADE" w:rsidRPr="00841B83" w:rsidRDefault="003B2ADE" w:rsidP="003B2ADE">
      <w:pPr>
        <w:rPr>
          <w:i/>
          <w:iCs/>
          <w:szCs w:val="24"/>
          <w:lang w:val="it-IT"/>
        </w:rPr>
      </w:pPr>
      <w:r w:rsidRPr="00841B83">
        <w:rPr>
          <w:i/>
          <w:iCs/>
          <w:szCs w:val="24"/>
          <w:lang w:val="it-IT"/>
        </w:rPr>
        <w:t>I conti consuntivi 2018 sono stati sottoposti per revisione alla PricewaterhouseCoopers SA che nel suo rapporto del 6 aprile 2019 conclude che “il conto annuale per l’esercizio chiuso al 31 dicembre 2018 presenta un quadro fedele della situazione patrimoniale, finanziaria e reddituale in conformità agli Swiss GAAP FER e alle disposizioni legali e regolamentari”, raccomandandone l’approvazione.</w:t>
      </w:r>
    </w:p>
    <w:p w:rsidR="003B2ADE" w:rsidRDefault="003B2ADE" w:rsidP="003B2ADE">
      <w:pPr>
        <w:rPr>
          <w:szCs w:val="24"/>
        </w:rPr>
      </w:pPr>
    </w:p>
    <w:p w:rsidR="003B2ADE" w:rsidRDefault="003B2ADE" w:rsidP="003B2ADE">
      <w:pPr>
        <w:rPr>
          <w:szCs w:val="24"/>
        </w:rPr>
      </w:pPr>
      <w:r w:rsidRPr="004A554C">
        <w:rPr>
          <w:szCs w:val="24"/>
        </w:rPr>
        <w:t xml:space="preserve">Il </w:t>
      </w:r>
      <w:r w:rsidRPr="002E17E4">
        <w:rPr>
          <w:szCs w:val="24"/>
        </w:rPr>
        <w:t>C2018</w:t>
      </w:r>
      <w:r w:rsidRPr="008F1363">
        <w:rPr>
          <w:szCs w:val="24"/>
        </w:rPr>
        <w:t xml:space="preserve"> dello Stato (Messaggio n. 7655, pag</w:t>
      </w:r>
      <w:r>
        <w:rPr>
          <w:szCs w:val="24"/>
        </w:rPr>
        <w:t>.</w:t>
      </w:r>
      <w:r w:rsidRPr="008F1363">
        <w:rPr>
          <w:szCs w:val="24"/>
        </w:rPr>
        <w:t xml:space="preserve"> 210</w:t>
      </w:r>
      <w:r>
        <w:rPr>
          <w:szCs w:val="24"/>
        </w:rPr>
        <w:t>-216</w:t>
      </w:r>
      <w:r w:rsidRPr="008F1363">
        <w:rPr>
          <w:szCs w:val="24"/>
        </w:rPr>
        <w:t xml:space="preserve">) </w:t>
      </w:r>
      <w:bookmarkStart w:id="4" w:name="_Hlk5297233"/>
      <w:r w:rsidRPr="008F1363">
        <w:rPr>
          <w:szCs w:val="24"/>
        </w:rPr>
        <w:t xml:space="preserve">presenta </w:t>
      </w:r>
      <w:r>
        <w:rPr>
          <w:szCs w:val="24"/>
        </w:rPr>
        <w:t xml:space="preserve">con maggiori dettagli i contributi per </w:t>
      </w:r>
      <w:r w:rsidRPr="00A57AC7">
        <w:rPr>
          <w:b/>
          <w:szCs w:val="24"/>
        </w:rPr>
        <w:t>ospedalizzazioni nel e fuori Cantone</w:t>
      </w:r>
      <w:r>
        <w:rPr>
          <w:b/>
          <w:szCs w:val="24"/>
        </w:rPr>
        <w:t>.</w:t>
      </w:r>
      <w:bookmarkEnd w:id="4"/>
    </w:p>
    <w:p w:rsidR="003B2ADE" w:rsidRDefault="003B2ADE" w:rsidP="003B2ADE">
      <w:pPr>
        <w:rPr>
          <w:szCs w:val="24"/>
        </w:rPr>
      </w:pPr>
    </w:p>
    <w:p w:rsidR="003B2ADE" w:rsidRDefault="003B2ADE" w:rsidP="003B2ADE">
      <w:r w:rsidRPr="00E85348">
        <w:t xml:space="preserve">Contributi per </w:t>
      </w:r>
      <w:r w:rsidRPr="00055804">
        <w:rPr>
          <w:u w:val="single"/>
        </w:rPr>
        <w:t xml:space="preserve">ospedalizzazioni </w:t>
      </w:r>
      <w:r w:rsidRPr="00055804">
        <w:rPr>
          <w:b/>
          <w:bCs/>
          <w:u w:val="single"/>
        </w:rPr>
        <w:t>nel</w:t>
      </w:r>
      <w:r w:rsidRPr="00055804">
        <w:rPr>
          <w:u w:val="single"/>
        </w:rPr>
        <w:t xml:space="preserve"> Cantone</w:t>
      </w:r>
      <w:r w:rsidRPr="00055804">
        <w:t>:</w:t>
      </w:r>
      <w:r>
        <w:t xml:space="preserve"> l</w:t>
      </w:r>
      <w:r w:rsidRPr="00E85348">
        <w:t>a spesa a consuntivo per l’anno 201</w:t>
      </w:r>
      <w:r>
        <w:t>8</w:t>
      </w:r>
      <w:r w:rsidRPr="00E85348">
        <w:t xml:space="preserve"> è di</w:t>
      </w:r>
      <w:r>
        <w:t xml:space="preserve"> CHF</w:t>
      </w:r>
      <w:r w:rsidRPr="00B86585">
        <w:t xml:space="preserve"> 331.3 mio, in linea col preventivo di </w:t>
      </w:r>
      <w:r>
        <w:t xml:space="preserve">CHF </w:t>
      </w:r>
      <w:r w:rsidRPr="00B86585">
        <w:t>331.8 mio. e in crescita di 5.5 mio. fr. rispetto al 2017 (+1.7%), a seguito della maggiore attività finanziata agli ospedali a fronte di tariffe sostanzialmente stabili.</w:t>
      </w:r>
    </w:p>
    <w:p w:rsidR="003B2ADE" w:rsidRPr="00E51369" w:rsidRDefault="003B2ADE" w:rsidP="003B2ADE"/>
    <w:p w:rsidR="003B2ADE" w:rsidRDefault="003B2ADE" w:rsidP="003B2ADE">
      <w:pPr>
        <w:rPr>
          <w:b/>
          <w:bCs/>
        </w:rPr>
      </w:pPr>
    </w:p>
    <w:p w:rsidR="00E863C1" w:rsidRDefault="00E863C1">
      <w:pPr>
        <w:rPr>
          <w:b/>
          <w:bCs/>
          <w:sz w:val="22"/>
        </w:rPr>
      </w:pPr>
      <w:r>
        <w:rPr>
          <w:b/>
          <w:bCs/>
          <w:sz w:val="22"/>
        </w:rPr>
        <w:br w:type="page"/>
      </w:r>
    </w:p>
    <w:p w:rsidR="003B2ADE" w:rsidRPr="00285BB5" w:rsidRDefault="003B2ADE" w:rsidP="003B2ADE">
      <w:pPr>
        <w:rPr>
          <w:b/>
          <w:bCs/>
          <w:sz w:val="22"/>
        </w:rPr>
      </w:pPr>
      <w:r w:rsidRPr="00285BB5">
        <w:rPr>
          <w:b/>
          <w:bCs/>
          <w:sz w:val="22"/>
        </w:rPr>
        <w:t xml:space="preserve">Tabella numero: 295.01 Contributi per ospedalizzazioni nel Cantone </w:t>
      </w:r>
    </w:p>
    <w:p w:rsidR="003B2ADE" w:rsidRPr="00285BB5" w:rsidRDefault="003B2ADE" w:rsidP="003B2ADE">
      <w:pPr>
        <w:rPr>
          <w:b/>
          <w:bCs/>
          <w:sz w:val="22"/>
        </w:rPr>
      </w:pPr>
      <w:r w:rsidRPr="00285BB5">
        <w:rPr>
          <w:b/>
          <w:bCs/>
          <w:sz w:val="22"/>
        </w:rPr>
        <w:t xml:space="preserve">Consuntivo 2018 </w:t>
      </w:r>
    </w:p>
    <w:p w:rsidR="003B2ADE" w:rsidRPr="00285BB5" w:rsidRDefault="003B2ADE" w:rsidP="003B2ADE">
      <w:pPr>
        <w:rPr>
          <w:b/>
          <w:bCs/>
          <w:sz w:val="22"/>
        </w:rPr>
      </w:pPr>
    </w:p>
    <w:p w:rsidR="003B2ADE" w:rsidRPr="00285BB5" w:rsidRDefault="003B2ADE" w:rsidP="00593016">
      <w:pPr>
        <w:tabs>
          <w:tab w:val="right" w:pos="6379"/>
          <w:tab w:val="right" w:pos="8647"/>
        </w:tabs>
        <w:rPr>
          <w:sz w:val="22"/>
        </w:rPr>
      </w:pPr>
      <w:r w:rsidRPr="00285BB5">
        <w:rPr>
          <w:sz w:val="22"/>
        </w:rPr>
        <w:t>Ente Ospedaliero Cantonale</w:t>
      </w:r>
      <w:r w:rsidR="006749F9">
        <w:rPr>
          <w:sz w:val="22"/>
        </w:rPr>
        <w:tab/>
      </w:r>
      <w:r w:rsidR="006749F9">
        <w:rPr>
          <w:sz w:val="22"/>
        </w:rPr>
        <w:tab/>
        <w:t>196'682'950</w:t>
      </w:r>
    </w:p>
    <w:p w:rsidR="003B2ADE" w:rsidRPr="00285BB5" w:rsidRDefault="003B2ADE" w:rsidP="00593016">
      <w:pPr>
        <w:tabs>
          <w:tab w:val="right" w:pos="6379"/>
          <w:tab w:val="right" w:pos="8647"/>
        </w:tabs>
        <w:rPr>
          <w:sz w:val="22"/>
        </w:rPr>
      </w:pPr>
      <w:r w:rsidRPr="00285BB5">
        <w:rPr>
          <w:sz w:val="22"/>
        </w:rPr>
        <w:t>Hildebrand, Brissago</w:t>
      </w:r>
      <w:r w:rsidR="006749F9">
        <w:rPr>
          <w:sz w:val="22"/>
        </w:rPr>
        <w:tab/>
      </w:r>
      <w:r w:rsidR="006749F9">
        <w:rPr>
          <w:sz w:val="22"/>
        </w:rPr>
        <w:tab/>
        <w:t>13'403'800</w:t>
      </w:r>
    </w:p>
    <w:p w:rsidR="003B2ADE" w:rsidRPr="00285BB5" w:rsidRDefault="003B2ADE" w:rsidP="00593016">
      <w:pPr>
        <w:tabs>
          <w:tab w:val="right" w:pos="6379"/>
          <w:tab w:val="right" w:pos="8647"/>
        </w:tabs>
        <w:rPr>
          <w:sz w:val="22"/>
        </w:rPr>
      </w:pPr>
      <w:r w:rsidRPr="00285BB5">
        <w:rPr>
          <w:sz w:val="22"/>
        </w:rPr>
        <w:t xml:space="preserve">Malcantonese, Castelrotto </w:t>
      </w:r>
      <w:r w:rsidR="006749F9">
        <w:rPr>
          <w:sz w:val="22"/>
        </w:rPr>
        <w:tab/>
      </w:r>
      <w:r w:rsidR="006749F9">
        <w:rPr>
          <w:sz w:val="22"/>
        </w:rPr>
        <w:tab/>
        <w:t>4'739'550</w:t>
      </w:r>
    </w:p>
    <w:p w:rsidR="003B2ADE" w:rsidRPr="00285BB5" w:rsidRDefault="003B2ADE" w:rsidP="00593016">
      <w:pPr>
        <w:tabs>
          <w:tab w:val="right" w:pos="6379"/>
          <w:tab w:val="right" w:pos="8647"/>
        </w:tabs>
        <w:rPr>
          <w:sz w:val="22"/>
        </w:rPr>
      </w:pPr>
      <w:r w:rsidRPr="00285BB5">
        <w:rPr>
          <w:sz w:val="22"/>
        </w:rPr>
        <w:t>Ars Medica, Gravesano</w:t>
      </w:r>
      <w:r w:rsidR="006749F9">
        <w:rPr>
          <w:sz w:val="22"/>
        </w:rPr>
        <w:tab/>
      </w:r>
      <w:r w:rsidR="006749F9">
        <w:rPr>
          <w:sz w:val="22"/>
        </w:rPr>
        <w:tab/>
        <w:t>14'980'100</w:t>
      </w:r>
    </w:p>
    <w:p w:rsidR="003B2ADE" w:rsidRPr="00285BB5" w:rsidRDefault="003B2ADE" w:rsidP="00593016">
      <w:pPr>
        <w:tabs>
          <w:tab w:val="right" w:pos="6379"/>
          <w:tab w:val="right" w:pos="8647"/>
        </w:tabs>
        <w:rPr>
          <w:sz w:val="22"/>
        </w:rPr>
      </w:pPr>
      <w:r w:rsidRPr="00285BB5">
        <w:rPr>
          <w:sz w:val="22"/>
        </w:rPr>
        <w:t>Santa Chiara, Locarno</w:t>
      </w:r>
      <w:r w:rsidR="006749F9">
        <w:rPr>
          <w:sz w:val="22"/>
        </w:rPr>
        <w:tab/>
      </w:r>
      <w:r w:rsidR="006749F9">
        <w:rPr>
          <w:sz w:val="22"/>
        </w:rPr>
        <w:tab/>
        <w:t>12'338'900</w:t>
      </w:r>
    </w:p>
    <w:p w:rsidR="003B2ADE" w:rsidRPr="00285BB5" w:rsidRDefault="003B2ADE" w:rsidP="00593016">
      <w:pPr>
        <w:tabs>
          <w:tab w:val="right" w:pos="6379"/>
          <w:tab w:val="right" w:pos="8647"/>
        </w:tabs>
        <w:rPr>
          <w:sz w:val="22"/>
        </w:rPr>
      </w:pPr>
      <w:r w:rsidRPr="00285BB5">
        <w:rPr>
          <w:sz w:val="22"/>
        </w:rPr>
        <w:t>Luganese, Lugano</w:t>
      </w:r>
      <w:r w:rsidR="006749F9">
        <w:rPr>
          <w:sz w:val="22"/>
        </w:rPr>
        <w:tab/>
      </w:r>
      <w:r w:rsidR="006749F9">
        <w:rPr>
          <w:sz w:val="22"/>
        </w:rPr>
        <w:tab/>
        <w:t>34'833'200</w:t>
      </w:r>
    </w:p>
    <w:p w:rsidR="003B2ADE" w:rsidRPr="00285BB5" w:rsidRDefault="003B2ADE" w:rsidP="00593016">
      <w:pPr>
        <w:tabs>
          <w:tab w:val="right" w:pos="6379"/>
          <w:tab w:val="right" w:pos="8647"/>
        </w:tabs>
        <w:rPr>
          <w:sz w:val="22"/>
        </w:rPr>
      </w:pPr>
      <w:r w:rsidRPr="00285BB5">
        <w:rPr>
          <w:sz w:val="22"/>
        </w:rPr>
        <w:t>Cardiocentro, Lugano</w:t>
      </w:r>
      <w:r w:rsidR="006749F9">
        <w:rPr>
          <w:sz w:val="22"/>
        </w:rPr>
        <w:tab/>
      </w:r>
      <w:r w:rsidR="006749F9">
        <w:rPr>
          <w:sz w:val="22"/>
        </w:rPr>
        <w:tab/>
        <w:t>27'415'000</w:t>
      </w:r>
    </w:p>
    <w:p w:rsidR="003B2ADE" w:rsidRPr="00285BB5" w:rsidRDefault="003B2ADE" w:rsidP="00593016">
      <w:pPr>
        <w:tabs>
          <w:tab w:val="right" w:pos="6379"/>
          <w:tab w:val="right" w:pos="8647"/>
        </w:tabs>
        <w:rPr>
          <w:sz w:val="22"/>
        </w:rPr>
      </w:pPr>
      <w:r w:rsidRPr="00285BB5">
        <w:rPr>
          <w:sz w:val="22"/>
        </w:rPr>
        <w:t>Varini, Orselina</w:t>
      </w:r>
      <w:r w:rsidR="006749F9">
        <w:rPr>
          <w:sz w:val="22"/>
        </w:rPr>
        <w:tab/>
      </w:r>
      <w:r w:rsidR="006749F9">
        <w:rPr>
          <w:sz w:val="22"/>
        </w:rPr>
        <w:tab/>
        <w:t>3'990'950</w:t>
      </w:r>
    </w:p>
    <w:p w:rsidR="003B2ADE" w:rsidRPr="00285BB5" w:rsidRDefault="003B2ADE" w:rsidP="00593016">
      <w:pPr>
        <w:tabs>
          <w:tab w:val="right" w:pos="6379"/>
          <w:tab w:val="right" w:pos="8647"/>
        </w:tabs>
        <w:rPr>
          <w:sz w:val="22"/>
        </w:rPr>
      </w:pPr>
      <w:r w:rsidRPr="00285BB5">
        <w:rPr>
          <w:sz w:val="22"/>
        </w:rPr>
        <w:t>Santa Croce, Orselina</w:t>
      </w:r>
      <w:r w:rsidR="006749F9">
        <w:rPr>
          <w:sz w:val="22"/>
        </w:rPr>
        <w:tab/>
      </w:r>
      <w:r w:rsidR="006749F9">
        <w:rPr>
          <w:sz w:val="22"/>
        </w:rPr>
        <w:tab/>
        <w:t>6'512'100</w:t>
      </w:r>
    </w:p>
    <w:p w:rsidR="003B2ADE" w:rsidRPr="00285BB5" w:rsidRDefault="003B2ADE" w:rsidP="00593016">
      <w:pPr>
        <w:tabs>
          <w:tab w:val="right" w:pos="6379"/>
          <w:tab w:val="right" w:pos="8647"/>
        </w:tabs>
        <w:rPr>
          <w:sz w:val="22"/>
        </w:rPr>
      </w:pPr>
      <w:r w:rsidRPr="00285BB5">
        <w:rPr>
          <w:sz w:val="22"/>
        </w:rPr>
        <w:t>Viarnetto, Pregassona</w:t>
      </w:r>
      <w:r w:rsidR="006749F9">
        <w:rPr>
          <w:sz w:val="22"/>
        </w:rPr>
        <w:tab/>
      </w:r>
      <w:r w:rsidR="006749F9">
        <w:rPr>
          <w:sz w:val="22"/>
        </w:rPr>
        <w:tab/>
        <w:t>2'922'800</w:t>
      </w:r>
    </w:p>
    <w:p w:rsidR="003B2ADE" w:rsidRPr="00285BB5" w:rsidRDefault="003B2ADE" w:rsidP="00593016">
      <w:pPr>
        <w:tabs>
          <w:tab w:val="right" w:pos="6379"/>
          <w:tab w:val="right" w:pos="8647"/>
        </w:tabs>
        <w:rPr>
          <w:sz w:val="22"/>
        </w:rPr>
      </w:pPr>
      <w:r w:rsidRPr="00285BB5">
        <w:rPr>
          <w:sz w:val="22"/>
        </w:rPr>
        <w:t>S.</w:t>
      </w:r>
      <w:r w:rsidR="006749F9">
        <w:rPr>
          <w:sz w:val="22"/>
        </w:rPr>
        <w:t xml:space="preserve"> </w:t>
      </w:r>
      <w:r w:rsidRPr="00285BB5">
        <w:rPr>
          <w:sz w:val="22"/>
        </w:rPr>
        <w:t xml:space="preserve">Anna, Sorengo </w:t>
      </w:r>
      <w:r w:rsidR="006749F9">
        <w:rPr>
          <w:sz w:val="22"/>
        </w:rPr>
        <w:tab/>
      </w:r>
      <w:r w:rsidR="006749F9">
        <w:rPr>
          <w:sz w:val="22"/>
        </w:rPr>
        <w:tab/>
      </w:r>
      <w:r w:rsidR="00593016">
        <w:rPr>
          <w:sz w:val="22"/>
        </w:rPr>
        <w:t>10'805'300</w:t>
      </w:r>
    </w:p>
    <w:p w:rsidR="003B2ADE" w:rsidRPr="00285BB5" w:rsidRDefault="003B2ADE" w:rsidP="00593016">
      <w:pPr>
        <w:tabs>
          <w:tab w:val="right" w:pos="6379"/>
          <w:tab w:val="right" w:pos="8647"/>
        </w:tabs>
        <w:rPr>
          <w:sz w:val="22"/>
        </w:rPr>
      </w:pPr>
      <w:r w:rsidRPr="00285BB5">
        <w:rPr>
          <w:sz w:val="22"/>
        </w:rPr>
        <w:t>Prestazioni diverse:</w:t>
      </w:r>
    </w:p>
    <w:p w:rsidR="003B2ADE" w:rsidRPr="00285BB5" w:rsidRDefault="003B2ADE" w:rsidP="00593016">
      <w:pPr>
        <w:tabs>
          <w:tab w:val="right" w:pos="6379"/>
          <w:tab w:val="right" w:pos="8647"/>
        </w:tabs>
        <w:rPr>
          <w:sz w:val="22"/>
        </w:rPr>
      </w:pPr>
      <w:r w:rsidRPr="00285BB5">
        <w:rPr>
          <w:sz w:val="22"/>
        </w:rPr>
        <w:t>Ente Ospedaliero Cantonale</w:t>
      </w:r>
      <w:r w:rsidR="006749F9">
        <w:rPr>
          <w:sz w:val="22"/>
        </w:rPr>
        <w:tab/>
      </w:r>
      <w:r w:rsidRPr="00285BB5">
        <w:rPr>
          <w:sz w:val="22"/>
        </w:rPr>
        <w:t>2'723'093</w:t>
      </w:r>
    </w:p>
    <w:p w:rsidR="003B2ADE" w:rsidRPr="00285BB5" w:rsidRDefault="003B2ADE" w:rsidP="00593016">
      <w:pPr>
        <w:tabs>
          <w:tab w:val="right" w:pos="6379"/>
          <w:tab w:val="right" w:pos="8647"/>
        </w:tabs>
        <w:rPr>
          <w:sz w:val="22"/>
        </w:rPr>
      </w:pPr>
      <w:r w:rsidRPr="00285BB5">
        <w:rPr>
          <w:sz w:val="22"/>
        </w:rPr>
        <w:t>Hildebrand, Brissago</w:t>
      </w:r>
      <w:r w:rsidR="006749F9">
        <w:rPr>
          <w:sz w:val="22"/>
        </w:rPr>
        <w:tab/>
      </w:r>
      <w:r w:rsidRPr="00285BB5">
        <w:rPr>
          <w:sz w:val="22"/>
        </w:rPr>
        <w:t>544</w:t>
      </w:r>
    </w:p>
    <w:p w:rsidR="003B2ADE" w:rsidRPr="00285BB5" w:rsidRDefault="003B2ADE" w:rsidP="00593016">
      <w:pPr>
        <w:tabs>
          <w:tab w:val="right" w:pos="6379"/>
          <w:tab w:val="right" w:pos="8647"/>
        </w:tabs>
        <w:rPr>
          <w:sz w:val="22"/>
        </w:rPr>
      </w:pPr>
      <w:r w:rsidRPr="00285BB5">
        <w:rPr>
          <w:sz w:val="22"/>
        </w:rPr>
        <w:t>Santa Chiara, Locarno</w:t>
      </w:r>
      <w:r w:rsidR="006749F9">
        <w:rPr>
          <w:sz w:val="22"/>
        </w:rPr>
        <w:tab/>
      </w:r>
      <w:r w:rsidRPr="00285BB5">
        <w:rPr>
          <w:sz w:val="22"/>
        </w:rPr>
        <w:t xml:space="preserve"> -353'153</w:t>
      </w:r>
    </w:p>
    <w:p w:rsidR="003B2ADE" w:rsidRPr="00285BB5" w:rsidRDefault="003B2ADE" w:rsidP="00593016">
      <w:pPr>
        <w:tabs>
          <w:tab w:val="right" w:pos="6379"/>
          <w:tab w:val="right" w:pos="8647"/>
        </w:tabs>
        <w:rPr>
          <w:sz w:val="22"/>
        </w:rPr>
      </w:pPr>
      <w:r w:rsidRPr="00285BB5">
        <w:rPr>
          <w:sz w:val="22"/>
        </w:rPr>
        <w:t>Luganese, Lugano</w:t>
      </w:r>
      <w:r w:rsidR="006749F9">
        <w:rPr>
          <w:sz w:val="22"/>
        </w:rPr>
        <w:tab/>
      </w:r>
      <w:r w:rsidRPr="00285BB5">
        <w:rPr>
          <w:sz w:val="22"/>
        </w:rPr>
        <w:t>143'440</w:t>
      </w:r>
    </w:p>
    <w:p w:rsidR="003B2ADE" w:rsidRPr="00285BB5" w:rsidRDefault="003B2ADE" w:rsidP="00593016">
      <w:pPr>
        <w:tabs>
          <w:tab w:val="right" w:pos="6379"/>
          <w:tab w:val="right" w:pos="8647"/>
        </w:tabs>
        <w:rPr>
          <w:sz w:val="22"/>
        </w:rPr>
      </w:pPr>
      <w:r w:rsidRPr="00285BB5">
        <w:rPr>
          <w:sz w:val="22"/>
        </w:rPr>
        <w:t>Cardiocentro, Lugano</w:t>
      </w:r>
      <w:r w:rsidR="006749F9">
        <w:rPr>
          <w:sz w:val="22"/>
        </w:rPr>
        <w:tab/>
      </w:r>
      <w:r w:rsidRPr="00285BB5">
        <w:rPr>
          <w:sz w:val="22"/>
        </w:rPr>
        <w:t>153'868</w:t>
      </w:r>
      <w:r w:rsidRPr="00285BB5">
        <w:rPr>
          <w:sz w:val="22"/>
        </w:rPr>
        <w:tab/>
      </w:r>
      <w:r w:rsidR="00593016">
        <w:rPr>
          <w:sz w:val="22"/>
        </w:rPr>
        <w:t>2'667'793</w:t>
      </w:r>
    </w:p>
    <w:p w:rsidR="003B2ADE" w:rsidRPr="00593016" w:rsidRDefault="003B2ADE" w:rsidP="00593016">
      <w:pPr>
        <w:tabs>
          <w:tab w:val="right" w:pos="6379"/>
          <w:tab w:val="right" w:pos="8647"/>
        </w:tabs>
        <w:rPr>
          <w:sz w:val="12"/>
          <w:szCs w:val="12"/>
        </w:rPr>
      </w:pPr>
    </w:p>
    <w:p w:rsidR="003B2ADE" w:rsidRPr="00285BB5" w:rsidRDefault="003B2ADE" w:rsidP="00593016">
      <w:pPr>
        <w:tabs>
          <w:tab w:val="right" w:pos="6379"/>
          <w:tab w:val="right" w:pos="8647"/>
        </w:tabs>
        <w:rPr>
          <w:sz w:val="22"/>
        </w:rPr>
      </w:pPr>
      <w:r w:rsidRPr="00285BB5">
        <w:rPr>
          <w:sz w:val="22"/>
        </w:rPr>
        <w:t>Totale contributi per ospedalizzazioni nel Cantone</w:t>
      </w:r>
      <w:r w:rsidR="006749F9">
        <w:rPr>
          <w:sz w:val="22"/>
        </w:rPr>
        <w:tab/>
      </w:r>
      <w:r w:rsidR="006749F9">
        <w:rPr>
          <w:sz w:val="22"/>
        </w:rPr>
        <w:tab/>
      </w:r>
      <w:r w:rsidR="00593016">
        <w:rPr>
          <w:sz w:val="22"/>
        </w:rPr>
        <w:t>331'292'443</w:t>
      </w:r>
    </w:p>
    <w:p w:rsidR="003B2ADE" w:rsidRPr="00593016" w:rsidRDefault="003B2ADE" w:rsidP="00593016">
      <w:pPr>
        <w:tabs>
          <w:tab w:val="right" w:pos="6379"/>
          <w:tab w:val="right" w:pos="8647"/>
        </w:tabs>
        <w:rPr>
          <w:sz w:val="12"/>
          <w:szCs w:val="12"/>
        </w:rPr>
      </w:pPr>
    </w:p>
    <w:p w:rsidR="003B2ADE" w:rsidRPr="00285BB5" w:rsidRDefault="003B2ADE" w:rsidP="00593016">
      <w:pPr>
        <w:tabs>
          <w:tab w:val="right" w:pos="6379"/>
          <w:tab w:val="right" w:pos="8647"/>
        </w:tabs>
        <w:rPr>
          <w:sz w:val="22"/>
        </w:rPr>
      </w:pPr>
      <w:r w:rsidRPr="00285BB5">
        <w:rPr>
          <w:sz w:val="22"/>
        </w:rPr>
        <w:t>Totale a Preventivo 2018</w:t>
      </w:r>
      <w:r w:rsidR="006749F9">
        <w:rPr>
          <w:sz w:val="22"/>
        </w:rPr>
        <w:tab/>
      </w:r>
      <w:r w:rsidRPr="00285BB5">
        <w:rPr>
          <w:sz w:val="22"/>
        </w:rPr>
        <w:tab/>
        <w:t>331'848'400</w:t>
      </w:r>
    </w:p>
    <w:p w:rsidR="003B2ADE" w:rsidRPr="00E85348" w:rsidRDefault="003B2ADE" w:rsidP="003B2ADE"/>
    <w:p w:rsidR="003B2ADE" w:rsidRDefault="003B2ADE" w:rsidP="003B2ADE">
      <w:pPr>
        <w:spacing w:after="120"/>
        <w:rPr>
          <w:szCs w:val="24"/>
        </w:rPr>
      </w:pPr>
      <w:r w:rsidRPr="00E85348">
        <w:rPr>
          <w:szCs w:val="24"/>
        </w:rPr>
        <w:t xml:space="preserve">Contributi per </w:t>
      </w:r>
      <w:r w:rsidRPr="006D69A9">
        <w:rPr>
          <w:szCs w:val="24"/>
          <w:u w:val="single"/>
        </w:rPr>
        <w:t>ospedalizzazioni fuori Cantone</w:t>
      </w:r>
      <w:r w:rsidRPr="006D69A9">
        <w:rPr>
          <w:szCs w:val="24"/>
        </w:rPr>
        <w:t>:</w:t>
      </w:r>
      <w:r>
        <w:rPr>
          <w:szCs w:val="24"/>
        </w:rPr>
        <w:t xml:space="preserve"> i</w:t>
      </w:r>
      <w:r w:rsidRPr="00E85348">
        <w:rPr>
          <w:szCs w:val="24"/>
        </w:rPr>
        <w:t>l contributo cantonale contabilizzato per ospedalizzazioni fuori cantone nel 201</w:t>
      </w:r>
      <w:r>
        <w:rPr>
          <w:szCs w:val="24"/>
        </w:rPr>
        <w:t>8</w:t>
      </w:r>
      <w:r w:rsidRPr="00E85348">
        <w:rPr>
          <w:szCs w:val="24"/>
        </w:rPr>
        <w:t xml:space="preserve"> è stato di </w:t>
      </w:r>
      <w:r>
        <w:rPr>
          <w:szCs w:val="24"/>
        </w:rPr>
        <w:t xml:space="preserve">CHF </w:t>
      </w:r>
      <w:r w:rsidRPr="002628A0">
        <w:rPr>
          <w:szCs w:val="24"/>
        </w:rPr>
        <w:t xml:space="preserve">30.4 mio. fr. (2017: 32.3 mio. fr.), a fronte di un preventivo di </w:t>
      </w:r>
      <w:r>
        <w:rPr>
          <w:szCs w:val="24"/>
        </w:rPr>
        <w:t xml:space="preserve">CHF </w:t>
      </w:r>
      <w:r w:rsidRPr="002628A0">
        <w:rPr>
          <w:szCs w:val="24"/>
        </w:rPr>
        <w:t>26.2 mio.</w:t>
      </w:r>
      <w:r>
        <w:rPr>
          <w:szCs w:val="24"/>
        </w:rPr>
        <w:t xml:space="preserve"> </w:t>
      </w:r>
      <w:r w:rsidRPr="002628A0">
        <w:rPr>
          <w:szCs w:val="24"/>
        </w:rPr>
        <w:t>L’importo versato è relativo a trattamenti effettuati nell’anno, di cui alcuni trapianti particolarmente onerosi (ad es. un trapianto di cuore è costato più di mezzo milione di fr., la cura di un grande ustionato più di 200'000 fr.). Contrariamente a quanto possa far pensare il volume di fatture pagate, le richieste per ospedalizzazioni fuori Cantone rimangono sostanzialmente stabili (nel 2017: 3</w:t>
      </w:r>
      <w:r>
        <w:rPr>
          <w:szCs w:val="24"/>
        </w:rPr>
        <w:t>'</w:t>
      </w:r>
      <w:r w:rsidRPr="002628A0">
        <w:rPr>
          <w:szCs w:val="24"/>
        </w:rPr>
        <w:t>014</w:t>
      </w:r>
      <w:r>
        <w:rPr>
          <w:szCs w:val="24"/>
        </w:rPr>
        <w:t xml:space="preserve"> = 5.4%</w:t>
      </w:r>
      <w:r w:rsidRPr="002628A0">
        <w:rPr>
          <w:szCs w:val="24"/>
        </w:rPr>
        <w:t>) che rappresentano il 4.9% del totale dei pazienti LAMal curati in Ticino (61’510).</w:t>
      </w:r>
    </w:p>
    <w:bookmarkEnd w:id="3"/>
    <w:p w:rsidR="003B2ADE" w:rsidRDefault="003B2ADE" w:rsidP="003B2ADE">
      <w:pPr>
        <w:rPr>
          <w:i/>
          <w:sz w:val="22"/>
        </w:rPr>
      </w:pPr>
    </w:p>
    <w:p w:rsidR="003B2ADE" w:rsidRDefault="003B2ADE" w:rsidP="003B2ADE">
      <w:r w:rsidRPr="0029709B">
        <w:t>Per ogni franco ricavato l’EOC ha rimesso nell’economia ticinese 74 cts</w:t>
      </w:r>
      <w:r>
        <w:t>.</w:t>
      </w:r>
    </w:p>
    <w:p w:rsidR="003B2ADE" w:rsidRDefault="003B2ADE" w:rsidP="003B2ADE"/>
    <w:p w:rsidR="00285BB5" w:rsidRDefault="00285BB5" w:rsidP="003B2ADE"/>
    <w:p w:rsidR="003B2ADE" w:rsidRPr="00380926" w:rsidRDefault="00E863C1" w:rsidP="00644102">
      <w:pPr>
        <w:pStyle w:val="Titolo2"/>
      </w:pPr>
      <w:r>
        <w:t>3</w:t>
      </w:r>
      <w:r w:rsidR="00644102">
        <w:t>.2</w:t>
      </w:r>
      <w:r w:rsidR="00644102">
        <w:tab/>
      </w:r>
      <w:r w:rsidR="003B2ADE" w:rsidRPr="00380926">
        <w:t>Costi e ricavi d’esercizio</w:t>
      </w:r>
      <w:r w:rsidR="003B2ADE">
        <w:t xml:space="preserve"> 2018</w:t>
      </w:r>
    </w:p>
    <w:p w:rsidR="003B2ADE" w:rsidRDefault="003B2ADE" w:rsidP="003B2ADE">
      <w:pPr>
        <w:spacing w:after="120"/>
        <w:rPr>
          <w:rFonts w:cs="Arial"/>
          <w:szCs w:val="24"/>
        </w:rPr>
      </w:pPr>
      <w:r w:rsidRPr="004F0AA7">
        <w:rPr>
          <w:rFonts w:cs="Arial"/>
          <w:szCs w:val="24"/>
        </w:rPr>
        <w:t>Riprendiamo dal messaggio.</w:t>
      </w:r>
      <w:r>
        <w:rPr>
          <w:rFonts w:cs="Arial"/>
          <w:szCs w:val="24"/>
        </w:rPr>
        <w:t xml:space="preserve"> </w:t>
      </w:r>
    </w:p>
    <w:p w:rsidR="003B2ADE" w:rsidRPr="00644102" w:rsidRDefault="003B2ADE" w:rsidP="003B2ADE">
      <w:pPr>
        <w:spacing w:after="120"/>
        <w:rPr>
          <w:rFonts w:cs="Arial"/>
          <w:i/>
          <w:iCs/>
          <w:szCs w:val="24"/>
        </w:rPr>
      </w:pPr>
      <w:r w:rsidRPr="00644102">
        <w:rPr>
          <w:rFonts w:cs="Arial"/>
          <w:b/>
          <w:bCs/>
          <w:i/>
          <w:iCs/>
          <w:szCs w:val="24"/>
        </w:rPr>
        <w:t>3.2.1</w:t>
      </w:r>
      <w:r w:rsidRPr="00644102">
        <w:rPr>
          <w:rFonts w:cs="Arial"/>
          <w:b/>
          <w:bCs/>
          <w:i/>
          <w:iCs/>
          <w:szCs w:val="24"/>
        </w:rPr>
        <w:tab/>
        <w:t>Costi</w:t>
      </w:r>
    </w:p>
    <w:p w:rsidR="003B2ADE" w:rsidRPr="00230FE8" w:rsidRDefault="003B2ADE" w:rsidP="003B2ADE">
      <w:pPr>
        <w:spacing w:after="120"/>
        <w:rPr>
          <w:rFonts w:cs="Arial"/>
          <w:i/>
          <w:sz w:val="22"/>
          <w:szCs w:val="24"/>
        </w:rPr>
      </w:pPr>
      <w:r w:rsidRPr="00230FE8">
        <w:rPr>
          <w:rFonts w:cs="Arial"/>
          <w:i/>
          <w:sz w:val="22"/>
          <w:szCs w:val="24"/>
        </w:rPr>
        <w:t xml:space="preserve">I </w:t>
      </w:r>
      <w:r w:rsidRPr="009E3266">
        <w:rPr>
          <w:rFonts w:cs="Arial"/>
          <w:i/>
          <w:sz w:val="22"/>
          <w:szCs w:val="24"/>
        </w:rPr>
        <w:t xml:space="preserve">costi </w:t>
      </w:r>
      <w:r w:rsidRPr="00230FE8">
        <w:rPr>
          <w:rFonts w:cs="Arial"/>
          <w:i/>
          <w:sz w:val="22"/>
          <w:szCs w:val="24"/>
        </w:rPr>
        <w:t>d’esercizio (senza ammortamenti e interessi) sono aumentati in maniera contenuta nel 2018 (+0.4% a fr. 697 Mio), dopo degli incrementi oltre il 4% nel 2016 e 2017. I costi del personale ne rappresentano il 72.5% e crescono del 2.2% a fr. 505 Mio (+ fr. 11 Mio), riflettendo l’incremento del personale di 94 unità a tempo pieno, per un totale di 4'291 unità a fine 2018. I rimanenti costi d’esercizio sono diminuiti del 4% a fr. 192 Mio (- fr. 8 Mio), principalmente per la diminuzione del fabbisogno di medicamenti e del costo di utilizzazione delle installazioni.</w:t>
      </w:r>
    </w:p>
    <w:p w:rsidR="003B2ADE" w:rsidRDefault="003B2ADE" w:rsidP="003B2ADE">
      <w:pPr>
        <w:spacing w:after="120"/>
        <w:rPr>
          <w:rFonts w:cs="Arial"/>
          <w:i/>
          <w:sz w:val="22"/>
          <w:szCs w:val="24"/>
        </w:rPr>
      </w:pPr>
    </w:p>
    <w:p w:rsidR="003B2ADE" w:rsidRPr="002352A5" w:rsidRDefault="003B2ADE" w:rsidP="003B2ADE">
      <w:pPr>
        <w:spacing w:after="120"/>
        <w:rPr>
          <w:rFonts w:cs="Arial"/>
          <w:iCs/>
          <w:sz w:val="22"/>
          <w:szCs w:val="24"/>
        </w:rPr>
      </w:pPr>
      <w:r w:rsidRPr="002352A5">
        <w:rPr>
          <w:noProof/>
          <w:lang w:eastAsia="it-CH"/>
        </w:rPr>
        <w:drawing>
          <wp:inline distT="0" distB="0" distL="0" distR="0" wp14:anchorId="64FBDA59" wp14:editId="2CF468FE">
            <wp:extent cx="6120130" cy="32416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241675"/>
                    </a:xfrm>
                    <a:prstGeom prst="rect">
                      <a:avLst/>
                    </a:prstGeom>
                    <a:noFill/>
                    <a:ln>
                      <a:noFill/>
                    </a:ln>
                  </pic:spPr>
                </pic:pic>
              </a:graphicData>
            </a:graphic>
          </wp:inline>
        </w:drawing>
      </w:r>
    </w:p>
    <w:p w:rsidR="003B2ADE" w:rsidRPr="00C041C7" w:rsidRDefault="003B2ADE" w:rsidP="003B2ADE">
      <w:pPr>
        <w:rPr>
          <w:rFonts w:cs="Arial"/>
          <w:szCs w:val="24"/>
        </w:rPr>
      </w:pPr>
    </w:p>
    <w:p w:rsidR="003B2ADE" w:rsidRPr="00C041C7" w:rsidRDefault="003B2ADE" w:rsidP="003B2ADE">
      <w:pPr>
        <w:rPr>
          <w:rFonts w:cs="Arial"/>
          <w:szCs w:val="24"/>
        </w:rPr>
      </w:pPr>
      <w:r w:rsidRPr="00C041C7">
        <w:rPr>
          <w:rFonts w:cs="Arial"/>
          <w:szCs w:val="24"/>
        </w:rPr>
        <w:t>L’EOC si considera un datore di lavoro sensibile alla componente umana con strutture che contano su un personale competente, impegnato e presente. Le parti sociali hanno portato alla firma di un nuovo contratto collettivo per gli oltre 5’000 collaboratori non medici dell’EOC che fanno parte del personale non medico. I tre quarti dei collaboratori sono donne (cfr. allegati al presente rapporto).</w:t>
      </w:r>
    </w:p>
    <w:p w:rsidR="003B2ADE" w:rsidRPr="00C041C7" w:rsidRDefault="003B2ADE" w:rsidP="003B2ADE">
      <w:pPr>
        <w:rPr>
          <w:rFonts w:cs="Arial"/>
          <w:szCs w:val="24"/>
        </w:rPr>
      </w:pPr>
      <w:r w:rsidRPr="00C041C7">
        <w:rPr>
          <w:rFonts w:cs="Arial"/>
          <w:szCs w:val="24"/>
        </w:rPr>
        <w:t>L’impegno, la dedizione e le competenze delle collaboratrici e dei collaboratori sono infatti le prerogative per assicurare la qualità delle cure e l’accoglienza dei pazienti e degli utenti degli ospedali.</w:t>
      </w:r>
    </w:p>
    <w:p w:rsidR="003B2ADE" w:rsidRPr="00C041C7" w:rsidRDefault="003B2ADE" w:rsidP="003B2ADE">
      <w:pPr>
        <w:rPr>
          <w:rFonts w:cs="Arial"/>
          <w:szCs w:val="24"/>
        </w:rPr>
      </w:pPr>
    </w:p>
    <w:p w:rsidR="003B2ADE" w:rsidRPr="00C041C7" w:rsidRDefault="003B2ADE" w:rsidP="003B2ADE">
      <w:pPr>
        <w:rPr>
          <w:rFonts w:cs="Arial"/>
          <w:szCs w:val="24"/>
        </w:rPr>
      </w:pPr>
      <w:r w:rsidRPr="00C041C7">
        <w:rPr>
          <w:rFonts w:cs="Arial"/>
          <w:szCs w:val="24"/>
        </w:rPr>
        <w:t xml:space="preserve">Gli indicatori proposti nel </w:t>
      </w:r>
      <w:r w:rsidRPr="006D70EB">
        <w:rPr>
          <w:rFonts w:cs="Arial"/>
          <w:b/>
          <w:bCs/>
          <w:szCs w:val="24"/>
        </w:rPr>
        <w:t>bilancio sociale</w:t>
      </w:r>
      <w:r w:rsidRPr="00C041C7">
        <w:rPr>
          <w:rFonts w:cs="Arial"/>
          <w:szCs w:val="24"/>
        </w:rPr>
        <w:t xml:space="preserve"> in ambito risorse umane sono incentrati su tre elementi (cfr. specchietto seguente) e la loro lettura va contestualizzata alla luce delle crescenti pressioni al contenimento dei costi e alla riduzione delle tariffe</w:t>
      </w:r>
      <w:r>
        <w:rPr>
          <w:rFonts w:cs="Arial"/>
          <w:szCs w:val="24"/>
        </w:rPr>
        <w:t>: il tutto in un quadro costituendo una sfida quasi impossibile nel medio-lungo termine</w:t>
      </w:r>
      <w:r w:rsidRPr="00C041C7">
        <w:rPr>
          <w:rFonts w:cs="Arial"/>
          <w:szCs w:val="24"/>
        </w:rPr>
        <w:t>.</w:t>
      </w:r>
    </w:p>
    <w:p w:rsidR="003B2ADE" w:rsidRPr="00C041C7" w:rsidRDefault="003B2ADE" w:rsidP="003B2ADE">
      <w:pPr>
        <w:rPr>
          <w:rFonts w:cs="Arial"/>
          <w:szCs w:val="24"/>
        </w:rPr>
      </w:pPr>
    </w:p>
    <w:tbl>
      <w:tblPr>
        <w:tblStyle w:val="TableNormal"/>
        <w:tblW w:w="0" w:type="auto"/>
        <w:tblLayout w:type="fixed"/>
        <w:tblLook w:val="01E0" w:firstRow="1" w:lastRow="1" w:firstColumn="1" w:lastColumn="1" w:noHBand="0" w:noVBand="0"/>
      </w:tblPr>
      <w:tblGrid>
        <w:gridCol w:w="1871"/>
        <w:gridCol w:w="3411"/>
        <w:gridCol w:w="3633"/>
      </w:tblGrid>
      <w:tr w:rsidR="003B2ADE" w:rsidRPr="00C041C7" w:rsidTr="007E04C2">
        <w:trPr>
          <w:trHeight w:val="273"/>
        </w:trPr>
        <w:tc>
          <w:tcPr>
            <w:tcW w:w="1871" w:type="dxa"/>
            <w:tcBorders>
              <w:bottom w:val="single" w:sz="4" w:space="0" w:color="005597"/>
            </w:tcBorders>
          </w:tcPr>
          <w:p w:rsidR="003B2ADE" w:rsidRPr="00C041C7" w:rsidRDefault="003B2ADE" w:rsidP="007E04C2">
            <w:pPr>
              <w:pStyle w:val="TableParagraph"/>
              <w:spacing w:before="50"/>
              <w:ind w:left="5"/>
              <w:rPr>
                <w:rFonts w:ascii="Calibri"/>
                <w:b/>
                <w:sz w:val="15"/>
              </w:rPr>
            </w:pPr>
            <w:r w:rsidRPr="00C041C7">
              <w:rPr>
                <w:rFonts w:ascii="Calibri"/>
                <w:b/>
                <w:w w:val="110"/>
                <w:sz w:val="15"/>
              </w:rPr>
              <w:t>Tema</w:t>
            </w:r>
          </w:p>
        </w:tc>
        <w:tc>
          <w:tcPr>
            <w:tcW w:w="3411" w:type="dxa"/>
            <w:tcBorders>
              <w:bottom w:val="single" w:sz="4" w:space="0" w:color="005597"/>
            </w:tcBorders>
            <w:shd w:val="clear" w:color="auto" w:fill="EAEDF6"/>
          </w:tcPr>
          <w:p w:rsidR="003B2ADE" w:rsidRPr="00C041C7" w:rsidRDefault="003B2ADE" w:rsidP="007E04C2">
            <w:pPr>
              <w:pStyle w:val="TableParagraph"/>
              <w:spacing w:before="50"/>
              <w:ind w:left="118"/>
              <w:rPr>
                <w:rFonts w:ascii="Calibri"/>
                <w:b/>
                <w:sz w:val="15"/>
              </w:rPr>
            </w:pPr>
            <w:r w:rsidRPr="00C041C7">
              <w:rPr>
                <w:rFonts w:ascii="Calibri"/>
                <w:b/>
                <w:w w:val="115"/>
                <w:sz w:val="15"/>
              </w:rPr>
              <w:t>Obiettivo Cantone</w:t>
            </w:r>
          </w:p>
        </w:tc>
        <w:tc>
          <w:tcPr>
            <w:tcW w:w="3633" w:type="dxa"/>
            <w:tcBorders>
              <w:bottom w:val="single" w:sz="4" w:space="0" w:color="005597"/>
            </w:tcBorders>
            <w:shd w:val="clear" w:color="auto" w:fill="EAEDF6"/>
          </w:tcPr>
          <w:p w:rsidR="003B2ADE" w:rsidRPr="00C041C7" w:rsidRDefault="003B2ADE" w:rsidP="007E04C2">
            <w:pPr>
              <w:pStyle w:val="TableParagraph"/>
              <w:spacing w:before="50"/>
              <w:ind w:left="259"/>
              <w:rPr>
                <w:rFonts w:ascii="Calibri"/>
                <w:b/>
                <w:sz w:val="15"/>
              </w:rPr>
            </w:pPr>
            <w:r w:rsidRPr="00C041C7">
              <w:rPr>
                <w:rFonts w:ascii="Calibri"/>
                <w:b/>
                <w:w w:val="120"/>
                <w:sz w:val="15"/>
              </w:rPr>
              <w:t>Obiettivo EOC</w:t>
            </w:r>
          </w:p>
        </w:tc>
      </w:tr>
      <w:tr w:rsidR="003B2ADE" w:rsidRPr="00C041C7" w:rsidTr="007E04C2">
        <w:trPr>
          <w:trHeight w:val="488"/>
        </w:trPr>
        <w:tc>
          <w:tcPr>
            <w:tcW w:w="1871" w:type="dxa"/>
            <w:tcBorders>
              <w:top w:val="single" w:sz="4" w:space="0" w:color="005597"/>
              <w:bottom w:val="dotted" w:sz="4" w:space="0" w:color="000000"/>
            </w:tcBorders>
          </w:tcPr>
          <w:p w:rsidR="003B2ADE" w:rsidRPr="00C041C7" w:rsidRDefault="003B2ADE" w:rsidP="007E04C2">
            <w:pPr>
              <w:pStyle w:val="TableParagraph"/>
              <w:spacing w:before="45"/>
              <w:ind w:left="5"/>
              <w:rPr>
                <w:rFonts w:ascii="Calibri"/>
                <w:b/>
                <w:sz w:val="15"/>
              </w:rPr>
            </w:pPr>
            <w:r w:rsidRPr="00C041C7">
              <w:rPr>
                <w:rFonts w:ascii="Calibri"/>
                <w:b/>
                <w:w w:val="110"/>
                <w:sz w:val="15"/>
              </w:rPr>
              <w:t>Occupazione</w:t>
            </w:r>
          </w:p>
        </w:tc>
        <w:tc>
          <w:tcPr>
            <w:tcW w:w="3411" w:type="dxa"/>
            <w:tcBorders>
              <w:top w:val="single" w:sz="4" w:space="0" w:color="005597"/>
              <w:bottom w:val="dotted" w:sz="4" w:space="0" w:color="000000"/>
            </w:tcBorders>
            <w:shd w:val="clear" w:color="auto" w:fill="EAEDF6"/>
          </w:tcPr>
          <w:p w:rsidR="003B2ADE" w:rsidRPr="00C041C7" w:rsidRDefault="003B2ADE" w:rsidP="007E04C2">
            <w:pPr>
              <w:pStyle w:val="TableParagraph"/>
              <w:spacing w:before="2" w:line="220" w:lineRule="atLeast"/>
              <w:ind w:left="118" w:right="460"/>
              <w:rPr>
                <w:sz w:val="15"/>
              </w:rPr>
            </w:pPr>
            <w:r w:rsidRPr="00C041C7">
              <w:rPr>
                <w:sz w:val="15"/>
              </w:rPr>
              <w:t>Aumentare il numero di posti di lavoro di qualità offerti nel Cantone.</w:t>
            </w:r>
          </w:p>
        </w:tc>
        <w:tc>
          <w:tcPr>
            <w:tcW w:w="3633" w:type="dxa"/>
            <w:tcBorders>
              <w:top w:val="single" w:sz="4" w:space="0" w:color="005597"/>
              <w:bottom w:val="single" w:sz="4" w:space="0" w:color="000000"/>
            </w:tcBorders>
            <w:shd w:val="clear" w:color="auto" w:fill="EAEDF6"/>
          </w:tcPr>
          <w:p w:rsidR="003B2ADE" w:rsidRPr="00C041C7" w:rsidRDefault="003B2ADE" w:rsidP="007E04C2">
            <w:pPr>
              <w:pStyle w:val="TableParagraph"/>
              <w:spacing w:before="47"/>
              <w:ind w:left="259"/>
              <w:rPr>
                <w:sz w:val="15"/>
              </w:rPr>
            </w:pPr>
            <w:r w:rsidRPr="00C041C7">
              <w:rPr>
                <w:sz w:val="15"/>
              </w:rPr>
              <w:t>Mantenere i posti di lavoro presso EOC.</w:t>
            </w:r>
          </w:p>
        </w:tc>
      </w:tr>
      <w:tr w:rsidR="003B2ADE" w:rsidRPr="00C041C7" w:rsidTr="007E04C2">
        <w:trPr>
          <w:trHeight w:val="488"/>
        </w:trPr>
        <w:tc>
          <w:tcPr>
            <w:tcW w:w="1871" w:type="dxa"/>
            <w:tcBorders>
              <w:top w:val="dotted" w:sz="4" w:space="0" w:color="000000"/>
              <w:bottom w:val="dotted" w:sz="4" w:space="0" w:color="000000"/>
            </w:tcBorders>
          </w:tcPr>
          <w:p w:rsidR="003B2ADE" w:rsidRPr="00C041C7" w:rsidRDefault="003B2ADE" w:rsidP="007E04C2">
            <w:pPr>
              <w:pStyle w:val="TableParagraph"/>
              <w:spacing w:before="45"/>
              <w:ind w:left="5"/>
              <w:rPr>
                <w:rFonts w:ascii="Calibri"/>
                <w:b/>
                <w:sz w:val="15"/>
              </w:rPr>
            </w:pPr>
            <w:r w:rsidRPr="00C041C7">
              <w:rPr>
                <w:rFonts w:ascii="Calibri"/>
                <w:b/>
                <w:w w:val="115"/>
                <w:sz w:val="15"/>
              </w:rPr>
              <w:t>Salario mediano</w:t>
            </w:r>
          </w:p>
        </w:tc>
        <w:tc>
          <w:tcPr>
            <w:tcW w:w="3411" w:type="dxa"/>
            <w:tcBorders>
              <w:top w:val="dotted" w:sz="4" w:space="0" w:color="000000"/>
              <w:bottom w:val="dotted" w:sz="4" w:space="0" w:color="000000"/>
            </w:tcBorders>
            <w:shd w:val="clear" w:color="auto" w:fill="EAEDF6"/>
          </w:tcPr>
          <w:p w:rsidR="003B2ADE" w:rsidRPr="00C041C7" w:rsidRDefault="003B2ADE" w:rsidP="007E04C2">
            <w:pPr>
              <w:pStyle w:val="TableParagraph"/>
              <w:spacing w:before="2" w:line="220" w:lineRule="atLeast"/>
              <w:ind w:left="118" w:right="460"/>
              <w:rPr>
                <w:sz w:val="15"/>
              </w:rPr>
            </w:pPr>
            <w:r w:rsidRPr="00C041C7">
              <w:rPr>
                <w:sz w:val="15"/>
              </w:rPr>
              <w:t>Contribuire a preservare i livelli del salario mediano.</w:t>
            </w:r>
          </w:p>
        </w:tc>
        <w:tc>
          <w:tcPr>
            <w:tcW w:w="3633" w:type="dxa"/>
            <w:tcBorders>
              <w:top w:val="single" w:sz="4" w:space="0" w:color="000000"/>
              <w:bottom w:val="single" w:sz="4" w:space="0" w:color="000000"/>
            </w:tcBorders>
            <w:shd w:val="clear" w:color="auto" w:fill="EAEDF6"/>
          </w:tcPr>
          <w:p w:rsidR="003B2ADE" w:rsidRPr="00C041C7" w:rsidRDefault="003B2ADE" w:rsidP="007E04C2">
            <w:pPr>
              <w:pStyle w:val="TableParagraph"/>
              <w:spacing w:before="47"/>
              <w:ind w:left="259"/>
              <w:rPr>
                <w:sz w:val="15"/>
              </w:rPr>
            </w:pPr>
            <w:r w:rsidRPr="00C041C7">
              <w:rPr>
                <w:sz w:val="15"/>
              </w:rPr>
              <w:t>Offrire retribuzioni attrattive e adeguate.</w:t>
            </w:r>
          </w:p>
        </w:tc>
      </w:tr>
      <w:tr w:rsidR="003B2ADE" w:rsidRPr="00C041C7" w:rsidTr="007E04C2">
        <w:trPr>
          <w:trHeight w:val="708"/>
        </w:trPr>
        <w:tc>
          <w:tcPr>
            <w:tcW w:w="1871" w:type="dxa"/>
            <w:tcBorders>
              <w:top w:val="dotted" w:sz="4" w:space="0" w:color="000000"/>
              <w:bottom w:val="dotted" w:sz="4" w:space="0" w:color="000000"/>
            </w:tcBorders>
          </w:tcPr>
          <w:p w:rsidR="003B2ADE" w:rsidRPr="00C041C7" w:rsidRDefault="003B2ADE" w:rsidP="007E04C2">
            <w:pPr>
              <w:pStyle w:val="TableParagraph"/>
              <w:spacing w:before="46"/>
              <w:ind w:left="5"/>
              <w:rPr>
                <w:rFonts w:ascii="Calibri"/>
                <w:b/>
                <w:sz w:val="15"/>
              </w:rPr>
            </w:pPr>
            <w:r w:rsidRPr="00C041C7">
              <w:rPr>
                <w:rFonts w:ascii="Calibri"/>
                <w:b/>
                <w:w w:val="115"/>
                <w:sz w:val="15"/>
              </w:rPr>
              <w:t>Formazione</w:t>
            </w:r>
          </w:p>
        </w:tc>
        <w:tc>
          <w:tcPr>
            <w:tcW w:w="3411" w:type="dxa"/>
            <w:tcBorders>
              <w:top w:val="dotted" w:sz="4" w:space="0" w:color="000000"/>
            </w:tcBorders>
            <w:shd w:val="clear" w:color="auto" w:fill="EAEDF6"/>
          </w:tcPr>
          <w:p w:rsidR="003B2ADE" w:rsidRPr="00C041C7" w:rsidRDefault="003B2ADE" w:rsidP="007E04C2">
            <w:pPr>
              <w:pStyle w:val="TableParagraph"/>
              <w:spacing w:before="48" w:line="302" w:lineRule="auto"/>
              <w:ind w:left="118"/>
              <w:rPr>
                <w:sz w:val="15"/>
              </w:rPr>
            </w:pPr>
            <w:r w:rsidRPr="00C041C7">
              <w:rPr>
                <w:sz w:val="15"/>
              </w:rPr>
              <w:t>Accrescere la formazione e il know-how sul territorio ticinese.</w:t>
            </w:r>
          </w:p>
        </w:tc>
        <w:tc>
          <w:tcPr>
            <w:tcW w:w="3633" w:type="dxa"/>
            <w:tcBorders>
              <w:top w:val="single" w:sz="4" w:space="0" w:color="000000"/>
            </w:tcBorders>
            <w:shd w:val="clear" w:color="auto" w:fill="EAEDF6"/>
          </w:tcPr>
          <w:p w:rsidR="003B2ADE" w:rsidRPr="00C041C7" w:rsidRDefault="003B2ADE" w:rsidP="007E04C2">
            <w:pPr>
              <w:pStyle w:val="TableParagraph"/>
              <w:spacing w:before="2" w:line="220" w:lineRule="atLeast"/>
              <w:ind w:left="259"/>
              <w:rPr>
                <w:sz w:val="15"/>
              </w:rPr>
            </w:pPr>
            <w:r w:rsidRPr="00C041C7">
              <w:rPr>
                <w:sz w:val="15"/>
              </w:rPr>
              <w:t>Migliorare le competenze dei propri collaboratori; essere uno dei principali partner nella formazione di personale nell’ambito delle cure.</w:t>
            </w:r>
          </w:p>
        </w:tc>
      </w:tr>
    </w:tbl>
    <w:p w:rsidR="003B2ADE" w:rsidRPr="00C041C7" w:rsidRDefault="003B2ADE" w:rsidP="003B2ADE">
      <w:pPr>
        <w:rPr>
          <w:rFonts w:cs="Arial"/>
          <w:szCs w:val="24"/>
        </w:rPr>
      </w:pPr>
    </w:p>
    <w:p w:rsidR="003B2ADE" w:rsidRDefault="003B2ADE" w:rsidP="003B2ADE">
      <w:pPr>
        <w:rPr>
          <w:rFonts w:cs="Arial"/>
          <w:szCs w:val="24"/>
        </w:rPr>
      </w:pPr>
      <w:r w:rsidRPr="00535A54">
        <w:rPr>
          <w:rFonts w:cs="Arial"/>
          <w:szCs w:val="24"/>
        </w:rPr>
        <w:t>L’EOC è tuttavia convinto che solo con dotazioni di personale adeguate alle esigenze sarà possibile far fronte alle accresciute necessità dei pazienti, sempre più anziani e con più patologie.</w:t>
      </w:r>
    </w:p>
    <w:p w:rsidR="003B2ADE" w:rsidRPr="00535A54" w:rsidRDefault="003B2ADE" w:rsidP="003B2ADE">
      <w:pPr>
        <w:rPr>
          <w:rFonts w:cs="Arial"/>
          <w:szCs w:val="24"/>
        </w:rPr>
      </w:pPr>
      <w:r>
        <w:rPr>
          <w:rFonts w:cs="Arial"/>
          <w:szCs w:val="24"/>
        </w:rPr>
        <w:t>Di seguito riprendiamo dal Rapporto EOC (cfr. pure allegati al presente rapporto), alcune tabelle relative all’occupazione e riparto dei posti di lavoro in EOC.</w:t>
      </w:r>
    </w:p>
    <w:p w:rsidR="003B2ADE" w:rsidRPr="00535A54" w:rsidRDefault="003B2ADE" w:rsidP="003B2ADE">
      <w:pPr>
        <w:rPr>
          <w:rFonts w:cs="Arial"/>
          <w:szCs w:val="24"/>
        </w:rPr>
      </w:pPr>
      <w:r w:rsidRPr="00535A54">
        <w:rPr>
          <w:rFonts w:cs="Arial"/>
          <w:szCs w:val="24"/>
        </w:rPr>
        <w:t xml:space="preserve">Va sottolineata la stabilità del numero di collaboratori frontalieri e l’impegno dell’EOC nell’evitare </w:t>
      </w:r>
      <w:r>
        <w:rPr>
          <w:rFonts w:cs="Arial"/>
          <w:szCs w:val="24"/>
        </w:rPr>
        <w:t xml:space="preserve">un </w:t>
      </w:r>
      <w:r w:rsidRPr="00535A54">
        <w:rPr>
          <w:rFonts w:cs="Arial"/>
          <w:szCs w:val="24"/>
        </w:rPr>
        <w:t>“effetto sostituzione”, peraltro inutile dal punto di vista finanziario in quanto l’EOC agisce in regime di contratto collettivo.</w:t>
      </w:r>
    </w:p>
    <w:p w:rsidR="003B2ADE" w:rsidRPr="00535A54" w:rsidRDefault="003B2ADE" w:rsidP="003B2ADE">
      <w:pPr>
        <w:rPr>
          <w:rFonts w:cs="Arial"/>
          <w:szCs w:val="24"/>
        </w:rPr>
      </w:pPr>
      <w:r w:rsidRPr="00535A54">
        <w:rPr>
          <w:rFonts w:cs="Arial"/>
          <w:szCs w:val="24"/>
        </w:rPr>
        <w:t xml:space="preserve">Nelle unità a tempo pieno il personale in formazione non è considerato. </w:t>
      </w:r>
    </w:p>
    <w:p w:rsidR="003B2ADE" w:rsidRPr="00535A54" w:rsidRDefault="003B2ADE" w:rsidP="003B2ADE">
      <w:pPr>
        <w:rPr>
          <w:rFonts w:cs="Arial"/>
          <w:szCs w:val="24"/>
        </w:rPr>
      </w:pPr>
      <w:r w:rsidRPr="00535A54">
        <w:rPr>
          <w:rFonts w:cs="Arial"/>
          <w:szCs w:val="24"/>
        </w:rPr>
        <w:t>Di seguito l’evoluzione negli ultimi cinque anni.</w:t>
      </w:r>
    </w:p>
    <w:p w:rsidR="003B2ADE" w:rsidRPr="00535A54" w:rsidRDefault="003B2ADE" w:rsidP="003B2ADE">
      <w:pPr>
        <w:rPr>
          <w:rFonts w:cs="Arial"/>
          <w:szCs w:val="24"/>
        </w:rPr>
      </w:pPr>
    </w:p>
    <w:tbl>
      <w:tblPr>
        <w:tblStyle w:val="TableNormal"/>
        <w:tblW w:w="0" w:type="auto"/>
        <w:tblInd w:w="365" w:type="dxa"/>
        <w:tblLayout w:type="fixed"/>
        <w:tblLook w:val="01E0" w:firstRow="1" w:lastRow="1" w:firstColumn="1" w:lastColumn="1" w:noHBand="0" w:noVBand="0"/>
      </w:tblPr>
      <w:tblGrid>
        <w:gridCol w:w="971"/>
        <w:gridCol w:w="1859"/>
        <w:gridCol w:w="1532"/>
        <w:gridCol w:w="2357"/>
        <w:gridCol w:w="2192"/>
      </w:tblGrid>
      <w:tr w:rsidR="003B2ADE" w:rsidRPr="00535A54" w:rsidTr="007E04C2">
        <w:trPr>
          <w:trHeight w:val="667"/>
        </w:trPr>
        <w:tc>
          <w:tcPr>
            <w:tcW w:w="971" w:type="dxa"/>
            <w:tcBorders>
              <w:bottom w:val="single" w:sz="4" w:space="0" w:color="76B9C7"/>
            </w:tcBorders>
          </w:tcPr>
          <w:p w:rsidR="003B2ADE" w:rsidRPr="00535A54" w:rsidRDefault="003B2ADE" w:rsidP="007E04C2">
            <w:pPr>
              <w:pStyle w:val="TableParagraph"/>
              <w:rPr>
                <w:sz w:val="18"/>
              </w:rPr>
            </w:pPr>
          </w:p>
          <w:p w:rsidR="003B2ADE" w:rsidRPr="00535A54" w:rsidRDefault="003B2ADE" w:rsidP="007E04C2">
            <w:pPr>
              <w:pStyle w:val="TableParagraph"/>
              <w:rPr>
                <w:sz w:val="20"/>
              </w:rPr>
            </w:pPr>
          </w:p>
          <w:p w:rsidR="003B2ADE" w:rsidRPr="00535A54" w:rsidRDefault="003B2ADE" w:rsidP="007E04C2">
            <w:pPr>
              <w:pStyle w:val="TableParagraph"/>
              <w:ind w:left="77"/>
              <w:rPr>
                <w:rFonts w:ascii="Calibri"/>
                <w:b/>
                <w:sz w:val="15"/>
              </w:rPr>
            </w:pPr>
            <w:r w:rsidRPr="00535A54">
              <w:rPr>
                <w:rFonts w:ascii="Calibri"/>
                <w:b/>
                <w:w w:val="110"/>
                <w:sz w:val="15"/>
              </w:rPr>
              <w:t>Anno</w:t>
            </w:r>
          </w:p>
        </w:tc>
        <w:tc>
          <w:tcPr>
            <w:tcW w:w="1859" w:type="dxa"/>
            <w:tcBorders>
              <w:bottom w:val="single" w:sz="4" w:space="0" w:color="76B9C7"/>
            </w:tcBorders>
          </w:tcPr>
          <w:p w:rsidR="003B2ADE" w:rsidRPr="00535A54" w:rsidRDefault="003B2ADE" w:rsidP="007E04C2">
            <w:pPr>
              <w:pStyle w:val="TableParagraph"/>
              <w:spacing w:before="2"/>
              <w:ind w:left="479"/>
              <w:rPr>
                <w:rFonts w:ascii="Calibri"/>
                <w:b/>
                <w:sz w:val="15"/>
              </w:rPr>
            </w:pPr>
            <w:r w:rsidRPr="00535A54">
              <w:rPr>
                <w:rFonts w:ascii="Calibri"/>
                <w:b/>
                <w:spacing w:val="4"/>
                <w:w w:val="110"/>
                <w:sz w:val="15"/>
              </w:rPr>
              <w:t>Media</w:t>
            </w:r>
            <w:r w:rsidRPr="00535A54">
              <w:rPr>
                <w:rFonts w:ascii="Calibri"/>
                <w:b/>
                <w:spacing w:val="7"/>
                <w:w w:val="110"/>
                <w:sz w:val="15"/>
              </w:rPr>
              <w:t xml:space="preserve"> </w:t>
            </w:r>
            <w:r w:rsidRPr="00535A54">
              <w:rPr>
                <w:rFonts w:ascii="Calibri"/>
                <w:b/>
                <w:spacing w:val="5"/>
                <w:w w:val="110"/>
                <w:sz w:val="15"/>
              </w:rPr>
              <w:t>annuale</w:t>
            </w:r>
          </w:p>
          <w:p w:rsidR="003B2ADE" w:rsidRPr="00535A54" w:rsidRDefault="003B2ADE" w:rsidP="007E04C2">
            <w:pPr>
              <w:pStyle w:val="TableParagraph"/>
              <w:spacing w:line="220" w:lineRule="atLeast"/>
              <w:ind w:left="646" w:firstLine="398"/>
              <w:rPr>
                <w:rFonts w:ascii="Calibri" w:hAnsi="Calibri"/>
                <w:b/>
                <w:sz w:val="15"/>
              </w:rPr>
            </w:pPr>
            <w:r w:rsidRPr="00535A54">
              <w:rPr>
                <w:rFonts w:ascii="Calibri" w:hAnsi="Calibri"/>
                <w:b/>
                <w:spacing w:val="5"/>
                <w:w w:val="110"/>
                <w:sz w:val="15"/>
              </w:rPr>
              <w:t xml:space="preserve">unità </w:t>
            </w:r>
            <w:r w:rsidRPr="00535A54">
              <w:rPr>
                <w:rFonts w:ascii="Calibri" w:hAnsi="Calibri"/>
                <w:b/>
                <w:spacing w:val="-16"/>
                <w:w w:val="110"/>
                <w:sz w:val="15"/>
              </w:rPr>
              <w:t xml:space="preserve">a </w:t>
            </w:r>
            <w:r w:rsidRPr="00535A54">
              <w:rPr>
                <w:rFonts w:ascii="Calibri" w:hAnsi="Calibri"/>
                <w:b/>
                <w:spacing w:val="4"/>
                <w:w w:val="110"/>
                <w:sz w:val="15"/>
              </w:rPr>
              <w:t xml:space="preserve">tempo </w:t>
            </w:r>
            <w:r w:rsidRPr="00535A54">
              <w:rPr>
                <w:rFonts w:ascii="Calibri" w:hAnsi="Calibri"/>
                <w:b/>
                <w:w w:val="110"/>
                <w:sz w:val="15"/>
              </w:rPr>
              <w:t>pieno</w:t>
            </w:r>
          </w:p>
        </w:tc>
        <w:tc>
          <w:tcPr>
            <w:tcW w:w="1532" w:type="dxa"/>
            <w:tcBorders>
              <w:bottom w:val="single" w:sz="4" w:space="0" w:color="76B9C7"/>
            </w:tcBorders>
          </w:tcPr>
          <w:p w:rsidR="003B2ADE" w:rsidRPr="00535A54" w:rsidRDefault="003B2ADE" w:rsidP="007E04C2">
            <w:pPr>
              <w:pStyle w:val="TableParagraph"/>
              <w:spacing w:before="2" w:line="288" w:lineRule="auto"/>
              <w:ind w:left="284" w:firstLine="196"/>
              <w:rPr>
                <w:rFonts w:ascii="Calibri"/>
                <w:b/>
                <w:sz w:val="15"/>
              </w:rPr>
            </w:pPr>
            <w:r w:rsidRPr="00535A54">
              <w:rPr>
                <w:rFonts w:ascii="Calibri"/>
                <w:b/>
                <w:spacing w:val="4"/>
                <w:w w:val="110"/>
                <w:sz w:val="15"/>
              </w:rPr>
              <w:t xml:space="preserve">Numero </w:t>
            </w:r>
            <w:r w:rsidRPr="00535A54">
              <w:rPr>
                <w:rFonts w:ascii="Calibri"/>
                <w:b/>
                <w:spacing w:val="-8"/>
                <w:w w:val="110"/>
                <w:sz w:val="15"/>
              </w:rPr>
              <w:t xml:space="preserve">di </w:t>
            </w:r>
            <w:r w:rsidRPr="00535A54">
              <w:rPr>
                <w:rFonts w:ascii="Calibri"/>
                <w:b/>
                <w:spacing w:val="5"/>
                <w:w w:val="110"/>
                <w:sz w:val="15"/>
              </w:rPr>
              <w:t>collaboratori</w:t>
            </w:r>
          </w:p>
          <w:p w:rsidR="003B2ADE" w:rsidRPr="00535A54" w:rsidRDefault="003B2ADE" w:rsidP="007E04C2">
            <w:pPr>
              <w:pStyle w:val="TableParagraph"/>
              <w:ind w:left="646"/>
              <w:rPr>
                <w:rFonts w:ascii="Calibri"/>
                <w:b/>
                <w:sz w:val="15"/>
              </w:rPr>
            </w:pPr>
            <w:r w:rsidRPr="00535A54">
              <w:rPr>
                <w:rFonts w:ascii="Calibri"/>
                <w:b/>
                <w:spacing w:val="2"/>
                <w:w w:val="120"/>
                <w:sz w:val="15"/>
              </w:rPr>
              <w:t>al</w:t>
            </w:r>
            <w:r w:rsidRPr="00535A54">
              <w:rPr>
                <w:rFonts w:ascii="Calibri"/>
                <w:b/>
                <w:spacing w:val="43"/>
                <w:w w:val="120"/>
                <w:sz w:val="15"/>
              </w:rPr>
              <w:t xml:space="preserve"> </w:t>
            </w:r>
            <w:r w:rsidRPr="00535A54">
              <w:rPr>
                <w:rFonts w:ascii="Calibri"/>
                <w:b/>
                <w:spacing w:val="-4"/>
                <w:w w:val="120"/>
                <w:sz w:val="15"/>
              </w:rPr>
              <w:t>31.12</w:t>
            </w:r>
          </w:p>
        </w:tc>
        <w:tc>
          <w:tcPr>
            <w:tcW w:w="2357" w:type="dxa"/>
            <w:tcBorders>
              <w:bottom w:val="single" w:sz="4" w:space="0" w:color="76B9C7"/>
            </w:tcBorders>
          </w:tcPr>
          <w:p w:rsidR="003B2ADE" w:rsidRPr="00535A54" w:rsidRDefault="003B2ADE" w:rsidP="007E04C2">
            <w:pPr>
              <w:pStyle w:val="TableParagraph"/>
              <w:spacing w:before="2" w:line="288" w:lineRule="auto"/>
              <w:ind w:left="268" w:right="268" w:firstLine="1027"/>
              <w:rPr>
                <w:rFonts w:ascii="Calibri"/>
                <w:b/>
                <w:sz w:val="15"/>
              </w:rPr>
            </w:pPr>
            <w:r w:rsidRPr="00535A54">
              <w:rPr>
                <w:rFonts w:ascii="Calibri"/>
                <w:b/>
                <w:spacing w:val="4"/>
                <w:w w:val="110"/>
                <w:sz w:val="15"/>
              </w:rPr>
              <w:t xml:space="preserve">Numero </w:t>
            </w:r>
            <w:r w:rsidRPr="00535A54">
              <w:rPr>
                <w:rFonts w:ascii="Calibri"/>
                <w:b/>
                <w:spacing w:val="-8"/>
                <w:w w:val="110"/>
                <w:sz w:val="15"/>
              </w:rPr>
              <w:t xml:space="preserve">di </w:t>
            </w:r>
            <w:r w:rsidRPr="00535A54">
              <w:rPr>
                <w:rFonts w:ascii="Calibri"/>
                <w:b/>
                <w:spacing w:val="5"/>
                <w:w w:val="110"/>
                <w:sz w:val="15"/>
              </w:rPr>
              <w:t xml:space="preserve">collaboratori </w:t>
            </w:r>
            <w:r w:rsidRPr="00535A54">
              <w:rPr>
                <w:rFonts w:ascii="Calibri"/>
                <w:b/>
                <w:spacing w:val="28"/>
                <w:w w:val="110"/>
                <w:sz w:val="15"/>
              </w:rPr>
              <w:t xml:space="preserve"> </w:t>
            </w:r>
            <w:r w:rsidRPr="00535A54">
              <w:rPr>
                <w:rFonts w:ascii="Calibri"/>
                <w:b/>
                <w:spacing w:val="5"/>
                <w:w w:val="110"/>
                <w:sz w:val="15"/>
              </w:rPr>
              <w:t>frontalieri</w:t>
            </w:r>
          </w:p>
          <w:p w:rsidR="003B2ADE" w:rsidRPr="00535A54" w:rsidRDefault="003B2ADE" w:rsidP="007E04C2">
            <w:pPr>
              <w:pStyle w:val="TableParagraph"/>
              <w:spacing w:before="1"/>
              <w:ind w:left="1462"/>
              <w:rPr>
                <w:rFonts w:ascii="Calibri"/>
                <w:b/>
                <w:sz w:val="15"/>
              </w:rPr>
            </w:pPr>
            <w:r w:rsidRPr="00535A54">
              <w:rPr>
                <w:rFonts w:ascii="Calibri"/>
                <w:b/>
                <w:spacing w:val="2"/>
                <w:w w:val="120"/>
                <w:sz w:val="15"/>
              </w:rPr>
              <w:t>al</w:t>
            </w:r>
            <w:r w:rsidRPr="00535A54">
              <w:rPr>
                <w:rFonts w:ascii="Calibri"/>
                <w:b/>
                <w:spacing w:val="43"/>
                <w:w w:val="120"/>
                <w:sz w:val="15"/>
              </w:rPr>
              <w:t xml:space="preserve"> </w:t>
            </w:r>
            <w:r w:rsidRPr="00535A54">
              <w:rPr>
                <w:rFonts w:ascii="Calibri"/>
                <w:b/>
                <w:spacing w:val="-4"/>
                <w:w w:val="120"/>
                <w:sz w:val="15"/>
              </w:rPr>
              <w:t>31.12</w:t>
            </w:r>
          </w:p>
        </w:tc>
        <w:tc>
          <w:tcPr>
            <w:tcW w:w="2192" w:type="dxa"/>
            <w:tcBorders>
              <w:bottom w:val="single" w:sz="4" w:space="0" w:color="76B9C7"/>
            </w:tcBorders>
          </w:tcPr>
          <w:p w:rsidR="003B2ADE" w:rsidRPr="00535A54" w:rsidRDefault="003B2ADE" w:rsidP="007E04C2">
            <w:pPr>
              <w:pStyle w:val="TableParagraph"/>
              <w:spacing w:before="2" w:line="288" w:lineRule="auto"/>
              <w:ind w:left="270" w:right="109" w:firstLine="698"/>
              <w:jc w:val="right"/>
              <w:rPr>
                <w:rFonts w:ascii="Calibri"/>
                <w:b/>
                <w:sz w:val="15"/>
              </w:rPr>
            </w:pPr>
            <w:r w:rsidRPr="00535A54">
              <w:rPr>
                <w:rFonts w:ascii="Calibri"/>
                <w:b/>
                <w:spacing w:val="5"/>
                <w:w w:val="110"/>
                <w:sz w:val="15"/>
              </w:rPr>
              <w:t>Percentuale</w:t>
            </w:r>
            <w:r w:rsidRPr="00535A54">
              <w:rPr>
                <w:rFonts w:ascii="Calibri"/>
                <w:b/>
                <w:spacing w:val="19"/>
                <w:w w:val="110"/>
                <w:sz w:val="15"/>
              </w:rPr>
              <w:t xml:space="preserve"> </w:t>
            </w:r>
            <w:r w:rsidRPr="00535A54">
              <w:rPr>
                <w:rFonts w:ascii="Calibri"/>
                <w:b/>
                <w:spacing w:val="-8"/>
                <w:w w:val="110"/>
                <w:sz w:val="15"/>
              </w:rPr>
              <w:t>di</w:t>
            </w:r>
            <w:r w:rsidRPr="00535A54">
              <w:rPr>
                <w:rFonts w:ascii="Calibri"/>
                <w:b/>
                <w:sz w:val="15"/>
              </w:rPr>
              <w:t xml:space="preserve"> </w:t>
            </w:r>
            <w:r w:rsidRPr="00535A54">
              <w:rPr>
                <w:rFonts w:ascii="Calibri"/>
                <w:b/>
                <w:spacing w:val="5"/>
                <w:w w:val="110"/>
                <w:sz w:val="15"/>
              </w:rPr>
              <w:t xml:space="preserve">collaboratori </w:t>
            </w:r>
            <w:r w:rsidRPr="00535A54">
              <w:rPr>
                <w:rFonts w:ascii="Calibri"/>
                <w:b/>
                <w:spacing w:val="28"/>
                <w:w w:val="110"/>
                <w:sz w:val="15"/>
              </w:rPr>
              <w:t xml:space="preserve"> </w:t>
            </w:r>
            <w:r w:rsidRPr="00535A54">
              <w:rPr>
                <w:rFonts w:ascii="Calibri"/>
                <w:b/>
                <w:spacing w:val="5"/>
                <w:w w:val="110"/>
                <w:sz w:val="15"/>
              </w:rPr>
              <w:t>frontalieri</w:t>
            </w:r>
          </w:p>
          <w:p w:rsidR="003B2ADE" w:rsidRPr="00535A54" w:rsidRDefault="003B2ADE" w:rsidP="007E04C2">
            <w:pPr>
              <w:pStyle w:val="TableParagraph"/>
              <w:spacing w:before="1"/>
              <w:ind w:right="109"/>
              <w:jc w:val="right"/>
              <w:rPr>
                <w:rFonts w:ascii="Calibri"/>
                <w:b/>
                <w:sz w:val="15"/>
              </w:rPr>
            </w:pPr>
            <w:r w:rsidRPr="00535A54">
              <w:rPr>
                <w:rFonts w:ascii="Calibri"/>
                <w:b/>
                <w:spacing w:val="2"/>
                <w:w w:val="120"/>
                <w:sz w:val="15"/>
              </w:rPr>
              <w:t>al</w:t>
            </w:r>
            <w:r w:rsidRPr="00535A54">
              <w:rPr>
                <w:rFonts w:ascii="Calibri"/>
                <w:b/>
                <w:spacing w:val="43"/>
                <w:w w:val="120"/>
                <w:sz w:val="15"/>
              </w:rPr>
              <w:t xml:space="preserve"> </w:t>
            </w:r>
            <w:r w:rsidRPr="00535A54">
              <w:rPr>
                <w:rFonts w:ascii="Calibri"/>
                <w:b/>
                <w:spacing w:val="-4"/>
                <w:w w:val="120"/>
                <w:sz w:val="15"/>
              </w:rPr>
              <w:t>31.12</w:t>
            </w:r>
          </w:p>
        </w:tc>
      </w:tr>
      <w:tr w:rsidR="003B2ADE" w:rsidTr="007E04C2">
        <w:trPr>
          <w:trHeight w:val="268"/>
        </w:trPr>
        <w:tc>
          <w:tcPr>
            <w:tcW w:w="971" w:type="dxa"/>
            <w:tcBorders>
              <w:top w:val="single" w:sz="4" w:space="0" w:color="76B9C7"/>
              <w:bottom w:val="single" w:sz="4" w:space="0" w:color="000000"/>
            </w:tcBorders>
          </w:tcPr>
          <w:p w:rsidR="003B2ADE" w:rsidRDefault="003B2ADE" w:rsidP="007E04C2">
            <w:pPr>
              <w:pStyle w:val="TableParagraph"/>
              <w:spacing w:before="46"/>
              <w:ind w:left="78"/>
              <w:rPr>
                <w:rFonts w:ascii="Calibri"/>
                <w:b/>
                <w:sz w:val="15"/>
              </w:rPr>
            </w:pPr>
            <w:r>
              <w:rPr>
                <w:rFonts w:ascii="Calibri"/>
                <w:b/>
                <w:color w:val="005597"/>
                <w:w w:val="130"/>
                <w:sz w:val="15"/>
              </w:rPr>
              <w:t>2014</w:t>
            </w:r>
          </w:p>
        </w:tc>
        <w:tc>
          <w:tcPr>
            <w:tcW w:w="1859" w:type="dxa"/>
            <w:tcBorders>
              <w:top w:val="single" w:sz="4" w:space="0" w:color="76B9C7"/>
              <w:bottom w:val="single" w:sz="4" w:space="0" w:color="000000"/>
            </w:tcBorders>
          </w:tcPr>
          <w:p w:rsidR="003B2ADE" w:rsidRDefault="003B2ADE" w:rsidP="007E04C2">
            <w:pPr>
              <w:pStyle w:val="TableParagraph"/>
              <w:spacing w:before="48"/>
              <w:ind w:right="287"/>
              <w:jc w:val="right"/>
              <w:rPr>
                <w:sz w:val="15"/>
              </w:rPr>
            </w:pPr>
            <w:r>
              <w:rPr>
                <w:spacing w:val="7"/>
                <w:w w:val="127"/>
                <w:sz w:val="15"/>
              </w:rPr>
              <w:t>3</w:t>
            </w:r>
            <w:r>
              <w:rPr>
                <w:spacing w:val="7"/>
                <w:w w:val="60"/>
                <w:sz w:val="15"/>
              </w:rPr>
              <w:t>’</w:t>
            </w:r>
            <w:r>
              <w:rPr>
                <w:spacing w:val="7"/>
                <w:w w:val="127"/>
                <w:sz w:val="15"/>
              </w:rPr>
              <w:t>6</w:t>
            </w:r>
            <w:r>
              <w:rPr>
                <w:spacing w:val="10"/>
                <w:w w:val="127"/>
                <w:sz w:val="15"/>
              </w:rPr>
              <w:t>9</w:t>
            </w:r>
            <w:r>
              <w:rPr>
                <w:spacing w:val="5"/>
                <w:w w:val="127"/>
                <w:sz w:val="15"/>
              </w:rPr>
              <w:t>4</w:t>
            </w:r>
            <w:r>
              <w:rPr>
                <w:spacing w:val="2"/>
                <w:w w:val="90"/>
                <w:sz w:val="15"/>
              </w:rPr>
              <w:t>.</w:t>
            </w:r>
            <w:r>
              <w:rPr>
                <w:w w:val="127"/>
                <w:sz w:val="15"/>
              </w:rPr>
              <w:t>6</w:t>
            </w:r>
          </w:p>
        </w:tc>
        <w:tc>
          <w:tcPr>
            <w:tcW w:w="1532" w:type="dxa"/>
            <w:tcBorders>
              <w:top w:val="single" w:sz="4" w:space="0" w:color="76B9C7"/>
              <w:bottom w:val="single" w:sz="4" w:space="0" w:color="000000"/>
            </w:tcBorders>
          </w:tcPr>
          <w:p w:rsidR="003B2ADE" w:rsidRDefault="003B2ADE" w:rsidP="007E04C2">
            <w:pPr>
              <w:pStyle w:val="TableParagraph"/>
              <w:spacing w:before="48"/>
              <w:ind w:right="265"/>
              <w:jc w:val="right"/>
              <w:rPr>
                <w:sz w:val="15"/>
              </w:rPr>
            </w:pPr>
            <w:r>
              <w:rPr>
                <w:spacing w:val="5"/>
                <w:w w:val="127"/>
                <w:sz w:val="15"/>
              </w:rPr>
              <w:t>5</w:t>
            </w:r>
            <w:r>
              <w:rPr>
                <w:spacing w:val="3"/>
                <w:w w:val="60"/>
                <w:sz w:val="15"/>
              </w:rPr>
              <w:t>’</w:t>
            </w:r>
            <w:r>
              <w:rPr>
                <w:spacing w:val="-8"/>
                <w:w w:val="127"/>
                <w:sz w:val="15"/>
              </w:rPr>
              <w:t>1</w:t>
            </w:r>
            <w:r>
              <w:rPr>
                <w:spacing w:val="-5"/>
                <w:w w:val="127"/>
                <w:sz w:val="15"/>
              </w:rPr>
              <w:t>1</w:t>
            </w:r>
            <w:r>
              <w:rPr>
                <w:w w:val="127"/>
                <w:sz w:val="15"/>
              </w:rPr>
              <w:t>5</w:t>
            </w:r>
          </w:p>
        </w:tc>
        <w:tc>
          <w:tcPr>
            <w:tcW w:w="2357" w:type="dxa"/>
            <w:tcBorders>
              <w:top w:val="single" w:sz="4" w:space="0" w:color="76B9C7"/>
              <w:bottom w:val="single" w:sz="4" w:space="0" w:color="000000"/>
            </w:tcBorders>
          </w:tcPr>
          <w:p w:rsidR="003B2ADE" w:rsidRDefault="003B2ADE" w:rsidP="007E04C2">
            <w:pPr>
              <w:pStyle w:val="TableParagraph"/>
              <w:spacing w:before="48"/>
              <w:ind w:right="267"/>
              <w:jc w:val="right"/>
              <w:rPr>
                <w:sz w:val="15"/>
              </w:rPr>
            </w:pPr>
            <w:r>
              <w:rPr>
                <w:w w:val="125"/>
                <w:sz w:val="15"/>
              </w:rPr>
              <w:t>655</w:t>
            </w:r>
          </w:p>
        </w:tc>
        <w:tc>
          <w:tcPr>
            <w:tcW w:w="2192" w:type="dxa"/>
            <w:tcBorders>
              <w:top w:val="single" w:sz="4" w:space="0" w:color="76B9C7"/>
              <w:bottom w:val="dotted" w:sz="4" w:space="0" w:color="000000"/>
            </w:tcBorders>
          </w:tcPr>
          <w:p w:rsidR="003B2ADE" w:rsidRDefault="003B2ADE" w:rsidP="007E04C2">
            <w:pPr>
              <w:pStyle w:val="TableParagraph"/>
              <w:spacing w:before="48"/>
              <w:ind w:right="109"/>
              <w:jc w:val="right"/>
              <w:rPr>
                <w:sz w:val="15"/>
              </w:rPr>
            </w:pPr>
            <w:r>
              <w:rPr>
                <w:w w:val="130"/>
                <w:sz w:val="15"/>
              </w:rPr>
              <w:t>12.8%</w:t>
            </w:r>
          </w:p>
        </w:tc>
      </w:tr>
      <w:tr w:rsidR="003B2ADE" w:rsidTr="007E04C2">
        <w:trPr>
          <w:trHeight w:val="268"/>
        </w:trPr>
        <w:tc>
          <w:tcPr>
            <w:tcW w:w="971" w:type="dxa"/>
            <w:tcBorders>
              <w:top w:val="single" w:sz="4" w:space="0" w:color="000000"/>
              <w:bottom w:val="single" w:sz="4" w:space="0" w:color="000000"/>
            </w:tcBorders>
          </w:tcPr>
          <w:p w:rsidR="003B2ADE" w:rsidRDefault="003B2ADE" w:rsidP="007E04C2">
            <w:pPr>
              <w:pStyle w:val="TableParagraph"/>
              <w:spacing w:before="46"/>
              <w:ind w:left="78"/>
              <w:rPr>
                <w:rFonts w:ascii="Calibri"/>
                <w:b/>
                <w:sz w:val="15"/>
              </w:rPr>
            </w:pPr>
            <w:r>
              <w:rPr>
                <w:rFonts w:ascii="Calibri"/>
                <w:b/>
                <w:color w:val="005597"/>
                <w:w w:val="130"/>
                <w:sz w:val="15"/>
              </w:rPr>
              <w:t>2015</w:t>
            </w:r>
          </w:p>
        </w:tc>
        <w:tc>
          <w:tcPr>
            <w:tcW w:w="1859" w:type="dxa"/>
            <w:tcBorders>
              <w:top w:val="single" w:sz="4" w:space="0" w:color="000000"/>
              <w:bottom w:val="single" w:sz="4" w:space="0" w:color="000000"/>
            </w:tcBorders>
          </w:tcPr>
          <w:p w:rsidR="003B2ADE" w:rsidRDefault="003B2ADE" w:rsidP="007E04C2">
            <w:pPr>
              <w:pStyle w:val="TableParagraph"/>
              <w:spacing w:before="48"/>
              <w:ind w:right="287"/>
              <w:jc w:val="right"/>
              <w:rPr>
                <w:sz w:val="15"/>
              </w:rPr>
            </w:pPr>
            <w:r>
              <w:rPr>
                <w:spacing w:val="7"/>
                <w:w w:val="127"/>
                <w:sz w:val="15"/>
              </w:rPr>
              <w:t>3</w:t>
            </w:r>
            <w:r>
              <w:rPr>
                <w:spacing w:val="7"/>
                <w:w w:val="60"/>
                <w:sz w:val="15"/>
              </w:rPr>
              <w:t>’</w:t>
            </w:r>
            <w:r>
              <w:rPr>
                <w:spacing w:val="9"/>
                <w:w w:val="127"/>
                <w:sz w:val="15"/>
              </w:rPr>
              <w:t>8</w:t>
            </w:r>
            <w:r>
              <w:rPr>
                <w:spacing w:val="7"/>
                <w:w w:val="127"/>
                <w:sz w:val="15"/>
              </w:rPr>
              <w:t>8</w:t>
            </w:r>
            <w:r>
              <w:rPr>
                <w:spacing w:val="-14"/>
                <w:w w:val="112"/>
                <w:sz w:val="15"/>
              </w:rPr>
              <w:t>7</w:t>
            </w:r>
            <w:r>
              <w:rPr>
                <w:spacing w:val="4"/>
                <w:w w:val="112"/>
                <w:sz w:val="15"/>
              </w:rPr>
              <w:t>.</w:t>
            </w:r>
            <w:r>
              <w:rPr>
                <w:w w:val="127"/>
                <w:sz w:val="15"/>
              </w:rPr>
              <w:t>4</w:t>
            </w:r>
          </w:p>
        </w:tc>
        <w:tc>
          <w:tcPr>
            <w:tcW w:w="1532" w:type="dxa"/>
            <w:tcBorders>
              <w:top w:val="single" w:sz="4" w:space="0" w:color="000000"/>
              <w:bottom w:val="single" w:sz="4" w:space="0" w:color="000000"/>
            </w:tcBorders>
          </w:tcPr>
          <w:p w:rsidR="003B2ADE" w:rsidRDefault="003B2ADE" w:rsidP="007E04C2">
            <w:pPr>
              <w:pStyle w:val="TableParagraph"/>
              <w:spacing w:before="48"/>
              <w:ind w:right="265"/>
              <w:jc w:val="right"/>
              <w:rPr>
                <w:sz w:val="15"/>
              </w:rPr>
            </w:pPr>
            <w:r>
              <w:rPr>
                <w:spacing w:val="5"/>
                <w:w w:val="127"/>
                <w:sz w:val="15"/>
              </w:rPr>
              <w:t>5</w:t>
            </w:r>
            <w:r>
              <w:rPr>
                <w:spacing w:val="7"/>
                <w:w w:val="60"/>
                <w:sz w:val="15"/>
              </w:rPr>
              <w:t>’</w:t>
            </w:r>
            <w:r>
              <w:rPr>
                <w:spacing w:val="8"/>
                <w:w w:val="127"/>
                <w:sz w:val="15"/>
              </w:rPr>
              <w:t>32</w:t>
            </w:r>
            <w:r>
              <w:rPr>
                <w:w w:val="127"/>
                <w:sz w:val="15"/>
              </w:rPr>
              <w:t>6</w:t>
            </w:r>
          </w:p>
        </w:tc>
        <w:tc>
          <w:tcPr>
            <w:tcW w:w="2357" w:type="dxa"/>
            <w:tcBorders>
              <w:top w:val="single" w:sz="4" w:space="0" w:color="000000"/>
              <w:bottom w:val="single" w:sz="4" w:space="0" w:color="000000"/>
            </w:tcBorders>
          </w:tcPr>
          <w:p w:rsidR="003B2ADE" w:rsidRDefault="003B2ADE" w:rsidP="007E04C2">
            <w:pPr>
              <w:pStyle w:val="TableParagraph"/>
              <w:spacing w:before="48"/>
              <w:ind w:right="268"/>
              <w:jc w:val="right"/>
              <w:rPr>
                <w:sz w:val="15"/>
              </w:rPr>
            </w:pPr>
            <w:r>
              <w:rPr>
                <w:w w:val="125"/>
                <w:sz w:val="15"/>
              </w:rPr>
              <w:t>625</w:t>
            </w:r>
          </w:p>
        </w:tc>
        <w:tc>
          <w:tcPr>
            <w:tcW w:w="2192" w:type="dxa"/>
            <w:tcBorders>
              <w:top w:val="dotted" w:sz="4" w:space="0" w:color="000000"/>
              <w:bottom w:val="dotted" w:sz="4" w:space="0" w:color="000000"/>
            </w:tcBorders>
          </w:tcPr>
          <w:p w:rsidR="003B2ADE" w:rsidRDefault="003B2ADE" w:rsidP="007E04C2">
            <w:pPr>
              <w:pStyle w:val="TableParagraph"/>
              <w:spacing w:before="48"/>
              <w:ind w:right="109"/>
              <w:jc w:val="right"/>
              <w:rPr>
                <w:sz w:val="15"/>
              </w:rPr>
            </w:pPr>
            <w:r>
              <w:rPr>
                <w:w w:val="125"/>
                <w:sz w:val="15"/>
              </w:rPr>
              <w:t>11.7%</w:t>
            </w:r>
          </w:p>
        </w:tc>
      </w:tr>
      <w:tr w:rsidR="003B2ADE" w:rsidTr="007E04C2">
        <w:trPr>
          <w:trHeight w:val="280"/>
        </w:trPr>
        <w:tc>
          <w:tcPr>
            <w:tcW w:w="971" w:type="dxa"/>
            <w:tcBorders>
              <w:top w:val="single" w:sz="4" w:space="0" w:color="000000"/>
              <w:bottom w:val="single" w:sz="4" w:space="0" w:color="000000"/>
            </w:tcBorders>
          </w:tcPr>
          <w:p w:rsidR="003B2ADE" w:rsidRDefault="003B2ADE" w:rsidP="007E04C2">
            <w:pPr>
              <w:pStyle w:val="TableParagraph"/>
              <w:spacing w:before="46"/>
              <w:ind w:left="77"/>
              <w:rPr>
                <w:rFonts w:ascii="Calibri"/>
                <w:b/>
                <w:sz w:val="15"/>
              </w:rPr>
            </w:pPr>
            <w:r>
              <w:rPr>
                <w:rFonts w:ascii="Calibri"/>
                <w:b/>
                <w:color w:val="005597"/>
                <w:w w:val="130"/>
                <w:sz w:val="15"/>
              </w:rPr>
              <w:t>2016</w:t>
            </w:r>
          </w:p>
        </w:tc>
        <w:tc>
          <w:tcPr>
            <w:tcW w:w="1859" w:type="dxa"/>
            <w:tcBorders>
              <w:top w:val="single" w:sz="4" w:space="0" w:color="000000"/>
              <w:bottom w:val="single" w:sz="4" w:space="0" w:color="000000"/>
            </w:tcBorders>
          </w:tcPr>
          <w:p w:rsidR="003B2ADE" w:rsidRDefault="003B2ADE" w:rsidP="007E04C2">
            <w:pPr>
              <w:pStyle w:val="TableParagraph"/>
              <w:spacing w:before="48"/>
              <w:ind w:right="285"/>
              <w:jc w:val="right"/>
              <w:rPr>
                <w:sz w:val="15"/>
              </w:rPr>
            </w:pPr>
            <w:r>
              <w:rPr>
                <w:spacing w:val="2"/>
                <w:w w:val="127"/>
                <w:sz w:val="15"/>
              </w:rPr>
              <w:t>4</w:t>
            </w:r>
            <w:r>
              <w:rPr>
                <w:spacing w:val="8"/>
                <w:w w:val="60"/>
                <w:sz w:val="15"/>
              </w:rPr>
              <w:t>’</w:t>
            </w:r>
            <w:r>
              <w:rPr>
                <w:spacing w:val="11"/>
                <w:w w:val="127"/>
                <w:sz w:val="15"/>
              </w:rPr>
              <w:t>0</w:t>
            </w:r>
            <w:r>
              <w:rPr>
                <w:spacing w:val="1"/>
                <w:w w:val="127"/>
                <w:sz w:val="15"/>
              </w:rPr>
              <w:t>4</w:t>
            </w:r>
            <w:r>
              <w:rPr>
                <w:spacing w:val="-14"/>
                <w:w w:val="127"/>
                <w:sz w:val="15"/>
              </w:rPr>
              <w:t>7</w:t>
            </w:r>
            <w:r>
              <w:rPr>
                <w:spacing w:val="1"/>
                <w:w w:val="112"/>
                <w:sz w:val="15"/>
              </w:rPr>
              <w:t>.9</w:t>
            </w:r>
          </w:p>
        </w:tc>
        <w:tc>
          <w:tcPr>
            <w:tcW w:w="1532" w:type="dxa"/>
            <w:tcBorders>
              <w:top w:val="single" w:sz="4" w:space="0" w:color="000000"/>
              <w:bottom w:val="single" w:sz="4" w:space="0" w:color="000000"/>
            </w:tcBorders>
          </w:tcPr>
          <w:p w:rsidR="003B2ADE" w:rsidRDefault="003B2ADE" w:rsidP="007E04C2">
            <w:pPr>
              <w:pStyle w:val="TableParagraph"/>
              <w:spacing w:before="48"/>
              <w:ind w:right="265"/>
              <w:jc w:val="right"/>
              <w:rPr>
                <w:sz w:val="15"/>
              </w:rPr>
            </w:pPr>
            <w:r>
              <w:rPr>
                <w:w w:val="115"/>
                <w:sz w:val="15"/>
              </w:rPr>
              <w:t>5’486</w:t>
            </w:r>
          </w:p>
        </w:tc>
        <w:tc>
          <w:tcPr>
            <w:tcW w:w="2357" w:type="dxa"/>
            <w:tcBorders>
              <w:top w:val="single" w:sz="4" w:space="0" w:color="000000"/>
              <w:bottom w:val="single" w:sz="4" w:space="0" w:color="000000"/>
            </w:tcBorders>
          </w:tcPr>
          <w:p w:rsidR="003B2ADE" w:rsidRDefault="003B2ADE" w:rsidP="007E04C2">
            <w:pPr>
              <w:pStyle w:val="TableParagraph"/>
              <w:spacing w:before="48"/>
              <w:ind w:right="267"/>
              <w:jc w:val="right"/>
              <w:rPr>
                <w:sz w:val="15"/>
              </w:rPr>
            </w:pPr>
            <w:r>
              <w:rPr>
                <w:w w:val="125"/>
                <w:sz w:val="15"/>
              </w:rPr>
              <w:t>649</w:t>
            </w:r>
          </w:p>
        </w:tc>
        <w:tc>
          <w:tcPr>
            <w:tcW w:w="2192" w:type="dxa"/>
            <w:tcBorders>
              <w:top w:val="dotted" w:sz="4" w:space="0" w:color="000000"/>
              <w:bottom w:val="dotted" w:sz="4" w:space="0" w:color="000000"/>
            </w:tcBorders>
          </w:tcPr>
          <w:p w:rsidR="003B2ADE" w:rsidRDefault="003B2ADE" w:rsidP="007E04C2">
            <w:pPr>
              <w:pStyle w:val="TableParagraph"/>
              <w:spacing w:before="48"/>
              <w:ind w:right="109"/>
              <w:jc w:val="right"/>
              <w:rPr>
                <w:sz w:val="15"/>
              </w:rPr>
            </w:pPr>
            <w:r>
              <w:rPr>
                <w:w w:val="130"/>
                <w:sz w:val="15"/>
              </w:rPr>
              <w:t>11.8%</w:t>
            </w:r>
          </w:p>
        </w:tc>
      </w:tr>
      <w:tr w:rsidR="003B2ADE" w:rsidTr="007E04C2">
        <w:trPr>
          <w:trHeight w:val="280"/>
        </w:trPr>
        <w:tc>
          <w:tcPr>
            <w:tcW w:w="971" w:type="dxa"/>
            <w:tcBorders>
              <w:top w:val="single" w:sz="4" w:space="0" w:color="000000"/>
              <w:bottom w:val="single" w:sz="4" w:space="0" w:color="000000"/>
            </w:tcBorders>
          </w:tcPr>
          <w:p w:rsidR="003B2ADE" w:rsidRDefault="003B2ADE" w:rsidP="007E04C2">
            <w:pPr>
              <w:pStyle w:val="TableParagraph"/>
              <w:spacing w:before="46"/>
              <w:ind w:left="77"/>
              <w:rPr>
                <w:rFonts w:ascii="Calibri"/>
                <w:b/>
                <w:sz w:val="15"/>
              </w:rPr>
            </w:pPr>
            <w:r>
              <w:rPr>
                <w:rFonts w:ascii="Calibri"/>
                <w:b/>
                <w:color w:val="005597"/>
                <w:w w:val="130"/>
                <w:sz w:val="15"/>
              </w:rPr>
              <w:t>2017</w:t>
            </w:r>
          </w:p>
        </w:tc>
        <w:tc>
          <w:tcPr>
            <w:tcW w:w="1859" w:type="dxa"/>
            <w:tcBorders>
              <w:top w:val="single" w:sz="4" w:space="0" w:color="000000"/>
              <w:bottom w:val="single" w:sz="4" w:space="0" w:color="000000"/>
            </w:tcBorders>
          </w:tcPr>
          <w:p w:rsidR="003B2ADE" w:rsidRDefault="003B2ADE" w:rsidP="007E04C2">
            <w:pPr>
              <w:pStyle w:val="TableParagraph"/>
              <w:spacing w:before="48"/>
              <w:ind w:right="287"/>
              <w:jc w:val="right"/>
              <w:rPr>
                <w:sz w:val="15"/>
              </w:rPr>
            </w:pPr>
            <w:r>
              <w:rPr>
                <w:spacing w:val="2"/>
                <w:w w:val="127"/>
                <w:sz w:val="15"/>
              </w:rPr>
              <w:t>4</w:t>
            </w:r>
            <w:r>
              <w:rPr>
                <w:spacing w:val="3"/>
                <w:w w:val="60"/>
                <w:sz w:val="15"/>
              </w:rPr>
              <w:t>’</w:t>
            </w:r>
            <w:r>
              <w:rPr>
                <w:spacing w:val="-5"/>
                <w:w w:val="127"/>
                <w:sz w:val="15"/>
              </w:rPr>
              <w:t>1</w:t>
            </w:r>
            <w:r>
              <w:rPr>
                <w:spacing w:val="7"/>
                <w:w w:val="127"/>
                <w:sz w:val="15"/>
              </w:rPr>
              <w:t>9</w:t>
            </w:r>
            <w:r>
              <w:rPr>
                <w:spacing w:val="-14"/>
                <w:w w:val="112"/>
                <w:sz w:val="15"/>
              </w:rPr>
              <w:t>7</w:t>
            </w:r>
            <w:r>
              <w:rPr>
                <w:spacing w:val="3"/>
                <w:w w:val="112"/>
                <w:sz w:val="15"/>
              </w:rPr>
              <w:t>.</w:t>
            </w:r>
            <w:r>
              <w:rPr>
                <w:w w:val="127"/>
                <w:sz w:val="15"/>
              </w:rPr>
              <w:t>3</w:t>
            </w:r>
          </w:p>
        </w:tc>
        <w:tc>
          <w:tcPr>
            <w:tcW w:w="1532" w:type="dxa"/>
            <w:tcBorders>
              <w:top w:val="single" w:sz="4" w:space="0" w:color="000000"/>
              <w:bottom w:val="single" w:sz="4" w:space="0" w:color="000000"/>
            </w:tcBorders>
          </w:tcPr>
          <w:p w:rsidR="003B2ADE" w:rsidRDefault="003B2ADE" w:rsidP="007E04C2">
            <w:pPr>
              <w:pStyle w:val="TableParagraph"/>
              <w:spacing w:before="48"/>
              <w:ind w:right="265"/>
              <w:jc w:val="right"/>
              <w:rPr>
                <w:sz w:val="15"/>
              </w:rPr>
            </w:pPr>
            <w:r>
              <w:rPr>
                <w:spacing w:val="5"/>
                <w:w w:val="127"/>
                <w:sz w:val="15"/>
              </w:rPr>
              <w:t>5</w:t>
            </w:r>
            <w:r>
              <w:rPr>
                <w:spacing w:val="7"/>
                <w:w w:val="60"/>
                <w:sz w:val="15"/>
              </w:rPr>
              <w:t>’</w:t>
            </w:r>
            <w:r>
              <w:rPr>
                <w:spacing w:val="8"/>
                <w:w w:val="127"/>
                <w:sz w:val="15"/>
              </w:rPr>
              <w:t>62</w:t>
            </w:r>
            <w:r>
              <w:rPr>
                <w:w w:val="127"/>
                <w:sz w:val="15"/>
              </w:rPr>
              <w:t>8</w:t>
            </w:r>
          </w:p>
        </w:tc>
        <w:tc>
          <w:tcPr>
            <w:tcW w:w="2357" w:type="dxa"/>
            <w:tcBorders>
              <w:top w:val="single" w:sz="4" w:space="0" w:color="000000"/>
              <w:bottom w:val="single" w:sz="4" w:space="0" w:color="000000"/>
            </w:tcBorders>
          </w:tcPr>
          <w:p w:rsidR="003B2ADE" w:rsidRDefault="003B2ADE" w:rsidP="007E04C2">
            <w:pPr>
              <w:pStyle w:val="TableParagraph"/>
              <w:spacing w:before="48"/>
              <w:ind w:right="271"/>
              <w:jc w:val="right"/>
              <w:rPr>
                <w:sz w:val="15"/>
              </w:rPr>
            </w:pPr>
            <w:r>
              <w:rPr>
                <w:w w:val="125"/>
                <w:sz w:val="15"/>
              </w:rPr>
              <w:t>681</w:t>
            </w:r>
          </w:p>
        </w:tc>
        <w:tc>
          <w:tcPr>
            <w:tcW w:w="2192" w:type="dxa"/>
            <w:tcBorders>
              <w:top w:val="dotted" w:sz="4" w:space="0" w:color="000000"/>
              <w:bottom w:val="dotted" w:sz="4" w:space="0" w:color="000000"/>
            </w:tcBorders>
          </w:tcPr>
          <w:p w:rsidR="003B2ADE" w:rsidRDefault="003B2ADE" w:rsidP="007E04C2">
            <w:pPr>
              <w:pStyle w:val="TableParagraph"/>
              <w:spacing w:before="48"/>
              <w:ind w:right="109"/>
              <w:jc w:val="right"/>
              <w:rPr>
                <w:sz w:val="15"/>
              </w:rPr>
            </w:pPr>
            <w:r>
              <w:rPr>
                <w:w w:val="130"/>
                <w:sz w:val="15"/>
              </w:rPr>
              <w:t>12.1%</w:t>
            </w:r>
          </w:p>
        </w:tc>
      </w:tr>
      <w:tr w:rsidR="003B2ADE" w:rsidTr="007E04C2">
        <w:trPr>
          <w:trHeight w:val="280"/>
        </w:trPr>
        <w:tc>
          <w:tcPr>
            <w:tcW w:w="971" w:type="dxa"/>
            <w:tcBorders>
              <w:top w:val="single" w:sz="4" w:space="0" w:color="000000"/>
              <w:bottom w:val="single" w:sz="4" w:space="0" w:color="000000"/>
            </w:tcBorders>
            <w:shd w:val="clear" w:color="auto" w:fill="EAEDF6"/>
          </w:tcPr>
          <w:p w:rsidR="003B2ADE" w:rsidRDefault="003B2ADE" w:rsidP="007E04C2">
            <w:pPr>
              <w:pStyle w:val="TableParagraph"/>
              <w:spacing w:before="46"/>
              <w:ind w:left="77"/>
              <w:rPr>
                <w:rFonts w:ascii="Calibri"/>
                <w:b/>
                <w:sz w:val="15"/>
              </w:rPr>
            </w:pPr>
            <w:r>
              <w:rPr>
                <w:rFonts w:ascii="Calibri"/>
                <w:b/>
                <w:color w:val="005597"/>
                <w:w w:val="130"/>
                <w:sz w:val="15"/>
              </w:rPr>
              <w:t>2018</w:t>
            </w:r>
          </w:p>
        </w:tc>
        <w:tc>
          <w:tcPr>
            <w:tcW w:w="1859" w:type="dxa"/>
            <w:tcBorders>
              <w:top w:val="single" w:sz="4" w:space="0" w:color="000000"/>
              <w:bottom w:val="single" w:sz="4" w:space="0" w:color="000000"/>
            </w:tcBorders>
            <w:shd w:val="clear" w:color="auto" w:fill="EAEDF6"/>
          </w:tcPr>
          <w:p w:rsidR="003B2ADE" w:rsidRDefault="003B2ADE" w:rsidP="007E04C2">
            <w:pPr>
              <w:pStyle w:val="TableParagraph"/>
              <w:spacing w:before="48"/>
              <w:ind w:right="285"/>
              <w:jc w:val="right"/>
              <w:rPr>
                <w:sz w:val="15"/>
              </w:rPr>
            </w:pPr>
            <w:r>
              <w:rPr>
                <w:spacing w:val="2"/>
                <w:w w:val="127"/>
                <w:sz w:val="15"/>
              </w:rPr>
              <w:t>4</w:t>
            </w:r>
            <w:r>
              <w:rPr>
                <w:spacing w:val="7"/>
                <w:w w:val="60"/>
                <w:sz w:val="15"/>
              </w:rPr>
              <w:t>’</w:t>
            </w:r>
            <w:r>
              <w:rPr>
                <w:spacing w:val="8"/>
                <w:w w:val="127"/>
                <w:sz w:val="15"/>
              </w:rPr>
              <w:t>2</w:t>
            </w:r>
            <w:r>
              <w:rPr>
                <w:spacing w:val="9"/>
                <w:w w:val="127"/>
                <w:sz w:val="15"/>
              </w:rPr>
              <w:t>9</w:t>
            </w:r>
            <w:r>
              <w:rPr>
                <w:spacing w:val="5"/>
                <w:w w:val="127"/>
                <w:sz w:val="15"/>
              </w:rPr>
              <w:t>0</w:t>
            </w:r>
            <w:r>
              <w:rPr>
                <w:spacing w:val="1"/>
                <w:w w:val="112"/>
                <w:sz w:val="15"/>
              </w:rPr>
              <w:t>.9</w:t>
            </w:r>
          </w:p>
        </w:tc>
        <w:tc>
          <w:tcPr>
            <w:tcW w:w="1532" w:type="dxa"/>
            <w:tcBorders>
              <w:top w:val="single" w:sz="4" w:space="0" w:color="000000"/>
              <w:bottom w:val="single" w:sz="4" w:space="0" w:color="000000"/>
            </w:tcBorders>
            <w:shd w:val="clear" w:color="auto" w:fill="EAEDF6"/>
          </w:tcPr>
          <w:p w:rsidR="003B2ADE" w:rsidRDefault="003B2ADE" w:rsidP="007E04C2">
            <w:pPr>
              <w:pStyle w:val="TableParagraph"/>
              <w:spacing w:before="48"/>
              <w:ind w:right="266"/>
              <w:jc w:val="right"/>
              <w:rPr>
                <w:sz w:val="15"/>
              </w:rPr>
            </w:pPr>
            <w:r>
              <w:rPr>
                <w:spacing w:val="5"/>
                <w:w w:val="127"/>
                <w:sz w:val="15"/>
              </w:rPr>
              <w:t>5</w:t>
            </w:r>
            <w:r>
              <w:rPr>
                <w:spacing w:val="7"/>
                <w:w w:val="60"/>
                <w:sz w:val="15"/>
              </w:rPr>
              <w:t>’</w:t>
            </w:r>
            <w:r>
              <w:rPr>
                <w:spacing w:val="7"/>
                <w:w w:val="127"/>
                <w:sz w:val="15"/>
              </w:rPr>
              <w:t>7</w:t>
            </w:r>
            <w:r>
              <w:rPr>
                <w:spacing w:val="8"/>
                <w:w w:val="127"/>
                <w:sz w:val="15"/>
              </w:rPr>
              <w:t>2</w:t>
            </w:r>
            <w:r>
              <w:rPr>
                <w:w w:val="127"/>
                <w:sz w:val="15"/>
              </w:rPr>
              <w:t>6</w:t>
            </w:r>
          </w:p>
        </w:tc>
        <w:tc>
          <w:tcPr>
            <w:tcW w:w="2357" w:type="dxa"/>
            <w:tcBorders>
              <w:top w:val="single" w:sz="4" w:space="0" w:color="000000"/>
              <w:bottom w:val="single" w:sz="4" w:space="0" w:color="000000"/>
            </w:tcBorders>
            <w:shd w:val="clear" w:color="auto" w:fill="EAEDF6"/>
          </w:tcPr>
          <w:p w:rsidR="003B2ADE" w:rsidRDefault="003B2ADE" w:rsidP="007E04C2">
            <w:pPr>
              <w:pStyle w:val="TableParagraph"/>
              <w:spacing w:before="48"/>
              <w:ind w:right="276"/>
              <w:jc w:val="right"/>
              <w:rPr>
                <w:sz w:val="15"/>
              </w:rPr>
            </w:pPr>
            <w:r>
              <w:rPr>
                <w:w w:val="125"/>
                <w:sz w:val="15"/>
              </w:rPr>
              <w:t>668</w:t>
            </w:r>
          </w:p>
        </w:tc>
        <w:tc>
          <w:tcPr>
            <w:tcW w:w="2192" w:type="dxa"/>
            <w:tcBorders>
              <w:top w:val="dotted" w:sz="4" w:space="0" w:color="000000"/>
              <w:bottom w:val="dotted" w:sz="4" w:space="0" w:color="000000"/>
            </w:tcBorders>
            <w:shd w:val="clear" w:color="auto" w:fill="EAEDF6"/>
          </w:tcPr>
          <w:p w:rsidR="003B2ADE" w:rsidRDefault="003B2ADE" w:rsidP="007E04C2">
            <w:pPr>
              <w:pStyle w:val="TableParagraph"/>
              <w:spacing w:before="48"/>
              <w:ind w:right="109"/>
              <w:jc w:val="right"/>
              <w:rPr>
                <w:sz w:val="15"/>
              </w:rPr>
            </w:pPr>
            <w:r>
              <w:rPr>
                <w:w w:val="125"/>
                <w:sz w:val="15"/>
              </w:rPr>
              <w:t>11.7%</w:t>
            </w:r>
          </w:p>
        </w:tc>
      </w:tr>
    </w:tbl>
    <w:p w:rsidR="003B2ADE" w:rsidRPr="00535A54" w:rsidRDefault="003B2ADE" w:rsidP="003B2ADE">
      <w:pPr>
        <w:rPr>
          <w:rFonts w:cs="Arial"/>
          <w:szCs w:val="24"/>
        </w:rPr>
      </w:pPr>
    </w:p>
    <w:p w:rsidR="003B2ADE" w:rsidRPr="00535A54" w:rsidRDefault="003B2ADE" w:rsidP="003B2ADE">
      <w:pPr>
        <w:rPr>
          <w:rFonts w:cs="Arial"/>
          <w:szCs w:val="24"/>
        </w:rPr>
      </w:pPr>
      <w:r w:rsidRPr="00535A54">
        <w:rPr>
          <w:rFonts w:cs="Arial"/>
          <w:szCs w:val="24"/>
        </w:rPr>
        <w:t>L’evoluzione registrata conferma il trend di crescita. In questo modo l’obiettivo di contribuire al mantenimento del numero di posti di lavoro nel Cantone è da considerare raggiunto. Si può tuttavia rilevare una riduzione del trend di crescita, quale risultato degli sforzi di contenimento attuati. Obiettivo EOC 2019: mantenere un livello di unità a tempo pieno di almeno 4000 effettivi, con tuttavia un’ulteriore riduzione del trend.</w:t>
      </w:r>
    </w:p>
    <w:p w:rsidR="003B2ADE" w:rsidRPr="00535A54" w:rsidRDefault="003B2ADE" w:rsidP="003B2ADE">
      <w:pPr>
        <w:rPr>
          <w:rFonts w:cs="Arial"/>
          <w:szCs w:val="24"/>
        </w:rPr>
      </w:pPr>
    </w:p>
    <w:tbl>
      <w:tblPr>
        <w:tblStyle w:val="TableNormal"/>
        <w:tblW w:w="0" w:type="auto"/>
        <w:tblInd w:w="365" w:type="dxa"/>
        <w:tblLayout w:type="fixed"/>
        <w:tblLook w:val="01E0" w:firstRow="1" w:lastRow="1" w:firstColumn="1" w:lastColumn="1" w:noHBand="0" w:noVBand="0"/>
      </w:tblPr>
      <w:tblGrid>
        <w:gridCol w:w="3775"/>
        <w:gridCol w:w="1353"/>
        <w:gridCol w:w="1486"/>
        <w:gridCol w:w="1251"/>
        <w:gridCol w:w="1049"/>
      </w:tblGrid>
      <w:tr w:rsidR="003B2ADE" w:rsidTr="007E04C2">
        <w:trPr>
          <w:trHeight w:val="273"/>
        </w:trPr>
        <w:tc>
          <w:tcPr>
            <w:tcW w:w="3775" w:type="dxa"/>
            <w:tcBorders>
              <w:bottom w:val="single" w:sz="4" w:space="0" w:color="005597"/>
            </w:tcBorders>
          </w:tcPr>
          <w:p w:rsidR="003B2ADE" w:rsidRDefault="003B2ADE" w:rsidP="007E04C2">
            <w:pPr>
              <w:pStyle w:val="TableParagraph"/>
              <w:rPr>
                <w:rFonts w:ascii="Times New Roman"/>
                <w:sz w:val="16"/>
              </w:rPr>
            </w:pPr>
          </w:p>
        </w:tc>
        <w:tc>
          <w:tcPr>
            <w:tcW w:w="1353" w:type="dxa"/>
            <w:tcBorders>
              <w:bottom w:val="single" w:sz="4" w:space="0" w:color="005597"/>
            </w:tcBorders>
            <w:shd w:val="clear" w:color="auto" w:fill="EAEDF6"/>
          </w:tcPr>
          <w:p w:rsidR="003B2ADE" w:rsidRDefault="003B2ADE" w:rsidP="007E04C2">
            <w:pPr>
              <w:pStyle w:val="TableParagraph"/>
              <w:spacing w:before="50"/>
              <w:ind w:right="106"/>
              <w:jc w:val="right"/>
              <w:rPr>
                <w:rFonts w:ascii="Calibri"/>
                <w:b/>
                <w:sz w:val="15"/>
              </w:rPr>
            </w:pPr>
            <w:r>
              <w:rPr>
                <w:rFonts w:ascii="Calibri"/>
                <w:b/>
                <w:color w:val="005597"/>
                <w:w w:val="130"/>
                <w:sz w:val="15"/>
              </w:rPr>
              <w:t>2018</w:t>
            </w:r>
          </w:p>
        </w:tc>
        <w:tc>
          <w:tcPr>
            <w:tcW w:w="1486" w:type="dxa"/>
            <w:tcBorders>
              <w:bottom w:val="single" w:sz="4" w:space="0" w:color="005597"/>
            </w:tcBorders>
          </w:tcPr>
          <w:p w:rsidR="003B2ADE" w:rsidRDefault="003B2ADE" w:rsidP="007E04C2">
            <w:pPr>
              <w:pStyle w:val="TableParagraph"/>
              <w:spacing w:before="50"/>
              <w:ind w:right="325"/>
              <w:jc w:val="right"/>
              <w:rPr>
                <w:rFonts w:ascii="Calibri"/>
                <w:b/>
                <w:sz w:val="15"/>
              </w:rPr>
            </w:pPr>
            <w:r>
              <w:rPr>
                <w:rFonts w:ascii="Calibri"/>
                <w:b/>
                <w:color w:val="005597"/>
                <w:w w:val="130"/>
                <w:sz w:val="15"/>
              </w:rPr>
              <w:t>2017</w:t>
            </w:r>
          </w:p>
        </w:tc>
        <w:tc>
          <w:tcPr>
            <w:tcW w:w="1251" w:type="dxa"/>
            <w:tcBorders>
              <w:bottom w:val="single" w:sz="4" w:space="0" w:color="005597"/>
            </w:tcBorders>
          </w:tcPr>
          <w:p w:rsidR="003B2ADE" w:rsidRDefault="003B2ADE" w:rsidP="007E04C2">
            <w:pPr>
              <w:pStyle w:val="TableParagraph"/>
              <w:spacing w:before="50"/>
              <w:ind w:right="304"/>
              <w:jc w:val="right"/>
              <w:rPr>
                <w:rFonts w:ascii="Calibri"/>
                <w:b/>
                <w:sz w:val="15"/>
              </w:rPr>
            </w:pPr>
            <w:r>
              <w:rPr>
                <w:rFonts w:ascii="Calibri"/>
                <w:b/>
                <w:color w:val="005597"/>
                <w:w w:val="130"/>
                <w:sz w:val="15"/>
              </w:rPr>
              <w:t>2016</w:t>
            </w:r>
          </w:p>
        </w:tc>
        <w:tc>
          <w:tcPr>
            <w:tcW w:w="1049" w:type="dxa"/>
            <w:tcBorders>
              <w:bottom w:val="single" w:sz="4" w:space="0" w:color="005597"/>
            </w:tcBorders>
          </w:tcPr>
          <w:p w:rsidR="003B2ADE" w:rsidRDefault="003B2ADE" w:rsidP="007E04C2">
            <w:pPr>
              <w:pStyle w:val="TableParagraph"/>
              <w:spacing w:before="50"/>
              <w:ind w:right="107"/>
              <w:jc w:val="right"/>
              <w:rPr>
                <w:rFonts w:ascii="Calibri"/>
                <w:b/>
                <w:sz w:val="15"/>
              </w:rPr>
            </w:pPr>
            <w:r>
              <w:rPr>
                <w:rFonts w:ascii="Calibri"/>
                <w:b/>
                <w:color w:val="005597"/>
                <w:w w:val="130"/>
                <w:sz w:val="15"/>
              </w:rPr>
              <w:t>2015</w:t>
            </w:r>
          </w:p>
        </w:tc>
      </w:tr>
      <w:tr w:rsidR="003B2ADE" w:rsidTr="007E04C2">
        <w:trPr>
          <w:trHeight w:val="268"/>
        </w:trPr>
        <w:tc>
          <w:tcPr>
            <w:tcW w:w="3775" w:type="dxa"/>
            <w:tcBorders>
              <w:top w:val="single" w:sz="4" w:space="0" w:color="005597"/>
              <w:bottom w:val="dotted" w:sz="4" w:space="0" w:color="000000"/>
            </w:tcBorders>
          </w:tcPr>
          <w:p w:rsidR="003B2ADE" w:rsidRDefault="003B2ADE" w:rsidP="007E04C2">
            <w:pPr>
              <w:pStyle w:val="TableParagraph"/>
              <w:spacing w:before="45"/>
              <w:ind w:left="5"/>
              <w:rPr>
                <w:rFonts w:ascii="Calibri" w:hAnsi="Calibri"/>
                <w:b/>
                <w:sz w:val="15"/>
              </w:rPr>
            </w:pPr>
            <w:r>
              <w:rPr>
                <w:rFonts w:ascii="Calibri" w:hAnsi="Calibri"/>
                <w:b/>
                <w:color w:val="005597"/>
                <w:w w:val="125"/>
                <w:sz w:val="15"/>
              </w:rPr>
              <w:t>Personale¹</w:t>
            </w:r>
          </w:p>
        </w:tc>
        <w:tc>
          <w:tcPr>
            <w:tcW w:w="1353" w:type="dxa"/>
            <w:tcBorders>
              <w:top w:val="single" w:sz="4" w:space="0" w:color="005597"/>
              <w:bottom w:val="dotted" w:sz="4" w:space="0" w:color="000000"/>
            </w:tcBorders>
            <w:shd w:val="clear" w:color="auto" w:fill="EAEDF6"/>
          </w:tcPr>
          <w:p w:rsidR="003B2ADE" w:rsidRDefault="003B2ADE" w:rsidP="007E04C2">
            <w:pPr>
              <w:pStyle w:val="TableParagraph"/>
              <w:spacing w:before="47"/>
              <w:ind w:right="104"/>
              <w:jc w:val="right"/>
              <w:rPr>
                <w:sz w:val="15"/>
              </w:rPr>
            </w:pPr>
            <w:r>
              <w:rPr>
                <w:spacing w:val="2"/>
                <w:w w:val="127"/>
                <w:sz w:val="15"/>
              </w:rPr>
              <w:t>4</w:t>
            </w:r>
            <w:r>
              <w:rPr>
                <w:spacing w:val="7"/>
                <w:w w:val="60"/>
                <w:sz w:val="15"/>
              </w:rPr>
              <w:t>’</w:t>
            </w:r>
            <w:r>
              <w:rPr>
                <w:spacing w:val="8"/>
                <w:w w:val="127"/>
                <w:sz w:val="15"/>
              </w:rPr>
              <w:t>2</w:t>
            </w:r>
            <w:r>
              <w:rPr>
                <w:spacing w:val="9"/>
                <w:w w:val="127"/>
                <w:sz w:val="15"/>
              </w:rPr>
              <w:t>9</w:t>
            </w:r>
            <w:r>
              <w:rPr>
                <w:spacing w:val="5"/>
                <w:w w:val="127"/>
                <w:sz w:val="15"/>
              </w:rPr>
              <w:t>0</w:t>
            </w:r>
            <w:r>
              <w:rPr>
                <w:spacing w:val="1"/>
                <w:w w:val="112"/>
                <w:sz w:val="15"/>
              </w:rPr>
              <w:t>.9</w:t>
            </w:r>
          </w:p>
        </w:tc>
        <w:tc>
          <w:tcPr>
            <w:tcW w:w="1486" w:type="dxa"/>
            <w:tcBorders>
              <w:top w:val="single" w:sz="4" w:space="0" w:color="005597"/>
              <w:bottom w:val="single" w:sz="4" w:space="0" w:color="000000"/>
            </w:tcBorders>
          </w:tcPr>
          <w:p w:rsidR="003B2ADE" w:rsidRDefault="003B2ADE" w:rsidP="007E04C2">
            <w:pPr>
              <w:pStyle w:val="TableParagraph"/>
              <w:spacing w:before="47"/>
              <w:ind w:right="322"/>
              <w:jc w:val="right"/>
              <w:rPr>
                <w:sz w:val="15"/>
              </w:rPr>
            </w:pPr>
            <w:r>
              <w:rPr>
                <w:spacing w:val="2"/>
                <w:w w:val="127"/>
                <w:sz w:val="15"/>
              </w:rPr>
              <w:t>4</w:t>
            </w:r>
            <w:r>
              <w:rPr>
                <w:spacing w:val="3"/>
                <w:w w:val="60"/>
                <w:sz w:val="15"/>
              </w:rPr>
              <w:t>’</w:t>
            </w:r>
            <w:r>
              <w:rPr>
                <w:spacing w:val="-5"/>
                <w:w w:val="127"/>
                <w:sz w:val="15"/>
              </w:rPr>
              <w:t>1</w:t>
            </w:r>
            <w:r>
              <w:rPr>
                <w:spacing w:val="6"/>
                <w:w w:val="127"/>
                <w:sz w:val="15"/>
              </w:rPr>
              <w:t>9</w:t>
            </w:r>
            <w:r>
              <w:rPr>
                <w:spacing w:val="-14"/>
                <w:w w:val="112"/>
                <w:sz w:val="15"/>
              </w:rPr>
              <w:t>7</w:t>
            </w:r>
            <w:r>
              <w:rPr>
                <w:spacing w:val="3"/>
                <w:w w:val="112"/>
                <w:sz w:val="15"/>
              </w:rPr>
              <w:t>.</w:t>
            </w:r>
            <w:r>
              <w:rPr>
                <w:w w:val="127"/>
                <w:sz w:val="15"/>
              </w:rPr>
              <w:t>3</w:t>
            </w:r>
          </w:p>
        </w:tc>
        <w:tc>
          <w:tcPr>
            <w:tcW w:w="1251" w:type="dxa"/>
            <w:tcBorders>
              <w:top w:val="single" w:sz="4" w:space="0" w:color="005597"/>
              <w:bottom w:val="single" w:sz="4" w:space="0" w:color="000000"/>
            </w:tcBorders>
          </w:tcPr>
          <w:p w:rsidR="003B2ADE" w:rsidRDefault="003B2ADE" w:rsidP="007E04C2">
            <w:pPr>
              <w:pStyle w:val="TableParagraph"/>
              <w:spacing w:before="47"/>
              <w:ind w:right="301"/>
              <w:jc w:val="right"/>
              <w:rPr>
                <w:sz w:val="15"/>
              </w:rPr>
            </w:pPr>
            <w:r>
              <w:rPr>
                <w:spacing w:val="2"/>
                <w:w w:val="127"/>
                <w:sz w:val="15"/>
              </w:rPr>
              <w:t>4</w:t>
            </w:r>
            <w:r>
              <w:rPr>
                <w:spacing w:val="8"/>
                <w:w w:val="60"/>
                <w:sz w:val="15"/>
              </w:rPr>
              <w:t>’</w:t>
            </w:r>
            <w:r>
              <w:rPr>
                <w:spacing w:val="11"/>
                <w:w w:val="127"/>
                <w:sz w:val="15"/>
              </w:rPr>
              <w:t>0</w:t>
            </w:r>
            <w:r>
              <w:rPr>
                <w:spacing w:val="1"/>
                <w:w w:val="127"/>
                <w:sz w:val="15"/>
              </w:rPr>
              <w:t>4</w:t>
            </w:r>
            <w:r>
              <w:rPr>
                <w:spacing w:val="-14"/>
                <w:w w:val="127"/>
                <w:sz w:val="15"/>
              </w:rPr>
              <w:t>7</w:t>
            </w:r>
            <w:r>
              <w:rPr>
                <w:spacing w:val="1"/>
                <w:w w:val="112"/>
                <w:sz w:val="15"/>
              </w:rPr>
              <w:t>.9</w:t>
            </w:r>
          </w:p>
        </w:tc>
        <w:tc>
          <w:tcPr>
            <w:tcW w:w="1049" w:type="dxa"/>
            <w:tcBorders>
              <w:top w:val="single" w:sz="4" w:space="0" w:color="005597"/>
              <w:bottom w:val="dotted" w:sz="4" w:space="0" w:color="000000"/>
            </w:tcBorders>
          </w:tcPr>
          <w:p w:rsidR="003B2ADE" w:rsidRDefault="003B2ADE" w:rsidP="007E04C2">
            <w:pPr>
              <w:pStyle w:val="TableParagraph"/>
              <w:spacing w:before="47"/>
              <w:ind w:right="105"/>
              <w:jc w:val="right"/>
              <w:rPr>
                <w:sz w:val="15"/>
              </w:rPr>
            </w:pPr>
            <w:r>
              <w:rPr>
                <w:spacing w:val="7"/>
                <w:w w:val="127"/>
                <w:sz w:val="15"/>
              </w:rPr>
              <w:t>3</w:t>
            </w:r>
            <w:r>
              <w:rPr>
                <w:spacing w:val="7"/>
                <w:w w:val="60"/>
                <w:sz w:val="15"/>
              </w:rPr>
              <w:t>’</w:t>
            </w:r>
            <w:r>
              <w:rPr>
                <w:spacing w:val="9"/>
                <w:w w:val="127"/>
                <w:sz w:val="15"/>
              </w:rPr>
              <w:t>8</w:t>
            </w:r>
            <w:r>
              <w:rPr>
                <w:spacing w:val="7"/>
                <w:w w:val="127"/>
                <w:sz w:val="15"/>
              </w:rPr>
              <w:t>8</w:t>
            </w:r>
            <w:r>
              <w:rPr>
                <w:spacing w:val="-14"/>
                <w:w w:val="112"/>
                <w:sz w:val="15"/>
              </w:rPr>
              <w:t>7</w:t>
            </w:r>
            <w:r>
              <w:rPr>
                <w:spacing w:val="4"/>
                <w:w w:val="112"/>
                <w:sz w:val="15"/>
              </w:rPr>
              <w:t>.</w:t>
            </w:r>
            <w:r>
              <w:rPr>
                <w:w w:val="127"/>
                <w:sz w:val="15"/>
              </w:rPr>
              <w:t>4</w:t>
            </w:r>
          </w:p>
        </w:tc>
      </w:tr>
      <w:tr w:rsidR="003B2ADE" w:rsidTr="007E04C2">
        <w:trPr>
          <w:trHeight w:val="268"/>
        </w:trPr>
        <w:tc>
          <w:tcPr>
            <w:tcW w:w="3775" w:type="dxa"/>
            <w:tcBorders>
              <w:top w:val="dotted" w:sz="4" w:space="0" w:color="000000"/>
              <w:bottom w:val="dotted" w:sz="4" w:space="0" w:color="000000"/>
            </w:tcBorders>
          </w:tcPr>
          <w:p w:rsidR="003B2ADE" w:rsidRDefault="003B2ADE" w:rsidP="007E04C2">
            <w:pPr>
              <w:pStyle w:val="TableParagraph"/>
              <w:spacing w:before="47"/>
              <w:ind w:left="5"/>
              <w:rPr>
                <w:sz w:val="15"/>
              </w:rPr>
            </w:pPr>
            <w:r>
              <w:rPr>
                <w:sz w:val="15"/>
              </w:rPr>
              <w:t>Medici</w:t>
            </w:r>
          </w:p>
        </w:tc>
        <w:tc>
          <w:tcPr>
            <w:tcW w:w="1353" w:type="dxa"/>
            <w:tcBorders>
              <w:top w:val="dotted" w:sz="4" w:space="0" w:color="000000"/>
              <w:bottom w:val="dotted" w:sz="4" w:space="0" w:color="000000"/>
            </w:tcBorders>
            <w:shd w:val="clear" w:color="auto" w:fill="EAEDF6"/>
          </w:tcPr>
          <w:p w:rsidR="003B2ADE" w:rsidRDefault="003B2ADE" w:rsidP="007E04C2">
            <w:pPr>
              <w:pStyle w:val="TableParagraph"/>
              <w:spacing w:before="47"/>
              <w:ind w:right="104"/>
              <w:jc w:val="right"/>
              <w:rPr>
                <w:sz w:val="15"/>
              </w:rPr>
            </w:pPr>
            <w:r>
              <w:rPr>
                <w:w w:val="120"/>
                <w:sz w:val="15"/>
              </w:rPr>
              <w:t>725.5</w:t>
            </w:r>
          </w:p>
        </w:tc>
        <w:tc>
          <w:tcPr>
            <w:tcW w:w="1486" w:type="dxa"/>
            <w:tcBorders>
              <w:top w:val="single" w:sz="4" w:space="0" w:color="000000"/>
              <w:bottom w:val="single" w:sz="4" w:space="0" w:color="000000"/>
            </w:tcBorders>
          </w:tcPr>
          <w:p w:rsidR="003B2ADE" w:rsidRDefault="003B2ADE" w:rsidP="007E04C2">
            <w:pPr>
              <w:pStyle w:val="TableParagraph"/>
              <w:spacing w:before="47"/>
              <w:ind w:right="325"/>
              <w:jc w:val="right"/>
              <w:rPr>
                <w:sz w:val="15"/>
              </w:rPr>
            </w:pPr>
            <w:r>
              <w:rPr>
                <w:w w:val="120"/>
                <w:sz w:val="15"/>
              </w:rPr>
              <w:t>695.7</w:t>
            </w:r>
          </w:p>
        </w:tc>
        <w:tc>
          <w:tcPr>
            <w:tcW w:w="1251" w:type="dxa"/>
            <w:tcBorders>
              <w:top w:val="single" w:sz="4" w:space="0" w:color="000000"/>
              <w:bottom w:val="single" w:sz="4" w:space="0" w:color="000000"/>
            </w:tcBorders>
          </w:tcPr>
          <w:p w:rsidR="003B2ADE" w:rsidRDefault="003B2ADE" w:rsidP="007E04C2">
            <w:pPr>
              <w:pStyle w:val="TableParagraph"/>
              <w:spacing w:before="47"/>
              <w:ind w:right="303"/>
              <w:jc w:val="right"/>
              <w:rPr>
                <w:sz w:val="15"/>
              </w:rPr>
            </w:pPr>
            <w:r>
              <w:rPr>
                <w:w w:val="120"/>
                <w:sz w:val="15"/>
              </w:rPr>
              <w:t>657.6</w:t>
            </w:r>
          </w:p>
        </w:tc>
        <w:tc>
          <w:tcPr>
            <w:tcW w:w="1049" w:type="dxa"/>
            <w:tcBorders>
              <w:top w:val="dotted" w:sz="4" w:space="0" w:color="000000"/>
              <w:bottom w:val="dotted" w:sz="4" w:space="0" w:color="000000"/>
            </w:tcBorders>
          </w:tcPr>
          <w:p w:rsidR="003B2ADE" w:rsidRDefault="003B2ADE" w:rsidP="007E04C2">
            <w:pPr>
              <w:pStyle w:val="TableParagraph"/>
              <w:spacing w:before="47"/>
              <w:ind w:right="102"/>
              <w:jc w:val="right"/>
              <w:rPr>
                <w:sz w:val="15"/>
              </w:rPr>
            </w:pPr>
            <w:r>
              <w:rPr>
                <w:w w:val="120"/>
                <w:sz w:val="15"/>
              </w:rPr>
              <w:t>623.3</w:t>
            </w:r>
          </w:p>
        </w:tc>
      </w:tr>
      <w:tr w:rsidR="003B2ADE" w:rsidTr="007E04C2">
        <w:trPr>
          <w:trHeight w:val="280"/>
        </w:trPr>
        <w:tc>
          <w:tcPr>
            <w:tcW w:w="3775" w:type="dxa"/>
            <w:tcBorders>
              <w:top w:val="dotted" w:sz="4" w:space="0" w:color="000000"/>
              <w:bottom w:val="dotted" w:sz="4" w:space="0" w:color="000000"/>
            </w:tcBorders>
          </w:tcPr>
          <w:p w:rsidR="003B2ADE" w:rsidRDefault="003B2ADE" w:rsidP="007E04C2">
            <w:pPr>
              <w:pStyle w:val="TableParagraph"/>
              <w:spacing w:before="47"/>
              <w:ind w:left="5"/>
              <w:rPr>
                <w:sz w:val="15"/>
              </w:rPr>
            </w:pPr>
            <w:r>
              <w:rPr>
                <w:w w:val="105"/>
                <w:sz w:val="15"/>
              </w:rPr>
              <w:t>Personale curante e medico-tecnico</w:t>
            </w:r>
          </w:p>
        </w:tc>
        <w:tc>
          <w:tcPr>
            <w:tcW w:w="1353" w:type="dxa"/>
            <w:tcBorders>
              <w:top w:val="dotted" w:sz="4" w:space="0" w:color="000000"/>
              <w:bottom w:val="dotted" w:sz="4" w:space="0" w:color="000000"/>
            </w:tcBorders>
            <w:shd w:val="clear" w:color="auto" w:fill="EAEDF6"/>
          </w:tcPr>
          <w:p w:rsidR="003B2ADE" w:rsidRDefault="003B2ADE" w:rsidP="007E04C2">
            <w:pPr>
              <w:pStyle w:val="TableParagraph"/>
              <w:spacing w:before="47"/>
              <w:ind w:right="106"/>
              <w:jc w:val="right"/>
              <w:rPr>
                <w:sz w:val="15"/>
              </w:rPr>
            </w:pPr>
            <w:r>
              <w:rPr>
                <w:w w:val="115"/>
                <w:sz w:val="15"/>
              </w:rPr>
              <w:t>2’234.9</w:t>
            </w:r>
          </w:p>
        </w:tc>
        <w:tc>
          <w:tcPr>
            <w:tcW w:w="1486" w:type="dxa"/>
            <w:tcBorders>
              <w:top w:val="single" w:sz="4" w:space="0" w:color="000000"/>
              <w:bottom w:val="single" w:sz="4" w:space="0" w:color="000000"/>
            </w:tcBorders>
          </w:tcPr>
          <w:p w:rsidR="003B2ADE" w:rsidRDefault="003B2ADE" w:rsidP="007E04C2">
            <w:pPr>
              <w:pStyle w:val="TableParagraph"/>
              <w:spacing w:before="47"/>
              <w:ind w:right="318"/>
              <w:jc w:val="right"/>
              <w:rPr>
                <w:sz w:val="15"/>
              </w:rPr>
            </w:pPr>
            <w:r>
              <w:rPr>
                <w:spacing w:val="8"/>
                <w:w w:val="127"/>
                <w:sz w:val="15"/>
              </w:rPr>
              <w:t>2</w:t>
            </w:r>
            <w:r>
              <w:rPr>
                <w:spacing w:val="7"/>
                <w:w w:val="60"/>
                <w:sz w:val="15"/>
              </w:rPr>
              <w:t>’</w:t>
            </w:r>
            <w:r>
              <w:rPr>
                <w:spacing w:val="8"/>
                <w:w w:val="127"/>
                <w:sz w:val="15"/>
              </w:rPr>
              <w:t>2</w:t>
            </w:r>
            <w:r>
              <w:rPr>
                <w:spacing w:val="11"/>
                <w:w w:val="127"/>
                <w:sz w:val="15"/>
              </w:rPr>
              <w:t>0</w:t>
            </w:r>
            <w:r>
              <w:rPr>
                <w:spacing w:val="5"/>
                <w:w w:val="127"/>
                <w:sz w:val="15"/>
              </w:rPr>
              <w:t>4</w:t>
            </w:r>
            <w:r>
              <w:rPr>
                <w:spacing w:val="4"/>
                <w:w w:val="112"/>
                <w:sz w:val="15"/>
              </w:rPr>
              <w:t>.4</w:t>
            </w:r>
          </w:p>
        </w:tc>
        <w:tc>
          <w:tcPr>
            <w:tcW w:w="1251" w:type="dxa"/>
            <w:tcBorders>
              <w:top w:val="single" w:sz="4" w:space="0" w:color="000000"/>
              <w:bottom w:val="single" w:sz="4" w:space="0" w:color="000000"/>
            </w:tcBorders>
          </w:tcPr>
          <w:p w:rsidR="003B2ADE" w:rsidRDefault="003B2ADE" w:rsidP="007E04C2">
            <w:pPr>
              <w:pStyle w:val="TableParagraph"/>
              <w:spacing w:before="47"/>
              <w:ind w:right="303"/>
              <w:jc w:val="right"/>
              <w:rPr>
                <w:sz w:val="15"/>
              </w:rPr>
            </w:pPr>
            <w:r>
              <w:rPr>
                <w:spacing w:val="8"/>
                <w:w w:val="127"/>
                <w:sz w:val="15"/>
              </w:rPr>
              <w:t>2</w:t>
            </w:r>
            <w:r>
              <w:rPr>
                <w:spacing w:val="3"/>
                <w:w w:val="60"/>
                <w:sz w:val="15"/>
              </w:rPr>
              <w:t>’</w:t>
            </w:r>
            <w:r>
              <w:rPr>
                <w:spacing w:val="-3"/>
                <w:w w:val="127"/>
                <w:sz w:val="15"/>
              </w:rPr>
              <w:t>1</w:t>
            </w:r>
            <w:r>
              <w:rPr>
                <w:spacing w:val="10"/>
                <w:w w:val="127"/>
                <w:sz w:val="15"/>
              </w:rPr>
              <w:t>4</w:t>
            </w:r>
            <w:r>
              <w:rPr>
                <w:spacing w:val="5"/>
                <w:w w:val="127"/>
                <w:sz w:val="15"/>
              </w:rPr>
              <w:t>0</w:t>
            </w:r>
            <w:r>
              <w:rPr>
                <w:spacing w:val="2"/>
                <w:w w:val="90"/>
                <w:sz w:val="15"/>
              </w:rPr>
              <w:t>.</w:t>
            </w:r>
            <w:r>
              <w:rPr>
                <w:w w:val="127"/>
                <w:sz w:val="15"/>
              </w:rPr>
              <w:t>6</w:t>
            </w:r>
          </w:p>
        </w:tc>
        <w:tc>
          <w:tcPr>
            <w:tcW w:w="1049" w:type="dxa"/>
            <w:tcBorders>
              <w:top w:val="dotted" w:sz="4" w:space="0" w:color="000000"/>
              <w:bottom w:val="dotted" w:sz="4" w:space="0" w:color="000000"/>
            </w:tcBorders>
          </w:tcPr>
          <w:p w:rsidR="003B2ADE" w:rsidRDefault="003B2ADE" w:rsidP="007E04C2">
            <w:pPr>
              <w:pStyle w:val="TableParagraph"/>
              <w:spacing w:before="47"/>
              <w:ind w:right="105"/>
              <w:jc w:val="right"/>
              <w:rPr>
                <w:sz w:val="15"/>
              </w:rPr>
            </w:pPr>
            <w:r>
              <w:rPr>
                <w:spacing w:val="8"/>
                <w:w w:val="127"/>
                <w:sz w:val="15"/>
              </w:rPr>
              <w:t>2</w:t>
            </w:r>
            <w:r>
              <w:rPr>
                <w:spacing w:val="8"/>
                <w:w w:val="60"/>
                <w:sz w:val="15"/>
              </w:rPr>
              <w:t>’</w:t>
            </w:r>
            <w:r>
              <w:rPr>
                <w:spacing w:val="8"/>
                <w:w w:val="127"/>
                <w:sz w:val="15"/>
              </w:rPr>
              <w:t>05</w:t>
            </w:r>
            <w:r>
              <w:rPr>
                <w:spacing w:val="5"/>
                <w:w w:val="127"/>
                <w:sz w:val="15"/>
              </w:rPr>
              <w:t>3</w:t>
            </w:r>
            <w:r>
              <w:rPr>
                <w:spacing w:val="2"/>
                <w:w w:val="90"/>
                <w:sz w:val="15"/>
              </w:rPr>
              <w:t>.</w:t>
            </w:r>
            <w:r>
              <w:rPr>
                <w:w w:val="127"/>
                <w:sz w:val="15"/>
              </w:rPr>
              <w:t>0</w:t>
            </w:r>
          </w:p>
        </w:tc>
      </w:tr>
      <w:tr w:rsidR="003B2ADE" w:rsidTr="007E04C2">
        <w:trPr>
          <w:trHeight w:val="280"/>
        </w:trPr>
        <w:tc>
          <w:tcPr>
            <w:tcW w:w="3775" w:type="dxa"/>
            <w:tcBorders>
              <w:top w:val="dotted" w:sz="4" w:space="0" w:color="000000"/>
              <w:bottom w:val="dotted" w:sz="4" w:space="0" w:color="000000"/>
            </w:tcBorders>
          </w:tcPr>
          <w:p w:rsidR="003B2ADE" w:rsidRDefault="003B2ADE" w:rsidP="007E04C2">
            <w:pPr>
              <w:pStyle w:val="TableParagraph"/>
              <w:spacing w:before="47"/>
              <w:ind w:left="5"/>
              <w:rPr>
                <w:sz w:val="15"/>
              </w:rPr>
            </w:pPr>
            <w:r>
              <w:rPr>
                <w:sz w:val="15"/>
              </w:rPr>
              <w:t>Personale amministrativo e segretariati medici</w:t>
            </w:r>
          </w:p>
        </w:tc>
        <w:tc>
          <w:tcPr>
            <w:tcW w:w="1353" w:type="dxa"/>
            <w:tcBorders>
              <w:top w:val="dotted" w:sz="4" w:space="0" w:color="000000"/>
              <w:bottom w:val="dotted" w:sz="4" w:space="0" w:color="000000"/>
            </w:tcBorders>
            <w:shd w:val="clear" w:color="auto" w:fill="EAEDF6"/>
          </w:tcPr>
          <w:p w:rsidR="003B2ADE" w:rsidRDefault="003B2ADE" w:rsidP="007E04C2">
            <w:pPr>
              <w:pStyle w:val="TableParagraph"/>
              <w:spacing w:before="47"/>
              <w:ind w:right="103"/>
              <w:jc w:val="right"/>
              <w:rPr>
                <w:sz w:val="15"/>
              </w:rPr>
            </w:pPr>
            <w:r>
              <w:rPr>
                <w:w w:val="120"/>
                <w:sz w:val="15"/>
              </w:rPr>
              <w:t>753.3</w:t>
            </w:r>
          </w:p>
        </w:tc>
        <w:tc>
          <w:tcPr>
            <w:tcW w:w="1486" w:type="dxa"/>
            <w:tcBorders>
              <w:top w:val="single" w:sz="4" w:space="0" w:color="000000"/>
              <w:bottom w:val="single" w:sz="4" w:space="0" w:color="000000"/>
            </w:tcBorders>
          </w:tcPr>
          <w:p w:rsidR="003B2ADE" w:rsidRDefault="003B2ADE" w:rsidP="007E04C2">
            <w:pPr>
              <w:pStyle w:val="TableParagraph"/>
              <w:spacing w:before="47"/>
              <w:ind w:right="337"/>
              <w:jc w:val="right"/>
              <w:rPr>
                <w:sz w:val="15"/>
              </w:rPr>
            </w:pPr>
            <w:r>
              <w:rPr>
                <w:w w:val="120"/>
                <w:sz w:val="15"/>
              </w:rPr>
              <w:t>736.1</w:t>
            </w:r>
          </w:p>
        </w:tc>
        <w:tc>
          <w:tcPr>
            <w:tcW w:w="1251" w:type="dxa"/>
            <w:tcBorders>
              <w:top w:val="single" w:sz="4" w:space="0" w:color="000000"/>
              <w:bottom w:val="single" w:sz="4" w:space="0" w:color="000000"/>
            </w:tcBorders>
          </w:tcPr>
          <w:p w:rsidR="003B2ADE" w:rsidRDefault="003B2ADE" w:rsidP="007E04C2">
            <w:pPr>
              <w:pStyle w:val="TableParagraph"/>
              <w:spacing w:before="47"/>
              <w:ind w:right="303"/>
              <w:jc w:val="right"/>
              <w:rPr>
                <w:sz w:val="15"/>
              </w:rPr>
            </w:pPr>
            <w:r>
              <w:rPr>
                <w:w w:val="120"/>
                <w:sz w:val="15"/>
              </w:rPr>
              <w:t>697.0</w:t>
            </w:r>
          </w:p>
        </w:tc>
        <w:tc>
          <w:tcPr>
            <w:tcW w:w="1049" w:type="dxa"/>
            <w:tcBorders>
              <w:top w:val="dotted" w:sz="4" w:space="0" w:color="000000"/>
              <w:bottom w:val="dotted" w:sz="4" w:space="0" w:color="000000"/>
            </w:tcBorders>
          </w:tcPr>
          <w:p w:rsidR="003B2ADE" w:rsidRDefault="003B2ADE" w:rsidP="007E04C2">
            <w:pPr>
              <w:pStyle w:val="TableParagraph"/>
              <w:spacing w:before="47"/>
              <w:ind w:right="105"/>
              <w:jc w:val="right"/>
              <w:rPr>
                <w:sz w:val="15"/>
              </w:rPr>
            </w:pPr>
            <w:r>
              <w:rPr>
                <w:w w:val="120"/>
                <w:sz w:val="15"/>
              </w:rPr>
              <w:t>667.5</w:t>
            </w:r>
          </w:p>
        </w:tc>
      </w:tr>
      <w:tr w:rsidR="003B2ADE" w:rsidTr="007E04C2">
        <w:trPr>
          <w:trHeight w:val="280"/>
        </w:trPr>
        <w:tc>
          <w:tcPr>
            <w:tcW w:w="3775" w:type="dxa"/>
            <w:tcBorders>
              <w:top w:val="dotted" w:sz="4" w:space="0" w:color="000000"/>
              <w:bottom w:val="dotted" w:sz="4" w:space="0" w:color="000000"/>
            </w:tcBorders>
          </w:tcPr>
          <w:p w:rsidR="003B2ADE" w:rsidRDefault="003B2ADE" w:rsidP="007E04C2">
            <w:pPr>
              <w:pStyle w:val="TableParagraph"/>
              <w:spacing w:before="48"/>
              <w:ind w:left="5"/>
              <w:rPr>
                <w:sz w:val="15"/>
              </w:rPr>
            </w:pPr>
            <w:r>
              <w:rPr>
                <w:w w:val="105"/>
                <w:sz w:val="15"/>
              </w:rPr>
              <w:t>Personale dei Servizi Domestici</w:t>
            </w:r>
          </w:p>
        </w:tc>
        <w:tc>
          <w:tcPr>
            <w:tcW w:w="1353" w:type="dxa"/>
            <w:tcBorders>
              <w:top w:val="dotted" w:sz="4" w:space="0" w:color="000000"/>
              <w:bottom w:val="dotted" w:sz="4" w:space="0" w:color="000000"/>
            </w:tcBorders>
            <w:shd w:val="clear" w:color="auto" w:fill="EAEDF6"/>
          </w:tcPr>
          <w:p w:rsidR="003B2ADE" w:rsidRDefault="003B2ADE" w:rsidP="007E04C2">
            <w:pPr>
              <w:pStyle w:val="TableParagraph"/>
              <w:spacing w:before="48"/>
              <w:ind w:right="106"/>
              <w:jc w:val="right"/>
              <w:rPr>
                <w:sz w:val="15"/>
              </w:rPr>
            </w:pPr>
            <w:r>
              <w:rPr>
                <w:w w:val="120"/>
                <w:sz w:val="15"/>
              </w:rPr>
              <w:t>502.4</w:t>
            </w:r>
          </w:p>
        </w:tc>
        <w:tc>
          <w:tcPr>
            <w:tcW w:w="1486" w:type="dxa"/>
            <w:tcBorders>
              <w:top w:val="single" w:sz="4" w:space="0" w:color="000000"/>
              <w:bottom w:val="single" w:sz="4" w:space="0" w:color="000000"/>
            </w:tcBorders>
          </w:tcPr>
          <w:p w:rsidR="003B2ADE" w:rsidRDefault="003B2ADE" w:rsidP="007E04C2">
            <w:pPr>
              <w:pStyle w:val="TableParagraph"/>
              <w:spacing w:before="48"/>
              <w:ind w:right="325"/>
              <w:jc w:val="right"/>
              <w:rPr>
                <w:sz w:val="15"/>
              </w:rPr>
            </w:pPr>
            <w:r>
              <w:rPr>
                <w:w w:val="120"/>
                <w:sz w:val="15"/>
              </w:rPr>
              <w:t>488.7</w:t>
            </w:r>
          </w:p>
        </w:tc>
        <w:tc>
          <w:tcPr>
            <w:tcW w:w="1251" w:type="dxa"/>
            <w:tcBorders>
              <w:top w:val="single" w:sz="4" w:space="0" w:color="000000"/>
              <w:bottom w:val="single" w:sz="4" w:space="0" w:color="000000"/>
            </w:tcBorders>
          </w:tcPr>
          <w:p w:rsidR="003B2ADE" w:rsidRDefault="003B2ADE" w:rsidP="007E04C2">
            <w:pPr>
              <w:pStyle w:val="TableParagraph"/>
              <w:spacing w:before="48"/>
              <w:ind w:right="299"/>
              <w:jc w:val="right"/>
              <w:rPr>
                <w:sz w:val="15"/>
              </w:rPr>
            </w:pPr>
            <w:r>
              <w:rPr>
                <w:w w:val="120"/>
                <w:sz w:val="15"/>
              </w:rPr>
              <w:t>482.2</w:t>
            </w:r>
          </w:p>
        </w:tc>
        <w:tc>
          <w:tcPr>
            <w:tcW w:w="1049" w:type="dxa"/>
            <w:tcBorders>
              <w:top w:val="dotted" w:sz="4" w:space="0" w:color="000000"/>
              <w:bottom w:val="dotted" w:sz="4" w:space="0" w:color="000000"/>
            </w:tcBorders>
          </w:tcPr>
          <w:p w:rsidR="003B2ADE" w:rsidRDefault="003B2ADE" w:rsidP="007E04C2">
            <w:pPr>
              <w:pStyle w:val="TableParagraph"/>
              <w:spacing w:before="48"/>
              <w:ind w:right="103"/>
              <w:jc w:val="right"/>
              <w:rPr>
                <w:sz w:val="15"/>
              </w:rPr>
            </w:pPr>
            <w:r>
              <w:rPr>
                <w:w w:val="120"/>
                <w:sz w:val="15"/>
              </w:rPr>
              <w:t>476.9</w:t>
            </w:r>
          </w:p>
        </w:tc>
      </w:tr>
      <w:tr w:rsidR="003B2ADE" w:rsidRPr="00535A54" w:rsidTr="007E04C2">
        <w:trPr>
          <w:trHeight w:val="280"/>
        </w:trPr>
        <w:tc>
          <w:tcPr>
            <w:tcW w:w="3775" w:type="dxa"/>
            <w:tcBorders>
              <w:top w:val="dotted" w:sz="4" w:space="0" w:color="000000"/>
              <w:bottom w:val="dotted" w:sz="4" w:space="0" w:color="000000"/>
            </w:tcBorders>
          </w:tcPr>
          <w:p w:rsidR="003B2ADE" w:rsidRPr="00535A54" w:rsidRDefault="003B2ADE" w:rsidP="007E04C2">
            <w:pPr>
              <w:pStyle w:val="TableParagraph"/>
              <w:spacing w:before="48"/>
              <w:ind w:left="4"/>
              <w:rPr>
                <w:b/>
                <w:bCs/>
                <w:sz w:val="15"/>
              </w:rPr>
            </w:pPr>
            <w:r w:rsidRPr="00535A54">
              <w:rPr>
                <w:b/>
                <w:bCs/>
                <w:sz w:val="15"/>
              </w:rPr>
              <w:t>Artigiani e tecnici</w:t>
            </w:r>
          </w:p>
        </w:tc>
        <w:tc>
          <w:tcPr>
            <w:tcW w:w="1353" w:type="dxa"/>
            <w:tcBorders>
              <w:top w:val="dotted" w:sz="4" w:space="0" w:color="000000"/>
              <w:bottom w:val="dotted" w:sz="4" w:space="0" w:color="000000"/>
            </w:tcBorders>
            <w:shd w:val="clear" w:color="auto" w:fill="EAEDF6"/>
          </w:tcPr>
          <w:p w:rsidR="003B2ADE" w:rsidRPr="00535A54" w:rsidRDefault="003B2ADE" w:rsidP="007E04C2">
            <w:pPr>
              <w:pStyle w:val="TableParagraph"/>
              <w:spacing w:before="48"/>
              <w:ind w:right="106"/>
              <w:jc w:val="right"/>
              <w:rPr>
                <w:b/>
                <w:bCs/>
                <w:sz w:val="15"/>
              </w:rPr>
            </w:pPr>
            <w:r w:rsidRPr="00535A54">
              <w:rPr>
                <w:b/>
                <w:bCs/>
                <w:w w:val="120"/>
                <w:sz w:val="15"/>
              </w:rPr>
              <w:t>74.8</w:t>
            </w:r>
          </w:p>
        </w:tc>
        <w:tc>
          <w:tcPr>
            <w:tcW w:w="1486" w:type="dxa"/>
            <w:tcBorders>
              <w:top w:val="single" w:sz="4" w:space="0" w:color="000000"/>
              <w:bottom w:val="single" w:sz="4" w:space="0" w:color="000000"/>
            </w:tcBorders>
          </w:tcPr>
          <w:p w:rsidR="003B2ADE" w:rsidRPr="00535A54" w:rsidRDefault="003B2ADE" w:rsidP="007E04C2">
            <w:pPr>
              <w:pStyle w:val="TableParagraph"/>
              <w:spacing w:before="48"/>
              <w:ind w:right="318"/>
              <w:jc w:val="right"/>
              <w:rPr>
                <w:b/>
                <w:bCs/>
                <w:sz w:val="15"/>
              </w:rPr>
            </w:pPr>
            <w:r w:rsidRPr="00535A54">
              <w:rPr>
                <w:b/>
                <w:bCs/>
                <w:w w:val="120"/>
                <w:sz w:val="15"/>
              </w:rPr>
              <w:t>72.4</w:t>
            </w:r>
          </w:p>
        </w:tc>
        <w:tc>
          <w:tcPr>
            <w:tcW w:w="1251" w:type="dxa"/>
            <w:tcBorders>
              <w:top w:val="single" w:sz="4" w:space="0" w:color="000000"/>
              <w:bottom w:val="single" w:sz="4" w:space="0" w:color="000000"/>
            </w:tcBorders>
          </w:tcPr>
          <w:p w:rsidR="003B2ADE" w:rsidRPr="00535A54" w:rsidRDefault="003B2ADE" w:rsidP="007E04C2">
            <w:pPr>
              <w:pStyle w:val="TableParagraph"/>
              <w:spacing w:before="48"/>
              <w:ind w:right="301"/>
              <w:jc w:val="right"/>
              <w:rPr>
                <w:b/>
                <w:bCs/>
                <w:sz w:val="15"/>
              </w:rPr>
            </w:pPr>
            <w:r w:rsidRPr="00535A54">
              <w:rPr>
                <w:b/>
                <w:bCs/>
                <w:w w:val="120"/>
                <w:sz w:val="15"/>
              </w:rPr>
              <w:t>70.5</w:t>
            </w:r>
          </w:p>
        </w:tc>
        <w:tc>
          <w:tcPr>
            <w:tcW w:w="1049" w:type="dxa"/>
            <w:tcBorders>
              <w:top w:val="dotted" w:sz="4" w:space="0" w:color="000000"/>
              <w:bottom w:val="dotted" w:sz="4" w:space="0" w:color="000000"/>
            </w:tcBorders>
          </w:tcPr>
          <w:p w:rsidR="003B2ADE" w:rsidRPr="00535A54" w:rsidRDefault="003B2ADE" w:rsidP="007E04C2">
            <w:pPr>
              <w:pStyle w:val="TableParagraph"/>
              <w:spacing w:before="48"/>
              <w:ind w:right="108"/>
              <w:jc w:val="right"/>
              <w:rPr>
                <w:b/>
                <w:bCs/>
                <w:sz w:val="15"/>
              </w:rPr>
            </w:pPr>
            <w:r w:rsidRPr="00535A54">
              <w:rPr>
                <w:b/>
                <w:bCs/>
                <w:w w:val="120"/>
                <w:sz w:val="15"/>
              </w:rPr>
              <w:t>66.7</w:t>
            </w:r>
          </w:p>
        </w:tc>
      </w:tr>
    </w:tbl>
    <w:p w:rsidR="003B2ADE" w:rsidRPr="00535A54" w:rsidRDefault="003B2ADE" w:rsidP="003B2ADE">
      <w:pPr>
        <w:rPr>
          <w:rFonts w:cs="Arial"/>
          <w:b/>
          <w:bCs/>
          <w:szCs w:val="24"/>
        </w:rPr>
      </w:pPr>
    </w:p>
    <w:p w:rsidR="003B2ADE" w:rsidRPr="00E863C1" w:rsidRDefault="003B2ADE" w:rsidP="00E863C1">
      <w:pPr>
        <w:spacing w:before="80" w:after="120"/>
        <w:rPr>
          <w:rFonts w:cs="Arial"/>
          <w:b/>
          <w:bCs/>
          <w:sz w:val="23"/>
          <w:szCs w:val="23"/>
        </w:rPr>
      </w:pPr>
      <w:r w:rsidRPr="00E863C1">
        <w:rPr>
          <w:rFonts w:cs="Arial"/>
          <w:b/>
          <w:bCs/>
          <w:sz w:val="23"/>
          <w:szCs w:val="23"/>
        </w:rPr>
        <w:t>Salario mediano</w:t>
      </w:r>
    </w:p>
    <w:p w:rsidR="003B2ADE" w:rsidRPr="003217C0" w:rsidRDefault="003B2ADE" w:rsidP="003B2ADE">
      <w:pPr>
        <w:rPr>
          <w:rFonts w:cs="Arial"/>
          <w:szCs w:val="24"/>
        </w:rPr>
      </w:pPr>
      <w:r w:rsidRPr="003217C0">
        <w:rPr>
          <w:rFonts w:cs="Arial"/>
          <w:szCs w:val="24"/>
        </w:rPr>
        <w:t>Per salario mediano si intende il salario mensile lordo standardizzato, ovvero per il quale tutti gli addetti sono riportati a un grado di occupazione del 100% e a una settimana lavorativa di 40 ore. Sono conteggiate anche le indennità per lavoro notturno e festivo. Nella tabella che segue sono stati esclusi i medici aggiunti e consulenti, il personale in formazione e quello dei foyers, così come gli onorari medici. L’evoluzione è la seguente.</w:t>
      </w:r>
    </w:p>
    <w:p w:rsidR="003B2ADE" w:rsidRPr="003217C0" w:rsidRDefault="003B2ADE" w:rsidP="003B2ADE">
      <w:pPr>
        <w:rPr>
          <w:rFonts w:cs="Arial"/>
          <w:szCs w:val="24"/>
        </w:rPr>
      </w:pPr>
    </w:p>
    <w:p w:rsidR="003B2ADE" w:rsidRPr="003217C0" w:rsidRDefault="003B2ADE" w:rsidP="003B2ADE">
      <w:pPr>
        <w:tabs>
          <w:tab w:val="left" w:pos="5796"/>
        </w:tabs>
        <w:spacing w:before="102"/>
        <w:ind w:left="1213"/>
        <w:rPr>
          <w:rFonts w:ascii="Calibri"/>
          <w:b/>
          <w:sz w:val="15"/>
        </w:rPr>
      </w:pPr>
      <w:r w:rsidRPr="003217C0">
        <w:rPr>
          <w:noProof/>
          <w:lang w:eastAsia="it-CH"/>
        </w:rPr>
        <mc:AlternateContent>
          <mc:Choice Requires="wpg">
            <w:drawing>
              <wp:anchor distT="0" distB="0" distL="0" distR="0" simplePos="0" relativeHeight="251659264" behindDoc="0" locked="0" layoutInCell="1" allowOverlap="1" wp14:anchorId="376C97E3" wp14:editId="5C0BC178">
                <wp:simplePos x="0" y="0"/>
                <wp:positionH relativeFrom="page">
                  <wp:posOffset>720090</wp:posOffset>
                </wp:positionH>
                <wp:positionV relativeFrom="paragraph">
                  <wp:posOffset>206375</wp:posOffset>
                </wp:positionV>
                <wp:extent cx="5661025" cy="6350"/>
                <wp:effectExtent l="5715" t="6985" r="10160" b="5715"/>
                <wp:wrapTopAndBottom/>
                <wp:docPr id="51" name="Grup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6350"/>
                          <a:chOff x="1134" y="325"/>
                          <a:chExt cx="8915" cy="10"/>
                        </a:xfrm>
                      </wpg:grpSpPr>
                      <wps:wsp>
                        <wps:cNvPr id="52" name="Line 27"/>
                        <wps:cNvCnPr>
                          <a:cxnSpLocks noChangeShapeType="1"/>
                        </wps:cNvCnPr>
                        <wps:spPr bwMode="auto">
                          <a:xfrm>
                            <a:off x="1134" y="330"/>
                            <a:ext cx="4663" cy="0"/>
                          </a:xfrm>
                          <a:prstGeom prst="line">
                            <a:avLst/>
                          </a:prstGeom>
                          <a:noFill/>
                          <a:ln w="6350">
                            <a:solidFill>
                              <a:srgbClr val="76B9C7"/>
                            </a:solidFill>
                            <a:round/>
                            <a:headEnd/>
                            <a:tailEnd/>
                          </a:ln>
                          <a:extLst>
                            <a:ext uri="{909E8E84-426E-40DD-AFC4-6F175D3DCCD1}">
                              <a14:hiddenFill xmlns:a14="http://schemas.microsoft.com/office/drawing/2010/main">
                                <a:noFill/>
                              </a14:hiddenFill>
                            </a:ext>
                          </a:extLst>
                        </wps:spPr>
                        <wps:bodyPr/>
                      </wps:wsp>
                      <wps:wsp>
                        <wps:cNvPr id="53" name="Line 28"/>
                        <wps:cNvCnPr>
                          <a:cxnSpLocks noChangeShapeType="1"/>
                        </wps:cNvCnPr>
                        <wps:spPr bwMode="auto">
                          <a:xfrm>
                            <a:off x="5797" y="330"/>
                            <a:ext cx="4252" cy="0"/>
                          </a:xfrm>
                          <a:prstGeom prst="line">
                            <a:avLst/>
                          </a:prstGeom>
                          <a:noFill/>
                          <a:ln w="6350">
                            <a:solidFill>
                              <a:srgbClr val="76B9C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D890B" id="Gruppo 51" o:spid="_x0000_s1026" style="position:absolute;margin-left:56.7pt;margin-top:16.25pt;width:445.75pt;height:.5pt;z-index:251659264;mso-wrap-distance-left:0;mso-wrap-distance-right:0;mso-position-horizontal-relative:page" coordorigin="1134,325" coordsize="8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">
                <v:line id="Line 27" o:spid="_x0000_s1027" style="position:absolute;visibility:visible;mso-wrap-style:square" from="1134,330" to="579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" strokecolor="#76b9c7" strokeweight=".5pt"/>
                <v:line id="Line 28" o:spid="_x0000_s1028" style="position:absolute;visibility:visible;mso-wrap-style:square" from="5797,330" to="1004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" strokecolor="#76b9c7" strokeweight=".5pt"/>
                <w10:wrap type="topAndBottom" anchorx="page"/>
              </v:group>
            </w:pict>
          </mc:Fallback>
        </mc:AlternateContent>
      </w:r>
      <w:r w:rsidRPr="003217C0">
        <w:rPr>
          <w:rFonts w:ascii="Calibri"/>
          <w:b/>
          <w:spacing w:val="4"/>
          <w:w w:val="115"/>
          <w:sz w:val="15"/>
        </w:rPr>
        <w:t>Anno</w:t>
      </w:r>
      <w:r w:rsidRPr="003217C0">
        <w:rPr>
          <w:rFonts w:ascii="Calibri"/>
          <w:b/>
          <w:spacing w:val="4"/>
          <w:w w:val="115"/>
          <w:sz w:val="15"/>
        </w:rPr>
        <w:tab/>
      </w:r>
      <w:r w:rsidRPr="003217C0">
        <w:rPr>
          <w:rFonts w:ascii="Calibri"/>
          <w:b/>
          <w:spacing w:val="5"/>
          <w:w w:val="115"/>
          <w:sz w:val="15"/>
        </w:rPr>
        <w:t xml:space="preserve">Evoluzione </w:t>
      </w:r>
      <w:r w:rsidRPr="003217C0">
        <w:rPr>
          <w:rFonts w:ascii="Calibri"/>
          <w:b/>
          <w:spacing w:val="4"/>
          <w:w w:val="115"/>
          <w:sz w:val="15"/>
        </w:rPr>
        <w:t>salario mediano</w:t>
      </w:r>
      <w:r w:rsidRPr="003217C0">
        <w:rPr>
          <w:rFonts w:ascii="Calibri"/>
          <w:b/>
          <w:spacing w:val="39"/>
          <w:w w:val="115"/>
          <w:sz w:val="15"/>
        </w:rPr>
        <w:t xml:space="preserve"> </w:t>
      </w:r>
      <w:r w:rsidRPr="003217C0">
        <w:rPr>
          <w:rFonts w:ascii="Calibri"/>
          <w:b/>
          <w:spacing w:val="4"/>
          <w:w w:val="115"/>
          <w:sz w:val="15"/>
        </w:rPr>
        <w:t>EOC</w:t>
      </w:r>
    </w:p>
    <w:p w:rsidR="003B2ADE" w:rsidRPr="003217C0" w:rsidRDefault="003B2ADE" w:rsidP="003B2ADE">
      <w:pPr>
        <w:tabs>
          <w:tab w:val="left" w:pos="5796"/>
        </w:tabs>
        <w:spacing w:before="16" w:after="39"/>
        <w:ind w:left="1213"/>
        <w:rPr>
          <w:sz w:val="15"/>
        </w:rPr>
      </w:pPr>
      <w:r w:rsidRPr="003217C0">
        <w:rPr>
          <w:rFonts w:ascii="Calibri" w:hAnsi="Calibri"/>
          <w:b/>
          <w:spacing w:val="2"/>
          <w:w w:val="125"/>
          <w:sz w:val="15"/>
        </w:rPr>
        <w:t>2012</w:t>
      </w:r>
      <w:r w:rsidRPr="003217C0">
        <w:rPr>
          <w:rFonts w:ascii="Calibri" w:hAnsi="Calibri"/>
          <w:b/>
          <w:spacing w:val="2"/>
          <w:w w:val="125"/>
          <w:sz w:val="15"/>
        </w:rPr>
        <w:tab/>
      </w:r>
      <w:r w:rsidRPr="003217C0">
        <w:rPr>
          <w:spacing w:val="6"/>
          <w:w w:val="125"/>
          <w:sz w:val="15"/>
        </w:rPr>
        <w:t>6’883</w:t>
      </w:r>
    </w:p>
    <w:p w:rsidR="003B2ADE" w:rsidRPr="003217C0" w:rsidRDefault="003B2ADE" w:rsidP="003B2ADE">
      <w:pPr>
        <w:pStyle w:val="Corpotesto"/>
        <w:spacing w:line="20" w:lineRule="exact"/>
        <w:ind w:left="1133"/>
        <w:rPr>
          <w:sz w:val="2"/>
        </w:rPr>
      </w:pPr>
      <w:r w:rsidRPr="003217C0">
        <w:rPr>
          <w:noProof/>
          <w:sz w:val="2"/>
          <w:lang w:val="it-CH" w:eastAsia="it-CH"/>
        </w:rPr>
        <mc:AlternateContent>
          <mc:Choice Requires="wpg">
            <w:drawing>
              <wp:inline distT="0" distB="0" distL="0" distR="0" wp14:anchorId="4A0A08E9" wp14:editId="7E04B732">
                <wp:extent cx="5654675" cy="6350"/>
                <wp:effectExtent l="6350" t="6985" r="6350" b="5715"/>
                <wp:docPr id="44" name="Grup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675" cy="6350"/>
                          <a:chOff x="0" y="0"/>
                          <a:chExt cx="8905" cy="10"/>
                        </a:xfrm>
                      </wpg:grpSpPr>
                      <wps:wsp>
                        <wps:cNvPr id="45" name="Line 20"/>
                        <wps:cNvCnPr>
                          <a:cxnSpLocks noChangeShapeType="1"/>
                        </wps:cNvCnPr>
                        <wps:spPr bwMode="auto">
                          <a:xfrm>
                            <a:off x="30" y="5"/>
                            <a:ext cx="4613"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6" name="Line 21"/>
                        <wps:cNvCnPr>
                          <a:cxnSpLocks noChangeShapeType="1"/>
                        </wps:cNvCnPr>
                        <wps:spPr bwMode="auto">
                          <a:xfrm>
                            <a:off x="0"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 name="Line 22"/>
                        <wps:cNvCnPr>
                          <a:cxnSpLocks noChangeShapeType="1"/>
                        </wps:cNvCnPr>
                        <wps:spPr bwMode="auto">
                          <a:xfrm>
                            <a:off x="4658"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 name="Line 23"/>
                        <wps:cNvCnPr>
                          <a:cxnSpLocks noChangeShapeType="1"/>
                        </wps:cNvCnPr>
                        <wps:spPr bwMode="auto">
                          <a:xfrm>
                            <a:off x="4688" y="5"/>
                            <a:ext cx="4202"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 name="Line 24"/>
                        <wps:cNvCnPr>
                          <a:cxnSpLocks noChangeShapeType="1"/>
                        </wps:cNvCnPr>
                        <wps:spPr bwMode="auto">
                          <a:xfrm>
                            <a:off x="4658"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Line 25"/>
                        <wps:cNvCnPr>
                          <a:cxnSpLocks noChangeShapeType="1"/>
                        </wps:cNvCnPr>
                        <wps:spPr bwMode="auto">
                          <a:xfrm>
                            <a:off x="8905"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F81F2" id="Gruppo 44" o:spid="_x0000_s1026" style="width:445.25pt;height:.5pt;mso-position-horizontal-relative:char;mso-position-vertical-relative:line" coordsize="8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">
                <v:line id="Line 20" o:spid="_x0000_s1027" style="position:absolute;visibility:visible;mso-wrap-style:square" from="30,5" to="4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" strokeweight=".5pt">
                  <v:stroke dashstyle="dot"/>
                </v:line>
                <v:line id="Line 21" o:spid="_x0000_s1028"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" strokeweight=".5pt"/>
                <v:line id="Line 22" o:spid="_x0000_s1029" style="position:absolute;visibility:visible;mso-wrap-style:square" from="4658,5" to="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" strokeweight=".5pt"/>
                <v:line id="Line 23" o:spid="_x0000_s1030" style="position:absolute;visibility:visible;mso-wrap-style:square" from="4688,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" strokeweight=".5pt">
                  <v:stroke dashstyle="dot"/>
                </v:line>
                <v:line id="Line 24" o:spid="_x0000_s1031" style="position:absolute;visibility:visible;mso-wrap-style:square" from="4658,5" to="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" strokeweight=".5pt"/>
                <v:line id="Line 25" o:spid="_x0000_s1032" style="position:absolute;visibility:visible;mso-wrap-style:square" from="8905,5" to="8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w10:anchorlock/>
              </v:group>
            </w:pict>
          </mc:Fallback>
        </mc:AlternateContent>
      </w:r>
    </w:p>
    <w:p w:rsidR="003B2ADE" w:rsidRPr="003217C0" w:rsidRDefault="003B2ADE" w:rsidP="003B2ADE">
      <w:pPr>
        <w:tabs>
          <w:tab w:val="left" w:pos="5796"/>
        </w:tabs>
        <w:spacing w:before="35"/>
        <w:ind w:left="1213"/>
        <w:rPr>
          <w:sz w:val="15"/>
        </w:rPr>
      </w:pPr>
      <w:r w:rsidRPr="003217C0">
        <w:rPr>
          <w:noProof/>
          <w:lang w:eastAsia="it-CH"/>
        </w:rPr>
        <mc:AlternateContent>
          <mc:Choice Requires="wpg">
            <w:drawing>
              <wp:anchor distT="0" distB="0" distL="0" distR="0" simplePos="0" relativeHeight="251660288" behindDoc="0" locked="0" layoutInCell="1" allowOverlap="1" wp14:anchorId="15F4F03A" wp14:editId="70B0ACAC">
                <wp:simplePos x="0" y="0"/>
                <wp:positionH relativeFrom="page">
                  <wp:posOffset>723265</wp:posOffset>
                </wp:positionH>
                <wp:positionV relativeFrom="paragraph">
                  <wp:posOffset>163830</wp:posOffset>
                </wp:positionV>
                <wp:extent cx="5654675" cy="6350"/>
                <wp:effectExtent l="8890" t="8890" r="13335" b="3810"/>
                <wp:wrapTopAndBottom/>
                <wp:docPr id="37" name="Grup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675" cy="6350"/>
                          <a:chOff x="1139" y="258"/>
                          <a:chExt cx="8905" cy="10"/>
                        </a:xfrm>
                      </wpg:grpSpPr>
                      <wps:wsp>
                        <wps:cNvPr id="38" name="Line 30"/>
                        <wps:cNvCnPr>
                          <a:cxnSpLocks noChangeShapeType="1"/>
                        </wps:cNvCnPr>
                        <wps:spPr bwMode="auto">
                          <a:xfrm>
                            <a:off x="1169" y="263"/>
                            <a:ext cx="4613"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 name="Line 31"/>
                        <wps:cNvCnPr>
                          <a:cxnSpLocks noChangeShapeType="1"/>
                        </wps:cNvCnPr>
                        <wps:spPr bwMode="auto">
                          <a:xfrm>
                            <a:off x="1139" y="263"/>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a:off x="5797" y="263"/>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 name="Line 33"/>
                        <wps:cNvCnPr>
                          <a:cxnSpLocks noChangeShapeType="1"/>
                        </wps:cNvCnPr>
                        <wps:spPr bwMode="auto">
                          <a:xfrm>
                            <a:off x="5827" y="263"/>
                            <a:ext cx="4202"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2" name="Line 34"/>
                        <wps:cNvCnPr>
                          <a:cxnSpLocks noChangeShapeType="1"/>
                        </wps:cNvCnPr>
                        <wps:spPr bwMode="auto">
                          <a:xfrm>
                            <a:off x="5797" y="263"/>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Line 35"/>
                        <wps:cNvCnPr>
                          <a:cxnSpLocks noChangeShapeType="1"/>
                        </wps:cNvCnPr>
                        <wps:spPr bwMode="auto">
                          <a:xfrm>
                            <a:off x="10044" y="263"/>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4F1B2D" id="Gruppo 37" o:spid="_x0000_s1026" style="position:absolute;margin-left:56.95pt;margin-top:12.9pt;width:445.25pt;height:.5pt;z-index:251660288;mso-wrap-distance-left:0;mso-wrap-distance-right:0;mso-position-horizontal-relative:page" coordorigin="1139,258" coordsize="8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">
                <v:line id="Line 30" o:spid="_x0000_s1027" style="position:absolute;visibility:visible;mso-wrap-style:square" from="1169,263" to="578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" strokeweight=".5pt">
                  <v:stroke dashstyle="dot"/>
                </v:line>
                <v:line id="Line 31" o:spid="_x0000_s1028" style="position:absolute;visibility:visible;mso-wrap-style:square" from="1139,263" to="113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v:line id="Line 32" o:spid="_x0000_s1029" style="position:absolute;visibility:visible;mso-wrap-style:square" from="5797,263" to="579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" strokeweight=".5pt"/>
                <v:line id="Line 33" o:spid="_x0000_s1030" style="position:absolute;visibility:visible;mso-wrap-style:square" from="5827,263" to="1002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" strokeweight=".5pt">
                  <v:stroke dashstyle="dot"/>
                </v:line>
                <v:line id="Line 34" o:spid="_x0000_s1031" style="position:absolute;visibility:visible;mso-wrap-style:square" from="5797,263" to="579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" strokeweight=".5pt"/>
                <v:line id="Line 35" o:spid="_x0000_s1032" style="position:absolute;visibility:visible;mso-wrap-style:square" from="10044,263" to="1004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" strokeweight=".5pt"/>
                <w10:wrap type="topAndBottom" anchorx="page"/>
              </v:group>
            </w:pict>
          </mc:Fallback>
        </mc:AlternateContent>
      </w:r>
      <w:r w:rsidRPr="003217C0">
        <w:rPr>
          <w:rFonts w:ascii="Calibri" w:hAnsi="Calibri"/>
          <w:b/>
          <w:spacing w:val="7"/>
          <w:w w:val="131"/>
          <w:sz w:val="15"/>
        </w:rPr>
        <w:t>2</w:t>
      </w:r>
      <w:r w:rsidRPr="003217C0">
        <w:rPr>
          <w:rFonts w:ascii="Calibri" w:hAnsi="Calibri"/>
          <w:b/>
          <w:spacing w:val="5"/>
          <w:w w:val="131"/>
          <w:sz w:val="15"/>
        </w:rPr>
        <w:t>0</w:t>
      </w:r>
      <w:r w:rsidRPr="003217C0">
        <w:rPr>
          <w:rFonts w:ascii="Calibri" w:hAnsi="Calibri"/>
          <w:b/>
          <w:spacing w:val="-2"/>
          <w:w w:val="131"/>
          <w:sz w:val="15"/>
        </w:rPr>
        <w:t>1</w:t>
      </w:r>
      <w:r w:rsidRPr="003217C0">
        <w:rPr>
          <w:rFonts w:ascii="Calibri" w:hAnsi="Calibri"/>
          <w:b/>
          <w:w w:val="131"/>
          <w:sz w:val="15"/>
        </w:rPr>
        <w:t>3</w:t>
      </w:r>
      <w:r w:rsidRPr="003217C0">
        <w:rPr>
          <w:rFonts w:ascii="Calibri" w:hAnsi="Calibri"/>
          <w:b/>
          <w:sz w:val="15"/>
        </w:rPr>
        <w:tab/>
      </w:r>
      <w:r w:rsidRPr="003217C0">
        <w:rPr>
          <w:spacing w:val="7"/>
          <w:w w:val="127"/>
          <w:sz w:val="15"/>
        </w:rPr>
        <w:t>6</w:t>
      </w:r>
      <w:r w:rsidRPr="003217C0">
        <w:rPr>
          <w:spacing w:val="7"/>
          <w:w w:val="60"/>
          <w:sz w:val="15"/>
        </w:rPr>
        <w:t>’</w:t>
      </w:r>
      <w:r w:rsidRPr="003217C0">
        <w:rPr>
          <w:spacing w:val="4"/>
          <w:w w:val="127"/>
          <w:sz w:val="15"/>
        </w:rPr>
        <w:t>9</w:t>
      </w:r>
      <w:r w:rsidRPr="003217C0">
        <w:rPr>
          <w:spacing w:val="-5"/>
          <w:w w:val="127"/>
          <w:sz w:val="15"/>
        </w:rPr>
        <w:t>15</w:t>
      </w:r>
    </w:p>
    <w:p w:rsidR="003B2ADE" w:rsidRPr="003217C0" w:rsidRDefault="003B2ADE" w:rsidP="003B2ADE">
      <w:pPr>
        <w:tabs>
          <w:tab w:val="left" w:pos="5796"/>
        </w:tabs>
        <w:spacing w:before="16" w:after="39"/>
        <w:ind w:left="1213"/>
        <w:rPr>
          <w:sz w:val="15"/>
        </w:rPr>
      </w:pPr>
      <w:r w:rsidRPr="003217C0">
        <w:rPr>
          <w:rFonts w:ascii="Calibri" w:hAnsi="Calibri"/>
          <w:b/>
          <w:spacing w:val="7"/>
          <w:w w:val="131"/>
          <w:sz w:val="15"/>
        </w:rPr>
        <w:t>2</w:t>
      </w:r>
      <w:r w:rsidRPr="003217C0">
        <w:rPr>
          <w:rFonts w:ascii="Calibri" w:hAnsi="Calibri"/>
          <w:b/>
          <w:spacing w:val="5"/>
          <w:w w:val="131"/>
          <w:sz w:val="15"/>
        </w:rPr>
        <w:t>0</w:t>
      </w:r>
      <w:r w:rsidRPr="003217C0">
        <w:rPr>
          <w:rFonts w:ascii="Calibri" w:hAnsi="Calibri"/>
          <w:b/>
          <w:spacing w:val="-1"/>
          <w:w w:val="131"/>
          <w:sz w:val="15"/>
        </w:rPr>
        <w:t>1</w:t>
      </w:r>
      <w:r w:rsidRPr="003217C0">
        <w:rPr>
          <w:rFonts w:ascii="Calibri" w:hAnsi="Calibri"/>
          <w:b/>
          <w:w w:val="131"/>
          <w:sz w:val="15"/>
        </w:rPr>
        <w:t>4</w:t>
      </w:r>
      <w:r w:rsidRPr="003217C0">
        <w:rPr>
          <w:rFonts w:ascii="Calibri" w:hAnsi="Calibri"/>
          <w:b/>
          <w:sz w:val="15"/>
        </w:rPr>
        <w:tab/>
      </w:r>
      <w:r w:rsidRPr="003217C0">
        <w:rPr>
          <w:spacing w:val="7"/>
          <w:w w:val="127"/>
          <w:sz w:val="15"/>
        </w:rPr>
        <w:t>6</w:t>
      </w:r>
      <w:r w:rsidRPr="003217C0">
        <w:rPr>
          <w:spacing w:val="7"/>
          <w:w w:val="60"/>
          <w:sz w:val="15"/>
        </w:rPr>
        <w:t>’</w:t>
      </w:r>
      <w:r w:rsidRPr="003217C0">
        <w:rPr>
          <w:spacing w:val="7"/>
          <w:w w:val="127"/>
          <w:sz w:val="15"/>
        </w:rPr>
        <w:t>8</w:t>
      </w:r>
      <w:r w:rsidRPr="003217C0">
        <w:rPr>
          <w:spacing w:val="-4"/>
          <w:w w:val="127"/>
          <w:sz w:val="15"/>
        </w:rPr>
        <w:t>74</w:t>
      </w:r>
    </w:p>
    <w:p w:rsidR="003B2ADE" w:rsidRPr="003217C0" w:rsidRDefault="003B2ADE" w:rsidP="003B2ADE">
      <w:pPr>
        <w:pStyle w:val="Corpotesto"/>
        <w:spacing w:line="20" w:lineRule="exact"/>
        <w:ind w:left="1133"/>
        <w:rPr>
          <w:sz w:val="2"/>
        </w:rPr>
      </w:pPr>
      <w:r w:rsidRPr="003217C0">
        <w:rPr>
          <w:noProof/>
          <w:sz w:val="2"/>
          <w:lang w:val="it-CH" w:eastAsia="it-CH"/>
        </w:rPr>
        <mc:AlternateContent>
          <mc:Choice Requires="wpg">
            <w:drawing>
              <wp:inline distT="0" distB="0" distL="0" distR="0" wp14:anchorId="44DD26E3" wp14:editId="7329BB96">
                <wp:extent cx="5654675" cy="6350"/>
                <wp:effectExtent l="6350" t="3810" r="6350" b="8890"/>
                <wp:docPr id="30" name="Grup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675" cy="6350"/>
                          <a:chOff x="0" y="0"/>
                          <a:chExt cx="8905" cy="10"/>
                        </a:xfrm>
                      </wpg:grpSpPr>
                      <wps:wsp>
                        <wps:cNvPr id="31" name="Line 13"/>
                        <wps:cNvCnPr>
                          <a:cxnSpLocks noChangeShapeType="1"/>
                        </wps:cNvCnPr>
                        <wps:spPr bwMode="auto">
                          <a:xfrm>
                            <a:off x="30" y="5"/>
                            <a:ext cx="4613"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a:off x="0"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Line 15"/>
                        <wps:cNvCnPr>
                          <a:cxnSpLocks noChangeShapeType="1"/>
                        </wps:cNvCnPr>
                        <wps:spPr bwMode="auto">
                          <a:xfrm>
                            <a:off x="4658"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 name="Line 16"/>
                        <wps:cNvCnPr>
                          <a:cxnSpLocks noChangeShapeType="1"/>
                        </wps:cNvCnPr>
                        <wps:spPr bwMode="auto">
                          <a:xfrm>
                            <a:off x="4688" y="5"/>
                            <a:ext cx="4202"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5" name="Line 17"/>
                        <wps:cNvCnPr>
                          <a:cxnSpLocks noChangeShapeType="1"/>
                        </wps:cNvCnPr>
                        <wps:spPr bwMode="auto">
                          <a:xfrm>
                            <a:off x="4658"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8905"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3B44FB" id="Gruppo 30" o:spid="_x0000_s1026" style="width:445.25pt;height:.5pt;mso-position-horizontal-relative:char;mso-position-vertical-relative:line" coordsize="8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">
                <v:line id="Line 13" o:spid="_x0000_s1027" style="position:absolute;visibility:visible;mso-wrap-style:square" from="30,5" to="4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" strokeweight=".5pt">
                  <v:stroke dashstyle="dot"/>
                </v:line>
                <v:line id="Line 14" o:spid="_x0000_s1028"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line id="Line 15" o:spid="_x0000_s1029" style="position:absolute;visibility:visible;mso-wrap-style:square" from="4658,5" to="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" strokeweight=".5pt"/>
                <v:line id="Line 16" o:spid="_x0000_s1030" style="position:absolute;visibility:visible;mso-wrap-style:square" from="4688,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" strokeweight=".5pt">
                  <v:stroke dashstyle="dot"/>
                </v:line>
                <v:line id="Line 17" o:spid="_x0000_s1031" style="position:absolute;visibility:visible;mso-wrap-style:square" from="4658,5" to="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" strokeweight=".5pt"/>
                <v:line id="Line 18" o:spid="_x0000_s1032" style="position:absolute;visibility:visible;mso-wrap-style:square" from="8905,5" to="8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" strokeweight=".5pt"/>
                <w10:anchorlock/>
              </v:group>
            </w:pict>
          </mc:Fallback>
        </mc:AlternateContent>
      </w:r>
    </w:p>
    <w:p w:rsidR="003B2ADE" w:rsidRPr="003217C0" w:rsidRDefault="003B2ADE" w:rsidP="003B2ADE">
      <w:pPr>
        <w:tabs>
          <w:tab w:val="left" w:pos="5796"/>
        </w:tabs>
        <w:spacing w:before="35"/>
        <w:ind w:left="1213"/>
        <w:rPr>
          <w:sz w:val="15"/>
        </w:rPr>
      </w:pPr>
      <w:r w:rsidRPr="003217C0">
        <w:rPr>
          <w:noProof/>
          <w:lang w:eastAsia="it-CH"/>
        </w:rPr>
        <mc:AlternateContent>
          <mc:Choice Requires="wpg">
            <w:drawing>
              <wp:anchor distT="0" distB="0" distL="0" distR="0" simplePos="0" relativeHeight="251661312" behindDoc="0" locked="0" layoutInCell="1" allowOverlap="1" wp14:anchorId="230E63A1" wp14:editId="7A10CDF5">
                <wp:simplePos x="0" y="0"/>
                <wp:positionH relativeFrom="page">
                  <wp:posOffset>723265</wp:posOffset>
                </wp:positionH>
                <wp:positionV relativeFrom="paragraph">
                  <wp:posOffset>170815</wp:posOffset>
                </wp:positionV>
                <wp:extent cx="5654675" cy="6350"/>
                <wp:effectExtent l="8890" t="6350" r="13335" b="6350"/>
                <wp:wrapTopAndBottom/>
                <wp:docPr id="23" name="Grup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675" cy="6350"/>
                          <a:chOff x="1139" y="269"/>
                          <a:chExt cx="8905" cy="10"/>
                        </a:xfrm>
                      </wpg:grpSpPr>
                      <wps:wsp>
                        <wps:cNvPr id="24" name="Line 37"/>
                        <wps:cNvCnPr>
                          <a:cxnSpLocks noChangeShapeType="1"/>
                        </wps:cNvCnPr>
                        <wps:spPr bwMode="auto">
                          <a:xfrm>
                            <a:off x="1169" y="274"/>
                            <a:ext cx="4613"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5" name="Line 38"/>
                        <wps:cNvCnPr>
                          <a:cxnSpLocks noChangeShapeType="1"/>
                        </wps:cNvCnPr>
                        <wps:spPr bwMode="auto">
                          <a:xfrm>
                            <a:off x="1139" y="274"/>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 name="Line 39"/>
                        <wps:cNvCnPr>
                          <a:cxnSpLocks noChangeShapeType="1"/>
                        </wps:cNvCnPr>
                        <wps:spPr bwMode="auto">
                          <a:xfrm>
                            <a:off x="5797" y="274"/>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Line 40"/>
                        <wps:cNvCnPr>
                          <a:cxnSpLocks noChangeShapeType="1"/>
                        </wps:cNvCnPr>
                        <wps:spPr bwMode="auto">
                          <a:xfrm>
                            <a:off x="5827" y="274"/>
                            <a:ext cx="4202"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8" name="Line 41"/>
                        <wps:cNvCnPr>
                          <a:cxnSpLocks noChangeShapeType="1"/>
                        </wps:cNvCnPr>
                        <wps:spPr bwMode="auto">
                          <a:xfrm>
                            <a:off x="5797" y="274"/>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 name="Line 42"/>
                        <wps:cNvCnPr>
                          <a:cxnSpLocks noChangeShapeType="1"/>
                        </wps:cNvCnPr>
                        <wps:spPr bwMode="auto">
                          <a:xfrm>
                            <a:off x="10044" y="274"/>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90CB56" id="Gruppo 23" o:spid="_x0000_s1026" style="position:absolute;margin-left:56.95pt;margin-top:13.45pt;width:445.25pt;height:.5pt;z-index:251661312;mso-wrap-distance-left:0;mso-wrap-distance-right:0;mso-position-horizontal-relative:page" coordorigin="1139,269" coordsize="8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">
                <v:line id="Line 37" o:spid="_x0000_s1027" style="position:absolute;visibility:visible;mso-wrap-style:square" from="1169,274" to="578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" strokeweight=".5pt">
                  <v:stroke dashstyle="dot"/>
                </v:line>
                <v:line id="Line 38" o:spid="_x0000_s1028" style="position:absolute;visibility:visible;mso-wrap-style:square" from="1139,274" to="113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" strokeweight=".5pt"/>
                <v:line id="Line 39" o:spid="_x0000_s1029" style="position:absolute;visibility:visible;mso-wrap-style:square" from="5797,274" to="579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line id="Line 40" o:spid="_x0000_s1030" style="position:absolute;visibility:visible;mso-wrap-style:square" from="5827,274" to="1002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" strokeweight=".5pt">
                  <v:stroke dashstyle="dot"/>
                </v:line>
                <v:line id="Line 41" o:spid="_x0000_s1031" style="position:absolute;visibility:visible;mso-wrap-style:square" from="5797,274" to="579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v:line id="Line 42" o:spid="_x0000_s1032" style="position:absolute;visibility:visible;mso-wrap-style:square" from="10044,274" to="1004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" strokeweight=".5pt"/>
                <w10:wrap type="topAndBottom" anchorx="page"/>
              </v:group>
            </w:pict>
          </mc:Fallback>
        </mc:AlternateContent>
      </w:r>
      <w:r w:rsidRPr="003217C0">
        <w:rPr>
          <w:rFonts w:ascii="Calibri" w:hAnsi="Calibri"/>
          <w:b/>
          <w:spacing w:val="7"/>
          <w:w w:val="131"/>
          <w:sz w:val="15"/>
        </w:rPr>
        <w:t>2</w:t>
      </w:r>
      <w:r w:rsidRPr="003217C0">
        <w:rPr>
          <w:rFonts w:ascii="Calibri" w:hAnsi="Calibri"/>
          <w:b/>
          <w:spacing w:val="5"/>
          <w:w w:val="131"/>
          <w:sz w:val="15"/>
        </w:rPr>
        <w:t>0</w:t>
      </w:r>
      <w:r w:rsidRPr="003217C0">
        <w:rPr>
          <w:rFonts w:ascii="Calibri" w:hAnsi="Calibri"/>
          <w:b/>
          <w:spacing w:val="-3"/>
          <w:w w:val="131"/>
          <w:sz w:val="15"/>
        </w:rPr>
        <w:t>1</w:t>
      </w:r>
      <w:r w:rsidRPr="003217C0">
        <w:rPr>
          <w:rFonts w:ascii="Calibri" w:hAnsi="Calibri"/>
          <w:b/>
          <w:w w:val="131"/>
          <w:sz w:val="15"/>
        </w:rPr>
        <w:t>5</w:t>
      </w:r>
      <w:r w:rsidRPr="003217C0">
        <w:rPr>
          <w:rFonts w:ascii="Calibri" w:hAnsi="Calibri"/>
          <w:b/>
          <w:sz w:val="15"/>
        </w:rPr>
        <w:tab/>
      </w:r>
      <w:r w:rsidRPr="003217C0">
        <w:rPr>
          <w:spacing w:val="7"/>
          <w:w w:val="127"/>
          <w:sz w:val="15"/>
        </w:rPr>
        <w:t>6</w:t>
      </w:r>
      <w:r w:rsidRPr="003217C0">
        <w:rPr>
          <w:spacing w:val="7"/>
          <w:w w:val="60"/>
          <w:sz w:val="15"/>
        </w:rPr>
        <w:t>’</w:t>
      </w:r>
      <w:r w:rsidRPr="003217C0">
        <w:rPr>
          <w:spacing w:val="8"/>
          <w:w w:val="127"/>
          <w:sz w:val="15"/>
        </w:rPr>
        <w:t>6</w:t>
      </w:r>
      <w:r w:rsidRPr="003217C0">
        <w:rPr>
          <w:spacing w:val="3"/>
          <w:w w:val="127"/>
          <w:sz w:val="15"/>
        </w:rPr>
        <w:t>61</w:t>
      </w:r>
    </w:p>
    <w:p w:rsidR="003B2ADE" w:rsidRPr="003217C0" w:rsidRDefault="003B2ADE" w:rsidP="003B2ADE">
      <w:pPr>
        <w:tabs>
          <w:tab w:val="left" w:pos="5796"/>
        </w:tabs>
        <w:spacing w:before="17" w:after="51"/>
        <w:ind w:left="1213"/>
        <w:rPr>
          <w:sz w:val="15"/>
        </w:rPr>
      </w:pPr>
      <w:r w:rsidRPr="003217C0">
        <w:rPr>
          <w:rFonts w:ascii="Calibri" w:hAnsi="Calibri"/>
          <w:b/>
          <w:spacing w:val="2"/>
          <w:w w:val="125"/>
          <w:sz w:val="15"/>
        </w:rPr>
        <w:t>2016</w:t>
      </w:r>
      <w:r w:rsidRPr="003217C0">
        <w:rPr>
          <w:rFonts w:ascii="Calibri" w:hAnsi="Calibri"/>
          <w:b/>
          <w:spacing w:val="2"/>
          <w:w w:val="125"/>
          <w:sz w:val="15"/>
        </w:rPr>
        <w:tab/>
      </w:r>
      <w:r w:rsidRPr="003217C0">
        <w:rPr>
          <w:spacing w:val="6"/>
          <w:w w:val="125"/>
          <w:sz w:val="15"/>
        </w:rPr>
        <w:t>6’853</w:t>
      </w:r>
    </w:p>
    <w:p w:rsidR="003B2ADE" w:rsidRPr="003217C0" w:rsidRDefault="003B2ADE" w:rsidP="003B2ADE">
      <w:pPr>
        <w:pStyle w:val="Corpotesto"/>
        <w:spacing w:line="20" w:lineRule="exact"/>
        <w:ind w:left="1133"/>
        <w:rPr>
          <w:sz w:val="2"/>
        </w:rPr>
      </w:pPr>
      <w:r w:rsidRPr="003217C0">
        <w:rPr>
          <w:noProof/>
          <w:sz w:val="2"/>
          <w:lang w:val="it-CH" w:eastAsia="it-CH"/>
        </w:rPr>
        <mc:AlternateContent>
          <mc:Choice Requires="wpg">
            <w:drawing>
              <wp:inline distT="0" distB="0" distL="0" distR="0" wp14:anchorId="71BA323A" wp14:editId="0F25CF96">
                <wp:extent cx="5654675" cy="6350"/>
                <wp:effectExtent l="6350" t="6985" r="6350" b="5715"/>
                <wp:docPr id="16" name="Grup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675" cy="6350"/>
                          <a:chOff x="0" y="0"/>
                          <a:chExt cx="8905" cy="10"/>
                        </a:xfrm>
                      </wpg:grpSpPr>
                      <wps:wsp>
                        <wps:cNvPr id="17" name="Line 6"/>
                        <wps:cNvCnPr>
                          <a:cxnSpLocks noChangeShapeType="1"/>
                        </wps:cNvCnPr>
                        <wps:spPr bwMode="auto">
                          <a:xfrm>
                            <a:off x="30" y="5"/>
                            <a:ext cx="4613"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0"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4658"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4688" y="5"/>
                            <a:ext cx="4202"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4658"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8905" y="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6F315" id="Gruppo 16" o:spid="_x0000_s1026" style="width:445.25pt;height:.5pt;mso-position-horizontal-relative:char;mso-position-vertical-relative:line" coordsize="8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">
                <v:line id="Line 6" o:spid="_x0000_s1027" style="position:absolute;visibility:visible;mso-wrap-style:square" from="30,5" to="4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" strokeweight=".5pt">
                  <v:stroke dashstyle="dot"/>
                </v:line>
                <v:line id="Line 7" o:spid="_x0000_s1028"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line id="Line 8" o:spid="_x0000_s1029" style="position:absolute;visibility:visible;mso-wrap-style:square" from="4658,5" to="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" strokeweight=".5pt"/>
                <v:line id="Line 9" o:spid="_x0000_s1030" style="position:absolute;visibility:visible;mso-wrap-style:square" from="4688,5" to="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" strokeweight=".5pt">
                  <v:stroke dashstyle="dot"/>
                </v:line>
                <v:line id="Line 10" o:spid="_x0000_s1031" style="position:absolute;visibility:visible;mso-wrap-style:square" from="4658,5" to="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" strokeweight=".5pt"/>
                <v:line id="Line 11" o:spid="_x0000_s1032" style="position:absolute;visibility:visible;mso-wrap-style:square" from="8905,5" to="8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w10:anchorlock/>
              </v:group>
            </w:pict>
          </mc:Fallback>
        </mc:AlternateContent>
      </w:r>
    </w:p>
    <w:p w:rsidR="003B2ADE" w:rsidRPr="003217C0" w:rsidRDefault="003B2ADE" w:rsidP="003B2ADE">
      <w:pPr>
        <w:tabs>
          <w:tab w:val="left" w:pos="5796"/>
        </w:tabs>
        <w:spacing w:before="36" w:after="51"/>
        <w:ind w:left="1213"/>
        <w:rPr>
          <w:sz w:val="15"/>
        </w:rPr>
      </w:pPr>
      <w:r w:rsidRPr="003217C0">
        <w:rPr>
          <w:noProof/>
          <w:lang w:eastAsia="it-CH"/>
        </w:rPr>
        <mc:AlternateContent>
          <mc:Choice Requires="wpg">
            <w:drawing>
              <wp:anchor distT="0" distB="0" distL="114300" distR="114300" simplePos="0" relativeHeight="251662336" behindDoc="0" locked="0" layoutInCell="1" allowOverlap="1" wp14:anchorId="3899725A" wp14:editId="71C4BDC2">
                <wp:simplePos x="0" y="0"/>
                <wp:positionH relativeFrom="page">
                  <wp:posOffset>723265</wp:posOffset>
                </wp:positionH>
                <wp:positionV relativeFrom="paragraph">
                  <wp:posOffset>355600</wp:posOffset>
                </wp:positionV>
                <wp:extent cx="5654675" cy="6350"/>
                <wp:effectExtent l="8890" t="8890" r="13335" b="5575935"/>
                <wp:wrapNone/>
                <wp:docPr id="11"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675" cy="6350"/>
                          <a:chOff x="1139" y="560"/>
                          <a:chExt cx="8905" cy="10"/>
                        </a:xfrm>
                      </wpg:grpSpPr>
                      <wps:wsp>
                        <wps:cNvPr id="12" name="Line 44"/>
                        <wps:cNvCnPr>
                          <a:cxnSpLocks noChangeShapeType="1"/>
                        </wps:cNvCnPr>
                        <wps:spPr bwMode="auto">
                          <a:xfrm>
                            <a:off x="1169" y="565"/>
                            <a:ext cx="4613"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 name="AutoShape 45"/>
                        <wps:cNvSpPr>
                          <a:spLocks/>
                        </wps:cNvSpPr>
                        <wps:spPr bwMode="auto">
                          <a:xfrm>
                            <a:off x="0" y="9333"/>
                            <a:ext cx="4658" cy="2"/>
                          </a:xfrm>
                          <a:custGeom>
                            <a:avLst/>
                            <a:gdLst>
                              <a:gd name="T0" fmla="*/ 1139 w 4658"/>
                              <a:gd name="T1" fmla="*/ 1139 w 4658"/>
                              <a:gd name="T2" fmla="*/ 5797 w 4658"/>
                              <a:gd name="T3" fmla="*/ 5797 w 4658"/>
                            </a:gdLst>
                            <a:ahLst/>
                            <a:cxnLst>
                              <a:cxn ang="0">
                                <a:pos x="T0" y="0"/>
                              </a:cxn>
                              <a:cxn ang="0">
                                <a:pos x="T1" y="0"/>
                              </a:cxn>
                              <a:cxn ang="0">
                                <a:pos x="T2" y="0"/>
                              </a:cxn>
                              <a:cxn ang="0">
                                <a:pos x="T3" y="0"/>
                              </a:cxn>
                            </a:cxnLst>
                            <a:rect l="0" t="0" r="r" b="b"/>
                            <a:pathLst>
                              <a:path w="4658">
                                <a:moveTo>
                                  <a:pt x="1139" y="-8768"/>
                                </a:moveTo>
                                <a:lnTo>
                                  <a:pt x="1139" y="-8768"/>
                                </a:lnTo>
                                <a:moveTo>
                                  <a:pt x="5797" y="-8768"/>
                                </a:moveTo>
                                <a:lnTo>
                                  <a:pt x="5797" y="-87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46"/>
                        <wps:cNvCnPr>
                          <a:cxnSpLocks noChangeShapeType="1"/>
                        </wps:cNvCnPr>
                        <wps:spPr bwMode="auto">
                          <a:xfrm>
                            <a:off x="5827" y="565"/>
                            <a:ext cx="4202"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 name="AutoShape 47"/>
                        <wps:cNvSpPr>
                          <a:spLocks/>
                        </wps:cNvSpPr>
                        <wps:spPr bwMode="auto">
                          <a:xfrm>
                            <a:off x="0" y="9333"/>
                            <a:ext cx="4247" cy="2"/>
                          </a:xfrm>
                          <a:custGeom>
                            <a:avLst/>
                            <a:gdLst>
                              <a:gd name="T0" fmla="*/ 5797 w 4247"/>
                              <a:gd name="T1" fmla="*/ 5797 w 4247"/>
                              <a:gd name="T2" fmla="*/ 10044 w 4247"/>
                              <a:gd name="T3" fmla="*/ 10044 w 4247"/>
                            </a:gdLst>
                            <a:ahLst/>
                            <a:cxnLst>
                              <a:cxn ang="0">
                                <a:pos x="T0" y="0"/>
                              </a:cxn>
                              <a:cxn ang="0">
                                <a:pos x="T1" y="0"/>
                              </a:cxn>
                              <a:cxn ang="0">
                                <a:pos x="T2" y="0"/>
                              </a:cxn>
                              <a:cxn ang="0">
                                <a:pos x="T3" y="0"/>
                              </a:cxn>
                            </a:cxnLst>
                            <a:rect l="0" t="0" r="r" b="b"/>
                            <a:pathLst>
                              <a:path w="4247">
                                <a:moveTo>
                                  <a:pt x="5797" y="-8768"/>
                                </a:moveTo>
                                <a:lnTo>
                                  <a:pt x="5797" y="-8768"/>
                                </a:lnTo>
                                <a:moveTo>
                                  <a:pt x="10044" y="-8768"/>
                                </a:moveTo>
                                <a:lnTo>
                                  <a:pt x="10044" y="-87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7F37" id="Gruppo 11" o:spid="_x0000_s1026" style="position:absolute;margin-left:56.95pt;margin-top:28pt;width:445.25pt;height:.5pt;z-index:251662336;mso-position-horizontal-relative:page" coordorigin="1139,560" coordsize="8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">
                <v:line id="Line 44" o:spid="_x0000_s1027" style="position:absolute;visibility:visible;mso-wrap-style:square" from="1169,565" to="578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" strokeweight=".5pt">
                  <v:stroke dashstyle="dot"/>
                </v:line>
                <v:shape id="AutoShape 45" o:spid="_x0000_s1028" style="position:absolute;top:9333;width:4658;height:2;visibility:visible;mso-wrap-style:square;v-text-anchor:top" coordsize="4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" path="m1139,-8768r,m5797,-8768r,e" filled="f" strokeweight=".5pt">
                  <v:path arrowok="t" o:connecttype="custom" o:connectlocs="1139,0;1139,0;5797,0;5797,0" o:connectangles="0,0,0,0"/>
                </v:shape>
                <v:line id="Line 46" o:spid="_x0000_s1029" style="position:absolute;visibility:visible;mso-wrap-style:square" from="5827,565" to="1002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" strokeweight=".5pt">
                  <v:stroke dashstyle="dot"/>
                </v:line>
                <v:shape id="AutoShape 47" o:spid="_x0000_s1030" style="position:absolute;top:9333;width:4247;height:2;visibility:visible;mso-wrap-style:square;v-text-anchor:top" coordsize="4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" path="m5797,-8768r,m10044,-8768r,e" filled="f" strokeweight=".5pt">
                  <v:path arrowok="t" o:connecttype="custom" o:connectlocs="5797,0;5797,0;10044,0;10044,0" o:connectangles="0,0,0,0"/>
                </v:shape>
                <w10:wrap anchorx="page"/>
              </v:group>
            </w:pict>
          </mc:Fallback>
        </mc:AlternateContent>
      </w:r>
      <w:r w:rsidRPr="003217C0">
        <w:rPr>
          <w:rFonts w:ascii="Calibri" w:hAnsi="Calibri"/>
          <w:b/>
          <w:spacing w:val="2"/>
          <w:w w:val="125"/>
          <w:sz w:val="15"/>
        </w:rPr>
        <w:t>2017</w:t>
      </w:r>
      <w:r w:rsidRPr="003217C0">
        <w:rPr>
          <w:rFonts w:ascii="Calibri" w:hAnsi="Calibri"/>
          <w:b/>
          <w:spacing w:val="2"/>
          <w:w w:val="125"/>
          <w:sz w:val="15"/>
        </w:rPr>
        <w:tab/>
      </w:r>
      <w:r w:rsidRPr="003217C0">
        <w:rPr>
          <w:spacing w:val="7"/>
          <w:w w:val="125"/>
          <w:sz w:val="15"/>
        </w:rPr>
        <w:t>6’869</w:t>
      </w:r>
    </w:p>
    <w:tbl>
      <w:tblPr>
        <w:tblStyle w:val="TableNormal"/>
        <w:tblW w:w="0" w:type="auto"/>
        <w:tblInd w:w="1141" w:type="dxa"/>
        <w:tblLayout w:type="fixed"/>
        <w:tblLook w:val="01E0" w:firstRow="1" w:lastRow="1" w:firstColumn="1" w:lastColumn="1" w:noHBand="0" w:noVBand="0"/>
      </w:tblPr>
      <w:tblGrid>
        <w:gridCol w:w="8915"/>
      </w:tblGrid>
      <w:tr w:rsidR="003B2ADE" w:rsidRPr="003217C0" w:rsidTr="007E04C2">
        <w:trPr>
          <w:trHeight w:val="285"/>
        </w:trPr>
        <w:tc>
          <w:tcPr>
            <w:tcW w:w="8915" w:type="dxa"/>
            <w:tcBorders>
              <w:top w:val="single" w:sz="4" w:space="0" w:color="000000"/>
            </w:tcBorders>
            <w:shd w:val="clear" w:color="auto" w:fill="EAEDF6"/>
          </w:tcPr>
          <w:p w:rsidR="003B2ADE" w:rsidRPr="003217C0" w:rsidRDefault="003B2ADE" w:rsidP="007E04C2">
            <w:pPr>
              <w:pStyle w:val="TableParagraph"/>
              <w:tabs>
                <w:tab w:val="left" w:pos="4662"/>
              </w:tabs>
              <w:spacing w:before="46"/>
              <w:ind w:left="79"/>
              <w:rPr>
                <w:sz w:val="15"/>
              </w:rPr>
            </w:pPr>
            <w:r w:rsidRPr="003217C0">
              <w:rPr>
                <w:rFonts w:ascii="Calibri" w:hAnsi="Calibri"/>
                <w:b/>
                <w:spacing w:val="2"/>
                <w:w w:val="125"/>
                <w:sz w:val="15"/>
              </w:rPr>
              <w:t>2018</w:t>
            </w:r>
            <w:r w:rsidRPr="003217C0">
              <w:rPr>
                <w:rFonts w:ascii="Calibri" w:hAnsi="Calibri"/>
                <w:b/>
                <w:spacing w:val="2"/>
                <w:w w:val="125"/>
                <w:sz w:val="15"/>
              </w:rPr>
              <w:tab/>
            </w:r>
            <w:r w:rsidRPr="003217C0">
              <w:rPr>
                <w:spacing w:val="6"/>
                <w:w w:val="125"/>
                <w:sz w:val="15"/>
              </w:rPr>
              <w:t>6’928</w:t>
            </w:r>
          </w:p>
        </w:tc>
      </w:tr>
    </w:tbl>
    <w:p w:rsidR="003B2ADE" w:rsidRPr="003217C0" w:rsidRDefault="003B2ADE" w:rsidP="003B2ADE">
      <w:pPr>
        <w:rPr>
          <w:rFonts w:cs="Arial"/>
          <w:szCs w:val="24"/>
        </w:rPr>
      </w:pPr>
    </w:p>
    <w:p w:rsidR="003B2ADE" w:rsidRPr="00D57BC4" w:rsidRDefault="003B2ADE" w:rsidP="003B2ADE">
      <w:pPr>
        <w:rPr>
          <w:rFonts w:cs="Arial"/>
          <w:szCs w:val="24"/>
        </w:rPr>
      </w:pPr>
      <w:r w:rsidRPr="00D57BC4">
        <w:rPr>
          <w:rFonts w:cs="Arial"/>
          <w:szCs w:val="24"/>
        </w:rPr>
        <w:t>L’Ufficio federale di statistica ha pubblicato quale ultimo dato quello concernente il 2016, che vede un salario mediano globale di 6502 e di 6760 per il comparto sanità. Il salario mediano EOC, che appare stabile negli ultimi anni, si dovrebbe quindi confermare superiore a quello svizzero, settore sanità compreso. Questo può essere dovuto a più fattori, quali livelli retributivi maggiori, struttura del personale differenziata verso professioni della fascia superiore, anzianità di servizio più elevata, avendo l’EOC un modello retributivo scalare.</w:t>
      </w:r>
    </w:p>
    <w:p w:rsidR="003B2ADE" w:rsidRPr="00D57BC4" w:rsidRDefault="003B2ADE" w:rsidP="003B2ADE">
      <w:pPr>
        <w:rPr>
          <w:rFonts w:cs="Arial"/>
          <w:szCs w:val="24"/>
        </w:rPr>
      </w:pPr>
      <w:r w:rsidRPr="00D57BC4">
        <w:rPr>
          <w:rFonts w:cs="Arial"/>
          <w:szCs w:val="24"/>
        </w:rPr>
        <w:t>L’obiettivo EOC 2018 era mantenere un salario mediano stabile, compreso in una forchetta di +/- 5% ed è stato pertanto raggiunto.</w:t>
      </w:r>
    </w:p>
    <w:p w:rsidR="003B2ADE" w:rsidRPr="00D57BC4" w:rsidRDefault="003B2ADE" w:rsidP="003B2ADE">
      <w:pPr>
        <w:rPr>
          <w:rFonts w:cs="Arial"/>
          <w:szCs w:val="24"/>
        </w:rPr>
      </w:pPr>
      <w:r w:rsidRPr="00D57BC4">
        <w:rPr>
          <w:rFonts w:cs="Arial"/>
          <w:szCs w:val="24"/>
        </w:rPr>
        <w:t>Questo obiettivo è ribadito per il 2019</w:t>
      </w:r>
    </w:p>
    <w:p w:rsidR="003B2ADE" w:rsidRPr="00E863C1" w:rsidRDefault="003B2ADE" w:rsidP="00E863C1">
      <w:pPr>
        <w:spacing w:before="80" w:after="120"/>
        <w:rPr>
          <w:rFonts w:cs="Arial"/>
          <w:b/>
          <w:bCs/>
          <w:sz w:val="23"/>
          <w:szCs w:val="23"/>
        </w:rPr>
      </w:pPr>
      <w:r w:rsidRPr="00E863C1">
        <w:rPr>
          <w:rFonts w:cs="Arial"/>
          <w:b/>
          <w:bCs/>
          <w:sz w:val="23"/>
          <w:szCs w:val="23"/>
        </w:rPr>
        <w:t>Formazione del personale</w:t>
      </w:r>
    </w:p>
    <w:p w:rsidR="003B2ADE" w:rsidRPr="00CA4F78" w:rsidRDefault="003B2ADE" w:rsidP="003B2ADE">
      <w:pPr>
        <w:rPr>
          <w:rFonts w:cs="Arial"/>
          <w:szCs w:val="24"/>
        </w:rPr>
      </w:pPr>
      <w:r w:rsidRPr="00CA4F78">
        <w:rPr>
          <w:rFonts w:cs="Arial"/>
          <w:szCs w:val="24"/>
        </w:rPr>
        <w:t>La formazione rimane un preciso compito dell’EOC per diversi motivi e in particolare:</w:t>
      </w:r>
    </w:p>
    <w:p w:rsidR="003B2ADE" w:rsidRPr="00CA4F78" w:rsidRDefault="003B2ADE" w:rsidP="00285BB5">
      <w:pPr>
        <w:spacing w:before="80"/>
        <w:ind w:left="284" w:hanging="284"/>
        <w:rPr>
          <w:rFonts w:cs="Arial"/>
          <w:szCs w:val="24"/>
        </w:rPr>
      </w:pPr>
      <w:r w:rsidRPr="00CA4F78">
        <w:rPr>
          <w:rFonts w:cs="Arial"/>
          <w:szCs w:val="24"/>
        </w:rPr>
        <w:t>-</w:t>
      </w:r>
      <w:r w:rsidRPr="00CA4F78">
        <w:rPr>
          <w:rFonts w:cs="Arial"/>
          <w:szCs w:val="24"/>
        </w:rPr>
        <w:tab/>
        <w:t>la completezza dell’offerta dell’EOC in tutte le specialità della medicina con la conseguente necessità di garantire una continua attenzione alla qualità della medicina, alla formazione continua, alla ricerca e all’innovazione;</w:t>
      </w:r>
    </w:p>
    <w:p w:rsidR="003B2ADE" w:rsidRPr="00CA4F78" w:rsidRDefault="003B2ADE" w:rsidP="00285BB5">
      <w:pPr>
        <w:spacing w:before="80"/>
        <w:ind w:left="284" w:hanging="284"/>
        <w:rPr>
          <w:rFonts w:cs="Arial"/>
          <w:szCs w:val="24"/>
        </w:rPr>
      </w:pPr>
      <w:r w:rsidRPr="00CA4F78">
        <w:rPr>
          <w:rFonts w:cs="Arial"/>
          <w:szCs w:val="24"/>
        </w:rPr>
        <w:t>-</w:t>
      </w:r>
      <w:r w:rsidRPr="00CA4F78">
        <w:rPr>
          <w:rFonts w:cs="Arial"/>
          <w:szCs w:val="24"/>
        </w:rPr>
        <w:tab/>
        <w:t>l’obbligo di assicurare la formazione FMH anche nella Svizzera italiana;</w:t>
      </w:r>
    </w:p>
    <w:p w:rsidR="003B2ADE" w:rsidRPr="00CA4F78" w:rsidRDefault="003B2ADE" w:rsidP="00285BB5">
      <w:pPr>
        <w:spacing w:before="80"/>
        <w:ind w:left="284" w:hanging="284"/>
        <w:rPr>
          <w:rFonts w:cs="Arial"/>
          <w:szCs w:val="24"/>
        </w:rPr>
      </w:pPr>
      <w:r w:rsidRPr="00CA4F78">
        <w:rPr>
          <w:rFonts w:cs="Arial"/>
          <w:szCs w:val="24"/>
        </w:rPr>
        <w:t>-</w:t>
      </w:r>
      <w:r w:rsidRPr="00CA4F78">
        <w:rPr>
          <w:rFonts w:cs="Arial"/>
          <w:szCs w:val="24"/>
        </w:rPr>
        <w:tab/>
        <w:t>la formazione clinica nel contesto della MMS, ciò che richiede la presenza di medici specialisti con il titolo di professore universitario;</w:t>
      </w:r>
    </w:p>
    <w:p w:rsidR="003B2ADE" w:rsidRPr="00CA4F78" w:rsidRDefault="003B2ADE" w:rsidP="00285BB5">
      <w:pPr>
        <w:spacing w:before="80"/>
        <w:ind w:left="284" w:hanging="284"/>
        <w:rPr>
          <w:rFonts w:cs="Arial"/>
          <w:szCs w:val="24"/>
        </w:rPr>
      </w:pPr>
      <w:r w:rsidRPr="00CA4F78">
        <w:rPr>
          <w:rFonts w:cs="Arial"/>
          <w:szCs w:val="24"/>
        </w:rPr>
        <w:t>-</w:t>
      </w:r>
      <w:r w:rsidRPr="00CA4F78">
        <w:rPr>
          <w:rFonts w:cs="Arial"/>
          <w:szCs w:val="24"/>
        </w:rPr>
        <w:tab/>
        <w:t>la volontà di mantenere un’alta attrattività degli ospedali pubblici ticinesi per medici specialisti di alto livello. premessa indispensabile per poter offrire una medicina di qualità.</w:t>
      </w:r>
    </w:p>
    <w:p w:rsidR="003B2ADE" w:rsidRPr="00CA4F78" w:rsidRDefault="003B2ADE" w:rsidP="003B2ADE">
      <w:pPr>
        <w:rPr>
          <w:rFonts w:cs="Arial"/>
          <w:szCs w:val="24"/>
        </w:rPr>
      </w:pPr>
    </w:p>
    <w:p w:rsidR="003B2ADE" w:rsidRDefault="003B2ADE" w:rsidP="003B2ADE">
      <w:pPr>
        <w:rPr>
          <w:rFonts w:cs="Arial"/>
          <w:szCs w:val="24"/>
        </w:rPr>
      </w:pPr>
      <w:r w:rsidRPr="00CA4F78">
        <w:rPr>
          <w:rFonts w:cs="Arial"/>
          <w:szCs w:val="24"/>
        </w:rPr>
        <w:t>La commissione, prendendo nota di alcune partenze di primari e medici di cui ha dato conto la stampa, manifesta qualche preoccupazione ed auspica che la dirigenza EOC segua con attenzione le risorse umane in genere ed il corpo medico con molta attenzione</w:t>
      </w:r>
      <w:r>
        <w:rPr>
          <w:rFonts w:cs="Arial"/>
          <w:szCs w:val="24"/>
        </w:rPr>
        <w:t>.</w:t>
      </w:r>
    </w:p>
    <w:p w:rsidR="003B2ADE" w:rsidRDefault="003B2ADE" w:rsidP="003B2ADE">
      <w:pPr>
        <w:rPr>
          <w:rFonts w:cs="Arial"/>
          <w:szCs w:val="24"/>
        </w:rPr>
      </w:pPr>
    </w:p>
    <w:p w:rsidR="003B2ADE" w:rsidRDefault="003B2ADE" w:rsidP="003B2ADE">
      <w:pPr>
        <w:rPr>
          <w:rFonts w:cs="Arial"/>
          <w:szCs w:val="24"/>
        </w:rPr>
      </w:pPr>
      <w:r w:rsidRPr="006D70EB">
        <w:rPr>
          <w:rFonts w:cs="Arial"/>
          <w:szCs w:val="24"/>
        </w:rPr>
        <w:t xml:space="preserve">L’EOC prosegue nella missione di azienda formatrice, destinando gli sforzi sui due assi, quello della formazione di base professionale e quello della formazione continua. </w:t>
      </w:r>
    </w:p>
    <w:p w:rsidR="003B2ADE" w:rsidRDefault="003B2ADE" w:rsidP="003B2ADE">
      <w:pPr>
        <w:rPr>
          <w:rFonts w:cs="Arial"/>
          <w:szCs w:val="24"/>
        </w:rPr>
      </w:pPr>
      <w:r w:rsidRPr="006D70EB">
        <w:rPr>
          <w:rFonts w:cs="Arial"/>
          <w:szCs w:val="24"/>
        </w:rPr>
        <w:t>Vi è poi la compartecipazione nelle strutture e dei ruoli della Medical Master School su cui si tornerà in seguito.</w:t>
      </w:r>
      <w:r w:rsidRPr="00BD4F18">
        <w:rPr>
          <w:rFonts w:cs="Arial"/>
          <w:szCs w:val="24"/>
        </w:rPr>
        <w:t xml:space="preserve"> </w:t>
      </w:r>
    </w:p>
    <w:p w:rsidR="003B2ADE" w:rsidRDefault="003B2ADE" w:rsidP="003B2ADE">
      <w:pPr>
        <w:rPr>
          <w:rFonts w:cs="Arial"/>
          <w:szCs w:val="24"/>
        </w:rPr>
      </w:pPr>
    </w:p>
    <w:p w:rsidR="003B2ADE" w:rsidRPr="006D70EB" w:rsidRDefault="003B2ADE" w:rsidP="003B2ADE">
      <w:pPr>
        <w:rPr>
          <w:rFonts w:cs="Arial"/>
          <w:szCs w:val="24"/>
        </w:rPr>
      </w:pPr>
      <w:r w:rsidRPr="006D70EB">
        <w:rPr>
          <w:rFonts w:cs="Arial"/>
          <w:szCs w:val="24"/>
        </w:rPr>
        <w:t xml:space="preserve">La formazione risponde a un bisogno fondamentale dell’azienda, ovvero quello di disporre di collaboratori competenti e capaci di svolgere correttamente le proprie mansioni e integrare le nuove conoscenze in favore dei pazienti. Grazie poi ad una retribuzione adeguata si persegue l’obiettivo di una occupazione di qualità con possibili percorsi di carriera. </w:t>
      </w:r>
    </w:p>
    <w:p w:rsidR="003B2ADE" w:rsidRPr="006D70EB" w:rsidRDefault="003B2ADE" w:rsidP="003B2ADE">
      <w:pPr>
        <w:rPr>
          <w:rFonts w:cs="Arial"/>
          <w:szCs w:val="24"/>
        </w:rPr>
      </w:pPr>
    </w:p>
    <w:p w:rsidR="003B2ADE" w:rsidRPr="006D70EB" w:rsidRDefault="003B2ADE" w:rsidP="003B2ADE">
      <w:pPr>
        <w:rPr>
          <w:rFonts w:cs="Arial"/>
          <w:szCs w:val="24"/>
        </w:rPr>
      </w:pPr>
      <w:r w:rsidRPr="006D70EB">
        <w:rPr>
          <w:rFonts w:cs="Arial"/>
          <w:szCs w:val="24"/>
        </w:rPr>
        <w:t>Per il bilancio sociale si rilevano i seguenti numeri di ore di formazione effettivo</w:t>
      </w:r>
      <w:r>
        <w:rPr>
          <w:rFonts w:cs="Arial"/>
          <w:szCs w:val="24"/>
        </w:rPr>
        <w:t xml:space="preserve">, e meglio 11'670 settimane di formazione a 920 allievi, </w:t>
      </w:r>
      <w:r w:rsidRPr="00BD4F18">
        <w:rPr>
          <w:rFonts w:cs="Arial"/>
          <w:szCs w:val="24"/>
        </w:rPr>
        <w:t xml:space="preserve">cui si aggiungono 18’976 giornate </w:t>
      </w:r>
      <w:r>
        <w:rPr>
          <w:rFonts w:cs="Arial"/>
          <w:szCs w:val="24"/>
        </w:rPr>
        <w:t xml:space="preserve">(di 8 ore) </w:t>
      </w:r>
      <w:r w:rsidRPr="00BD4F18">
        <w:rPr>
          <w:rFonts w:cs="Arial"/>
          <w:szCs w:val="24"/>
        </w:rPr>
        <w:t>di formazione continua del personale curante (infermieri, assistenti di cura e personale tecnico) e la partecipazione di 73 allievi ai corsi di formazione post-diploma in anestesia, cure intense e cure urgenti.</w:t>
      </w:r>
    </w:p>
    <w:p w:rsidR="003B2ADE" w:rsidRPr="006D70EB" w:rsidRDefault="003B2ADE" w:rsidP="003B2ADE">
      <w:pPr>
        <w:rPr>
          <w:rFonts w:cs="Arial"/>
          <w:szCs w:val="24"/>
        </w:rPr>
      </w:pPr>
    </w:p>
    <w:tbl>
      <w:tblPr>
        <w:tblStyle w:val="Grigliatabella"/>
        <w:tblW w:w="0" w:type="auto"/>
        <w:tblLook w:val="04A0" w:firstRow="1" w:lastRow="0" w:firstColumn="1" w:lastColumn="0" w:noHBand="0" w:noVBand="1"/>
      </w:tblPr>
      <w:tblGrid>
        <w:gridCol w:w="4814"/>
        <w:gridCol w:w="4814"/>
      </w:tblGrid>
      <w:tr w:rsidR="003B2ADE" w:rsidRPr="00E863C1" w:rsidTr="007E04C2">
        <w:tc>
          <w:tcPr>
            <w:tcW w:w="4814" w:type="dxa"/>
          </w:tcPr>
          <w:p w:rsidR="003B2ADE" w:rsidRPr="00E863C1" w:rsidRDefault="003B2ADE" w:rsidP="007E04C2">
            <w:pPr>
              <w:rPr>
                <w:rFonts w:cs="Arial"/>
                <w:sz w:val="22"/>
              </w:rPr>
            </w:pPr>
            <w:r w:rsidRPr="00E863C1">
              <w:rPr>
                <w:rFonts w:cs="Arial"/>
                <w:sz w:val="22"/>
              </w:rPr>
              <w:t>Anno</w:t>
            </w:r>
          </w:p>
        </w:tc>
        <w:tc>
          <w:tcPr>
            <w:tcW w:w="4814" w:type="dxa"/>
          </w:tcPr>
          <w:p w:rsidR="003B2ADE" w:rsidRPr="00E863C1" w:rsidRDefault="003B2ADE" w:rsidP="007E04C2">
            <w:pPr>
              <w:rPr>
                <w:rFonts w:cs="Arial"/>
                <w:sz w:val="22"/>
              </w:rPr>
            </w:pPr>
            <w:r w:rsidRPr="00E863C1">
              <w:rPr>
                <w:rFonts w:cs="Arial"/>
                <w:sz w:val="22"/>
              </w:rPr>
              <w:t xml:space="preserve">Giorni di formazione continua </w:t>
            </w:r>
          </w:p>
          <w:p w:rsidR="003B2ADE" w:rsidRPr="00E863C1" w:rsidRDefault="003B2ADE" w:rsidP="007E04C2">
            <w:pPr>
              <w:rPr>
                <w:rFonts w:cs="Arial"/>
                <w:sz w:val="22"/>
              </w:rPr>
            </w:pPr>
            <w:r w:rsidRPr="00E863C1">
              <w:rPr>
                <w:rFonts w:cs="Arial"/>
                <w:sz w:val="22"/>
              </w:rPr>
              <w:t>(escluso il corpo medico):</w:t>
            </w:r>
          </w:p>
        </w:tc>
      </w:tr>
      <w:tr w:rsidR="003B2ADE" w:rsidRPr="00E863C1" w:rsidTr="007E04C2">
        <w:tc>
          <w:tcPr>
            <w:tcW w:w="4814" w:type="dxa"/>
          </w:tcPr>
          <w:p w:rsidR="003B2ADE" w:rsidRPr="00E863C1" w:rsidRDefault="003B2ADE" w:rsidP="007E04C2">
            <w:pPr>
              <w:rPr>
                <w:rFonts w:cs="Arial"/>
                <w:sz w:val="22"/>
              </w:rPr>
            </w:pPr>
            <w:r w:rsidRPr="00E863C1">
              <w:rPr>
                <w:rFonts w:cs="Arial"/>
                <w:sz w:val="22"/>
              </w:rPr>
              <w:t>2015</w:t>
            </w:r>
          </w:p>
        </w:tc>
        <w:tc>
          <w:tcPr>
            <w:tcW w:w="4814" w:type="dxa"/>
          </w:tcPr>
          <w:p w:rsidR="003B2ADE" w:rsidRPr="00E863C1" w:rsidRDefault="003B2ADE" w:rsidP="007E04C2">
            <w:pPr>
              <w:rPr>
                <w:rFonts w:cs="Arial"/>
                <w:sz w:val="22"/>
              </w:rPr>
            </w:pPr>
            <w:r w:rsidRPr="00E863C1">
              <w:rPr>
                <w:rFonts w:cs="Arial"/>
                <w:sz w:val="22"/>
              </w:rPr>
              <w:t>17’222.01</w:t>
            </w:r>
          </w:p>
        </w:tc>
      </w:tr>
      <w:tr w:rsidR="003B2ADE" w:rsidRPr="00E863C1" w:rsidTr="007E04C2">
        <w:tc>
          <w:tcPr>
            <w:tcW w:w="4814" w:type="dxa"/>
          </w:tcPr>
          <w:p w:rsidR="003B2ADE" w:rsidRPr="00E863C1" w:rsidRDefault="003B2ADE" w:rsidP="007E04C2">
            <w:pPr>
              <w:rPr>
                <w:rFonts w:cs="Arial"/>
                <w:sz w:val="22"/>
              </w:rPr>
            </w:pPr>
            <w:r w:rsidRPr="00E863C1">
              <w:rPr>
                <w:rFonts w:cs="Arial"/>
                <w:sz w:val="22"/>
              </w:rPr>
              <w:t>2016</w:t>
            </w:r>
          </w:p>
        </w:tc>
        <w:tc>
          <w:tcPr>
            <w:tcW w:w="4814" w:type="dxa"/>
          </w:tcPr>
          <w:p w:rsidR="003B2ADE" w:rsidRPr="00E863C1" w:rsidRDefault="003B2ADE" w:rsidP="007E04C2">
            <w:pPr>
              <w:rPr>
                <w:rFonts w:cs="Arial"/>
                <w:sz w:val="22"/>
              </w:rPr>
            </w:pPr>
            <w:r w:rsidRPr="00E863C1">
              <w:rPr>
                <w:rFonts w:cs="Arial"/>
                <w:sz w:val="22"/>
              </w:rPr>
              <w:t>17'883.71</w:t>
            </w:r>
          </w:p>
        </w:tc>
      </w:tr>
      <w:tr w:rsidR="003B2ADE" w:rsidRPr="00E863C1" w:rsidTr="007E04C2">
        <w:tc>
          <w:tcPr>
            <w:tcW w:w="4814" w:type="dxa"/>
          </w:tcPr>
          <w:p w:rsidR="003B2ADE" w:rsidRPr="00E863C1" w:rsidRDefault="003B2ADE" w:rsidP="007E04C2">
            <w:pPr>
              <w:rPr>
                <w:rFonts w:cs="Arial"/>
                <w:sz w:val="22"/>
              </w:rPr>
            </w:pPr>
            <w:r w:rsidRPr="00E863C1">
              <w:rPr>
                <w:rFonts w:cs="Arial"/>
                <w:sz w:val="22"/>
              </w:rPr>
              <w:t>2017</w:t>
            </w:r>
          </w:p>
        </w:tc>
        <w:tc>
          <w:tcPr>
            <w:tcW w:w="4814" w:type="dxa"/>
          </w:tcPr>
          <w:p w:rsidR="003B2ADE" w:rsidRPr="00E863C1" w:rsidRDefault="003B2ADE" w:rsidP="007E04C2">
            <w:pPr>
              <w:rPr>
                <w:rFonts w:cs="Arial"/>
                <w:sz w:val="22"/>
              </w:rPr>
            </w:pPr>
            <w:r w:rsidRPr="00E863C1">
              <w:rPr>
                <w:rFonts w:cs="Arial"/>
                <w:sz w:val="22"/>
              </w:rPr>
              <w:t>19'314.65</w:t>
            </w:r>
          </w:p>
        </w:tc>
      </w:tr>
      <w:tr w:rsidR="003B2ADE" w:rsidRPr="00E863C1" w:rsidTr="007E04C2">
        <w:tc>
          <w:tcPr>
            <w:tcW w:w="4814" w:type="dxa"/>
          </w:tcPr>
          <w:p w:rsidR="003B2ADE" w:rsidRPr="00E863C1" w:rsidRDefault="003B2ADE" w:rsidP="007E04C2">
            <w:pPr>
              <w:rPr>
                <w:rFonts w:cs="Arial"/>
                <w:sz w:val="22"/>
              </w:rPr>
            </w:pPr>
            <w:r w:rsidRPr="00E863C1">
              <w:rPr>
                <w:rFonts w:cs="Arial"/>
                <w:sz w:val="22"/>
              </w:rPr>
              <w:t>2018</w:t>
            </w:r>
          </w:p>
        </w:tc>
        <w:tc>
          <w:tcPr>
            <w:tcW w:w="4814" w:type="dxa"/>
          </w:tcPr>
          <w:p w:rsidR="003B2ADE" w:rsidRPr="00E863C1" w:rsidRDefault="003B2ADE" w:rsidP="007E04C2">
            <w:pPr>
              <w:rPr>
                <w:rFonts w:cs="Arial"/>
                <w:sz w:val="22"/>
              </w:rPr>
            </w:pPr>
            <w:r w:rsidRPr="00E863C1">
              <w:rPr>
                <w:rFonts w:cs="Arial"/>
                <w:sz w:val="22"/>
              </w:rPr>
              <w:t>18'976.36</w:t>
            </w:r>
          </w:p>
        </w:tc>
      </w:tr>
    </w:tbl>
    <w:p w:rsidR="00285BB5" w:rsidRPr="00634A1F" w:rsidRDefault="00285BB5" w:rsidP="003B2ADE">
      <w:pPr>
        <w:rPr>
          <w:rFonts w:cs="Arial"/>
          <w:sz w:val="32"/>
          <w:szCs w:val="32"/>
        </w:rPr>
      </w:pPr>
    </w:p>
    <w:p w:rsidR="003B2ADE" w:rsidRPr="00E863C1" w:rsidRDefault="003B2ADE" w:rsidP="00E863C1">
      <w:pPr>
        <w:spacing w:before="80" w:after="120"/>
        <w:rPr>
          <w:rFonts w:cs="Arial"/>
          <w:b/>
          <w:bCs/>
          <w:sz w:val="23"/>
          <w:szCs w:val="23"/>
        </w:rPr>
      </w:pPr>
      <w:r w:rsidRPr="00E863C1">
        <w:rPr>
          <w:rFonts w:cs="Arial"/>
          <w:b/>
          <w:bCs/>
          <w:sz w:val="23"/>
          <w:szCs w:val="23"/>
        </w:rPr>
        <w:t>Gli apprendisti</w:t>
      </w:r>
    </w:p>
    <w:p w:rsidR="003B2ADE" w:rsidRPr="00E67076" w:rsidRDefault="003B2ADE" w:rsidP="003B2ADE">
      <w:pPr>
        <w:rPr>
          <w:rFonts w:cs="Arial"/>
          <w:szCs w:val="24"/>
        </w:rPr>
      </w:pPr>
      <w:r w:rsidRPr="006D70EB">
        <w:rPr>
          <w:rFonts w:cs="Arial"/>
          <w:szCs w:val="24"/>
        </w:rPr>
        <w:t>Sono 27 gli</w:t>
      </w:r>
      <w:r w:rsidRPr="006D70EB">
        <w:rPr>
          <w:rFonts w:cs="Arial"/>
          <w:b/>
          <w:bCs/>
          <w:szCs w:val="24"/>
        </w:rPr>
        <w:t xml:space="preserve"> apprendisti</w:t>
      </w:r>
      <w:r w:rsidRPr="006D70EB">
        <w:rPr>
          <w:rFonts w:cs="Arial"/>
          <w:szCs w:val="24"/>
        </w:rPr>
        <w:t xml:space="preserve"> dell’EOC che hanno raggiunto nel 2018 il traguardo del certificato di fine formazione. Nella sua decina di sedi ospedaliere e amministrative, l’EOC forma attualmente 81 giovani – di cui 33 nuovi assunti – iscritti in 15 tirocini diversi. Inoltre, le strutture ospedaliere dell’Ente accolgono ogni anno, per stage di varia durata, più di 800 allievi provenienti dalle scuole sanitarie del terziario. </w:t>
      </w:r>
    </w:p>
    <w:p w:rsidR="003B2ADE" w:rsidRPr="00E67076" w:rsidRDefault="003B2ADE" w:rsidP="003B2ADE">
      <w:pPr>
        <w:rPr>
          <w:rFonts w:cs="Arial"/>
          <w:szCs w:val="24"/>
        </w:rPr>
      </w:pPr>
    </w:p>
    <w:p w:rsidR="00634A1F" w:rsidRDefault="00634A1F">
      <w:pPr>
        <w:rPr>
          <w:rFonts w:cs="Arial"/>
          <w:b/>
          <w:bCs/>
          <w:sz w:val="23"/>
          <w:szCs w:val="23"/>
        </w:rPr>
      </w:pPr>
      <w:r>
        <w:rPr>
          <w:rFonts w:cs="Arial"/>
          <w:b/>
          <w:bCs/>
          <w:sz w:val="23"/>
          <w:szCs w:val="23"/>
        </w:rPr>
        <w:br w:type="page"/>
      </w:r>
    </w:p>
    <w:p w:rsidR="003B2ADE" w:rsidRPr="00E863C1" w:rsidRDefault="003B2ADE" w:rsidP="00E863C1">
      <w:pPr>
        <w:spacing w:before="80" w:after="120"/>
        <w:rPr>
          <w:rFonts w:cs="Arial"/>
          <w:b/>
          <w:bCs/>
          <w:sz w:val="23"/>
          <w:szCs w:val="23"/>
        </w:rPr>
      </w:pPr>
      <w:r w:rsidRPr="00E863C1">
        <w:rPr>
          <w:rFonts w:cs="Arial"/>
          <w:b/>
          <w:bCs/>
          <w:sz w:val="23"/>
          <w:szCs w:val="23"/>
        </w:rPr>
        <w:t>Il settore infermieristico</w:t>
      </w:r>
    </w:p>
    <w:p w:rsidR="003B2ADE" w:rsidRPr="00CA4F78" w:rsidRDefault="003B2ADE" w:rsidP="003B2ADE">
      <w:pPr>
        <w:rPr>
          <w:rFonts w:cs="Arial"/>
          <w:szCs w:val="24"/>
        </w:rPr>
      </w:pPr>
      <w:r w:rsidRPr="00CA4F78">
        <w:rPr>
          <w:rFonts w:cs="Arial"/>
          <w:szCs w:val="24"/>
        </w:rPr>
        <w:t>Il settore infermieristico ha elaborato un manuale EOC per la prevenzione e la gestione del delirium, poi testato presso un reparto di chirurgia. Considerata la validità dei risultati ottenuti, il progetto è stato esteso e sarà applicato in tutti i reparti degenti dell’EOC in modo da migliorare la qualità della presa in carico dei pazienti potenzialmente a rischio di questa complessa e a volte misconosciuta patologia.</w:t>
      </w:r>
    </w:p>
    <w:p w:rsidR="003B2ADE" w:rsidRPr="00285BB5" w:rsidRDefault="003B2ADE" w:rsidP="003B2ADE">
      <w:pPr>
        <w:rPr>
          <w:rFonts w:cs="Arial"/>
          <w:sz w:val="16"/>
          <w:szCs w:val="16"/>
        </w:rPr>
      </w:pPr>
    </w:p>
    <w:p w:rsidR="003B2ADE" w:rsidRPr="00CA4F78" w:rsidRDefault="003B2ADE" w:rsidP="003B2ADE">
      <w:pPr>
        <w:rPr>
          <w:rFonts w:cs="Arial"/>
          <w:szCs w:val="24"/>
        </w:rPr>
      </w:pPr>
      <w:r w:rsidRPr="00CA4F78">
        <w:rPr>
          <w:rFonts w:cs="Arial"/>
          <w:szCs w:val="24"/>
        </w:rPr>
        <w:t>Il turnover infermieristico, ovvero il ricambio constatato nella professione, è un fenomeno reale. L’EOC, in un confronto nazionale e internazionale, si colloca in una posizione favorevole con un tasso di turnover inferiore al 6%. L’Area Infermieristica, in collaborazione con l’Area ICT, ha predisposto lo sviluppo di un sistema di sorveglianza in questo ambito.</w:t>
      </w:r>
    </w:p>
    <w:p w:rsidR="003B2ADE" w:rsidRPr="00285BB5" w:rsidRDefault="003B2ADE" w:rsidP="003B2ADE">
      <w:pPr>
        <w:rPr>
          <w:rFonts w:cs="Arial"/>
          <w:sz w:val="16"/>
          <w:szCs w:val="16"/>
        </w:rPr>
      </w:pPr>
    </w:p>
    <w:p w:rsidR="003B2ADE" w:rsidRPr="00CA4F78" w:rsidRDefault="003B2ADE" w:rsidP="003B2ADE">
      <w:pPr>
        <w:rPr>
          <w:rFonts w:cs="Arial"/>
          <w:szCs w:val="24"/>
        </w:rPr>
      </w:pPr>
      <w:r w:rsidRPr="00CA4F78">
        <w:rPr>
          <w:rFonts w:cs="Arial"/>
          <w:szCs w:val="24"/>
        </w:rPr>
        <w:t xml:space="preserve">Il 2018 è anche stato caratterizzato dal varo del </w:t>
      </w:r>
      <w:r w:rsidRPr="00CA4F78">
        <w:rPr>
          <w:rFonts w:cs="Arial"/>
          <w:i/>
          <w:szCs w:val="24"/>
        </w:rPr>
        <w:t xml:space="preserve">Master of Science </w:t>
      </w:r>
      <w:r w:rsidRPr="00CA4F78">
        <w:rPr>
          <w:rFonts w:cs="Arial"/>
          <w:szCs w:val="24"/>
        </w:rPr>
        <w:t>in Cure infermieristiche, offerto dalla SUPSI in sinergia con l’EOC, per arricchire competenze e sviluppare anche aspetti più legati alla sfera personale.</w:t>
      </w:r>
      <w:r>
        <w:rPr>
          <w:rFonts w:cs="Arial"/>
          <w:szCs w:val="24"/>
        </w:rPr>
        <w:t xml:space="preserve"> Si tratterà come indicato in premessa di potenziare l’attrattività e quindi l’accesso alla formazione infermieristica da parte di cittadini residenti.</w:t>
      </w:r>
    </w:p>
    <w:p w:rsidR="003B2ADE" w:rsidRPr="008F42A5" w:rsidRDefault="003B2ADE" w:rsidP="003B2ADE">
      <w:pPr>
        <w:rPr>
          <w:rFonts w:cs="Arial"/>
          <w:i/>
          <w:iCs/>
          <w:szCs w:val="24"/>
        </w:rPr>
      </w:pPr>
    </w:p>
    <w:p w:rsidR="003B2ADE" w:rsidRPr="009E3266" w:rsidRDefault="003B2ADE" w:rsidP="00E863C1">
      <w:pPr>
        <w:pStyle w:val="Titolo3"/>
      </w:pPr>
      <w:r w:rsidRPr="009E3266">
        <w:t>3.2.2</w:t>
      </w:r>
      <w:r w:rsidR="00E863C1">
        <w:tab/>
      </w:r>
      <w:r w:rsidRPr="009E3266">
        <w:t>Ricavi</w:t>
      </w:r>
    </w:p>
    <w:p w:rsidR="003B2ADE" w:rsidRPr="0072428D" w:rsidRDefault="003B2ADE" w:rsidP="003B2ADE">
      <w:pPr>
        <w:jc w:val="left"/>
        <w:rPr>
          <w:rFonts w:cs="Arial"/>
          <w:szCs w:val="24"/>
        </w:rPr>
      </w:pPr>
      <w:r w:rsidRPr="0072428D">
        <w:rPr>
          <w:rFonts w:cs="Arial"/>
          <w:szCs w:val="24"/>
        </w:rPr>
        <w:t>Riprendiamo ancora dal Messaggio:</w:t>
      </w:r>
    </w:p>
    <w:p w:rsidR="003B2ADE" w:rsidRPr="0072428D" w:rsidRDefault="003B2ADE" w:rsidP="003B2ADE">
      <w:pPr>
        <w:spacing w:before="120" w:after="120"/>
        <w:rPr>
          <w:rFonts w:cs="Arial"/>
          <w:i/>
          <w:sz w:val="22"/>
          <w:szCs w:val="24"/>
        </w:rPr>
      </w:pPr>
      <w:r w:rsidRPr="0072428D">
        <w:rPr>
          <w:rFonts w:cs="Arial"/>
          <w:i/>
          <w:sz w:val="22"/>
          <w:szCs w:val="24"/>
        </w:rPr>
        <w:t>I ricavi d’esercizio crescono dell’1.2% a fr. 719 Mio (+ fr. 9 Mio) e si compongono per il 93.2% da ricavi per forniture e prestazioni. Circa due terzi del fatturato provengono dall’ambito stazionario, mentre un terzo proviene dall’ambito ambulatoriale. Nel 2018 crescono i ricavi da pazienti degenti per fr. 8 Mio, grazie al forte incremento dell’attività riabilitativa, al maggior volume di prestazioni riconosciuto dal Cantone, a tariffe in crescita e alla gravità media dei pazienti acuti in rialzo (benché diminuiscano di numero). Si riducono per contro i ricavi da pazienti ambulatoriali (- fr. 3 Mio): nonostante una crescita dei casi curati del 6.2%, la revisione della struttura tariffale TarMed ha limitato l’aumento delle prestazioni fatturate.</w:t>
      </w:r>
    </w:p>
    <w:p w:rsidR="003B2ADE" w:rsidRDefault="003B2ADE" w:rsidP="003B2ADE">
      <w:pPr>
        <w:jc w:val="left"/>
        <w:rPr>
          <w:rFonts w:cs="Arial"/>
          <w:szCs w:val="24"/>
        </w:rPr>
      </w:pPr>
    </w:p>
    <w:p w:rsidR="00E863C1" w:rsidRPr="0072428D" w:rsidRDefault="00E863C1" w:rsidP="003B2ADE">
      <w:pPr>
        <w:jc w:val="left"/>
        <w:rPr>
          <w:rFonts w:cs="Arial"/>
          <w:szCs w:val="24"/>
        </w:rPr>
      </w:pPr>
    </w:p>
    <w:p w:rsidR="003B2ADE" w:rsidRPr="00110FB0" w:rsidRDefault="00E863C1" w:rsidP="00E863C1">
      <w:pPr>
        <w:pStyle w:val="Titolo2"/>
      </w:pPr>
      <w:r>
        <w:t>3.3</w:t>
      </w:r>
      <w:r>
        <w:tab/>
      </w:r>
      <w:r w:rsidR="003B2ADE" w:rsidRPr="00110FB0">
        <w:t>Situazione patrimoniale</w:t>
      </w:r>
      <w:r w:rsidR="003B2ADE">
        <w:t xml:space="preserve"> 2018</w:t>
      </w:r>
    </w:p>
    <w:p w:rsidR="003B2ADE" w:rsidRDefault="003B2ADE" w:rsidP="003B2ADE">
      <w:pPr>
        <w:spacing w:after="120"/>
        <w:rPr>
          <w:rFonts w:cs="Arial"/>
          <w:szCs w:val="24"/>
        </w:rPr>
      </w:pPr>
      <w:r>
        <w:rPr>
          <w:rFonts w:cs="Arial"/>
          <w:noProof/>
          <w:szCs w:val="24"/>
          <w:lang w:eastAsia="it-CH"/>
        </w:rPr>
        <w:drawing>
          <wp:inline distT="0" distB="0" distL="0" distR="0" wp14:anchorId="23B0BE3A" wp14:editId="4E7E8F8F">
            <wp:extent cx="5840730" cy="1896110"/>
            <wp:effectExtent l="0" t="0" r="0" b="889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730" cy="1896110"/>
                    </a:xfrm>
                    <a:prstGeom prst="rect">
                      <a:avLst/>
                    </a:prstGeom>
                    <a:noFill/>
                  </pic:spPr>
                </pic:pic>
              </a:graphicData>
            </a:graphic>
          </wp:inline>
        </w:drawing>
      </w:r>
    </w:p>
    <w:p w:rsidR="003B2ADE" w:rsidRDefault="003B2ADE" w:rsidP="003B2ADE">
      <w:pPr>
        <w:spacing w:after="120"/>
        <w:rPr>
          <w:rFonts w:cs="Arial"/>
          <w:szCs w:val="24"/>
        </w:rPr>
      </w:pPr>
    </w:p>
    <w:p w:rsidR="00285BB5" w:rsidRDefault="00285BB5" w:rsidP="003B2ADE">
      <w:pPr>
        <w:spacing w:after="120"/>
        <w:rPr>
          <w:rFonts w:cs="Arial"/>
          <w:szCs w:val="24"/>
        </w:rPr>
      </w:pPr>
    </w:p>
    <w:p w:rsidR="003B2ADE" w:rsidRPr="004D484B" w:rsidRDefault="003B2ADE" w:rsidP="003B2ADE">
      <w:pPr>
        <w:spacing w:after="120"/>
        <w:rPr>
          <w:rFonts w:cs="Arial"/>
          <w:szCs w:val="24"/>
        </w:rPr>
      </w:pPr>
      <w:r w:rsidRPr="004D484B">
        <w:rPr>
          <w:rFonts w:cs="Arial"/>
          <w:szCs w:val="24"/>
        </w:rPr>
        <w:t>Riprendiamo dal messaggio.</w:t>
      </w:r>
    </w:p>
    <w:p w:rsidR="003B2ADE" w:rsidRPr="002352A5" w:rsidRDefault="003B2ADE" w:rsidP="003B2ADE">
      <w:pPr>
        <w:spacing w:after="120"/>
        <w:rPr>
          <w:rFonts w:eastAsia="Times New Roman" w:cs="Arial"/>
          <w:b/>
          <w:i/>
          <w:sz w:val="22"/>
          <w:lang w:val="it-IT" w:eastAsia="it-IT"/>
        </w:rPr>
      </w:pPr>
      <w:r w:rsidRPr="002352A5">
        <w:rPr>
          <w:rFonts w:eastAsia="Times New Roman" w:cs="Arial"/>
          <w:i/>
          <w:sz w:val="22"/>
          <w:lang w:val="it-IT" w:eastAsia="it-IT"/>
        </w:rPr>
        <w:t xml:space="preserve">La somma di bilancio dell’EOC ammonta a fine 2018 a </w:t>
      </w:r>
      <w:r w:rsidRPr="002352A5">
        <w:rPr>
          <w:rFonts w:eastAsia="Times New Roman" w:cs="Arial"/>
          <w:b/>
          <w:i/>
          <w:sz w:val="22"/>
          <w:lang w:val="it-IT" w:eastAsia="it-IT"/>
        </w:rPr>
        <w:t>fr. 529 Mio</w:t>
      </w:r>
      <w:r w:rsidRPr="002352A5">
        <w:rPr>
          <w:rFonts w:eastAsia="Times New Roman" w:cs="Arial"/>
          <w:i/>
          <w:sz w:val="22"/>
          <w:lang w:val="it-IT" w:eastAsia="it-IT"/>
        </w:rPr>
        <w:t xml:space="preserve"> (2017: 507 Mio).</w:t>
      </w:r>
    </w:p>
    <w:p w:rsidR="003B2ADE" w:rsidRDefault="003B2ADE" w:rsidP="003B2ADE">
      <w:pPr>
        <w:spacing w:after="120"/>
        <w:rPr>
          <w:rFonts w:eastAsia="Times New Roman" w:cs="Arial"/>
          <w:i/>
          <w:sz w:val="22"/>
          <w:lang w:val="it-IT" w:eastAsia="it-IT"/>
        </w:rPr>
      </w:pPr>
      <w:r w:rsidRPr="002352A5">
        <w:rPr>
          <w:rFonts w:eastAsia="Times New Roman" w:cs="Arial"/>
          <w:i/>
          <w:sz w:val="22"/>
          <w:lang w:val="it-IT" w:eastAsia="it-IT"/>
        </w:rPr>
        <w:t xml:space="preserve">L’attivo circolante è sostanzialmente stabile attorno a </w:t>
      </w:r>
      <w:r w:rsidRPr="002352A5">
        <w:rPr>
          <w:rFonts w:eastAsia="Times New Roman" w:cs="Arial"/>
          <w:b/>
          <w:i/>
          <w:sz w:val="22"/>
          <w:lang w:val="it-IT" w:eastAsia="it-IT"/>
        </w:rPr>
        <w:t>fr. 150 Mio</w:t>
      </w:r>
      <w:r w:rsidRPr="002352A5">
        <w:rPr>
          <w:rFonts w:eastAsia="Times New Roman" w:cs="Arial"/>
          <w:i/>
          <w:sz w:val="22"/>
          <w:lang w:val="it-IT" w:eastAsia="it-IT"/>
        </w:rPr>
        <w:t xml:space="preserve">. L’attivo fisso cresce nel 2018 di fr. 19 Mio a </w:t>
      </w:r>
      <w:r w:rsidRPr="002352A5">
        <w:rPr>
          <w:rFonts w:eastAsia="Times New Roman" w:cs="Arial"/>
          <w:b/>
          <w:i/>
          <w:sz w:val="22"/>
          <w:lang w:val="it-IT" w:eastAsia="it-IT"/>
        </w:rPr>
        <w:t>fr. 378 Mio</w:t>
      </w:r>
      <w:r w:rsidRPr="002352A5">
        <w:rPr>
          <w:rFonts w:eastAsia="Times New Roman" w:cs="Arial"/>
          <w:i/>
          <w:sz w:val="22"/>
          <w:lang w:val="it-IT" w:eastAsia="it-IT"/>
        </w:rPr>
        <w:t xml:space="preserve">. Si compone al 99% da immobilizzi materiali, in particolare terreni e costruzioni (fr. 246 Mio) nonché macchinari e attrezzature mediche (fr. 39 Mio). Nel 2018 gli investimenti in immobilizzazioni materiali sono ammontati a </w:t>
      </w:r>
      <w:r w:rsidRPr="002352A5">
        <w:rPr>
          <w:rFonts w:eastAsia="Times New Roman" w:cs="Arial"/>
          <w:b/>
          <w:i/>
          <w:sz w:val="22"/>
          <w:lang w:val="it-IT" w:eastAsia="it-IT"/>
        </w:rPr>
        <w:t>fr. 57 Mio</w:t>
      </w:r>
      <w:r w:rsidRPr="002352A5">
        <w:rPr>
          <w:rFonts w:eastAsia="Times New Roman" w:cs="Arial"/>
          <w:i/>
          <w:sz w:val="22"/>
          <w:lang w:val="it-IT" w:eastAsia="it-IT"/>
        </w:rPr>
        <w:t xml:space="preserve"> (2017: fr. 50 Mio), di cui fr. 40 Mio in immobili e fr. 17 Mio in macchinari, attrezzature mediche e altri immobilizzi materiali. </w:t>
      </w:r>
    </w:p>
    <w:p w:rsidR="003B2ADE" w:rsidRPr="002352A5" w:rsidRDefault="003B2ADE" w:rsidP="003B2ADE">
      <w:pPr>
        <w:spacing w:after="120"/>
        <w:rPr>
          <w:rFonts w:eastAsia="Times New Roman" w:cs="Arial"/>
          <w:i/>
          <w:sz w:val="22"/>
          <w:lang w:val="it-IT" w:eastAsia="it-IT"/>
        </w:rPr>
      </w:pPr>
      <w:r w:rsidRPr="002352A5">
        <w:rPr>
          <w:rFonts w:eastAsia="Times New Roman" w:cs="Arial"/>
          <w:i/>
          <w:sz w:val="22"/>
          <w:lang w:val="it-IT" w:eastAsia="it-IT"/>
        </w:rPr>
        <w:t xml:space="preserve">Gli investimenti in corso d’opera sono valutati a fr. 40 Mio. Gli ammortamenti complessivi sono pari a </w:t>
      </w:r>
      <w:r w:rsidRPr="002352A5">
        <w:rPr>
          <w:rFonts w:eastAsia="Times New Roman" w:cs="Arial"/>
          <w:b/>
          <w:i/>
          <w:sz w:val="22"/>
          <w:lang w:val="it-IT" w:eastAsia="it-IT"/>
        </w:rPr>
        <w:t>fr. 32 Mio</w:t>
      </w:r>
      <w:r w:rsidRPr="002352A5">
        <w:rPr>
          <w:rFonts w:eastAsia="Times New Roman" w:cs="Arial"/>
          <w:i/>
          <w:sz w:val="22"/>
          <w:lang w:val="it-IT" w:eastAsia="it-IT"/>
        </w:rPr>
        <w:t>, di cui fr. 12 Mio a carico del Fondo ammortamento e quindi correttamente senza incidenza sul risultato d’esercizio. Questo Fondo è stato creato a fronte della rivalutazione degli immobilizzi avvenuta a fine 2011. Vi si attinge al fine di evitare un nuovo ammortamento a carico della gestione corrente sulla parte di sostanza fissa rivalutata e già ammortizzata in passato.</w:t>
      </w:r>
    </w:p>
    <w:p w:rsidR="003B2ADE" w:rsidRDefault="003B2ADE" w:rsidP="003B2ADE">
      <w:pPr>
        <w:spacing w:after="120"/>
        <w:rPr>
          <w:rFonts w:eastAsia="Times New Roman" w:cs="Arial"/>
          <w:i/>
          <w:sz w:val="22"/>
          <w:lang w:val="it-IT" w:eastAsia="it-IT"/>
        </w:rPr>
      </w:pPr>
      <w:r w:rsidRPr="002352A5">
        <w:rPr>
          <w:rFonts w:eastAsia="Times New Roman" w:cs="Arial"/>
          <w:i/>
          <w:sz w:val="22"/>
          <w:lang w:val="it-IT" w:eastAsia="it-IT"/>
        </w:rPr>
        <w:t xml:space="preserve">Il passivo di bilancio riconferma la solidità dell’EOC. Malgrado un capitale di dotazione molto basso di </w:t>
      </w:r>
      <w:r>
        <w:rPr>
          <w:rFonts w:eastAsia="Times New Roman" w:cs="Arial"/>
          <w:i/>
          <w:sz w:val="22"/>
          <w:lang w:val="it-IT" w:eastAsia="it-IT"/>
        </w:rPr>
        <w:t xml:space="preserve">ca </w:t>
      </w:r>
      <w:r w:rsidRPr="002352A5">
        <w:rPr>
          <w:rFonts w:eastAsia="Times New Roman" w:cs="Arial"/>
          <w:b/>
          <w:i/>
          <w:sz w:val="22"/>
          <w:lang w:val="it-IT" w:eastAsia="it-IT"/>
        </w:rPr>
        <w:t>fr. 37 Mio</w:t>
      </w:r>
      <w:r w:rsidRPr="002352A5">
        <w:rPr>
          <w:rFonts w:eastAsia="Times New Roman" w:cs="Arial"/>
          <w:i/>
          <w:sz w:val="22"/>
          <w:lang w:val="it-IT" w:eastAsia="it-IT"/>
        </w:rPr>
        <w:t xml:space="preserve">, la quota di capitale proprio (quindi inclusiva anche dei risultati d’esercizio riportati e dei diversi fondi) è buona e corrisponde al 42.1%, in lieve diminuzione rispetto all’anno precedente (44.7%). Questo è dovuto all’aumento dei prestiti a breve termine passati da </w:t>
      </w:r>
      <w:r w:rsidRPr="002352A5">
        <w:rPr>
          <w:rFonts w:eastAsia="Times New Roman" w:cs="Arial"/>
          <w:b/>
          <w:i/>
          <w:sz w:val="22"/>
          <w:lang w:val="it-IT" w:eastAsia="it-IT"/>
        </w:rPr>
        <w:t>fr. 115 Mio</w:t>
      </w:r>
      <w:r w:rsidRPr="002352A5">
        <w:rPr>
          <w:rFonts w:eastAsia="Times New Roman" w:cs="Arial"/>
          <w:i/>
          <w:sz w:val="22"/>
          <w:lang w:val="it-IT" w:eastAsia="it-IT"/>
        </w:rPr>
        <w:t xml:space="preserve"> a </w:t>
      </w:r>
      <w:r w:rsidRPr="002352A5">
        <w:rPr>
          <w:rFonts w:eastAsia="Times New Roman" w:cs="Arial"/>
          <w:b/>
          <w:i/>
          <w:sz w:val="22"/>
          <w:lang w:val="it-IT" w:eastAsia="it-IT"/>
        </w:rPr>
        <w:t>fr. 185 Mio</w:t>
      </w:r>
      <w:r w:rsidRPr="002352A5">
        <w:rPr>
          <w:rFonts w:eastAsia="Times New Roman" w:cs="Arial"/>
          <w:i/>
          <w:sz w:val="22"/>
          <w:lang w:val="it-IT" w:eastAsia="it-IT"/>
        </w:rPr>
        <w:t xml:space="preserve"> (di cui 20 Mio dati dalla scadenza nel 2019 di due prestiti a lungo termine), da correlarsi agli importanti investimenti effettuati.</w:t>
      </w:r>
    </w:p>
    <w:p w:rsidR="003B2ADE" w:rsidRDefault="003B2ADE" w:rsidP="00E863C1">
      <w:pPr>
        <w:rPr>
          <w:lang w:val="it-IT" w:eastAsia="it-IT"/>
        </w:rPr>
      </w:pPr>
    </w:p>
    <w:p w:rsidR="00E863C1" w:rsidRDefault="00E863C1" w:rsidP="00E863C1">
      <w:pPr>
        <w:rPr>
          <w:lang w:val="it-IT" w:eastAsia="it-IT"/>
        </w:rPr>
      </w:pPr>
    </w:p>
    <w:p w:rsidR="00E863C1" w:rsidRDefault="00E863C1" w:rsidP="00E863C1">
      <w:pPr>
        <w:rPr>
          <w:lang w:val="it-IT" w:eastAsia="it-IT"/>
        </w:rPr>
      </w:pPr>
    </w:p>
    <w:p w:rsidR="003B2ADE" w:rsidRDefault="003B2ADE" w:rsidP="003B2ADE">
      <w:pPr>
        <w:spacing w:after="120"/>
        <w:jc w:val="center"/>
        <w:rPr>
          <w:rFonts w:eastAsia="Times New Roman" w:cs="Arial"/>
          <w:i/>
          <w:sz w:val="28"/>
          <w:szCs w:val="28"/>
          <w:lang w:val="it-IT" w:eastAsia="it-IT"/>
        </w:rPr>
      </w:pPr>
      <w:r w:rsidRPr="00E863C1">
        <w:rPr>
          <w:rFonts w:eastAsia="Times New Roman" w:cs="Arial"/>
          <w:i/>
          <w:sz w:val="28"/>
          <w:szCs w:val="28"/>
          <w:lang w:val="it-IT" w:eastAsia="it-IT"/>
        </w:rPr>
        <w:t>************</w:t>
      </w:r>
    </w:p>
    <w:p w:rsidR="00634A1F" w:rsidRPr="00E863C1" w:rsidRDefault="00634A1F" w:rsidP="00634A1F">
      <w:pPr>
        <w:spacing w:after="120"/>
        <w:rPr>
          <w:rFonts w:eastAsia="Times New Roman" w:cs="Arial"/>
          <w:i/>
          <w:sz w:val="28"/>
          <w:szCs w:val="28"/>
          <w:lang w:val="it-IT" w:eastAsia="it-IT"/>
        </w:rPr>
      </w:pPr>
    </w:p>
    <w:p w:rsidR="00E863C1" w:rsidRDefault="00E863C1">
      <w:pPr>
        <w:rPr>
          <w:b/>
          <w:caps/>
          <w:szCs w:val="24"/>
          <w:lang w:val="it-IT" w:eastAsia="it-IT"/>
        </w:rPr>
      </w:pPr>
      <w:r>
        <w:br w:type="page"/>
      </w:r>
    </w:p>
    <w:p w:rsidR="003B2ADE" w:rsidRDefault="003B2ADE" w:rsidP="003B2ADE">
      <w:pPr>
        <w:pStyle w:val="Titolo1"/>
        <w:ind w:left="0" w:firstLine="0"/>
      </w:pPr>
      <w:r w:rsidRPr="00C718E2">
        <w:t>CONTRIBUTI DELLO sTATO ALL’eoc 2018</w:t>
      </w:r>
    </w:p>
    <w:p w:rsidR="00E863C1" w:rsidRDefault="003B2ADE" w:rsidP="00E863C1">
      <w:r w:rsidRPr="00E863C1">
        <w:t>I contributi definitivi calcolati per l’anno 2018 sono così riassunti (importi in fr.):</w:t>
      </w:r>
    </w:p>
    <w:p w:rsidR="00E863C1" w:rsidRDefault="00E863C1" w:rsidP="00E863C1"/>
    <w:p w:rsidR="003B2ADE" w:rsidRDefault="003B2ADE" w:rsidP="00644102">
      <w:pPr>
        <w:pStyle w:val="Titolo2"/>
      </w:pPr>
      <w:r>
        <w:rPr>
          <w:noProof/>
          <w:lang w:val="it-CH" w:eastAsia="it-CH"/>
        </w:rPr>
        <w:drawing>
          <wp:inline distT="0" distB="0" distL="0" distR="0" wp14:anchorId="68564EA4" wp14:editId="5213E6C8">
            <wp:extent cx="6120765" cy="738886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7388860"/>
                    </a:xfrm>
                    <a:prstGeom prst="rect">
                      <a:avLst/>
                    </a:prstGeom>
                    <a:noFill/>
                  </pic:spPr>
                </pic:pic>
              </a:graphicData>
            </a:graphic>
          </wp:inline>
        </w:drawing>
      </w:r>
    </w:p>
    <w:p w:rsidR="003B2ADE" w:rsidRDefault="003B2ADE" w:rsidP="00285BB5"/>
    <w:p w:rsidR="003B2ADE" w:rsidRDefault="003B2ADE" w:rsidP="003B2ADE">
      <w:pPr>
        <w:rPr>
          <w:rFonts w:eastAsia="Times New Roman" w:cs="Arial"/>
          <w:szCs w:val="24"/>
          <w:lang w:val="it-IT" w:eastAsia="it-IT"/>
        </w:rPr>
      </w:pPr>
      <w:r w:rsidRPr="00AC3227">
        <w:rPr>
          <w:rFonts w:eastAsia="Times New Roman" w:cs="Arial"/>
          <w:szCs w:val="24"/>
          <w:lang w:val="it-IT" w:eastAsia="it-IT"/>
        </w:rPr>
        <w:t xml:space="preserve">Il totale dei contributi cresce di ben </w:t>
      </w:r>
      <w:r w:rsidRPr="00AC3227">
        <w:rPr>
          <w:rFonts w:eastAsia="Times New Roman" w:cs="Arial"/>
          <w:b/>
          <w:bCs/>
          <w:szCs w:val="24"/>
          <w:lang w:val="it-IT" w:eastAsia="it-IT"/>
        </w:rPr>
        <w:t>fr. 9.3 Mio</w:t>
      </w:r>
      <w:r w:rsidRPr="00AC3227">
        <w:rPr>
          <w:rFonts w:eastAsia="Times New Roman" w:cs="Arial"/>
          <w:szCs w:val="24"/>
          <w:lang w:val="it-IT" w:eastAsia="it-IT"/>
        </w:rPr>
        <w:t xml:space="preserve"> rispetto al 2017 (fr. 191.8 Mio), soprattutto in ragione del maggiore volume d’attività riconosciuto dal Cantone su tutta l’attività di degenza. Il rialzo tariffale in ambito somatico-acuto e riabilitativo vi contribuisce nella misura di </w:t>
      </w:r>
      <w:r w:rsidR="00634A1F">
        <w:rPr>
          <w:rFonts w:eastAsia="Times New Roman" w:cs="Arial"/>
          <w:szCs w:val="24"/>
          <w:lang w:val="it-IT" w:eastAsia="it-IT"/>
        </w:rPr>
        <w:br/>
      </w:r>
      <w:r w:rsidRPr="00AC3227">
        <w:rPr>
          <w:rFonts w:eastAsia="Times New Roman" w:cs="Arial"/>
          <w:szCs w:val="24"/>
          <w:lang w:val="it-IT" w:eastAsia="it-IT"/>
        </w:rPr>
        <w:t>fr. 1.5 Mio.</w:t>
      </w:r>
      <w:r>
        <w:rPr>
          <w:rFonts w:eastAsia="Times New Roman" w:cs="Arial"/>
          <w:szCs w:val="24"/>
          <w:lang w:val="it-IT" w:eastAsia="it-IT"/>
        </w:rPr>
        <w:t xml:space="preserve"> In allegato al presente rapporto vi è la tabella riassuntiva del Contratto di prestazione e remunerazione delle prestazioni economicamente di interesse generale.</w:t>
      </w:r>
    </w:p>
    <w:p w:rsidR="00E863C1" w:rsidRDefault="00E863C1" w:rsidP="00E863C1">
      <w:pPr>
        <w:rPr>
          <w:lang w:val="it-IT" w:eastAsia="it-IT"/>
        </w:rPr>
      </w:pPr>
    </w:p>
    <w:p w:rsidR="00E863C1" w:rsidRPr="00382A65" w:rsidRDefault="00E863C1" w:rsidP="00E863C1">
      <w:pPr>
        <w:rPr>
          <w:lang w:val="it-IT" w:eastAsia="it-IT"/>
        </w:rPr>
      </w:pPr>
    </w:p>
    <w:p w:rsidR="003B2ADE" w:rsidRPr="00D001FA" w:rsidRDefault="00285BB5" w:rsidP="003B2ADE">
      <w:pPr>
        <w:rPr>
          <w:b/>
          <w:bCs/>
          <w:szCs w:val="24"/>
          <w:lang w:val="it-IT" w:eastAsia="it-IT"/>
        </w:rPr>
      </w:pPr>
      <w:r>
        <w:rPr>
          <w:b/>
          <w:bCs/>
          <w:szCs w:val="24"/>
          <w:lang w:val="it-IT" w:eastAsia="it-IT"/>
        </w:rPr>
        <w:t>4.1</w:t>
      </w:r>
      <w:r w:rsidR="003B2ADE">
        <w:rPr>
          <w:b/>
          <w:bCs/>
          <w:szCs w:val="24"/>
          <w:lang w:val="it-IT" w:eastAsia="it-IT"/>
        </w:rPr>
        <w:tab/>
      </w:r>
      <w:r w:rsidR="003B2ADE" w:rsidRPr="00D001FA">
        <w:rPr>
          <w:b/>
          <w:bCs/>
        </w:rPr>
        <w:t>Commenti</w:t>
      </w:r>
      <w:r w:rsidR="003B2ADE" w:rsidRPr="00D001FA">
        <w:rPr>
          <w:b/>
          <w:bCs/>
          <w:highlight w:val="yellow"/>
        </w:rPr>
        <w:t xml:space="preserve"> </w:t>
      </w:r>
    </w:p>
    <w:p w:rsidR="003B2ADE" w:rsidRPr="004E347F" w:rsidRDefault="003B2ADE" w:rsidP="003B2ADE">
      <w:pPr>
        <w:pStyle w:val="Titolo3"/>
        <w:ind w:left="709" w:hanging="709"/>
      </w:pPr>
      <w:r>
        <w:t>4.1.1</w:t>
      </w:r>
      <w:r>
        <w:tab/>
      </w:r>
      <w:r w:rsidRPr="006B39DA">
        <w:t>Contributo per il finanziamento delle prestazioni di cura stazionarie per i pazienti domiciliati in Ticino a carico della LAMal, oneri d’investimento compresi</w:t>
      </w:r>
    </w:p>
    <w:p w:rsidR="003B2ADE" w:rsidRPr="002E3560" w:rsidRDefault="003B2ADE" w:rsidP="003B2ADE">
      <w:pPr>
        <w:rPr>
          <w:lang w:val="it-IT" w:eastAsia="it-IT"/>
        </w:rPr>
      </w:pPr>
      <w:r w:rsidRPr="002E3560">
        <w:rPr>
          <w:lang w:val="it-IT" w:eastAsia="it-IT"/>
        </w:rPr>
        <w:t xml:space="preserve">L’EOC dispensa prestazioni di cura </w:t>
      </w:r>
      <w:r w:rsidRPr="002E3560">
        <w:rPr>
          <w:b/>
          <w:bCs/>
          <w:lang w:val="it-IT" w:eastAsia="it-IT"/>
        </w:rPr>
        <w:t>stazionarie</w:t>
      </w:r>
      <w:r w:rsidRPr="002E3560">
        <w:rPr>
          <w:lang w:val="it-IT" w:eastAsia="it-IT"/>
        </w:rPr>
        <w:t xml:space="preserve"> nel settore somatico-acuto, in quello riabilitativo e, dal 1° gennaio 2018, anche nei nuovi reparti acuti a minore intensità (RAMI) introdotti con la nuova pianificazione ospedaliera del 15 dicembre 2015. Nella sede di Acquarossa, dal 1° gennaio 2018, è infatti in funzione un reparto di 30 letti acuti di minore intensità (RAMI) predisposto per accogliere pazienti dopo una degenza acuta, ma che non sono ancora pronti a rientrare al proprio domicilio e pazienti provenienti direttamente dal domicilio che necessitano di cure mediche e di esami diagnostici a bassa intensità. Ulteriori 15 letti sono entrati in funzione il 1° gennaio 2019 nella sede di Locarno. L’offerta RAMI va a sostituire l’antecedente dotazione di letti in ambito somatico-acuto dedicati a cure simili erogate all’interno del mandato di medicina di base</w:t>
      </w:r>
      <w:r>
        <w:rPr>
          <w:lang w:val="it-IT" w:eastAsia="it-IT"/>
        </w:rPr>
        <w:t xml:space="preserve"> secondo la Pianificazione ospedaliera cantonale approvata dal Gran Consiglio nel 2005</w:t>
      </w:r>
      <w:r w:rsidRPr="002E3560">
        <w:rPr>
          <w:lang w:val="it-IT" w:eastAsia="it-IT"/>
        </w:rPr>
        <w:t>.</w:t>
      </w:r>
    </w:p>
    <w:p w:rsidR="003B2ADE" w:rsidRPr="002E3560" w:rsidRDefault="003B2ADE" w:rsidP="003B2ADE">
      <w:pPr>
        <w:rPr>
          <w:lang w:val="it-IT" w:eastAsia="it-IT"/>
        </w:rPr>
      </w:pPr>
    </w:p>
    <w:p w:rsidR="003B2ADE" w:rsidRPr="002E3560" w:rsidRDefault="003B2ADE" w:rsidP="00E863C1">
      <w:pPr>
        <w:spacing w:after="80"/>
        <w:rPr>
          <w:b/>
          <w:i/>
          <w:lang w:val="it-IT" w:eastAsia="it-IT"/>
        </w:rPr>
      </w:pPr>
      <w:r w:rsidRPr="002E3560">
        <w:rPr>
          <w:b/>
          <w:i/>
          <w:lang w:val="it-IT" w:eastAsia="it-IT"/>
        </w:rPr>
        <w:t>Ambito somatico-acuto e riabilitativo</w:t>
      </w:r>
    </w:p>
    <w:p w:rsidR="003B2ADE" w:rsidRPr="002E3560" w:rsidRDefault="003B2ADE" w:rsidP="003B2ADE">
      <w:pPr>
        <w:rPr>
          <w:lang w:val="it-IT" w:eastAsia="it-IT"/>
        </w:rPr>
      </w:pPr>
      <w:r w:rsidRPr="002E3560">
        <w:rPr>
          <w:lang w:val="it-IT" w:eastAsia="it-IT"/>
        </w:rPr>
        <w:t>Il calcolo del contributo per tali prestazioni considera la tariffa negoziata tra assicuratori e ospedale (al 55%) e il volume di attività concordato da quest’ultimo con il Cantone.</w:t>
      </w:r>
    </w:p>
    <w:p w:rsidR="003B2ADE" w:rsidRPr="002E3560" w:rsidRDefault="003B2ADE" w:rsidP="003B2ADE">
      <w:pPr>
        <w:rPr>
          <w:lang w:val="it-IT" w:eastAsia="it-IT"/>
        </w:rPr>
      </w:pPr>
      <w:r w:rsidRPr="002E3560">
        <w:rPr>
          <w:lang w:val="it-IT" w:eastAsia="it-IT"/>
        </w:rPr>
        <w:t>Le tariffe sono definite per punto di fatturazione DRG</w:t>
      </w:r>
      <w:r w:rsidRPr="002E3560">
        <w:rPr>
          <w:vertAlign w:val="superscript"/>
          <w:lang w:val="it-IT" w:eastAsia="it-IT"/>
        </w:rPr>
        <w:footnoteReference w:id="1"/>
      </w:r>
      <w:r w:rsidRPr="002E3560">
        <w:rPr>
          <w:lang w:val="it-IT" w:eastAsia="it-IT"/>
        </w:rPr>
        <w:t xml:space="preserve"> nel settore somatico-acuto e per giornata di cura in ambito riabilitativo. Le tariffe EOC per il 2018, negoziate con gli assicuratori e approvate dal Consiglio di Stato, sono definitive e crescono lievemente in ambito somatico-acuto rispetto al 2017 (+0.6%), maggiormente nella riabilitazione (+5.1%).</w:t>
      </w:r>
    </w:p>
    <w:p w:rsidR="003B2ADE" w:rsidRPr="002E3560" w:rsidRDefault="003B2ADE" w:rsidP="003B2ADE">
      <w:pPr>
        <w:rPr>
          <w:lang w:val="it-IT" w:eastAsia="it-IT"/>
        </w:rPr>
      </w:pPr>
      <w:r w:rsidRPr="002E3560">
        <w:rPr>
          <w:lang w:val="it-IT" w:eastAsia="it-IT"/>
        </w:rPr>
        <w:t xml:space="preserve">I volumi d’attività 2018, negoziati e definiti nel contratto annuale di prestazione, si situano a 34'900 punti in ambito somatico-acuto (+2.3% rispetto al 2017). La previsione si fonda sulla proiezione dell’evoluzione storica 2005 – 2016 e tiene conto del trasferimento dei letti da acuti a RAMI. Dal 2012, l’aumento medio annuo è del 2.6%, crescendo i pazienti e la gravità media per caso. In ambito riabilitativo, l’attività negoziata è pari a 35'120 giornate (+1.8% rispetto al 2017). L’ampliamento dell’offerta riabilitativa su Faido e Novaggio, come da pianificazione, è </w:t>
      </w:r>
      <w:r>
        <w:rPr>
          <w:lang w:val="it-IT" w:eastAsia="it-IT"/>
        </w:rPr>
        <w:t>entrata</w:t>
      </w:r>
      <w:r w:rsidRPr="002E3560">
        <w:rPr>
          <w:lang w:val="it-IT" w:eastAsia="it-IT"/>
        </w:rPr>
        <w:t xml:space="preserve"> a regime.</w:t>
      </w:r>
    </w:p>
    <w:p w:rsidR="003B2ADE" w:rsidRPr="002E3560" w:rsidRDefault="003B2ADE" w:rsidP="003B2ADE">
      <w:pPr>
        <w:rPr>
          <w:lang w:val="it-IT" w:eastAsia="it-IT"/>
        </w:rPr>
      </w:pPr>
      <w:r w:rsidRPr="002E3560">
        <w:rPr>
          <w:lang w:val="it-IT" w:eastAsia="it-IT"/>
        </w:rPr>
        <w:t>L’attività effettiva 2018 risulta molto simile a quanto definito a livello contrattuale: in ambito somatico-acuto 34'785 punti (-0.3%), nella riabilitazione 35'268 giornate (+0.4%).</w:t>
      </w:r>
    </w:p>
    <w:p w:rsidR="003B2ADE" w:rsidRPr="00A57DD9" w:rsidRDefault="003B2ADE" w:rsidP="003B2ADE">
      <w:pPr>
        <w:rPr>
          <w:bCs/>
          <w:iCs/>
          <w:lang w:val="it-IT" w:eastAsia="it-IT"/>
        </w:rPr>
      </w:pPr>
    </w:p>
    <w:p w:rsidR="003B2ADE" w:rsidRPr="002E3560" w:rsidRDefault="003B2ADE" w:rsidP="003B2ADE">
      <w:pPr>
        <w:rPr>
          <w:lang w:val="it-IT" w:eastAsia="it-IT"/>
        </w:rPr>
      </w:pPr>
      <w:r w:rsidRPr="002E3560">
        <w:rPr>
          <w:lang w:val="it-IT" w:eastAsia="it-IT"/>
        </w:rPr>
        <w:t xml:space="preserve">Il </w:t>
      </w:r>
      <w:r w:rsidRPr="00A57DD9">
        <w:rPr>
          <w:b/>
          <w:bCs/>
          <w:lang w:val="it-IT" w:eastAsia="it-IT"/>
        </w:rPr>
        <w:t>calcolo del contributo cantonale per i reparti RAMI</w:t>
      </w:r>
      <w:r w:rsidRPr="002E3560">
        <w:rPr>
          <w:lang w:val="it-IT" w:eastAsia="it-IT"/>
        </w:rPr>
        <w:t xml:space="preserve"> </w:t>
      </w:r>
      <w:r>
        <w:rPr>
          <w:lang w:val="it-IT" w:eastAsia="it-IT"/>
        </w:rPr>
        <w:t xml:space="preserve">ha </w:t>
      </w:r>
      <w:r w:rsidRPr="002E3560">
        <w:rPr>
          <w:lang w:val="it-IT" w:eastAsia="it-IT"/>
        </w:rPr>
        <w:t>considera</w:t>
      </w:r>
      <w:r>
        <w:rPr>
          <w:lang w:val="it-IT" w:eastAsia="it-IT"/>
        </w:rPr>
        <w:t>to</w:t>
      </w:r>
      <w:r w:rsidRPr="002E3560">
        <w:rPr>
          <w:lang w:val="it-IT" w:eastAsia="it-IT"/>
        </w:rPr>
        <w:t xml:space="preserve"> i costi per giornata di cura assunti dallo Stato (ex ante fr. 250) e il volume di attività definito con l’ospedale.</w:t>
      </w:r>
    </w:p>
    <w:p w:rsidR="003B2ADE" w:rsidRDefault="003B2ADE" w:rsidP="003B2ADE">
      <w:pPr>
        <w:rPr>
          <w:lang w:val="it-IT" w:eastAsia="it-IT"/>
        </w:rPr>
      </w:pPr>
      <w:r w:rsidRPr="002E3560">
        <w:rPr>
          <w:lang w:val="it-IT" w:eastAsia="it-IT"/>
        </w:rPr>
        <w:t xml:space="preserve">Il costo effettivo per giornata finanziato dal Cantone è determinato sulla base dei costi complessivi (plafonati ad un valore massimo riconosciuto di fr. 484.80), da cui è dedotta la reale partecipazione di assicuratori e pazienti, che si è rivelata un po’ al di sotto delle aspettative, situandosi rispettivamente a fr. 178.75 e a fr. 19.45 (diversi pazienti, con ricoveri ripetuti, hanno raggiunto la soglia massima di fr. 600 annui stabiliti per legge). </w:t>
      </w:r>
    </w:p>
    <w:p w:rsidR="003B2ADE" w:rsidRPr="002E3560" w:rsidRDefault="003B2ADE" w:rsidP="003B2ADE">
      <w:pPr>
        <w:rPr>
          <w:lang w:val="it-IT" w:eastAsia="it-IT"/>
        </w:rPr>
      </w:pPr>
      <w:r w:rsidRPr="002E3560">
        <w:rPr>
          <w:lang w:val="it-IT" w:eastAsia="it-IT"/>
        </w:rPr>
        <w:t>Nel 2018 l’importo effettivo a carico del Cantone è pari a fr. 286.60.</w:t>
      </w:r>
    </w:p>
    <w:p w:rsidR="003B2ADE" w:rsidRDefault="003B2ADE" w:rsidP="003B2ADE">
      <w:pPr>
        <w:rPr>
          <w:lang w:val="it-IT" w:eastAsia="it-IT"/>
        </w:rPr>
      </w:pPr>
      <w:r w:rsidRPr="002E3560">
        <w:rPr>
          <w:lang w:val="it-IT" w:eastAsia="it-IT"/>
        </w:rPr>
        <w:t xml:space="preserve">Il volume d’attività negoziato e definito nel contratto di prestazione 2018 si situa a 9'855 giornate, ipotizzando un’occupazione del 90% sui 30 letti disponibili. </w:t>
      </w:r>
    </w:p>
    <w:p w:rsidR="003B2ADE" w:rsidRDefault="003B2ADE" w:rsidP="003B2ADE">
      <w:pPr>
        <w:rPr>
          <w:rFonts w:eastAsia="Times New Roman" w:cs="Arial"/>
          <w:szCs w:val="24"/>
          <w:lang w:val="it-IT" w:eastAsia="it-IT"/>
        </w:rPr>
      </w:pPr>
      <w:r w:rsidRPr="002E3560">
        <w:rPr>
          <w:lang w:val="it-IT" w:eastAsia="it-IT"/>
        </w:rPr>
        <w:t>L’attività effettiva 2018 risulta inferiore dell’8.8%, attestandosi a 8'986 giornate di cura, e si spiega almeno in parte con la fase d’introduzione dei RAMI.</w:t>
      </w:r>
    </w:p>
    <w:p w:rsidR="003B2ADE" w:rsidRPr="00E863C1" w:rsidRDefault="003B2ADE" w:rsidP="003B2ADE">
      <w:pPr>
        <w:rPr>
          <w:rFonts w:eastAsia="Times New Roman" w:cs="Arial"/>
          <w:i/>
          <w:iCs/>
          <w:sz w:val="23"/>
          <w:szCs w:val="23"/>
          <w:lang w:eastAsia="it-IT"/>
        </w:rPr>
      </w:pPr>
      <w:r w:rsidRPr="00E863C1">
        <w:rPr>
          <w:rFonts w:eastAsia="Times New Roman" w:cs="Arial"/>
          <w:i/>
          <w:iCs/>
          <w:sz w:val="23"/>
          <w:szCs w:val="23"/>
          <w:lang w:eastAsia="it-IT"/>
        </w:rPr>
        <w:t xml:space="preserve">Rispondendo ad una all’interpellanza Ghisletta del 3.10.2019, il Consigliere di Stato De Rosa rispondeva in GC 14.10.2019 (cfr Vebali del GC) che nel luganese sono in funzione 30 letti RAMI e 15 CAT a Castelrotto e 30 letti CAT a Sonvico. Nel Sottoceneri vanno considerati anche i 15 letti CAT di Arzo. Nell'immediato futuro si potrà inoltre contare sui 30 letti RAMI della nuova ala dell'Ospedale Beata Vergine di Mendrisio in costruzione. </w:t>
      </w:r>
    </w:p>
    <w:p w:rsidR="00E863C1" w:rsidRDefault="003B2ADE" w:rsidP="003B2ADE">
      <w:pPr>
        <w:rPr>
          <w:rFonts w:eastAsia="Times New Roman" w:cs="Arial"/>
          <w:sz w:val="23"/>
          <w:szCs w:val="23"/>
          <w:lang w:eastAsia="it-IT"/>
        </w:rPr>
      </w:pPr>
      <w:r w:rsidRPr="00E863C1">
        <w:rPr>
          <w:rFonts w:eastAsia="Times New Roman" w:cs="Arial"/>
          <w:i/>
          <w:iCs/>
          <w:sz w:val="23"/>
          <w:szCs w:val="23"/>
          <w:lang w:eastAsia="it-IT"/>
        </w:rPr>
        <w:t>Si riconosce che al momento attuale c'è un evidente squilibrio tra l'offerta di letti postacuti nel Sopraceneri rispetto a quella del Sottoceneri. In questa regione sono infatti in esercizio i 30 letti RAMI di Acquarossa, i 15 letti RAMI di Locarno, i 30 RAMI di Orselina, i 30 letti CAT di Sementina e i 15 letti CAT di Cevio. Si tratterà di vedere come risolvere questa disparità nella prossimamente pianificazione o prima, riservato tuttavia quanto qui di seguito precisato</w:t>
      </w:r>
      <w:r w:rsidR="00E863C1">
        <w:rPr>
          <w:rFonts w:eastAsia="Times New Roman" w:cs="Arial"/>
          <w:sz w:val="23"/>
          <w:szCs w:val="23"/>
          <w:lang w:eastAsia="it-IT"/>
        </w:rPr>
        <w:t>.</w:t>
      </w:r>
    </w:p>
    <w:p w:rsidR="003B2ADE" w:rsidRPr="00E863C1" w:rsidRDefault="003B2ADE" w:rsidP="003B2ADE">
      <w:pPr>
        <w:rPr>
          <w:rFonts w:eastAsia="Times New Roman" w:cs="Arial"/>
          <w:i/>
          <w:iCs/>
          <w:szCs w:val="24"/>
          <w:lang w:eastAsia="it-IT"/>
        </w:rPr>
      </w:pPr>
      <w:r w:rsidRPr="00E863C1">
        <w:rPr>
          <w:rFonts w:eastAsia="Times New Roman" w:cs="Arial"/>
          <w:szCs w:val="24"/>
          <w:lang w:eastAsia="it-IT"/>
        </w:rPr>
        <w:t>La Commissione condivide e fa proprio questo auspicio.</w:t>
      </w:r>
      <w:r w:rsidRPr="00E863C1">
        <w:rPr>
          <w:rFonts w:eastAsia="Times New Roman" w:cs="Arial"/>
          <w:i/>
          <w:iCs/>
          <w:szCs w:val="24"/>
          <w:lang w:eastAsia="it-IT"/>
        </w:rPr>
        <w:t xml:space="preserve"> </w:t>
      </w:r>
    </w:p>
    <w:p w:rsidR="003B2ADE" w:rsidRDefault="003B2ADE" w:rsidP="003B2ADE">
      <w:pPr>
        <w:rPr>
          <w:rFonts w:eastAsia="Times New Roman" w:cs="Arial"/>
          <w:szCs w:val="24"/>
          <w:lang w:val="it-IT" w:eastAsia="it-IT"/>
        </w:rPr>
      </w:pPr>
    </w:p>
    <w:p w:rsidR="003B2ADE" w:rsidRDefault="003B2ADE" w:rsidP="003B2ADE">
      <w:pPr>
        <w:rPr>
          <w:rFonts w:eastAsia="Times New Roman" w:cs="Arial"/>
          <w:szCs w:val="24"/>
          <w:lang w:val="it-IT" w:eastAsia="it-IT"/>
        </w:rPr>
      </w:pPr>
      <w:r w:rsidRPr="00956A5E">
        <w:rPr>
          <w:noProof/>
          <w:lang w:eastAsia="it-CH"/>
        </w:rPr>
        <w:drawing>
          <wp:inline distT="0" distB="0" distL="0" distR="0" wp14:anchorId="60897480" wp14:editId="14473748">
            <wp:extent cx="6117845" cy="1946031"/>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8731" cy="1949494"/>
                    </a:xfrm>
                    <a:prstGeom prst="rect">
                      <a:avLst/>
                    </a:prstGeom>
                    <a:noFill/>
                    <a:ln>
                      <a:noFill/>
                    </a:ln>
                  </pic:spPr>
                </pic:pic>
              </a:graphicData>
            </a:graphic>
          </wp:inline>
        </w:drawing>
      </w:r>
    </w:p>
    <w:p w:rsidR="003B2ADE" w:rsidRPr="00E863C1" w:rsidRDefault="003B2ADE" w:rsidP="00E863C1">
      <w:pPr>
        <w:rPr>
          <w:sz w:val="20"/>
          <w:szCs w:val="20"/>
          <w:lang w:val="it-IT" w:eastAsia="it-IT"/>
        </w:rPr>
      </w:pPr>
    </w:p>
    <w:p w:rsidR="003B2ADE" w:rsidRPr="009815BD" w:rsidRDefault="003B2ADE" w:rsidP="00E863C1">
      <w:pPr>
        <w:ind w:left="425" w:hanging="425"/>
        <w:rPr>
          <w:rFonts w:eastAsia="Times New Roman" w:cs="Arial"/>
          <w:szCs w:val="24"/>
          <w:lang w:val="it-IT" w:eastAsia="it-IT"/>
        </w:rPr>
      </w:pPr>
      <w:r w:rsidRPr="009815BD">
        <w:rPr>
          <w:rFonts w:eastAsia="Times New Roman" w:cs="Arial"/>
          <w:szCs w:val="24"/>
          <w:lang w:val="it-IT" w:eastAsia="it-IT"/>
        </w:rPr>
        <w:t>●</w:t>
      </w:r>
      <w:r>
        <w:rPr>
          <w:rFonts w:eastAsia="Times New Roman" w:cs="Arial"/>
          <w:szCs w:val="24"/>
          <w:lang w:val="it-IT" w:eastAsia="it-IT"/>
        </w:rPr>
        <w:tab/>
      </w:r>
      <w:r w:rsidRPr="009815BD">
        <w:rPr>
          <w:rFonts w:eastAsia="Times New Roman" w:cs="Arial"/>
          <w:szCs w:val="24"/>
          <w:lang w:val="it-IT" w:eastAsia="it-IT"/>
        </w:rPr>
        <w:t xml:space="preserve">Le sentenze del TAF </w:t>
      </w:r>
      <w:r>
        <w:rPr>
          <w:rFonts w:eastAsia="Times New Roman" w:cs="Arial"/>
          <w:szCs w:val="24"/>
          <w:lang w:val="it-IT" w:eastAsia="it-IT"/>
        </w:rPr>
        <w:t xml:space="preserve">emesse nel 2019 </w:t>
      </w:r>
      <w:r w:rsidRPr="009815BD">
        <w:rPr>
          <w:rFonts w:eastAsia="Times New Roman" w:cs="Arial"/>
          <w:szCs w:val="24"/>
          <w:lang w:val="it-IT" w:eastAsia="it-IT"/>
        </w:rPr>
        <w:t>si fondano sul parere dell’UFSP che riteneva più opportuna la collocazione dei letti AMI sotto l’art. 39 cpv. 1 LAMal. In particolare si ritiene che la denominazione acuto di minore intensità abbia contribuito a supportare tale ipotesi. Le sentenze non entrano però nel merito della fatturazione che avviene all’atto, conformemente a quanto succede per le cure in casa per anziani e pertanto LAMal</w:t>
      </w:r>
      <w:r>
        <w:rPr>
          <w:rFonts w:eastAsia="Times New Roman" w:cs="Arial"/>
          <w:szCs w:val="24"/>
          <w:lang w:val="it-IT" w:eastAsia="it-IT"/>
        </w:rPr>
        <w:t xml:space="preserve"> </w:t>
      </w:r>
      <w:r w:rsidRPr="009815BD">
        <w:rPr>
          <w:rFonts w:eastAsia="Times New Roman" w:cs="Arial"/>
          <w:szCs w:val="24"/>
          <w:lang w:val="it-IT" w:eastAsia="it-IT"/>
        </w:rPr>
        <w:t>conformi</w:t>
      </w:r>
      <w:r w:rsidR="00634A1F">
        <w:rPr>
          <w:rFonts w:eastAsia="Times New Roman" w:cs="Arial"/>
          <w:szCs w:val="24"/>
          <w:lang w:val="it-IT" w:eastAsia="it-IT"/>
        </w:rPr>
        <w:t>.</w:t>
      </w:r>
    </w:p>
    <w:p w:rsidR="003B2ADE" w:rsidRPr="009815BD" w:rsidRDefault="003B2ADE" w:rsidP="00285BB5">
      <w:pPr>
        <w:spacing w:before="100"/>
        <w:ind w:left="425" w:hanging="425"/>
        <w:rPr>
          <w:rFonts w:eastAsia="Times New Roman" w:cs="Arial"/>
          <w:szCs w:val="24"/>
          <w:lang w:val="it-IT" w:eastAsia="it-IT"/>
        </w:rPr>
      </w:pPr>
      <w:r w:rsidRPr="009815BD">
        <w:rPr>
          <w:rFonts w:eastAsia="Times New Roman" w:cs="Arial"/>
          <w:szCs w:val="24"/>
          <w:lang w:val="it-IT" w:eastAsia="it-IT"/>
        </w:rPr>
        <w:t>●</w:t>
      </w:r>
      <w:r>
        <w:rPr>
          <w:rFonts w:eastAsia="Times New Roman" w:cs="Arial"/>
          <w:szCs w:val="24"/>
          <w:lang w:val="it-IT" w:eastAsia="it-IT"/>
        </w:rPr>
        <w:tab/>
      </w:r>
      <w:r w:rsidRPr="009815BD">
        <w:rPr>
          <w:rFonts w:eastAsia="Times New Roman" w:cs="Arial"/>
          <w:szCs w:val="24"/>
          <w:lang w:val="it-IT" w:eastAsia="it-IT"/>
        </w:rPr>
        <w:t>La nuova pianificazione dovrà ridefinire il quadro giuridico. Una ricollocazione sotto l’art. 39 cpv. 1 LAMal, eventualmente come letti di riabilitazione che prevede un forfait a giornata piuttosto che prestazioni somatico-acute con la rimunerazione a DRG, non pensata per cure di base a lunga degenza, susciterebbe l’opposizione netta da parte degli assicuratori malattia, che considerano queste prestazioni non sostenibili nel settore acuto e, pertanto, da porre a carico del solo Cantone, o essere considerati di cure acute e transitorie (CAT)</w:t>
      </w:r>
      <w:r w:rsidR="00634A1F">
        <w:rPr>
          <w:rFonts w:eastAsia="Times New Roman" w:cs="Arial"/>
          <w:szCs w:val="24"/>
          <w:lang w:val="it-IT" w:eastAsia="it-IT"/>
        </w:rPr>
        <w:t>.</w:t>
      </w:r>
    </w:p>
    <w:p w:rsidR="003B2ADE" w:rsidRPr="009815BD" w:rsidRDefault="003B2ADE" w:rsidP="00285BB5">
      <w:pPr>
        <w:spacing w:before="100"/>
        <w:ind w:left="425" w:hanging="425"/>
        <w:rPr>
          <w:rFonts w:eastAsia="Times New Roman" w:cs="Arial"/>
          <w:szCs w:val="24"/>
          <w:lang w:val="it-IT" w:eastAsia="it-IT"/>
        </w:rPr>
      </w:pPr>
      <w:r w:rsidRPr="009815BD">
        <w:rPr>
          <w:rFonts w:eastAsia="Times New Roman" w:cs="Arial"/>
          <w:szCs w:val="24"/>
          <w:lang w:val="it-IT" w:eastAsia="it-IT"/>
        </w:rPr>
        <w:t>●</w:t>
      </w:r>
      <w:r>
        <w:rPr>
          <w:rFonts w:eastAsia="Times New Roman" w:cs="Arial"/>
          <w:szCs w:val="24"/>
          <w:lang w:val="it-IT" w:eastAsia="it-IT"/>
        </w:rPr>
        <w:tab/>
      </w:r>
      <w:r w:rsidRPr="009815BD">
        <w:rPr>
          <w:rFonts w:eastAsia="Times New Roman" w:cs="Arial"/>
          <w:szCs w:val="24"/>
          <w:lang w:val="it-IT" w:eastAsia="it-IT"/>
        </w:rPr>
        <w:t>Si attende l’emissione della sentenza del Tribunale cantonale delle assicurazioni sul ricorso di una paziente contro la partecipazione di fr. 30.-/g richiesta per la degenza nel reparto RAMI che, secondo la paziente, doveva limitarsi a fr. 15.-/g come nei reparti acuti per avere qualche indicazione supplementare</w:t>
      </w:r>
      <w:r w:rsidR="00634A1F">
        <w:rPr>
          <w:rFonts w:eastAsia="Times New Roman" w:cs="Arial"/>
          <w:szCs w:val="24"/>
          <w:lang w:val="it-IT" w:eastAsia="it-IT"/>
        </w:rPr>
        <w:t>.</w:t>
      </w:r>
    </w:p>
    <w:p w:rsidR="003B2ADE" w:rsidRPr="009815BD" w:rsidRDefault="003B2ADE" w:rsidP="00285BB5">
      <w:pPr>
        <w:spacing w:before="100"/>
        <w:ind w:left="425" w:hanging="425"/>
        <w:rPr>
          <w:rFonts w:eastAsia="Times New Roman" w:cs="Arial"/>
          <w:szCs w:val="24"/>
          <w:lang w:val="it-IT" w:eastAsia="it-IT"/>
        </w:rPr>
      </w:pPr>
      <w:r w:rsidRPr="009815BD">
        <w:rPr>
          <w:rFonts w:eastAsia="Times New Roman" w:cs="Arial"/>
          <w:szCs w:val="24"/>
          <w:lang w:val="it-IT" w:eastAsia="it-IT"/>
        </w:rPr>
        <w:t>●</w:t>
      </w:r>
      <w:r>
        <w:rPr>
          <w:rFonts w:eastAsia="Times New Roman" w:cs="Arial"/>
          <w:szCs w:val="24"/>
          <w:lang w:val="it-IT" w:eastAsia="it-IT"/>
        </w:rPr>
        <w:tab/>
      </w:r>
      <w:r w:rsidRPr="009815BD">
        <w:rPr>
          <w:rFonts w:eastAsia="Times New Roman" w:cs="Arial"/>
          <w:szCs w:val="24"/>
          <w:lang w:val="it-IT" w:eastAsia="it-IT"/>
        </w:rPr>
        <w:t>L’esperienza dei reparti RAMI è comunque molto positiva ed è confermata da tutte e tre le strutture che gestiscono queste prestazioni: EOC ad Acquarossa</w:t>
      </w:r>
      <w:r>
        <w:rPr>
          <w:rFonts w:eastAsia="Times New Roman" w:cs="Arial"/>
          <w:szCs w:val="24"/>
          <w:lang w:val="it-IT" w:eastAsia="it-IT"/>
        </w:rPr>
        <w:t xml:space="preserve"> </w:t>
      </w:r>
      <w:r w:rsidRPr="009815BD">
        <w:rPr>
          <w:rFonts w:eastAsia="Times New Roman" w:cs="Arial"/>
          <w:szCs w:val="24"/>
          <w:lang w:val="it-IT" w:eastAsia="it-IT"/>
        </w:rPr>
        <w:t>e Locarno; Ospedale Malcantonese di Castelrotto e Clinica Varini. Il progetto pilota di tre anni sarà verosimilmente prolungato in attesa della nuova pianificazione. Questa ipotesi è stata discussa con i tre gruppi assicurativi che hanno assicurato il loro appoggio per lasciare le cose come stanno. Sarà però necessario modificare la LCAMal</w:t>
      </w:r>
      <w:r>
        <w:rPr>
          <w:rFonts w:eastAsia="Times New Roman" w:cs="Arial"/>
          <w:szCs w:val="24"/>
          <w:lang w:val="it-IT" w:eastAsia="it-IT"/>
        </w:rPr>
        <w:t xml:space="preserve"> </w:t>
      </w:r>
      <w:r w:rsidRPr="009815BD">
        <w:rPr>
          <w:rFonts w:eastAsia="Times New Roman" w:cs="Arial"/>
          <w:szCs w:val="24"/>
          <w:lang w:val="it-IT" w:eastAsia="it-IT"/>
        </w:rPr>
        <w:t>(norma transitoria art. 84a) che prevede la forfetizzazione degli importi da fatturare agli assicuratori dal 1°gennaio 2020</w:t>
      </w:r>
    </w:p>
    <w:p w:rsidR="003B2ADE" w:rsidRDefault="003B2ADE" w:rsidP="00285BB5">
      <w:pPr>
        <w:spacing w:before="100"/>
        <w:ind w:left="425" w:hanging="425"/>
        <w:rPr>
          <w:rFonts w:eastAsia="Times New Roman" w:cs="Arial"/>
          <w:szCs w:val="24"/>
          <w:lang w:val="it-IT" w:eastAsia="it-IT"/>
        </w:rPr>
      </w:pPr>
      <w:r w:rsidRPr="009815BD">
        <w:rPr>
          <w:rFonts w:eastAsia="Times New Roman" w:cs="Arial"/>
          <w:szCs w:val="24"/>
          <w:lang w:val="it-IT" w:eastAsia="it-IT"/>
        </w:rPr>
        <w:t>●</w:t>
      </w:r>
      <w:r>
        <w:rPr>
          <w:rFonts w:eastAsia="Times New Roman" w:cs="Arial"/>
          <w:szCs w:val="24"/>
          <w:lang w:val="it-IT" w:eastAsia="it-IT"/>
        </w:rPr>
        <w:tab/>
      </w:r>
      <w:r w:rsidRPr="009815BD">
        <w:rPr>
          <w:rFonts w:eastAsia="Times New Roman" w:cs="Arial"/>
          <w:szCs w:val="24"/>
          <w:lang w:val="it-IT" w:eastAsia="it-IT"/>
        </w:rPr>
        <w:t>Visto quanto precede, il reparto RAMI di Acquarossa</w:t>
      </w:r>
      <w:r>
        <w:rPr>
          <w:rFonts w:eastAsia="Times New Roman" w:cs="Arial"/>
          <w:szCs w:val="24"/>
          <w:lang w:val="it-IT" w:eastAsia="it-IT"/>
        </w:rPr>
        <w:t xml:space="preserve"> </w:t>
      </w:r>
      <w:r w:rsidRPr="009815BD">
        <w:rPr>
          <w:rFonts w:eastAsia="Times New Roman" w:cs="Arial"/>
          <w:szCs w:val="24"/>
          <w:lang w:val="it-IT" w:eastAsia="it-IT"/>
        </w:rPr>
        <w:t>non è messo in discussione</w:t>
      </w:r>
      <w:r w:rsidR="00634A1F">
        <w:rPr>
          <w:rFonts w:eastAsia="Times New Roman" w:cs="Arial"/>
          <w:szCs w:val="24"/>
          <w:lang w:val="it-IT" w:eastAsia="it-IT"/>
        </w:rPr>
        <w:t>.</w:t>
      </w:r>
    </w:p>
    <w:p w:rsidR="003B2ADE" w:rsidRPr="00E863C1" w:rsidRDefault="003B2ADE" w:rsidP="003B2ADE">
      <w:pPr>
        <w:rPr>
          <w:rFonts w:eastAsia="Times New Roman" w:cs="Arial"/>
          <w:sz w:val="12"/>
          <w:szCs w:val="12"/>
          <w:lang w:val="it-IT" w:eastAsia="it-IT"/>
        </w:rPr>
      </w:pPr>
    </w:p>
    <w:p w:rsidR="003B2ADE" w:rsidRPr="00B04293" w:rsidRDefault="003B2ADE" w:rsidP="003B2ADE">
      <w:pPr>
        <w:pStyle w:val="Titolo3"/>
      </w:pPr>
      <w:r>
        <w:t>4.1.2</w:t>
      </w:r>
      <w:r>
        <w:tab/>
      </w:r>
      <w:r w:rsidRPr="006B39DA">
        <w:t>Contributo per le prestazioni economicamente di interesse generale</w:t>
      </w:r>
      <w:r w:rsidRPr="00FD6A2B">
        <w:rPr>
          <w:rFonts w:eastAsia="Times New Roman" w:cs="Arial"/>
          <w:color w:val="FF0000"/>
          <w:szCs w:val="24"/>
        </w:rPr>
        <w:t xml:space="preserve"> </w:t>
      </w:r>
    </w:p>
    <w:p w:rsidR="003B2ADE" w:rsidRPr="00506FAB" w:rsidRDefault="003B2ADE" w:rsidP="003B2ADE">
      <w:pPr>
        <w:rPr>
          <w:rFonts w:eastAsia="Times New Roman" w:cs="Arial"/>
          <w:szCs w:val="24"/>
          <w:lang w:val="it-IT" w:eastAsia="it-IT"/>
        </w:rPr>
      </w:pPr>
      <w:r w:rsidRPr="00506FAB">
        <w:rPr>
          <w:rFonts w:eastAsia="Times New Roman" w:cs="Arial"/>
          <w:szCs w:val="24"/>
          <w:lang w:val="it-IT" w:eastAsia="it-IT"/>
        </w:rPr>
        <w:t xml:space="preserve">Le tariffe ospedaliere non remunerano le prestazioni economicamente d’interesse generale, in particolare il mantenimento di capacità ospedaliere per motivi di politica regionale e la ricerca e l’insegnamento universitario (art. 49 cpv. 3 LAMal). Oltre alla formazione universitaria (e a quella non universitaria per il comparto RAMI), nel 2018 il Cantone ha riconosciuto e remunerato quali prestazioni economicamente d’interesse generale altre quattro categorie di prestazioni, per un totale di </w:t>
      </w:r>
      <w:r w:rsidRPr="00506FAB">
        <w:rPr>
          <w:rFonts w:eastAsia="Times New Roman" w:cs="Arial"/>
          <w:b/>
          <w:szCs w:val="24"/>
          <w:lang w:val="it-IT" w:eastAsia="it-IT"/>
        </w:rPr>
        <w:t>fr. 5'085’850</w:t>
      </w:r>
      <w:r w:rsidRPr="00506FAB">
        <w:rPr>
          <w:rFonts w:eastAsia="Times New Roman" w:cs="Arial"/>
          <w:szCs w:val="24"/>
          <w:lang w:val="it-IT" w:eastAsia="it-IT"/>
        </w:rPr>
        <w:t>.</w:t>
      </w:r>
    </w:p>
    <w:p w:rsidR="003B2ADE" w:rsidRPr="00622136" w:rsidRDefault="003B2ADE" w:rsidP="003B2ADE">
      <w:pPr>
        <w:rPr>
          <w:rFonts w:eastAsia="Times New Roman" w:cs="Arial"/>
          <w:szCs w:val="24"/>
          <w:lang w:val="it-IT" w:eastAsia="it-IT"/>
        </w:rPr>
      </w:pPr>
    </w:p>
    <w:p w:rsidR="003B2ADE" w:rsidRPr="00506FAB" w:rsidRDefault="003B2ADE" w:rsidP="003B2ADE">
      <w:pPr>
        <w:pStyle w:val="Titolo4"/>
        <w:spacing w:before="0"/>
        <w:rPr>
          <w:rFonts w:eastAsia="Times New Roman"/>
          <w:lang w:val="it-IT" w:eastAsia="it-IT"/>
        </w:rPr>
      </w:pPr>
      <w:r w:rsidRPr="00506FAB">
        <w:rPr>
          <w:rFonts w:eastAsia="Times New Roman"/>
          <w:lang w:val="it-IT" w:eastAsia="it-IT"/>
        </w:rPr>
        <w:t>Formazione universitaria</w:t>
      </w:r>
      <w:r>
        <w:rPr>
          <w:rFonts w:eastAsia="Times New Roman"/>
          <w:lang w:val="it-IT" w:eastAsia="it-IT"/>
        </w:rPr>
        <w:t xml:space="preserve"> e non</w:t>
      </w:r>
    </w:p>
    <w:p w:rsidR="003B2ADE" w:rsidRPr="00506FAB" w:rsidRDefault="003B2ADE" w:rsidP="003B2ADE">
      <w:pPr>
        <w:spacing w:after="120"/>
        <w:rPr>
          <w:rFonts w:eastAsia="Times New Roman" w:cs="Arial"/>
          <w:szCs w:val="24"/>
          <w:lang w:val="it-IT" w:eastAsia="it-IT"/>
        </w:rPr>
      </w:pPr>
      <w:r w:rsidRPr="00506FAB">
        <w:rPr>
          <w:rFonts w:eastAsia="Times New Roman" w:cs="Arial"/>
          <w:szCs w:val="24"/>
          <w:lang w:val="it-IT" w:eastAsia="it-IT"/>
        </w:rPr>
        <w:t xml:space="preserve">Il Cantone remunera dal 2014 la </w:t>
      </w:r>
      <w:r w:rsidRPr="00BD4F18">
        <w:rPr>
          <w:rFonts w:eastAsia="Times New Roman" w:cs="Arial"/>
          <w:b/>
          <w:bCs/>
          <w:szCs w:val="24"/>
          <w:lang w:val="it-IT" w:eastAsia="it-IT"/>
        </w:rPr>
        <w:t>formazione universitaria</w:t>
      </w:r>
      <w:r w:rsidRPr="00506FAB">
        <w:rPr>
          <w:rFonts w:eastAsia="Times New Roman" w:cs="Arial"/>
          <w:szCs w:val="24"/>
          <w:lang w:val="it-IT" w:eastAsia="it-IT"/>
        </w:rPr>
        <w:t xml:space="preserve"> con fr. 15'000 per posto di medico assistente in formazione FMH a tempo pieno. L’effettivo </w:t>
      </w:r>
      <w:r>
        <w:rPr>
          <w:rFonts w:eastAsia="Times New Roman" w:cs="Arial"/>
          <w:szCs w:val="24"/>
          <w:lang w:val="it-IT" w:eastAsia="it-IT"/>
        </w:rPr>
        <w:t xml:space="preserve">di medici assistenti nel </w:t>
      </w:r>
      <w:r w:rsidRPr="00506FAB">
        <w:rPr>
          <w:rFonts w:eastAsia="Times New Roman" w:cs="Arial"/>
          <w:szCs w:val="24"/>
          <w:lang w:val="it-IT" w:eastAsia="it-IT"/>
        </w:rPr>
        <w:t>2018</w:t>
      </w:r>
      <w:r>
        <w:rPr>
          <w:rFonts w:eastAsia="Times New Roman" w:cs="Arial"/>
          <w:szCs w:val="24"/>
          <w:lang w:val="it-IT" w:eastAsia="it-IT"/>
        </w:rPr>
        <w:t xml:space="preserve"> è stato</w:t>
      </w:r>
      <w:r w:rsidRPr="00506FAB">
        <w:rPr>
          <w:rFonts w:eastAsia="Times New Roman" w:cs="Arial"/>
          <w:szCs w:val="24"/>
          <w:lang w:val="it-IT" w:eastAsia="it-IT"/>
        </w:rPr>
        <w:t xml:space="preserve"> stimato dall’EOC </w:t>
      </w:r>
      <w:r>
        <w:rPr>
          <w:rFonts w:eastAsia="Times New Roman" w:cs="Arial"/>
          <w:szCs w:val="24"/>
          <w:lang w:val="it-IT" w:eastAsia="it-IT"/>
        </w:rPr>
        <w:t xml:space="preserve">in 234.33 unità e </w:t>
      </w:r>
      <w:r w:rsidRPr="00506FAB">
        <w:rPr>
          <w:rFonts w:eastAsia="Times New Roman" w:cs="Arial"/>
          <w:szCs w:val="24"/>
          <w:lang w:val="it-IT" w:eastAsia="it-IT"/>
        </w:rPr>
        <w:t xml:space="preserve">si è rivelato a consuntivo di 248.37 unità (RAMI inclusi). Il contributo versato a titolo definitivo è stato quindi di </w:t>
      </w:r>
      <w:r w:rsidRPr="00506FAB">
        <w:rPr>
          <w:rFonts w:eastAsia="Times New Roman" w:cs="Arial"/>
          <w:b/>
          <w:szCs w:val="24"/>
          <w:lang w:val="it-IT" w:eastAsia="it-IT"/>
        </w:rPr>
        <w:t>fr. 3'726'600</w:t>
      </w:r>
      <w:r w:rsidRPr="00506FAB">
        <w:rPr>
          <w:rFonts w:eastAsia="Times New Roman" w:cs="Arial"/>
          <w:szCs w:val="24"/>
          <w:lang w:val="it-IT" w:eastAsia="it-IT"/>
        </w:rPr>
        <w:t xml:space="preserve"> (+6.0%).</w:t>
      </w:r>
    </w:p>
    <w:p w:rsidR="003B2ADE" w:rsidRDefault="003B2ADE" w:rsidP="003B2ADE">
      <w:pPr>
        <w:spacing w:after="120"/>
        <w:rPr>
          <w:rFonts w:eastAsia="Times New Roman" w:cs="Arial"/>
          <w:szCs w:val="24"/>
          <w:lang w:val="it-IT" w:eastAsia="it-IT"/>
        </w:rPr>
      </w:pPr>
      <w:r w:rsidRPr="00506FAB">
        <w:rPr>
          <w:rFonts w:eastAsia="Times New Roman" w:cs="Arial"/>
          <w:szCs w:val="24"/>
          <w:lang w:val="it-IT" w:eastAsia="it-IT"/>
        </w:rPr>
        <w:t xml:space="preserve">In ambito somatico-acuto e riabilitativo, la formazione </w:t>
      </w:r>
      <w:r w:rsidRPr="00BD4F18">
        <w:rPr>
          <w:rFonts w:eastAsia="Times New Roman" w:cs="Arial"/>
          <w:b/>
          <w:bCs/>
          <w:szCs w:val="24"/>
          <w:u w:val="single"/>
          <w:lang w:val="it-IT" w:eastAsia="it-IT"/>
        </w:rPr>
        <w:t>non</w:t>
      </w:r>
      <w:r w:rsidRPr="00BD4F18">
        <w:rPr>
          <w:rFonts w:eastAsia="Times New Roman" w:cs="Arial"/>
          <w:b/>
          <w:bCs/>
          <w:szCs w:val="24"/>
          <w:lang w:val="it-IT" w:eastAsia="it-IT"/>
        </w:rPr>
        <w:t xml:space="preserve"> universitaria</w:t>
      </w:r>
      <w:r w:rsidRPr="00BD4F18">
        <w:rPr>
          <w:rFonts w:eastAsia="Times New Roman" w:cs="Arial"/>
          <w:szCs w:val="24"/>
          <w:lang w:val="it-IT" w:eastAsia="it-IT"/>
        </w:rPr>
        <w:t xml:space="preserve"> </w:t>
      </w:r>
      <w:r w:rsidRPr="00506FAB">
        <w:rPr>
          <w:rFonts w:eastAsia="Times New Roman" w:cs="Arial"/>
          <w:szCs w:val="24"/>
          <w:lang w:val="it-IT" w:eastAsia="it-IT"/>
        </w:rPr>
        <w:t xml:space="preserve">è finanziata dal 2012 attraverso le tariffe, quindi anche dagli assicuratori malattia. Nei RAMI, per contro, vi è il solo finanziamento cantonale, con un contributo effettivo nel 2018 di </w:t>
      </w:r>
      <w:r w:rsidRPr="00506FAB">
        <w:rPr>
          <w:rFonts w:eastAsia="Times New Roman" w:cs="Arial"/>
          <w:b/>
          <w:szCs w:val="24"/>
          <w:lang w:val="it-IT" w:eastAsia="it-IT"/>
        </w:rPr>
        <w:t>fr. 27'000</w:t>
      </w:r>
      <w:r w:rsidRPr="00506FAB">
        <w:rPr>
          <w:rFonts w:eastAsia="Times New Roman" w:cs="Arial"/>
          <w:szCs w:val="24"/>
          <w:lang w:val="it-IT" w:eastAsia="it-IT"/>
        </w:rPr>
        <w:t xml:space="preserve"> quale prestazione d’interesse generale. I contratti di prestazione menzionano, come previsto dall’art. 66h LCAMal, il numero di allievi in formazione per genere di scuola, verificato poi a consuntivo. </w:t>
      </w:r>
    </w:p>
    <w:p w:rsidR="003B2ADE" w:rsidRPr="00BD4F18" w:rsidRDefault="003B2ADE" w:rsidP="003B2ADE">
      <w:pPr>
        <w:spacing w:after="120"/>
        <w:rPr>
          <w:rFonts w:eastAsia="Times New Roman" w:cs="Arial"/>
          <w:szCs w:val="24"/>
          <w:lang w:val="it-IT" w:eastAsia="it-IT"/>
        </w:rPr>
      </w:pPr>
      <w:r w:rsidRPr="00BD4F18">
        <w:rPr>
          <w:rFonts w:eastAsia="Times New Roman" w:cs="Arial"/>
          <w:szCs w:val="24"/>
          <w:lang w:val="it-IT" w:eastAsia="it-IT"/>
        </w:rPr>
        <w:t xml:space="preserve">L’EOC partecipa attivamente ai lavori della nuova Facoltà di biomedicina dell’USI per l’avvio del Master in medicina. Nel 2018 si è registrata una novità importante in questo ambito. Per la prima volta in Ticino l’USI ha attribuito la libera docenza accademica </w:t>
      </w:r>
      <w:r>
        <w:rPr>
          <w:rFonts w:eastAsia="Times New Roman" w:cs="Arial"/>
          <w:szCs w:val="24"/>
          <w:lang w:val="it-IT" w:eastAsia="it-IT"/>
        </w:rPr>
        <w:t>ex novo (Facoltà di Biomedicina)</w:t>
      </w:r>
      <w:r w:rsidRPr="00BD4F18">
        <w:rPr>
          <w:rFonts w:eastAsia="Times New Roman" w:cs="Arial"/>
          <w:szCs w:val="24"/>
          <w:lang w:val="it-IT" w:eastAsia="it-IT"/>
        </w:rPr>
        <w:t xml:space="preserve">, ovvero a </w:t>
      </w:r>
      <w:r>
        <w:rPr>
          <w:rFonts w:eastAsia="Times New Roman" w:cs="Arial"/>
          <w:szCs w:val="24"/>
          <w:lang w:val="it-IT" w:eastAsia="it-IT"/>
        </w:rPr>
        <w:t xml:space="preserve">tre </w:t>
      </w:r>
      <w:r w:rsidRPr="00BD4F18">
        <w:rPr>
          <w:rFonts w:eastAsia="Times New Roman" w:cs="Arial"/>
          <w:szCs w:val="24"/>
          <w:lang w:val="it-IT" w:eastAsia="it-IT"/>
        </w:rPr>
        <w:t>medici che non erano in possesso del titolo accademico di un altro ateneo. Si tratta di un passo importante per aumentare ulteriormente l’attrattività dell’EOC e della Facoltà di biomedicina stessa, che consente di offrire alle giovani leve in ambito medico una prospettiva accademica.</w:t>
      </w:r>
    </w:p>
    <w:p w:rsidR="003B2ADE" w:rsidRPr="00191BE0" w:rsidRDefault="003B2ADE" w:rsidP="003B2ADE">
      <w:pPr>
        <w:rPr>
          <w:b/>
          <w:szCs w:val="24"/>
        </w:rPr>
      </w:pPr>
    </w:p>
    <w:p w:rsidR="003B2ADE" w:rsidRPr="00191BE0" w:rsidRDefault="003B2ADE" w:rsidP="003B2ADE">
      <w:pPr>
        <w:spacing w:after="80"/>
        <w:rPr>
          <w:b/>
          <w:szCs w:val="24"/>
        </w:rPr>
      </w:pPr>
      <w:r w:rsidRPr="00191BE0">
        <w:rPr>
          <w:b/>
          <w:szCs w:val="24"/>
        </w:rPr>
        <w:t>Master in Medicina Umana</w:t>
      </w:r>
    </w:p>
    <w:tbl>
      <w:tblPr>
        <w:tblStyle w:val="TableNormal"/>
        <w:tblpPr w:leftFromText="141" w:rightFromText="141" w:vertAnchor="text" w:horzAnchor="margin" w:tblpY="16"/>
        <w:tblW w:w="0" w:type="auto"/>
        <w:tblLayout w:type="fixed"/>
        <w:tblLook w:val="01E0" w:firstRow="1" w:lastRow="1" w:firstColumn="1" w:lastColumn="1" w:noHBand="0" w:noVBand="0"/>
      </w:tblPr>
      <w:tblGrid>
        <w:gridCol w:w="2801"/>
        <w:gridCol w:w="3005"/>
        <w:gridCol w:w="3114"/>
      </w:tblGrid>
      <w:tr w:rsidR="003B2ADE" w:rsidTr="007E04C2">
        <w:trPr>
          <w:trHeight w:val="273"/>
        </w:trPr>
        <w:tc>
          <w:tcPr>
            <w:tcW w:w="2801" w:type="dxa"/>
            <w:tcBorders>
              <w:bottom w:val="single" w:sz="4" w:space="0" w:color="005597"/>
            </w:tcBorders>
            <w:shd w:val="clear" w:color="auto" w:fill="EAEDF6"/>
          </w:tcPr>
          <w:p w:rsidR="003B2ADE" w:rsidRDefault="003B2ADE" w:rsidP="007E04C2">
            <w:pPr>
              <w:pStyle w:val="TableParagraph"/>
              <w:spacing w:before="50"/>
              <w:ind w:left="113"/>
              <w:rPr>
                <w:rFonts w:ascii="Calibri"/>
                <w:b/>
                <w:sz w:val="15"/>
              </w:rPr>
            </w:pPr>
            <w:r>
              <w:rPr>
                <w:rFonts w:ascii="Calibri"/>
                <w:b/>
                <w:color w:val="005597"/>
                <w:w w:val="110"/>
                <w:sz w:val="15"/>
              </w:rPr>
              <w:t>Avevamo detto di fare</w:t>
            </w:r>
          </w:p>
        </w:tc>
        <w:tc>
          <w:tcPr>
            <w:tcW w:w="3005" w:type="dxa"/>
            <w:tcBorders>
              <w:bottom w:val="single" w:sz="4" w:space="0" w:color="005597"/>
            </w:tcBorders>
            <w:shd w:val="clear" w:color="auto" w:fill="EAEDF6"/>
          </w:tcPr>
          <w:p w:rsidR="003B2ADE" w:rsidRDefault="003B2ADE" w:rsidP="007E04C2">
            <w:pPr>
              <w:pStyle w:val="TableParagraph"/>
              <w:spacing w:before="50"/>
              <w:ind w:left="169"/>
              <w:rPr>
                <w:rFonts w:ascii="Calibri"/>
                <w:b/>
                <w:sz w:val="15"/>
              </w:rPr>
            </w:pPr>
            <w:r>
              <w:rPr>
                <w:rFonts w:ascii="Calibri"/>
                <w:b/>
                <w:color w:val="005597"/>
                <w:w w:val="115"/>
                <w:sz w:val="15"/>
              </w:rPr>
              <w:t>Abbiamo fatto</w:t>
            </w:r>
          </w:p>
        </w:tc>
        <w:tc>
          <w:tcPr>
            <w:tcW w:w="3114" w:type="dxa"/>
            <w:tcBorders>
              <w:bottom w:val="single" w:sz="4" w:space="0" w:color="005597"/>
            </w:tcBorders>
            <w:shd w:val="clear" w:color="auto" w:fill="EAEDF6"/>
          </w:tcPr>
          <w:p w:rsidR="003B2ADE" w:rsidRDefault="003B2ADE" w:rsidP="007E04C2">
            <w:pPr>
              <w:pStyle w:val="TableParagraph"/>
              <w:spacing w:before="50"/>
              <w:ind w:left="112"/>
              <w:rPr>
                <w:rFonts w:ascii="Calibri"/>
                <w:b/>
                <w:sz w:val="15"/>
              </w:rPr>
            </w:pPr>
            <w:r>
              <w:rPr>
                <w:rFonts w:ascii="Calibri"/>
                <w:b/>
                <w:color w:val="005597"/>
                <w:w w:val="115"/>
                <w:sz w:val="15"/>
              </w:rPr>
              <w:t>Faremo</w:t>
            </w:r>
          </w:p>
        </w:tc>
      </w:tr>
      <w:tr w:rsidR="003B2ADE" w:rsidTr="007E04C2">
        <w:trPr>
          <w:trHeight w:val="244"/>
        </w:trPr>
        <w:tc>
          <w:tcPr>
            <w:tcW w:w="2801" w:type="dxa"/>
            <w:tcBorders>
              <w:top w:val="single" w:sz="4" w:space="0" w:color="005597"/>
            </w:tcBorders>
            <w:shd w:val="clear" w:color="auto" w:fill="EAEDF6"/>
          </w:tcPr>
          <w:p w:rsidR="003B2ADE" w:rsidRDefault="003B2ADE" w:rsidP="007E04C2">
            <w:pPr>
              <w:pStyle w:val="TableParagraph"/>
              <w:spacing w:before="47"/>
              <w:ind w:left="113"/>
              <w:rPr>
                <w:sz w:val="15"/>
              </w:rPr>
            </w:pPr>
            <w:r>
              <w:rPr>
                <w:sz w:val="15"/>
              </w:rPr>
              <w:t>Garantire il miglior supporto</w:t>
            </w:r>
          </w:p>
        </w:tc>
        <w:tc>
          <w:tcPr>
            <w:tcW w:w="3005" w:type="dxa"/>
            <w:tcBorders>
              <w:top w:val="single" w:sz="4" w:space="0" w:color="005597"/>
            </w:tcBorders>
            <w:shd w:val="clear" w:color="auto" w:fill="EAEDF6"/>
          </w:tcPr>
          <w:p w:rsidR="003B2ADE" w:rsidRDefault="003B2ADE" w:rsidP="007E04C2">
            <w:pPr>
              <w:pStyle w:val="TableParagraph"/>
              <w:spacing w:before="49"/>
              <w:ind w:left="169"/>
              <w:rPr>
                <w:sz w:val="15"/>
              </w:rPr>
            </w:pPr>
            <w:r>
              <w:rPr>
                <w:sz w:val="15"/>
              </w:rPr>
              <w:t>Nel corso dell’anno si è vieppiù</w:t>
            </w:r>
          </w:p>
        </w:tc>
        <w:tc>
          <w:tcPr>
            <w:tcW w:w="3114" w:type="dxa"/>
            <w:tcBorders>
              <w:top w:val="single" w:sz="4" w:space="0" w:color="005597"/>
            </w:tcBorders>
            <w:shd w:val="clear" w:color="auto" w:fill="EAEDF6"/>
          </w:tcPr>
          <w:p w:rsidR="003B2ADE" w:rsidRDefault="003B2ADE" w:rsidP="007E04C2">
            <w:pPr>
              <w:pStyle w:val="TableParagraph"/>
              <w:spacing w:before="48"/>
              <w:ind w:left="112"/>
              <w:rPr>
                <w:sz w:val="15"/>
              </w:rPr>
            </w:pPr>
            <w:r>
              <w:rPr>
                <w:sz w:val="15"/>
              </w:rPr>
              <w:t>Saranno definiti nel dettaglio il pro-</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pacing w:val="5"/>
                <w:w w:val="106"/>
                <w:sz w:val="15"/>
              </w:rPr>
              <w:t>a</w:t>
            </w:r>
            <w:r>
              <w:rPr>
                <w:spacing w:val="4"/>
                <w:w w:val="73"/>
                <w:sz w:val="15"/>
              </w:rPr>
              <w:t>l</w:t>
            </w:r>
            <w:r>
              <w:rPr>
                <w:spacing w:val="6"/>
                <w:w w:val="73"/>
                <w:sz w:val="15"/>
              </w:rPr>
              <w:t>l</w:t>
            </w:r>
            <w:r>
              <w:rPr>
                <w:spacing w:val="7"/>
                <w:w w:val="60"/>
                <w:sz w:val="15"/>
              </w:rPr>
              <w:t>’</w:t>
            </w:r>
            <w:r>
              <w:rPr>
                <w:spacing w:val="7"/>
                <w:w w:val="116"/>
                <w:sz w:val="15"/>
              </w:rPr>
              <w:t>U</w:t>
            </w:r>
            <w:r>
              <w:rPr>
                <w:spacing w:val="6"/>
                <w:w w:val="147"/>
                <w:sz w:val="15"/>
              </w:rPr>
              <w:t>S</w:t>
            </w:r>
            <w:r>
              <w:rPr>
                <w:w w:val="96"/>
                <w:sz w:val="15"/>
              </w:rPr>
              <w:t>I</w:t>
            </w:r>
            <w:r>
              <w:rPr>
                <w:spacing w:val="10"/>
                <w:sz w:val="15"/>
              </w:rPr>
              <w:t xml:space="preserve"> </w:t>
            </w:r>
            <w:r>
              <w:rPr>
                <w:spacing w:val="5"/>
                <w:w w:val="99"/>
                <w:sz w:val="15"/>
              </w:rPr>
              <w:t>d</w:t>
            </w:r>
            <w:r>
              <w:rPr>
                <w:spacing w:val="5"/>
                <w:w w:val="102"/>
                <w:sz w:val="15"/>
              </w:rPr>
              <w:t>u</w:t>
            </w:r>
            <w:r>
              <w:rPr>
                <w:spacing w:val="6"/>
                <w:w w:val="114"/>
                <w:sz w:val="15"/>
              </w:rPr>
              <w:t>r</w:t>
            </w:r>
            <w:r>
              <w:rPr>
                <w:spacing w:val="5"/>
                <w:w w:val="106"/>
                <w:sz w:val="15"/>
              </w:rPr>
              <w:t>a</w:t>
            </w:r>
            <w:r>
              <w:rPr>
                <w:spacing w:val="6"/>
                <w:w w:val="102"/>
                <w:sz w:val="15"/>
              </w:rPr>
              <w:t>n</w:t>
            </w:r>
            <w:r>
              <w:rPr>
                <w:spacing w:val="7"/>
                <w:w w:val="108"/>
                <w:sz w:val="15"/>
              </w:rPr>
              <w:t>t</w:t>
            </w:r>
            <w:r>
              <w:rPr>
                <w:w w:val="101"/>
                <w:sz w:val="15"/>
              </w:rPr>
              <w:t>e</w:t>
            </w:r>
            <w:r>
              <w:rPr>
                <w:spacing w:val="10"/>
                <w:sz w:val="15"/>
              </w:rPr>
              <w:t xml:space="preserve"> </w:t>
            </w:r>
            <w:r>
              <w:rPr>
                <w:spacing w:val="5"/>
                <w:w w:val="73"/>
                <w:sz w:val="15"/>
              </w:rPr>
              <w:t>l</w:t>
            </w:r>
            <w:r>
              <w:rPr>
                <w:w w:val="106"/>
                <w:sz w:val="15"/>
              </w:rPr>
              <w:t>a</w:t>
            </w:r>
            <w:r>
              <w:rPr>
                <w:spacing w:val="10"/>
                <w:sz w:val="15"/>
              </w:rPr>
              <w:t xml:space="preserve"> </w:t>
            </w:r>
            <w:r>
              <w:rPr>
                <w:spacing w:val="8"/>
                <w:w w:val="90"/>
                <w:sz w:val="15"/>
              </w:rPr>
              <w:t>f</w:t>
            </w:r>
            <w:r>
              <w:rPr>
                <w:spacing w:val="5"/>
                <w:w w:val="106"/>
                <w:sz w:val="15"/>
              </w:rPr>
              <w:t>a</w:t>
            </w:r>
            <w:r>
              <w:rPr>
                <w:spacing w:val="6"/>
                <w:w w:val="135"/>
                <w:sz w:val="15"/>
              </w:rPr>
              <w:t>s</w:t>
            </w:r>
            <w:r>
              <w:rPr>
                <w:w w:val="101"/>
                <w:sz w:val="15"/>
              </w:rPr>
              <w:t>e</w:t>
            </w:r>
            <w:r>
              <w:rPr>
                <w:spacing w:val="10"/>
                <w:sz w:val="15"/>
              </w:rPr>
              <w:t xml:space="preserve"> </w:t>
            </w:r>
            <w:r>
              <w:rPr>
                <w:spacing w:val="5"/>
                <w:w w:val="99"/>
                <w:sz w:val="15"/>
              </w:rPr>
              <w:t>d</w:t>
            </w:r>
            <w:r>
              <w:rPr>
                <w:w w:val="76"/>
                <w:sz w:val="15"/>
              </w:rPr>
              <w:t>i</w:t>
            </w:r>
            <w:r>
              <w:rPr>
                <w:spacing w:val="10"/>
                <w:sz w:val="15"/>
              </w:rPr>
              <w:t xml:space="preserve"> </w:t>
            </w:r>
            <w:r>
              <w:rPr>
                <w:spacing w:val="6"/>
                <w:w w:val="106"/>
                <w:sz w:val="15"/>
              </w:rPr>
              <w:t>a</w:t>
            </w:r>
            <w:r>
              <w:rPr>
                <w:spacing w:val="11"/>
                <w:sz w:val="15"/>
              </w:rPr>
              <w:t>v</w:t>
            </w:r>
            <w:r>
              <w:rPr>
                <w:spacing w:val="7"/>
                <w:sz w:val="15"/>
              </w:rPr>
              <w:t>v</w:t>
            </w:r>
            <w:r>
              <w:rPr>
                <w:spacing w:val="5"/>
                <w:w w:val="76"/>
                <w:sz w:val="15"/>
              </w:rPr>
              <w:t>i</w:t>
            </w:r>
            <w:r>
              <w:rPr>
                <w:w w:val="103"/>
                <w:sz w:val="15"/>
              </w:rPr>
              <w:t>o</w:t>
            </w:r>
          </w:p>
        </w:tc>
        <w:tc>
          <w:tcPr>
            <w:tcW w:w="3005" w:type="dxa"/>
            <w:shd w:val="clear" w:color="auto" w:fill="EAEDF6"/>
          </w:tcPr>
          <w:p w:rsidR="003B2ADE" w:rsidRDefault="003B2ADE" w:rsidP="007E04C2">
            <w:pPr>
              <w:pStyle w:val="TableParagraph"/>
              <w:spacing w:before="25"/>
              <w:ind w:left="169"/>
              <w:rPr>
                <w:sz w:val="15"/>
              </w:rPr>
            </w:pPr>
            <w:r>
              <w:rPr>
                <w:sz w:val="15"/>
              </w:rPr>
              <w:t>consolidata la collaborazione per</w:t>
            </w:r>
          </w:p>
        </w:tc>
        <w:tc>
          <w:tcPr>
            <w:tcW w:w="3114" w:type="dxa"/>
            <w:shd w:val="clear" w:color="auto" w:fill="EAEDF6"/>
          </w:tcPr>
          <w:p w:rsidR="003B2ADE" w:rsidRDefault="003B2ADE" w:rsidP="007E04C2">
            <w:pPr>
              <w:pStyle w:val="TableParagraph"/>
              <w:spacing w:before="23"/>
              <w:ind w:left="112"/>
              <w:rPr>
                <w:sz w:val="15"/>
              </w:rPr>
            </w:pPr>
            <w:r>
              <w:rPr>
                <w:sz w:val="15"/>
              </w:rPr>
              <w:t>gramma di formazione degli studenti</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della Facoltà di Scienze Biome-</w:t>
            </w:r>
          </w:p>
        </w:tc>
        <w:tc>
          <w:tcPr>
            <w:tcW w:w="3005" w:type="dxa"/>
            <w:shd w:val="clear" w:color="auto" w:fill="EAEDF6"/>
          </w:tcPr>
          <w:p w:rsidR="003B2ADE" w:rsidRDefault="003B2ADE" w:rsidP="007E04C2">
            <w:pPr>
              <w:pStyle w:val="TableParagraph"/>
              <w:spacing w:before="25"/>
              <w:ind w:left="169"/>
              <w:rPr>
                <w:sz w:val="15"/>
              </w:rPr>
            </w:pPr>
            <w:r>
              <w:rPr>
                <w:sz w:val="15"/>
              </w:rPr>
              <w:t>la messa in atto di attività pro-</w:t>
            </w:r>
          </w:p>
        </w:tc>
        <w:tc>
          <w:tcPr>
            <w:tcW w:w="3114" w:type="dxa"/>
            <w:shd w:val="clear" w:color="auto" w:fill="EAEDF6"/>
          </w:tcPr>
          <w:p w:rsidR="003B2ADE" w:rsidRDefault="003B2ADE" w:rsidP="007E04C2">
            <w:pPr>
              <w:pStyle w:val="TableParagraph"/>
              <w:spacing w:before="23"/>
              <w:ind w:left="112"/>
              <w:rPr>
                <w:sz w:val="15"/>
              </w:rPr>
            </w:pPr>
            <w:r>
              <w:rPr>
                <w:w w:val="105"/>
                <w:sz w:val="15"/>
              </w:rPr>
              <w:t>del 1° anno accademico del Master.</w:t>
            </w:r>
          </w:p>
        </w:tc>
      </w:tr>
      <w:tr w:rsidR="003B2ADE" w:rsidTr="007E04C2">
        <w:trPr>
          <w:trHeight w:val="220"/>
        </w:trPr>
        <w:tc>
          <w:tcPr>
            <w:tcW w:w="2801" w:type="dxa"/>
            <w:shd w:val="clear" w:color="auto" w:fill="EAEDF6"/>
          </w:tcPr>
          <w:p w:rsidR="003B2ADE" w:rsidRDefault="003B2ADE" w:rsidP="007E04C2">
            <w:pPr>
              <w:pStyle w:val="TableParagraph"/>
              <w:spacing w:before="23"/>
              <w:rPr>
                <w:sz w:val="15"/>
              </w:rPr>
            </w:pPr>
            <w:r>
              <w:rPr>
                <w:w w:val="105"/>
                <w:sz w:val="15"/>
              </w:rPr>
              <w:t xml:space="preserve">   diche USI e del relativo Master</w:t>
            </w:r>
          </w:p>
        </w:tc>
        <w:tc>
          <w:tcPr>
            <w:tcW w:w="3005" w:type="dxa"/>
            <w:shd w:val="clear" w:color="auto" w:fill="EAEDF6"/>
          </w:tcPr>
          <w:p w:rsidR="003B2ADE" w:rsidRDefault="003B2ADE" w:rsidP="007E04C2">
            <w:pPr>
              <w:pStyle w:val="TableParagraph"/>
              <w:spacing w:before="25"/>
              <w:ind w:left="169"/>
              <w:rPr>
                <w:sz w:val="15"/>
              </w:rPr>
            </w:pPr>
            <w:r>
              <w:rPr>
                <w:w w:val="105"/>
                <w:sz w:val="15"/>
              </w:rPr>
              <w:t>grammatiche generali necessarie</w:t>
            </w:r>
          </w:p>
        </w:tc>
        <w:tc>
          <w:tcPr>
            <w:tcW w:w="3114" w:type="dxa"/>
            <w:shd w:val="clear" w:color="auto" w:fill="EAEDF6"/>
          </w:tcPr>
          <w:p w:rsidR="003B2ADE" w:rsidRDefault="003B2ADE" w:rsidP="007E04C2">
            <w:pPr>
              <w:pStyle w:val="TableParagraph"/>
              <w:spacing w:before="23"/>
              <w:ind w:left="112"/>
              <w:rPr>
                <w:sz w:val="15"/>
              </w:rPr>
            </w:pPr>
            <w:r>
              <w:rPr>
                <w:sz w:val="15"/>
              </w:rPr>
              <w:t>In particolare sarà finalizzato il pro-</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in Medicina Umana, attraverso</w:t>
            </w:r>
          </w:p>
        </w:tc>
        <w:tc>
          <w:tcPr>
            <w:tcW w:w="3005" w:type="dxa"/>
            <w:shd w:val="clear" w:color="auto" w:fill="EAEDF6"/>
          </w:tcPr>
          <w:p w:rsidR="003B2ADE" w:rsidRDefault="003B2ADE" w:rsidP="007E04C2">
            <w:pPr>
              <w:pStyle w:val="TableParagraph"/>
              <w:spacing w:before="25"/>
              <w:ind w:left="169"/>
              <w:rPr>
                <w:sz w:val="15"/>
              </w:rPr>
            </w:pPr>
            <w:r>
              <w:rPr>
                <w:sz w:val="15"/>
              </w:rPr>
              <w:t>allo sviluppo e all’avvio del Master</w:t>
            </w:r>
          </w:p>
        </w:tc>
        <w:tc>
          <w:tcPr>
            <w:tcW w:w="3114" w:type="dxa"/>
            <w:shd w:val="clear" w:color="auto" w:fill="EAEDF6"/>
          </w:tcPr>
          <w:p w:rsidR="003B2ADE" w:rsidRDefault="003B2ADE" w:rsidP="007E04C2">
            <w:pPr>
              <w:pStyle w:val="TableParagraph"/>
              <w:spacing w:before="23"/>
              <w:ind w:left="112"/>
              <w:rPr>
                <w:sz w:val="15"/>
              </w:rPr>
            </w:pPr>
            <w:r>
              <w:rPr>
                <w:sz w:val="15"/>
              </w:rPr>
              <w:t>gramma di dettaglio delle giornate di</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pacing w:val="5"/>
                <w:w w:val="102"/>
                <w:sz w:val="15"/>
              </w:rPr>
              <w:t>u</w:t>
            </w:r>
            <w:r>
              <w:rPr>
                <w:spacing w:val="3"/>
                <w:w w:val="102"/>
                <w:sz w:val="15"/>
              </w:rPr>
              <w:t>n</w:t>
            </w:r>
            <w:r>
              <w:rPr>
                <w:w w:val="60"/>
                <w:sz w:val="15"/>
              </w:rPr>
              <w:t>’</w:t>
            </w:r>
            <w:r>
              <w:rPr>
                <w:spacing w:val="5"/>
                <w:w w:val="106"/>
                <w:sz w:val="15"/>
              </w:rPr>
              <w:t>a</w:t>
            </w:r>
            <w:r>
              <w:rPr>
                <w:spacing w:val="6"/>
                <w:w w:val="109"/>
                <w:sz w:val="15"/>
              </w:rPr>
              <w:t>c</w:t>
            </w:r>
            <w:r>
              <w:rPr>
                <w:spacing w:val="5"/>
                <w:w w:val="109"/>
                <w:sz w:val="15"/>
              </w:rPr>
              <w:t>c</w:t>
            </w:r>
            <w:r>
              <w:rPr>
                <w:spacing w:val="7"/>
                <w:w w:val="114"/>
                <w:sz w:val="15"/>
              </w:rPr>
              <w:t>r</w:t>
            </w:r>
            <w:r>
              <w:rPr>
                <w:spacing w:val="6"/>
                <w:w w:val="101"/>
                <w:sz w:val="15"/>
              </w:rPr>
              <w:t>e</w:t>
            </w:r>
            <w:r>
              <w:rPr>
                <w:spacing w:val="6"/>
                <w:w w:val="135"/>
                <w:sz w:val="15"/>
              </w:rPr>
              <w:t>s</w:t>
            </w:r>
            <w:r>
              <w:rPr>
                <w:spacing w:val="5"/>
                <w:w w:val="109"/>
                <w:sz w:val="15"/>
              </w:rPr>
              <w:t>c</w:t>
            </w:r>
            <w:r>
              <w:rPr>
                <w:spacing w:val="5"/>
                <w:w w:val="76"/>
                <w:sz w:val="15"/>
              </w:rPr>
              <w:t>i</w:t>
            </w:r>
            <w:r>
              <w:rPr>
                <w:spacing w:val="7"/>
                <w:w w:val="102"/>
                <w:sz w:val="15"/>
              </w:rPr>
              <w:t>u</w:t>
            </w:r>
            <w:r>
              <w:rPr>
                <w:spacing w:val="7"/>
                <w:w w:val="107"/>
                <w:sz w:val="15"/>
              </w:rPr>
              <w:t>t</w:t>
            </w:r>
            <w:r>
              <w:rPr>
                <w:w w:val="107"/>
                <w:sz w:val="15"/>
              </w:rPr>
              <w:t>a</w:t>
            </w:r>
            <w:r>
              <w:rPr>
                <w:spacing w:val="10"/>
                <w:sz w:val="15"/>
              </w:rPr>
              <w:t xml:space="preserve"> </w:t>
            </w:r>
            <w:r>
              <w:rPr>
                <w:spacing w:val="7"/>
                <w:w w:val="106"/>
                <w:sz w:val="15"/>
              </w:rPr>
              <w:t>a</w:t>
            </w:r>
            <w:r>
              <w:rPr>
                <w:spacing w:val="8"/>
                <w:w w:val="108"/>
                <w:sz w:val="15"/>
              </w:rPr>
              <w:t>t</w:t>
            </w:r>
            <w:r>
              <w:rPr>
                <w:spacing w:val="6"/>
                <w:w w:val="108"/>
                <w:sz w:val="15"/>
              </w:rPr>
              <w:t>t</w:t>
            </w:r>
            <w:r>
              <w:rPr>
                <w:spacing w:val="7"/>
                <w:w w:val="87"/>
                <w:sz w:val="15"/>
              </w:rPr>
              <w:t>iv</w:t>
            </w:r>
            <w:r>
              <w:rPr>
                <w:spacing w:val="6"/>
                <w:w w:val="87"/>
                <w:sz w:val="15"/>
              </w:rPr>
              <w:t>i</w:t>
            </w:r>
            <w:r>
              <w:rPr>
                <w:spacing w:val="7"/>
                <w:w w:val="107"/>
                <w:sz w:val="15"/>
              </w:rPr>
              <w:t>t</w:t>
            </w:r>
            <w:r>
              <w:rPr>
                <w:w w:val="107"/>
                <w:sz w:val="15"/>
              </w:rPr>
              <w:t>à</w:t>
            </w:r>
            <w:r>
              <w:rPr>
                <w:spacing w:val="10"/>
                <w:sz w:val="15"/>
              </w:rPr>
              <w:t xml:space="preserve"> </w:t>
            </w:r>
            <w:r>
              <w:rPr>
                <w:spacing w:val="5"/>
                <w:w w:val="99"/>
                <w:sz w:val="15"/>
              </w:rPr>
              <w:t>d</w:t>
            </w:r>
            <w:r>
              <w:rPr>
                <w:spacing w:val="5"/>
                <w:w w:val="101"/>
                <w:sz w:val="15"/>
              </w:rPr>
              <w:t>e</w:t>
            </w:r>
            <w:r>
              <w:rPr>
                <w:w w:val="76"/>
                <w:sz w:val="15"/>
              </w:rPr>
              <w:t>i</w:t>
            </w:r>
            <w:r>
              <w:rPr>
                <w:spacing w:val="10"/>
                <w:sz w:val="15"/>
              </w:rPr>
              <w:t xml:space="preserve"> </w:t>
            </w:r>
            <w:r>
              <w:rPr>
                <w:spacing w:val="5"/>
                <w:sz w:val="15"/>
              </w:rPr>
              <w:t>m</w:t>
            </w:r>
            <w:r>
              <w:rPr>
                <w:spacing w:val="6"/>
                <w:w w:val="101"/>
                <w:sz w:val="15"/>
              </w:rPr>
              <w:t>e</w:t>
            </w:r>
            <w:r>
              <w:rPr>
                <w:spacing w:val="5"/>
                <w:w w:val="99"/>
                <w:sz w:val="15"/>
              </w:rPr>
              <w:t>d</w:t>
            </w:r>
            <w:r>
              <w:rPr>
                <w:spacing w:val="5"/>
                <w:w w:val="76"/>
                <w:sz w:val="15"/>
              </w:rPr>
              <w:t>i</w:t>
            </w:r>
            <w:r>
              <w:rPr>
                <w:spacing w:val="5"/>
                <w:w w:val="109"/>
                <w:sz w:val="15"/>
              </w:rPr>
              <w:t>c</w:t>
            </w:r>
            <w:r>
              <w:rPr>
                <w:w w:val="76"/>
                <w:sz w:val="15"/>
              </w:rPr>
              <w:t>i</w:t>
            </w:r>
          </w:p>
        </w:tc>
        <w:tc>
          <w:tcPr>
            <w:tcW w:w="3005" w:type="dxa"/>
            <w:shd w:val="clear" w:color="auto" w:fill="EAEDF6"/>
          </w:tcPr>
          <w:p w:rsidR="003B2ADE" w:rsidRDefault="003B2ADE" w:rsidP="007E04C2">
            <w:pPr>
              <w:pStyle w:val="TableParagraph"/>
              <w:spacing w:before="25"/>
              <w:ind w:left="169"/>
              <w:rPr>
                <w:sz w:val="15"/>
              </w:rPr>
            </w:pPr>
            <w:r>
              <w:rPr>
                <w:sz w:val="15"/>
              </w:rPr>
              <w:t>di Medicina Umana. In particolare</w:t>
            </w:r>
          </w:p>
        </w:tc>
        <w:tc>
          <w:tcPr>
            <w:tcW w:w="3114" w:type="dxa"/>
            <w:shd w:val="clear" w:color="auto" w:fill="EAEDF6"/>
          </w:tcPr>
          <w:p w:rsidR="003B2ADE" w:rsidRDefault="003B2ADE" w:rsidP="007E04C2">
            <w:pPr>
              <w:pStyle w:val="TableParagraph"/>
              <w:spacing w:before="23"/>
              <w:ind w:left="112"/>
              <w:rPr>
                <w:sz w:val="15"/>
              </w:rPr>
            </w:pPr>
            <w:r>
              <w:rPr>
                <w:sz w:val="15"/>
              </w:rPr>
              <w:t>presenza clinica degli studenti negli</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w w:val="105"/>
                <w:sz w:val="15"/>
              </w:rPr>
              <w:t>primari EOC e professori di ruolo</w:t>
            </w:r>
          </w:p>
        </w:tc>
        <w:tc>
          <w:tcPr>
            <w:tcW w:w="3005" w:type="dxa"/>
            <w:shd w:val="clear" w:color="auto" w:fill="EAEDF6"/>
          </w:tcPr>
          <w:p w:rsidR="003B2ADE" w:rsidRDefault="003B2ADE" w:rsidP="007E04C2">
            <w:pPr>
              <w:pStyle w:val="TableParagraph"/>
              <w:spacing w:before="25"/>
              <w:ind w:left="169"/>
              <w:rPr>
                <w:sz w:val="15"/>
              </w:rPr>
            </w:pPr>
            <w:r>
              <w:rPr>
                <w:sz w:val="15"/>
              </w:rPr>
              <w:t>ci si è concentrati sulla fattibilità</w:t>
            </w:r>
          </w:p>
        </w:tc>
        <w:tc>
          <w:tcPr>
            <w:tcW w:w="3114" w:type="dxa"/>
            <w:shd w:val="clear" w:color="auto" w:fill="EAEDF6"/>
          </w:tcPr>
          <w:p w:rsidR="003B2ADE" w:rsidRDefault="003B2ADE" w:rsidP="007E04C2">
            <w:pPr>
              <w:pStyle w:val="TableParagraph"/>
              <w:spacing w:before="23"/>
              <w:ind w:left="112"/>
              <w:rPr>
                <w:sz w:val="15"/>
              </w:rPr>
            </w:pPr>
            <w:r>
              <w:rPr>
                <w:sz w:val="15"/>
              </w:rPr>
              <w:t>ospedali durante i primi due anni del</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della Facoltà, alfine di giunge-</w:t>
            </w:r>
          </w:p>
        </w:tc>
        <w:tc>
          <w:tcPr>
            <w:tcW w:w="3005" w:type="dxa"/>
            <w:shd w:val="clear" w:color="auto" w:fill="EAEDF6"/>
          </w:tcPr>
          <w:p w:rsidR="003B2ADE" w:rsidRDefault="003B2ADE" w:rsidP="007E04C2">
            <w:pPr>
              <w:pStyle w:val="TableParagraph"/>
              <w:spacing w:before="25"/>
              <w:ind w:left="169"/>
              <w:rPr>
                <w:sz w:val="15"/>
              </w:rPr>
            </w:pPr>
            <w:r>
              <w:rPr>
                <w:sz w:val="15"/>
              </w:rPr>
              <w:t>del curriculum degli studi deciso,</w:t>
            </w:r>
          </w:p>
        </w:tc>
        <w:tc>
          <w:tcPr>
            <w:tcW w:w="3114" w:type="dxa"/>
            <w:shd w:val="clear" w:color="auto" w:fill="EAEDF6"/>
          </w:tcPr>
          <w:p w:rsidR="003B2ADE" w:rsidRDefault="003B2ADE" w:rsidP="007E04C2">
            <w:pPr>
              <w:pStyle w:val="TableParagraph"/>
              <w:spacing w:before="23"/>
              <w:ind w:left="112"/>
              <w:rPr>
                <w:sz w:val="15"/>
              </w:rPr>
            </w:pPr>
            <w:r>
              <w:rPr>
                <w:sz w:val="15"/>
              </w:rPr>
              <w:t>Master (il cosiddetto “bedside tea-</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re alla scadenza dell’autunno</w:t>
            </w:r>
          </w:p>
        </w:tc>
        <w:tc>
          <w:tcPr>
            <w:tcW w:w="3005" w:type="dxa"/>
            <w:shd w:val="clear" w:color="auto" w:fill="EAEDF6"/>
          </w:tcPr>
          <w:p w:rsidR="003B2ADE" w:rsidRDefault="003B2ADE" w:rsidP="007E04C2">
            <w:pPr>
              <w:pStyle w:val="TableParagraph"/>
              <w:spacing w:before="25"/>
              <w:ind w:left="169"/>
              <w:rPr>
                <w:sz w:val="15"/>
              </w:rPr>
            </w:pPr>
            <w:r>
              <w:rPr>
                <w:sz w:val="15"/>
              </w:rPr>
              <w:t>in particolare per quanto riguarda</w:t>
            </w:r>
          </w:p>
        </w:tc>
        <w:tc>
          <w:tcPr>
            <w:tcW w:w="3114" w:type="dxa"/>
            <w:shd w:val="clear" w:color="auto" w:fill="EAEDF6"/>
          </w:tcPr>
          <w:p w:rsidR="003B2ADE" w:rsidRDefault="003B2ADE" w:rsidP="007E04C2">
            <w:pPr>
              <w:pStyle w:val="TableParagraph"/>
              <w:spacing w:before="23"/>
              <w:ind w:left="112"/>
              <w:rPr>
                <w:sz w:val="15"/>
              </w:rPr>
            </w:pPr>
            <w:r>
              <w:rPr>
                <w:sz w:val="15"/>
              </w:rPr>
              <w:t>ching” ospedaliero).</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w w:val="105"/>
                <w:sz w:val="15"/>
              </w:rPr>
              <w:t>2020 non solo pronti, ma anche</w:t>
            </w:r>
          </w:p>
        </w:tc>
        <w:tc>
          <w:tcPr>
            <w:tcW w:w="3005" w:type="dxa"/>
            <w:shd w:val="clear" w:color="auto" w:fill="EAEDF6"/>
          </w:tcPr>
          <w:p w:rsidR="003B2ADE" w:rsidRDefault="003B2ADE" w:rsidP="007E04C2">
            <w:pPr>
              <w:pStyle w:val="TableParagraph"/>
              <w:spacing w:before="25"/>
              <w:ind w:left="169"/>
              <w:rPr>
                <w:sz w:val="15"/>
              </w:rPr>
            </w:pPr>
            <w:r>
              <w:rPr>
                <w:sz w:val="15"/>
              </w:rPr>
              <w:t>l’attività formativa degli studenti</w:t>
            </w:r>
          </w:p>
        </w:tc>
        <w:tc>
          <w:tcPr>
            <w:tcW w:w="3114" w:type="dxa"/>
            <w:shd w:val="clear" w:color="auto" w:fill="EAEDF6"/>
          </w:tcPr>
          <w:p w:rsidR="003B2ADE" w:rsidRDefault="003B2ADE" w:rsidP="007E04C2">
            <w:pPr>
              <w:pStyle w:val="TableParagraph"/>
              <w:spacing w:before="23"/>
              <w:ind w:left="112"/>
              <w:rPr>
                <w:sz w:val="15"/>
              </w:rPr>
            </w:pPr>
            <w:r>
              <w:rPr>
                <w:sz w:val="15"/>
              </w:rPr>
              <w:t>Nel contempo si progetterà il pro-</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w w:val="105"/>
                <w:sz w:val="15"/>
              </w:rPr>
              <w:t>adeguatamente attrattivi per</w:t>
            </w:r>
          </w:p>
        </w:tc>
        <w:tc>
          <w:tcPr>
            <w:tcW w:w="3005" w:type="dxa"/>
            <w:shd w:val="clear" w:color="auto" w:fill="EAEDF6"/>
          </w:tcPr>
          <w:p w:rsidR="003B2ADE" w:rsidRDefault="003B2ADE" w:rsidP="007E04C2">
            <w:pPr>
              <w:pStyle w:val="TableParagraph"/>
              <w:spacing w:before="25"/>
              <w:ind w:left="169"/>
              <w:rPr>
                <w:sz w:val="15"/>
              </w:rPr>
            </w:pPr>
            <w:r>
              <w:rPr>
                <w:sz w:val="15"/>
              </w:rPr>
              <w:t>del 1° e del 2° anno accademico del</w:t>
            </w:r>
          </w:p>
        </w:tc>
        <w:tc>
          <w:tcPr>
            <w:tcW w:w="3114" w:type="dxa"/>
            <w:shd w:val="clear" w:color="auto" w:fill="EAEDF6"/>
          </w:tcPr>
          <w:p w:rsidR="003B2ADE" w:rsidRDefault="003B2ADE" w:rsidP="007E04C2">
            <w:pPr>
              <w:pStyle w:val="TableParagraph"/>
              <w:spacing w:before="23"/>
              <w:ind w:left="112"/>
              <w:rPr>
                <w:sz w:val="15"/>
              </w:rPr>
            </w:pPr>
            <w:r>
              <w:rPr>
                <w:sz w:val="15"/>
              </w:rPr>
              <w:t>gramma di formazione rivolto a tutti</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accogliere i primi studenti che</w:t>
            </w:r>
          </w:p>
        </w:tc>
        <w:tc>
          <w:tcPr>
            <w:tcW w:w="3005" w:type="dxa"/>
            <w:shd w:val="clear" w:color="auto" w:fill="EAEDF6"/>
          </w:tcPr>
          <w:p w:rsidR="003B2ADE" w:rsidRDefault="003B2ADE" w:rsidP="007E04C2">
            <w:pPr>
              <w:pStyle w:val="TableParagraph"/>
              <w:spacing w:before="25"/>
              <w:ind w:left="169"/>
              <w:rPr>
                <w:sz w:val="15"/>
              </w:rPr>
            </w:pPr>
            <w:r>
              <w:rPr>
                <w:sz w:val="15"/>
              </w:rPr>
              <w:t>Master all’interno degli Ospedali</w:t>
            </w:r>
          </w:p>
        </w:tc>
        <w:tc>
          <w:tcPr>
            <w:tcW w:w="3114" w:type="dxa"/>
            <w:shd w:val="clear" w:color="auto" w:fill="EAEDF6"/>
          </w:tcPr>
          <w:p w:rsidR="003B2ADE" w:rsidRDefault="003B2ADE" w:rsidP="007E04C2">
            <w:pPr>
              <w:pStyle w:val="TableParagraph"/>
              <w:spacing w:before="23"/>
              <w:ind w:left="112"/>
              <w:rPr>
                <w:sz w:val="15"/>
              </w:rPr>
            </w:pPr>
            <w:r>
              <w:rPr>
                <w:sz w:val="15"/>
              </w:rPr>
              <w:t>i medici che seguiranno gli studenti</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avranno concluso il bachelor al</w:t>
            </w:r>
          </w:p>
        </w:tc>
        <w:tc>
          <w:tcPr>
            <w:tcW w:w="3005" w:type="dxa"/>
            <w:shd w:val="clear" w:color="auto" w:fill="EAEDF6"/>
          </w:tcPr>
          <w:p w:rsidR="003B2ADE" w:rsidRDefault="003B2ADE" w:rsidP="007E04C2">
            <w:pPr>
              <w:pStyle w:val="TableParagraph"/>
              <w:spacing w:before="25"/>
              <w:ind w:left="169"/>
              <w:rPr>
                <w:sz w:val="15"/>
              </w:rPr>
            </w:pPr>
            <w:r>
              <w:rPr>
                <w:sz w:val="15"/>
              </w:rPr>
              <w:t>Regionali durante le due giorna-</w:t>
            </w:r>
          </w:p>
        </w:tc>
        <w:tc>
          <w:tcPr>
            <w:tcW w:w="3114" w:type="dxa"/>
            <w:shd w:val="clear" w:color="auto" w:fill="EAEDF6"/>
          </w:tcPr>
          <w:p w:rsidR="003B2ADE" w:rsidRDefault="003B2ADE" w:rsidP="007E04C2">
            <w:pPr>
              <w:pStyle w:val="TableParagraph"/>
              <w:spacing w:before="23"/>
              <w:ind w:left="112"/>
              <w:rPr>
                <w:sz w:val="15"/>
              </w:rPr>
            </w:pPr>
            <w:r>
              <w:rPr>
                <w:sz w:val="15"/>
              </w:rPr>
              <w:t>durante le due giornate di presenza</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Politecnico federale di Zurigo</w:t>
            </w:r>
          </w:p>
        </w:tc>
        <w:tc>
          <w:tcPr>
            <w:tcW w:w="3005" w:type="dxa"/>
            <w:shd w:val="clear" w:color="auto" w:fill="EAEDF6"/>
          </w:tcPr>
          <w:p w:rsidR="003B2ADE" w:rsidRDefault="003B2ADE" w:rsidP="007E04C2">
            <w:pPr>
              <w:pStyle w:val="TableParagraph"/>
              <w:spacing w:before="25"/>
              <w:ind w:left="169"/>
              <w:rPr>
                <w:sz w:val="15"/>
              </w:rPr>
            </w:pPr>
            <w:r>
              <w:rPr>
                <w:sz w:val="15"/>
              </w:rPr>
              <w:t>te settimanali cliniche previste</w:t>
            </w:r>
          </w:p>
        </w:tc>
        <w:tc>
          <w:tcPr>
            <w:tcW w:w="3114" w:type="dxa"/>
            <w:shd w:val="clear" w:color="auto" w:fill="EAEDF6"/>
          </w:tcPr>
          <w:p w:rsidR="003B2ADE" w:rsidRDefault="003B2ADE" w:rsidP="007E04C2">
            <w:pPr>
              <w:pStyle w:val="TableParagraph"/>
              <w:spacing w:before="23"/>
              <w:ind w:left="112"/>
              <w:rPr>
                <w:sz w:val="15"/>
              </w:rPr>
            </w:pPr>
            <w:r>
              <w:rPr>
                <w:sz w:val="15"/>
              </w:rPr>
              <w:t>settimanale in ospedale. Si procederà</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(ETHZ) o in altre Facoltà di Me-</w:t>
            </w:r>
          </w:p>
        </w:tc>
        <w:tc>
          <w:tcPr>
            <w:tcW w:w="3005" w:type="dxa"/>
            <w:shd w:val="clear" w:color="auto" w:fill="EAEDF6"/>
          </w:tcPr>
          <w:p w:rsidR="003B2ADE" w:rsidRDefault="003B2ADE" w:rsidP="007E04C2">
            <w:pPr>
              <w:pStyle w:val="TableParagraph"/>
              <w:spacing w:before="25"/>
              <w:ind w:left="169"/>
              <w:rPr>
                <w:sz w:val="15"/>
              </w:rPr>
            </w:pPr>
            <w:r>
              <w:rPr>
                <w:sz w:val="15"/>
              </w:rPr>
              <w:t>(il cosiddetto “bedside teaching”</w:t>
            </w:r>
          </w:p>
        </w:tc>
        <w:tc>
          <w:tcPr>
            <w:tcW w:w="3114" w:type="dxa"/>
            <w:shd w:val="clear" w:color="auto" w:fill="EAEDF6"/>
          </w:tcPr>
          <w:p w:rsidR="003B2ADE" w:rsidRDefault="003B2ADE" w:rsidP="007E04C2">
            <w:pPr>
              <w:pStyle w:val="TableParagraph"/>
              <w:spacing w:before="23"/>
              <w:ind w:left="112"/>
              <w:rPr>
                <w:sz w:val="15"/>
              </w:rPr>
            </w:pPr>
            <w:r>
              <w:rPr>
                <w:sz w:val="15"/>
              </w:rPr>
              <w:t>quindi all’assunzione delle risorse</w:t>
            </w:r>
          </w:p>
        </w:tc>
      </w:tr>
      <w:tr w:rsidR="003B2ADE" w:rsidTr="007E04C2">
        <w:trPr>
          <w:trHeight w:val="220"/>
        </w:trPr>
        <w:tc>
          <w:tcPr>
            <w:tcW w:w="2801" w:type="dxa"/>
            <w:shd w:val="clear" w:color="auto" w:fill="EAEDF6"/>
          </w:tcPr>
          <w:p w:rsidR="003B2ADE" w:rsidRDefault="003B2ADE" w:rsidP="007E04C2">
            <w:pPr>
              <w:pStyle w:val="TableParagraph"/>
              <w:spacing w:before="23"/>
              <w:ind w:left="113"/>
              <w:rPr>
                <w:sz w:val="15"/>
              </w:rPr>
            </w:pPr>
            <w:r>
              <w:rPr>
                <w:sz w:val="15"/>
              </w:rPr>
              <w:t>dicina svizzere</w:t>
            </w:r>
          </w:p>
        </w:tc>
        <w:tc>
          <w:tcPr>
            <w:tcW w:w="3005" w:type="dxa"/>
            <w:shd w:val="clear" w:color="auto" w:fill="EAEDF6"/>
          </w:tcPr>
          <w:p w:rsidR="003B2ADE" w:rsidRDefault="003B2ADE" w:rsidP="007E04C2">
            <w:pPr>
              <w:pStyle w:val="TableParagraph"/>
              <w:spacing w:before="25"/>
              <w:ind w:left="169"/>
              <w:rPr>
                <w:sz w:val="15"/>
              </w:rPr>
            </w:pPr>
            <w:r>
              <w:rPr>
                <w:sz w:val="15"/>
              </w:rPr>
              <w:t>ospedaliero).</w:t>
            </w:r>
          </w:p>
        </w:tc>
        <w:tc>
          <w:tcPr>
            <w:tcW w:w="3114" w:type="dxa"/>
            <w:shd w:val="clear" w:color="auto" w:fill="EAEDF6"/>
          </w:tcPr>
          <w:p w:rsidR="003B2ADE" w:rsidRDefault="003B2ADE" w:rsidP="007E04C2">
            <w:pPr>
              <w:pStyle w:val="TableParagraph"/>
              <w:spacing w:before="23"/>
              <w:ind w:left="112"/>
              <w:rPr>
                <w:sz w:val="15"/>
              </w:rPr>
            </w:pPr>
            <w:r>
              <w:rPr>
                <w:sz w:val="15"/>
              </w:rPr>
              <w:t>mediche supplementari necessarie</w:t>
            </w:r>
          </w:p>
        </w:tc>
      </w:tr>
      <w:tr w:rsidR="003B2ADE" w:rsidTr="007E04C2">
        <w:trPr>
          <w:trHeight w:val="220"/>
        </w:trPr>
        <w:tc>
          <w:tcPr>
            <w:tcW w:w="2801" w:type="dxa"/>
            <w:shd w:val="clear" w:color="auto" w:fill="EAEDF6"/>
          </w:tcPr>
          <w:p w:rsidR="003B2ADE" w:rsidRDefault="003B2ADE" w:rsidP="007E04C2">
            <w:pPr>
              <w:pStyle w:val="TableParagraph"/>
              <w:spacing w:before="23"/>
              <w:rPr>
                <w:sz w:val="15"/>
              </w:rPr>
            </w:pPr>
            <w:r>
              <w:rPr>
                <w:sz w:val="15"/>
              </w:rPr>
              <w:t xml:space="preserve">   e avranno dato la loro preferenza</w:t>
            </w:r>
          </w:p>
        </w:tc>
        <w:tc>
          <w:tcPr>
            <w:tcW w:w="3005" w:type="dxa"/>
            <w:shd w:val="clear" w:color="auto" w:fill="EAEDF6"/>
          </w:tcPr>
          <w:p w:rsidR="003B2ADE" w:rsidRDefault="003B2ADE" w:rsidP="007E04C2">
            <w:pPr>
              <w:pStyle w:val="TableParagraph"/>
              <w:spacing w:before="25"/>
              <w:ind w:left="169"/>
              <w:rPr>
                <w:sz w:val="15"/>
              </w:rPr>
            </w:pPr>
            <w:r>
              <w:rPr>
                <w:sz w:val="15"/>
              </w:rPr>
              <w:t>È stato realizzato il progetto di</w:t>
            </w:r>
          </w:p>
        </w:tc>
        <w:tc>
          <w:tcPr>
            <w:tcW w:w="3114" w:type="dxa"/>
            <w:shd w:val="clear" w:color="auto" w:fill="EAEDF6"/>
          </w:tcPr>
          <w:p w:rsidR="003B2ADE" w:rsidRDefault="003B2ADE" w:rsidP="007E04C2">
            <w:pPr>
              <w:pStyle w:val="TableParagraph"/>
              <w:spacing w:before="23"/>
              <w:ind w:left="112"/>
              <w:rPr>
                <w:sz w:val="15"/>
              </w:rPr>
            </w:pPr>
            <w:r>
              <w:rPr>
                <w:sz w:val="15"/>
              </w:rPr>
              <w:t>all’avvio del 1° anno di Master.</w:t>
            </w:r>
          </w:p>
        </w:tc>
      </w:tr>
      <w:tr w:rsidR="003B2ADE" w:rsidTr="007E04C2">
        <w:trPr>
          <w:trHeight w:val="172"/>
        </w:trPr>
        <w:tc>
          <w:tcPr>
            <w:tcW w:w="2801" w:type="dxa"/>
            <w:shd w:val="clear" w:color="auto" w:fill="EAEDF6"/>
          </w:tcPr>
          <w:p w:rsidR="003B2ADE" w:rsidRDefault="003B2ADE" w:rsidP="007E04C2">
            <w:pPr>
              <w:pStyle w:val="TableParagraph"/>
              <w:spacing w:before="23" w:line="129" w:lineRule="exact"/>
              <w:ind w:left="113"/>
              <w:rPr>
                <w:sz w:val="15"/>
              </w:rPr>
            </w:pPr>
            <w:r>
              <w:rPr>
                <w:w w:val="105"/>
                <w:sz w:val="15"/>
              </w:rPr>
              <w:t>a proseguire gli studi al Master</w:t>
            </w:r>
          </w:p>
        </w:tc>
        <w:tc>
          <w:tcPr>
            <w:tcW w:w="3005" w:type="dxa"/>
            <w:shd w:val="clear" w:color="auto" w:fill="EAEDF6"/>
          </w:tcPr>
          <w:p w:rsidR="003B2ADE" w:rsidRDefault="003B2ADE" w:rsidP="007E04C2">
            <w:pPr>
              <w:pStyle w:val="TableParagraph"/>
              <w:spacing w:before="25" w:line="128" w:lineRule="exact"/>
              <w:ind w:left="169"/>
              <w:rPr>
                <w:sz w:val="15"/>
              </w:rPr>
            </w:pPr>
            <w:r>
              <w:rPr>
                <w:sz w:val="15"/>
              </w:rPr>
              <w:t>fattibilità allo scopo di:</w:t>
            </w:r>
          </w:p>
        </w:tc>
        <w:tc>
          <w:tcPr>
            <w:tcW w:w="3114" w:type="dxa"/>
            <w:shd w:val="clear" w:color="auto" w:fill="EAEDF6"/>
          </w:tcPr>
          <w:p w:rsidR="003B2ADE" w:rsidRDefault="003B2ADE" w:rsidP="007E04C2">
            <w:pPr>
              <w:pStyle w:val="TableParagraph"/>
              <w:rPr>
                <w:rFonts w:ascii="Times New Roman"/>
                <w:sz w:val="10"/>
              </w:rPr>
            </w:pPr>
          </w:p>
        </w:tc>
      </w:tr>
      <w:tr w:rsidR="003B2ADE" w:rsidTr="007E04C2">
        <w:trPr>
          <w:trHeight w:val="291"/>
        </w:trPr>
        <w:tc>
          <w:tcPr>
            <w:tcW w:w="2801" w:type="dxa"/>
            <w:shd w:val="clear" w:color="auto" w:fill="EAEDF6"/>
          </w:tcPr>
          <w:p w:rsidR="003B2ADE" w:rsidRDefault="003B2ADE" w:rsidP="007E04C2">
            <w:pPr>
              <w:pStyle w:val="TableParagraph"/>
              <w:spacing w:before="70"/>
              <w:ind w:left="113"/>
              <w:rPr>
                <w:sz w:val="15"/>
              </w:rPr>
            </w:pPr>
            <w:r>
              <w:rPr>
                <w:sz w:val="15"/>
              </w:rPr>
              <w:t>di Medicina Umana della Facoltà</w:t>
            </w:r>
          </w:p>
        </w:tc>
        <w:tc>
          <w:tcPr>
            <w:tcW w:w="3005" w:type="dxa"/>
            <w:shd w:val="clear" w:color="auto" w:fill="EAEDF6"/>
          </w:tcPr>
          <w:p w:rsidR="003B2ADE" w:rsidRDefault="003B2ADE" w:rsidP="003B2ADE">
            <w:pPr>
              <w:pStyle w:val="TableParagraph"/>
              <w:numPr>
                <w:ilvl w:val="0"/>
                <w:numId w:val="43"/>
              </w:numPr>
              <w:tabs>
                <w:tab w:val="left" w:pos="529"/>
                <w:tab w:val="left" w:pos="530"/>
              </w:tabs>
              <w:spacing w:line="272" w:lineRule="exact"/>
              <w:rPr>
                <w:sz w:val="15"/>
              </w:rPr>
            </w:pPr>
            <w:r>
              <w:rPr>
                <w:spacing w:val="5"/>
                <w:sz w:val="15"/>
              </w:rPr>
              <w:t xml:space="preserve">valutare </w:t>
            </w:r>
            <w:r>
              <w:rPr>
                <w:spacing w:val="2"/>
                <w:sz w:val="15"/>
              </w:rPr>
              <w:t xml:space="preserve">la </w:t>
            </w:r>
            <w:r>
              <w:rPr>
                <w:spacing w:val="4"/>
                <w:sz w:val="15"/>
              </w:rPr>
              <w:t xml:space="preserve">disponibilità </w:t>
            </w:r>
            <w:r>
              <w:rPr>
                <w:spacing w:val="2"/>
                <w:sz w:val="15"/>
              </w:rPr>
              <w:t>di</w:t>
            </w:r>
            <w:r>
              <w:rPr>
                <w:spacing w:val="22"/>
                <w:sz w:val="15"/>
              </w:rPr>
              <w:t xml:space="preserve"> </w:t>
            </w:r>
            <w:r>
              <w:rPr>
                <w:spacing w:val="5"/>
                <w:sz w:val="15"/>
              </w:rPr>
              <w:t>prin-</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194"/>
        </w:trPr>
        <w:tc>
          <w:tcPr>
            <w:tcW w:w="2801" w:type="dxa"/>
            <w:shd w:val="clear" w:color="auto" w:fill="EAEDF6"/>
          </w:tcPr>
          <w:p w:rsidR="003B2ADE" w:rsidRDefault="003B2ADE" w:rsidP="007E04C2">
            <w:pPr>
              <w:pStyle w:val="TableParagraph"/>
              <w:spacing w:line="173" w:lineRule="exact"/>
              <w:ind w:left="113"/>
              <w:rPr>
                <w:sz w:val="15"/>
              </w:rPr>
            </w:pPr>
            <w:r>
              <w:rPr>
                <w:sz w:val="15"/>
              </w:rPr>
              <w:t>di Scienze Biomediche USI.</w:t>
            </w:r>
          </w:p>
        </w:tc>
        <w:tc>
          <w:tcPr>
            <w:tcW w:w="3005" w:type="dxa"/>
            <w:shd w:val="clear" w:color="auto" w:fill="EAEDF6"/>
          </w:tcPr>
          <w:p w:rsidR="003B2ADE" w:rsidRDefault="003B2ADE" w:rsidP="007E04C2">
            <w:pPr>
              <w:pStyle w:val="TableParagraph"/>
              <w:spacing w:line="172" w:lineRule="exact"/>
              <w:ind w:left="529"/>
              <w:rPr>
                <w:sz w:val="15"/>
              </w:rPr>
            </w:pPr>
            <w:r>
              <w:rPr>
                <w:sz w:val="15"/>
              </w:rPr>
              <w:t>cipio delle strutture coinvolte</w:t>
            </w:r>
          </w:p>
        </w:tc>
        <w:tc>
          <w:tcPr>
            <w:tcW w:w="3114" w:type="dxa"/>
            <w:shd w:val="clear" w:color="auto" w:fill="EAEDF6"/>
          </w:tcPr>
          <w:p w:rsidR="003B2ADE" w:rsidRDefault="003B2ADE" w:rsidP="007E04C2">
            <w:pPr>
              <w:pStyle w:val="TableParagraph"/>
              <w:rPr>
                <w:rFonts w:ascii="Times New Roman"/>
                <w:sz w:val="12"/>
              </w:rPr>
            </w:pPr>
          </w:p>
        </w:tc>
      </w:tr>
      <w:tr w:rsidR="003B2ADE" w:rsidTr="007E04C2">
        <w:trPr>
          <w:trHeight w:val="220"/>
        </w:trPr>
        <w:tc>
          <w:tcPr>
            <w:tcW w:w="2801" w:type="dxa"/>
            <w:shd w:val="clear" w:color="auto" w:fill="EAEDF6"/>
          </w:tcPr>
          <w:p w:rsidR="003B2ADE" w:rsidRDefault="003B2ADE" w:rsidP="007E04C2">
            <w:pPr>
              <w:pStyle w:val="TableParagraph"/>
              <w:spacing w:before="24"/>
              <w:ind w:left="113"/>
              <w:rPr>
                <w:sz w:val="15"/>
              </w:rPr>
            </w:pPr>
            <w:r>
              <w:rPr>
                <w:w w:val="105"/>
                <w:sz w:val="15"/>
              </w:rPr>
              <w:t>Ricercare in stretta collabora-</w:t>
            </w:r>
          </w:p>
        </w:tc>
        <w:tc>
          <w:tcPr>
            <w:tcW w:w="3005" w:type="dxa"/>
            <w:shd w:val="clear" w:color="auto" w:fill="EAEDF6"/>
          </w:tcPr>
          <w:p w:rsidR="003B2ADE" w:rsidRDefault="003B2ADE" w:rsidP="007E04C2">
            <w:pPr>
              <w:pStyle w:val="TableParagraph"/>
              <w:spacing w:before="23"/>
              <w:ind w:left="529"/>
              <w:rPr>
                <w:sz w:val="15"/>
              </w:rPr>
            </w:pPr>
            <w:r>
              <w:rPr>
                <w:sz w:val="15"/>
              </w:rPr>
              <w:t>a contribuire attivamente alla</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173"/>
        </w:trPr>
        <w:tc>
          <w:tcPr>
            <w:tcW w:w="2801" w:type="dxa"/>
            <w:shd w:val="clear" w:color="auto" w:fill="EAEDF6"/>
          </w:tcPr>
          <w:p w:rsidR="003B2ADE" w:rsidRDefault="003B2ADE" w:rsidP="007E04C2">
            <w:pPr>
              <w:pStyle w:val="TableParagraph"/>
              <w:spacing w:before="24" w:line="129" w:lineRule="exact"/>
              <w:ind w:left="113"/>
              <w:rPr>
                <w:sz w:val="15"/>
              </w:rPr>
            </w:pPr>
            <w:r>
              <w:rPr>
                <w:spacing w:val="6"/>
                <w:w w:val="101"/>
                <w:sz w:val="15"/>
              </w:rPr>
              <w:t>z</w:t>
            </w:r>
            <w:r>
              <w:rPr>
                <w:spacing w:val="5"/>
                <w:w w:val="76"/>
                <w:sz w:val="15"/>
              </w:rPr>
              <w:t>i</w:t>
            </w:r>
            <w:r>
              <w:rPr>
                <w:spacing w:val="5"/>
                <w:w w:val="103"/>
                <w:sz w:val="15"/>
              </w:rPr>
              <w:t>o</w:t>
            </w:r>
            <w:r>
              <w:rPr>
                <w:spacing w:val="5"/>
                <w:w w:val="102"/>
                <w:sz w:val="15"/>
              </w:rPr>
              <w:t>n</w:t>
            </w:r>
            <w:r>
              <w:rPr>
                <w:w w:val="101"/>
                <w:sz w:val="15"/>
              </w:rPr>
              <w:t>e</w:t>
            </w:r>
            <w:r>
              <w:rPr>
                <w:spacing w:val="10"/>
                <w:sz w:val="15"/>
              </w:rPr>
              <w:t xml:space="preserve"> </w:t>
            </w:r>
            <w:r>
              <w:rPr>
                <w:spacing w:val="6"/>
                <w:w w:val="109"/>
                <w:sz w:val="15"/>
              </w:rPr>
              <w:t>c</w:t>
            </w:r>
            <w:r>
              <w:rPr>
                <w:spacing w:val="5"/>
                <w:w w:val="103"/>
                <w:sz w:val="15"/>
              </w:rPr>
              <w:t>o</w:t>
            </w:r>
            <w:r>
              <w:rPr>
                <w:w w:val="102"/>
                <w:sz w:val="15"/>
              </w:rPr>
              <w:t>n</w:t>
            </w:r>
            <w:r>
              <w:rPr>
                <w:spacing w:val="10"/>
                <w:sz w:val="15"/>
              </w:rPr>
              <w:t xml:space="preserve"> </w:t>
            </w:r>
            <w:r>
              <w:rPr>
                <w:spacing w:val="6"/>
                <w:w w:val="73"/>
                <w:sz w:val="15"/>
              </w:rPr>
              <w:t>l</w:t>
            </w:r>
            <w:r>
              <w:rPr>
                <w:spacing w:val="7"/>
                <w:w w:val="60"/>
                <w:sz w:val="15"/>
              </w:rPr>
              <w:t>’</w:t>
            </w:r>
            <w:r>
              <w:rPr>
                <w:spacing w:val="7"/>
                <w:w w:val="116"/>
                <w:sz w:val="15"/>
              </w:rPr>
              <w:t>U</w:t>
            </w:r>
            <w:r>
              <w:rPr>
                <w:spacing w:val="6"/>
                <w:w w:val="147"/>
                <w:sz w:val="15"/>
              </w:rPr>
              <w:t>S</w:t>
            </w:r>
            <w:r>
              <w:rPr>
                <w:w w:val="96"/>
                <w:sz w:val="15"/>
              </w:rPr>
              <w:t>I</w:t>
            </w:r>
            <w:r>
              <w:rPr>
                <w:spacing w:val="10"/>
                <w:sz w:val="15"/>
              </w:rPr>
              <w:t xml:space="preserve"> </w:t>
            </w:r>
            <w:r>
              <w:rPr>
                <w:w w:val="101"/>
                <w:sz w:val="15"/>
              </w:rPr>
              <w:t>e</w:t>
            </w:r>
            <w:r>
              <w:rPr>
                <w:spacing w:val="10"/>
                <w:sz w:val="15"/>
              </w:rPr>
              <w:t xml:space="preserve"> </w:t>
            </w:r>
            <w:r>
              <w:rPr>
                <w:spacing w:val="6"/>
                <w:w w:val="109"/>
                <w:sz w:val="15"/>
              </w:rPr>
              <w:t>c</w:t>
            </w:r>
            <w:r>
              <w:rPr>
                <w:spacing w:val="5"/>
                <w:w w:val="103"/>
                <w:sz w:val="15"/>
              </w:rPr>
              <w:t>o</w:t>
            </w:r>
            <w:r>
              <w:rPr>
                <w:w w:val="102"/>
                <w:sz w:val="15"/>
              </w:rPr>
              <w:t>n</w:t>
            </w:r>
            <w:r>
              <w:rPr>
                <w:spacing w:val="10"/>
                <w:sz w:val="15"/>
              </w:rPr>
              <w:t xml:space="preserve"> </w:t>
            </w:r>
            <w:r>
              <w:rPr>
                <w:spacing w:val="4"/>
                <w:w w:val="76"/>
                <w:sz w:val="15"/>
              </w:rPr>
              <w:t>i</w:t>
            </w:r>
            <w:r>
              <w:rPr>
                <w:w w:val="73"/>
                <w:sz w:val="15"/>
              </w:rPr>
              <w:t>l</w:t>
            </w:r>
            <w:r>
              <w:rPr>
                <w:spacing w:val="10"/>
                <w:sz w:val="15"/>
              </w:rPr>
              <w:t xml:space="preserve"> </w:t>
            </w:r>
            <w:r>
              <w:rPr>
                <w:spacing w:val="7"/>
                <w:w w:val="120"/>
                <w:sz w:val="15"/>
              </w:rPr>
              <w:t>C</w:t>
            </w:r>
            <w:r>
              <w:rPr>
                <w:spacing w:val="5"/>
                <w:w w:val="106"/>
                <w:sz w:val="15"/>
              </w:rPr>
              <w:t>a</w:t>
            </w:r>
            <w:r>
              <w:rPr>
                <w:spacing w:val="6"/>
                <w:w w:val="102"/>
                <w:sz w:val="15"/>
              </w:rPr>
              <w:t>n</w:t>
            </w:r>
            <w:r>
              <w:rPr>
                <w:spacing w:val="7"/>
                <w:w w:val="108"/>
                <w:sz w:val="15"/>
              </w:rPr>
              <w:t>t</w:t>
            </w:r>
            <w:r>
              <w:rPr>
                <w:spacing w:val="5"/>
                <w:w w:val="103"/>
                <w:sz w:val="15"/>
              </w:rPr>
              <w:t>o</w:t>
            </w:r>
            <w:r>
              <w:rPr>
                <w:spacing w:val="5"/>
                <w:w w:val="102"/>
                <w:sz w:val="15"/>
              </w:rPr>
              <w:t>n</w:t>
            </w:r>
            <w:r>
              <w:rPr>
                <w:w w:val="101"/>
                <w:sz w:val="15"/>
              </w:rPr>
              <w:t>e</w:t>
            </w:r>
          </w:p>
        </w:tc>
        <w:tc>
          <w:tcPr>
            <w:tcW w:w="3005" w:type="dxa"/>
            <w:shd w:val="clear" w:color="auto" w:fill="EAEDF6"/>
          </w:tcPr>
          <w:p w:rsidR="003B2ADE" w:rsidRDefault="003B2ADE" w:rsidP="007E04C2">
            <w:pPr>
              <w:pStyle w:val="TableParagraph"/>
              <w:spacing w:before="23" w:line="129" w:lineRule="exact"/>
              <w:ind w:left="529"/>
              <w:rPr>
                <w:sz w:val="15"/>
              </w:rPr>
            </w:pPr>
            <w:r>
              <w:rPr>
                <w:sz w:val="15"/>
              </w:rPr>
              <w:t>formazione degli studenti;</w:t>
            </w:r>
          </w:p>
        </w:tc>
        <w:tc>
          <w:tcPr>
            <w:tcW w:w="3114" w:type="dxa"/>
            <w:shd w:val="clear" w:color="auto" w:fill="EAEDF6"/>
          </w:tcPr>
          <w:p w:rsidR="003B2ADE" w:rsidRDefault="003B2ADE" w:rsidP="007E04C2">
            <w:pPr>
              <w:pStyle w:val="TableParagraph"/>
              <w:rPr>
                <w:rFonts w:ascii="Times New Roman"/>
                <w:sz w:val="10"/>
              </w:rPr>
            </w:pPr>
          </w:p>
        </w:tc>
      </w:tr>
      <w:tr w:rsidR="003B2ADE" w:rsidTr="007E04C2">
        <w:trPr>
          <w:trHeight w:val="292"/>
        </w:trPr>
        <w:tc>
          <w:tcPr>
            <w:tcW w:w="2801" w:type="dxa"/>
            <w:shd w:val="clear" w:color="auto" w:fill="EAEDF6"/>
          </w:tcPr>
          <w:p w:rsidR="003B2ADE" w:rsidRDefault="003B2ADE" w:rsidP="007E04C2">
            <w:pPr>
              <w:pStyle w:val="TableParagraph"/>
              <w:spacing w:before="71"/>
              <w:ind w:left="113"/>
              <w:rPr>
                <w:sz w:val="15"/>
              </w:rPr>
            </w:pPr>
            <w:r>
              <w:rPr>
                <w:w w:val="105"/>
                <w:sz w:val="15"/>
              </w:rPr>
              <w:t>un accordo per garantire un</w:t>
            </w:r>
          </w:p>
        </w:tc>
        <w:tc>
          <w:tcPr>
            <w:tcW w:w="3005" w:type="dxa"/>
            <w:shd w:val="clear" w:color="auto" w:fill="EAEDF6"/>
          </w:tcPr>
          <w:p w:rsidR="003B2ADE" w:rsidRDefault="003B2ADE" w:rsidP="003B2ADE">
            <w:pPr>
              <w:pStyle w:val="TableParagraph"/>
              <w:numPr>
                <w:ilvl w:val="0"/>
                <w:numId w:val="42"/>
              </w:numPr>
              <w:tabs>
                <w:tab w:val="left" w:pos="529"/>
                <w:tab w:val="left" w:pos="530"/>
              </w:tabs>
              <w:spacing w:line="273" w:lineRule="exact"/>
              <w:rPr>
                <w:sz w:val="15"/>
              </w:rPr>
            </w:pPr>
            <w:r>
              <w:rPr>
                <w:spacing w:val="5"/>
                <w:sz w:val="15"/>
              </w:rPr>
              <w:t xml:space="preserve">quantificare </w:t>
            </w:r>
            <w:r>
              <w:rPr>
                <w:sz w:val="15"/>
              </w:rPr>
              <w:t xml:space="preserve">il </w:t>
            </w:r>
            <w:r>
              <w:rPr>
                <w:spacing w:val="4"/>
                <w:sz w:val="15"/>
              </w:rPr>
              <w:t>numero</w:t>
            </w:r>
            <w:r>
              <w:rPr>
                <w:spacing w:val="23"/>
                <w:sz w:val="15"/>
              </w:rPr>
              <w:t xml:space="preserve"> </w:t>
            </w:r>
            <w:r>
              <w:rPr>
                <w:spacing w:val="3"/>
                <w:sz w:val="15"/>
              </w:rPr>
              <w:t>delle</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194"/>
        </w:trPr>
        <w:tc>
          <w:tcPr>
            <w:tcW w:w="2801" w:type="dxa"/>
            <w:shd w:val="clear" w:color="auto" w:fill="EAEDF6"/>
          </w:tcPr>
          <w:p w:rsidR="003B2ADE" w:rsidRDefault="003B2ADE" w:rsidP="007E04C2">
            <w:pPr>
              <w:pStyle w:val="TableParagraph"/>
              <w:spacing w:line="173" w:lineRule="exact"/>
              <w:ind w:left="113"/>
              <w:rPr>
                <w:sz w:val="15"/>
              </w:rPr>
            </w:pPr>
            <w:r>
              <w:rPr>
                <w:sz w:val="15"/>
              </w:rPr>
              <w:t>minimo finanziamento dei costi</w:t>
            </w:r>
          </w:p>
        </w:tc>
        <w:tc>
          <w:tcPr>
            <w:tcW w:w="3005" w:type="dxa"/>
            <w:shd w:val="clear" w:color="auto" w:fill="EAEDF6"/>
          </w:tcPr>
          <w:p w:rsidR="003B2ADE" w:rsidRDefault="003B2ADE" w:rsidP="007E04C2">
            <w:pPr>
              <w:pStyle w:val="TableParagraph"/>
              <w:spacing w:line="172" w:lineRule="exact"/>
              <w:ind w:left="529"/>
              <w:rPr>
                <w:sz w:val="15"/>
              </w:rPr>
            </w:pPr>
            <w:r>
              <w:rPr>
                <w:w w:val="105"/>
                <w:sz w:val="15"/>
              </w:rPr>
              <w:t>risorse mediche quadro supple-</w:t>
            </w:r>
          </w:p>
        </w:tc>
        <w:tc>
          <w:tcPr>
            <w:tcW w:w="3114" w:type="dxa"/>
            <w:shd w:val="clear" w:color="auto" w:fill="EAEDF6"/>
          </w:tcPr>
          <w:p w:rsidR="003B2ADE" w:rsidRDefault="003B2ADE" w:rsidP="007E04C2">
            <w:pPr>
              <w:pStyle w:val="TableParagraph"/>
              <w:rPr>
                <w:rFonts w:ascii="Times New Roman"/>
                <w:sz w:val="12"/>
              </w:rPr>
            </w:pPr>
          </w:p>
        </w:tc>
      </w:tr>
      <w:tr w:rsidR="003B2ADE" w:rsidTr="007E04C2">
        <w:trPr>
          <w:trHeight w:val="173"/>
        </w:trPr>
        <w:tc>
          <w:tcPr>
            <w:tcW w:w="2801" w:type="dxa"/>
            <w:shd w:val="clear" w:color="auto" w:fill="EAEDF6"/>
          </w:tcPr>
          <w:p w:rsidR="003B2ADE" w:rsidRDefault="003B2ADE" w:rsidP="007E04C2">
            <w:pPr>
              <w:pStyle w:val="TableParagraph"/>
              <w:spacing w:before="24" w:line="128" w:lineRule="exact"/>
              <w:ind w:left="113"/>
              <w:rPr>
                <w:sz w:val="15"/>
              </w:rPr>
            </w:pPr>
            <w:r>
              <w:rPr>
                <w:spacing w:val="7"/>
                <w:w w:val="114"/>
                <w:sz w:val="15"/>
              </w:rPr>
              <w:t>r</w:t>
            </w:r>
            <w:r>
              <w:rPr>
                <w:spacing w:val="6"/>
                <w:w w:val="101"/>
                <w:sz w:val="15"/>
              </w:rPr>
              <w:t>e</w:t>
            </w:r>
            <w:r>
              <w:rPr>
                <w:spacing w:val="5"/>
                <w:w w:val="109"/>
                <w:sz w:val="15"/>
              </w:rPr>
              <w:t>g</w:t>
            </w:r>
            <w:r>
              <w:rPr>
                <w:spacing w:val="5"/>
                <w:w w:val="76"/>
                <w:sz w:val="15"/>
              </w:rPr>
              <w:t>i</w:t>
            </w:r>
            <w:r>
              <w:rPr>
                <w:spacing w:val="7"/>
                <w:w w:val="135"/>
                <w:sz w:val="15"/>
              </w:rPr>
              <w:t>s</w:t>
            </w:r>
            <w:r>
              <w:rPr>
                <w:spacing w:val="6"/>
                <w:w w:val="108"/>
                <w:sz w:val="15"/>
              </w:rPr>
              <w:t>t</w:t>
            </w:r>
            <w:r>
              <w:rPr>
                <w:spacing w:val="6"/>
                <w:w w:val="114"/>
                <w:sz w:val="15"/>
              </w:rPr>
              <w:t>r</w:t>
            </w:r>
            <w:r>
              <w:rPr>
                <w:spacing w:val="7"/>
                <w:w w:val="106"/>
                <w:sz w:val="15"/>
              </w:rPr>
              <w:t>a</w:t>
            </w:r>
            <w:r>
              <w:rPr>
                <w:spacing w:val="6"/>
                <w:w w:val="108"/>
                <w:sz w:val="15"/>
              </w:rPr>
              <w:t>t</w:t>
            </w:r>
            <w:r>
              <w:rPr>
                <w:w w:val="76"/>
                <w:sz w:val="15"/>
              </w:rPr>
              <w:t>i</w:t>
            </w:r>
            <w:r>
              <w:rPr>
                <w:spacing w:val="10"/>
                <w:sz w:val="15"/>
              </w:rPr>
              <w:t xml:space="preserve"> </w:t>
            </w:r>
            <w:r>
              <w:rPr>
                <w:spacing w:val="5"/>
                <w:w w:val="99"/>
                <w:sz w:val="15"/>
              </w:rPr>
              <w:t>d</w:t>
            </w:r>
            <w:r>
              <w:rPr>
                <w:spacing w:val="5"/>
                <w:w w:val="106"/>
                <w:sz w:val="15"/>
              </w:rPr>
              <w:t>a</w:t>
            </w:r>
            <w:r>
              <w:rPr>
                <w:spacing w:val="4"/>
                <w:w w:val="73"/>
                <w:sz w:val="15"/>
              </w:rPr>
              <w:t>l</w:t>
            </w:r>
            <w:r>
              <w:rPr>
                <w:spacing w:val="6"/>
                <w:w w:val="73"/>
                <w:sz w:val="15"/>
              </w:rPr>
              <w:t>l</w:t>
            </w:r>
            <w:r>
              <w:rPr>
                <w:spacing w:val="6"/>
                <w:w w:val="60"/>
                <w:sz w:val="15"/>
              </w:rPr>
              <w:t>’</w:t>
            </w:r>
            <w:r>
              <w:rPr>
                <w:spacing w:val="6"/>
                <w:w w:val="125"/>
                <w:sz w:val="15"/>
              </w:rPr>
              <w:t>E</w:t>
            </w:r>
            <w:r>
              <w:rPr>
                <w:spacing w:val="6"/>
                <w:w w:val="115"/>
                <w:sz w:val="15"/>
              </w:rPr>
              <w:t>O</w:t>
            </w:r>
            <w:r>
              <w:rPr>
                <w:w w:val="120"/>
                <w:sz w:val="15"/>
              </w:rPr>
              <w:t>C</w:t>
            </w:r>
            <w:r>
              <w:rPr>
                <w:spacing w:val="10"/>
                <w:sz w:val="15"/>
              </w:rPr>
              <w:t xml:space="preserve"> </w:t>
            </w:r>
            <w:r>
              <w:rPr>
                <w:spacing w:val="6"/>
                <w:w w:val="99"/>
                <w:sz w:val="15"/>
              </w:rPr>
              <w:t>p</w:t>
            </w:r>
            <w:r>
              <w:rPr>
                <w:spacing w:val="5"/>
                <w:w w:val="101"/>
                <w:sz w:val="15"/>
              </w:rPr>
              <w:t>e</w:t>
            </w:r>
            <w:r>
              <w:rPr>
                <w:w w:val="114"/>
                <w:sz w:val="15"/>
              </w:rPr>
              <w:t>r</w:t>
            </w:r>
            <w:r>
              <w:rPr>
                <w:spacing w:val="10"/>
                <w:sz w:val="15"/>
              </w:rPr>
              <w:t xml:space="preserve"> </w:t>
            </w:r>
            <w:r>
              <w:rPr>
                <w:spacing w:val="5"/>
                <w:w w:val="73"/>
                <w:sz w:val="15"/>
              </w:rPr>
              <w:t>l</w:t>
            </w:r>
            <w:r>
              <w:rPr>
                <w:w w:val="106"/>
                <w:sz w:val="15"/>
              </w:rPr>
              <w:t>a</w:t>
            </w:r>
            <w:r>
              <w:rPr>
                <w:spacing w:val="10"/>
                <w:sz w:val="15"/>
              </w:rPr>
              <w:t xml:space="preserve"> </w:t>
            </w:r>
            <w:r>
              <w:rPr>
                <w:spacing w:val="8"/>
                <w:w w:val="90"/>
                <w:sz w:val="15"/>
              </w:rPr>
              <w:t>f</w:t>
            </w:r>
            <w:r>
              <w:rPr>
                <w:spacing w:val="5"/>
                <w:w w:val="106"/>
                <w:sz w:val="15"/>
              </w:rPr>
              <w:t>a</w:t>
            </w:r>
            <w:r>
              <w:rPr>
                <w:spacing w:val="6"/>
                <w:w w:val="135"/>
                <w:sz w:val="15"/>
              </w:rPr>
              <w:t>s</w:t>
            </w:r>
            <w:r>
              <w:rPr>
                <w:w w:val="101"/>
                <w:sz w:val="15"/>
              </w:rPr>
              <w:t>e</w:t>
            </w:r>
            <w:r>
              <w:rPr>
                <w:spacing w:val="10"/>
                <w:sz w:val="15"/>
              </w:rPr>
              <w:t xml:space="preserve"> </w:t>
            </w:r>
            <w:r>
              <w:rPr>
                <w:spacing w:val="5"/>
                <w:w w:val="99"/>
                <w:sz w:val="15"/>
              </w:rPr>
              <w:t>d</w:t>
            </w:r>
            <w:r>
              <w:rPr>
                <w:w w:val="76"/>
                <w:sz w:val="15"/>
              </w:rPr>
              <w:t>i</w:t>
            </w:r>
          </w:p>
        </w:tc>
        <w:tc>
          <w:tcPr>
            <w:tcW w:w="3005" w:type="dxa"/>
            <w:shd w:val="clear" w:color="auto" w:fill="EAEDF6"/>
          </w:tcPr>
          <w:p w:rsidR="003B2ADE" w:rsidRDefault="003B2ADE" w:rsidP="007E04C2">
            <w:pPr>
              <w:pStyle w:val="TableParagraph"/>
              <w:spacing w:before="23" w:line="130" w:lineRule="exact"/>
              <w:ind w:left="529"/>
              <w:rPr>
                <w:sz w:val="15"/>
              </w:rPr>
            </w:pPr>
            <w:r>
              <w:rPr>
                <w:w w:val="105"/>
                <w:sz w:val="15"/>
              </w:rPr>
              <w:t>mentari necessarie;</w:t>
            </w:r>
          </w:p>
        </w:tc>
        <w:tc>
          <w:tcPr>
            <w:tcW w:w="3114" w:type="dxa"/>
            <w:shd w:val="clear" w:color="auto" w:fill="EAEDF6"/>
          </w:tcPr>
          <w:p w:rsidR="003B2ADE" w:rsidRDefault="003B2ADE" w:rsidP="007E04C2">
            <w:pPr>
              <w:pStyle w:val="TableParagraph"/>
              <w:rPr>
                <w:rFonts w:ascii="Times New Roman"/>
                <w:sz w:val="10"/>
              </w:rPr>
            </w:pPr>
          </w:p>
        </w:tc>
      </w:tr>
      <w:tr w:rsidR="003B2ADE" w:rsidTr="007E04C2">
        <w:trPr>
          <w:trHeight w:val="292"/>
        </w:trPr>
        <w:tc>
          <w:tcPr>
            <w:tcW w:w="2801" w:type="dxa"/>
            <w:shd w:val="clear" w:color="auto" w:fill="EAEDF6"/>
          </w:tcPr>
          <w:p w:rsidR="003B2ADE" w:rsidRDefault="003B2ADE" w:rsidP="007E04C2">
            <w:pPr>
              <w:pStyle w:val="TableParagraph"/>
              <w:spacing w:before="71"/>
              <w:ind w:left="113"/>
              <w:rPr>
                <w:sz w:val="15"/>
              </w:rPr>
            </w:pPr>
            <w:r>
              <w:rPr>
                <w:spacing w:val="6"/>
                <w:w w:val="106"/>
                <w:sz w:val="15"/>
              </w:rPr>
              <w:t>a</w:t>
            </w:r>
            <w:r>
              <w:rPr>
                <w:spacing w:val="11"/>
                <w:sz w:val="15"/>
              </w:rPr>
              <w:t>v</w:t>
            </w:r>
            <w:r>
              <w:rPr>
                <w:spacing w:val="7"/>
                <w:sz w:val="15"/>
              </w:rPr>
              <w:t>v</w:t>
            </w:r>
            <w:r>
              <w:rPr>
                <w:spacing w:val="5"/>
                <w:w w:val="76"/>
                <w:sz w:val="15"/>
              </w:rPr>
              <w:t>i</w:t>
            </w:r>
            <w:r>
              <w:rPr>
                <w:w w:val="103"/>
                <w:sz w:val="15"/>
              </w:rPr>
              <w:t>o</w:t>
            </w:r>
            <w:r>
              <w:rPr>
                <w:spacing w:val="10"/>
                <w:sz w:val="15"/>
              </w:rPr>
              <w:t xml:space="preserve"> </w:t>
            </w:r>
            <w:r>
              <w:rPr>
                <w:spacing w:val="9"/>
                <w:w w:val="90"/>
                <w:sz w:val="15"/>
              </w:rPr>
              <w:t>(</w:t>
            </w:r>
            <w:r>
              <w:rPr>
                <w:spacing w:val="8"/>
                <w:w w:val="127"/>
                <w:sz w:val="15"/>
              </w:rPr>
              <w:t>2</w:t>
            </w:r>
            <w:r>
              <w:rPr>
                <w:spacing w:val="5"/>
                <w:w w:val="127"/>
                <w:sz w:val="15"/>
              </w:rPr>
              <w:t>0</w:t>
            </w:r>
            <w:r>
              <w:rPr>
                <w:spacing w:val="-5"/>
                <w:w w:val="127"/>
                <w:sz w:val="15"/>
              </w:rPr>
              <w:t>1</w:t>
            </w:r>
            <w:r>
              <w:rPr>
                <w:spacing w:val="-2"/>
                <w:w w:val="127"/>
                <w:sz w:val="15"/>
              </w:rPr>
              <w:t>7</w:t>
            </w:r>
            <w:r>
              <w:rPr>
                <w:spacing w:val="8"/>
                <w:w w:val="63"/>
                <w:sz w:val="15"/>
              </w:rPr>
              <w:t>/</w:t>
            </w:r>
            <w:r>
              <w:rPr>
                <w:spacing w:val="8"/>
                <w:w w:val="127"/>
                <w:sz w:val="15"/>
              </w:rPr>
              <w:t>2</w:t>
            </w:r>
            <w:r>
              <w:rPr>
                <w:spacing w:val="9"/>
                <w:w w:val="127"/>
                <w:sz w:val="15"/>
              </w:rPr>
              <w:t>0</w:t>
            </w:r>
            <w:r>
              <w:rPr>
                <w:spacing w:val="8"/>
                <w:w w:val="127"/>
                <w:sz w:val="15"/>
              </w:rPr>
              <w:t>2</w:t>
            </w:r>
            <w:r>
              <w:rPr>
                <w:spacing w:val="7"/>
                <w:w w:val="127"/>
                <w:sz w:val="15"/>
              </w:rPr>
              <w:t>0</w:t>
            </w:r>
            <w:r>
              <w:rPr>
                <w:w w:val="90"/>
                <w:sz w:val="15"/>
              </w:rPr>
              <w:t>)</w:t>
            </w:r>
            <w:r>
              <w:rPr>
                <w:spacing w:val="10"/>
                <w:sz w:val="15"/>
              </w:rPr>
              <w:t xml:space="preserve"> </w:t>
            </w:r>
            <w:r>
              <w:rPr>
                <w:spacing w:val="5"/>
                <w:w w:val="99"/>
                <w:sz w:val="15"/>
              </w:rPr>
              <w:t>d</w:t>
            </w:r>
            <w:r>
              <w:rPr>
                <w:spacing w:val="5"/>
                <w:w w:val="101"/>
                <w:sz w:val="15"/>
              </w:rPr>
              <w:t>e</w:t>
            </w:r>
            <w:r>
              <w:rPr>
                <w:w w:val="73"/>
                <w:sz w:val="15"/>
              </w:rPr>
              <w:t>l</w:t>
            </w:r>
            <w:r>
              <w:rPr>
                <w:spacing w:val="10"/>
                <w:sz w:val="15"/>
              </w:rPr>
              <w:t xml:space="preserve"> </w:t>
            </w:r>
            <w:r>
              <w:rPr>
                <w:spacing w:val="5"/>
                <w:w w:val="135"/>
                <w:sz w:val="15"/>
              </w:rPr>
              <w:t>M</w:t>
            </w:r>
            <w:r>
              <w:rPr>
                <w:spacing w:val="5"/>
                <w:w w:val="106"/>
                <w:sz w:val="15"/>
              </w:rPr>
              <w:t>a</w:t>
            </w:r>
            <w:r>
              <w:rPr>
                <w:spacing w:val="7"/>
                <w:w w:val="135"/>
                <w:sz w:val="15"/>
              </w:rPr>
              <w:t>s</w:t>
            </w:r>
            <w:r>
              <w:rPr>
                <w:spacing w:val="7"/>
                <w:w w:val="108"/>
                <w:sz w:val="15"/>
              </w:rPr>
              <w:t>t</w:t>
            </w:r>
            <w:r>
              <w:rPr>
                <w:spacing w:val="5"/>
                <w:w w:val="101"/>
                <w:sz w:val="15"/>
              </w:rPr>
              <w:t>e</w:t>
            </w:r>
            <w:r>
              <w:rPr>
                <w:w w:val="114"/>
                <w:sz w:val="15"/>
              </w:rPr>
              <w:t>r</w:t>
            </w:r>
            <w:r>
              <w:rPr>
                <w:spacing w:val="10"/>
                <w:sz w:val="15"/>
              </w:rPr>
              <w:t xml:space="preserve"> </w:t>
            </w:r>
            <w:r>
              <w:rPr>
                <w:spacing w:val="5"/>
                <w:w w:val="76"/>
                <w:sz w:val="15"/>
              </w:rPr>
              <w:t>i</w:t>
            </w:r>
            <w:r>
              <w:rPr>
                <w:w w:val="102"/>
                <w:sz w:val="15"/>
              </w:rPr>
              <w:t>n</w:t>
            </w:r>
          </w:p>
        </w:tc>
        <w:tc>
          <w:tcPr>
            <w:tcW w:w="3005" w:type="dxa"/>
            <w:shd w:val="clear" w:color="auto" w:fill="EAEDF6"/>
          </w:tcPr>
          <w:p w:rsidR="003B2ADE" w:rsidRDefault="003B2ADE" w:rsidP="003B2ADE">
            <w:pPr>
              <w:pStyle w:val="TableParagraph"/>
              <w:numPr>
                <w:ilvl w:val="0"/>
                <w:numId w:val="41"/>
              </w:numPr>
              <w:tabs>
                <w:tab w:val="left" w:pos="529"/>
                <w:tab w:val="left" w:pos="530"/>
              </w:tabs>
              <w:spacing w:line="272" w:lineRule="exact"/>
              <w:rPr>
                <w:sz w:val="15"/>
              </w:rPr>
            </w:pPr>
            <w:r>
              <w:rPr>
                <w:spacing w:val="5"/>
                <w:w w:val="105"/>
                <w:sz w:val="15"/>
              </w:rPr>
              <w:t xml:space="preserve">valutare </w:t>
            </w:r>
            <w:r>
              <w:rPr>
                <w:spacing w:val="2"/>
                <w:w w:val="105"/>
                <w:sz w:val="15"/>
              </w:rPr>
              <w:t xml:space="preserve">le </w:t>
            </w:r>
            <w:r>
              <w:rPr>
                <w:spacing w:val="5"/>
                <w:w w:val="105"/>
                <w:sz w:val="15"/>
              </w:rPr>
              <w:t>risorse</w:t>
            </w:r>
            <w:r>
              <w:rPr>
                <w:spacing w:val="16"/>
                <w:w w:val="105"/>
                <w:sz w:val="15"/>
              </w:rPr>
              <w:t xml:space="preserve"> </w:t>
            </w:r>
            <w:r>
              <w:rPr>
                <w:spacing w:val="4"/>
                <w:w w:val="105"/>
                <w:sz w:val="15"/>
              </w:rPr>
              <w:t>logistiche</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194"/>
        </w:trPr>
        <w:tc>
          <w:tcPr>
            <w:tcW w:w="2801" w:type="dxa"/>
            <w:shd w:val="clear" w:color="auto" w:fill="EAEDF6"/>
          </w:tcPr>
          <w:p w:rsidR="003B2ADE" w:rsidRDefault="003B2ADE" w:rsidP="007E04C2">
            <w:pPr>
              <w:pStyle w:val="TableParagraph"/>
              <w:spacing w:line="173" w:lineRule="exact"/>
              <w:ind w:left="113"/>
              <w:rPr>
                <w:sz w:val="15"/>
              </w:rPr>
            </w:pPr>
            <w:r>
              <w:rPr>
                <w:sz w:val="15"/>
              </w:rPr>
              <w:t>Medicina Umana della Facoltà di</w:t>
            </w:r>
          </w:p>
        </w:tc>
        <w:tc>
          <w:tcPr>
            <w:tcW w:w="3005" w:type="dxa"/>
            <w:shd w:val="clear" w:color="auto" w:fill="EAEDF6"/>
          </w:tcPr>
          <w:p w:rsidR="003B2ADE" w:rsidRDefault="003B2ADE" w:rsidP="007E04C2">
            <w:pPr>
              <w:pStyle w:val="TableParagraph"/>
              <w:spacing w:line="172" w:lineRule="exact"/>
              <w:ind w:left="529"/>
              <w:rPr>
                <w:sz w:val="15"/>
              </w:rPr>
            </w:pPr>
            <w:r>
              <w:rPr>
                <w:w w:val="105"/>
                <w:sz w:val="15"/>
              </w:rPr>
              <w:t>necessarie.</w:t>
            </w:r>
          </w:p>
        </w:tc>
        <w:tc>
          <w:tcPr>
            <w:tcW w:w="3114" w:type="dxa"/>
            <w:shd w:val="clear" w:color="auto" w:fill="EAEDF6"/>
          </w:tcPr>
          <w:p w:rsidR="003B2ADE" w:rsidRDefault="003B2ADE" w:rsidP="007E04C2">
            <w:pPr>
              <w:pStyle w:val="TableParagraph"/>
              <w:rPr>
                <w:rFonts w:ascii="Times New Roman"/>
                <w:sz w:val="12"/>
              </w:rPr>
            </w:pPr>
          </w:p>
        </w:tc>
      </w:tr>
      <w:tr w:rsidR="003B2ADE" w:rsidTr="007E04C2">
        <w:trPr>
          <w:trHeight w:val="219"/>
        </w:trPr>
        <w:tc>
          <w:tcPr>
            <w:tcW w:w="2801" w:type="dxa"/>
            <w:shd w:val="clear" w:color="auto" w:fill="EAEDF6"/>
          </w:tcPr>
          <w:p w:rsidR="003B2ADE" w:rsidRDefault="003B2ADE" w:rsidP="007E04C2">
            <w:pPr>
              <w:pStyle w:val="TableParagraph"/>
              <w:spacing w:before="24"/>
              <w:ind w:left="113"/>
              <w:rPr>
                <w:sz w:val="15"/>
              </w:rPr>
            </w:pPr>
            <w:r>
              <w:rPr>
                <w:w w:val="105"/>
                <w:sz w:val="15"/>
              </w:rPr>
              <w:t>Scienze Biomediche USI.</w:t>
            </w:r>
          </w:p>
        </w:tc>
        <w:tc>
          <w:tcPr>
            <w:tcW w:w="3005" w:type="dxa"/>
            <w:shd w:val="clear" w:color="auto" w:fill="EAEDF6"/>
          </w:tcPr>
          <w:p w:rsidR="003B2ADE" w:rsidRDefault="003B2ADE" w:rsidP="007E04C2">
            <w:pPr>
              <w:pStyle w:val="TableParagraph"/>
              <w:rPr>
                <w:rFonts w:ascii="Times New Roman"/>
                <w:sz w:val="14"/>
              </w:rPr>
            </w:pP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219"/>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3"/>
              <w:ind w:left="169"/>
              <w:rPr>
                <w:sz w:val="15"/>
              </w:rPr>
            </w:pPr>
            <w:r>
              <w:rPr>
                <w:sz w:val="15"/>
              </w:rPr>
              <w:t>Nel contempo è iniziata la prima</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220"/>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4"/>
              <w:ind w:left="169"/>
              <w:rPr>
                <w:sz w:val="15"/>
              </w:rPr>
            </w:pPr>
            <w:r>
              <w:rPr>
                <w:sz w:val="15"/>
              </w:rPr>
              <w:t>fase di formazione dei formatori che</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220"/>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4"/>
              <w:ind w:left="169"/>
              <w:rPr>
                <w:sz w:val="15"/>
              </w:rPr>
            </w:pPr>
            <w:r>
              <w:rPr>
                <w:w w:val="105"/>
                <w:sz w:val="15"/>
              </w:rPr>
              <w:t>saranno chiamati a insegnare nel</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220"/>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4"/>
              <w:ind w:left="169"/>
              <w:rPr>
                <w:sz w:val="15"/>
              </w:rPr>
            </w:pPr>
            <w:r>
              <w:rPr>
                <w:w w:val="105"/>
                <w:sz w:val="15"/>
              </w:rPr>
              <w:t>Master attraverso la messa in atto</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220"/>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4"/>
              <w:ind w:left="169"/>
              <w:rPr>
                <w:sz w:val="15"/>
              </w:rPr>
            </w:pPr>
            <w:r>
              <w:rPr>
                <w:sz w:val="15"/>
              </w:rPr>
              <w:t>di un programma destinato in que-</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220"/>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4"/>
              <w:ind w:left="169"/>
              <w:rPr>
                <w:sz w:val="15"/>
              </w:rPr>
            </w:pPr>
            <w:r>
              <w:rPr>
                <w:w w:val="105"/>
                <w:sz w:val="15"/>
              </w:rPr>
              <w:t>sta fase solo ai medici che hanno</w:t>
            </w:r>
          </w:p>
        </w:tc>
        <w:tc>
          <w:tcPr>
            <w:tcW w:w="3114" w:type="dxa"/>
            <w:shd w:val="clear" w:color="auto" w:fill="EAEDF6"/>
          </w:tcPr>
          <w:p w:rsidR="003B2ADE" w:rsidRDefault="003B2ADE" w:rsidP="007E04C2">
            <w:pPr>
              <w:pStyle w:val="TableParagraph"/>
              <w:rPr>
                <w:rFonts w:ascii="Times New Roman"/>
                <w:sz w:val="14"/>
              </w:rPr>
            </w:pPr>
          </w:p>
        </w:tc>
      </w:tr>
      <w:tr w:rsidR="003B2ADE" w:rsidTr="007E04C2">
        <w:trPr>
          <w:trHeight w:val="909"/>
        </w:trPr>
        <w:tc>
          <w:tcPr>
            <w:tcW w:w="2801" w:type="dxa"/>
            <w:shd w:val="clear" w:color="auto" w:fill="EAEDF6"/>
          </w:tcPr>
          <w:p w:rsidR="003B2ADE" w:rsidRDefault="003B2ADE" w:rsidP="007E04C2">
            <w:pPr>
              <w:pStyle w:val="TableParagraph"/>
              <w:rPr>
                <w:rFonts w:ascii="Times New Roman"/>
                <w:sz w:val="14"/>
              </w:rPr>
            </w:pPr>
          </w:p>
        </w:tc>
        <w:tc>
          <w:tcPr>
            <w:tcW w:w="3005" w:type="dxa"/>
            <w:shd w:val="clear" w:color="auto" w:fill="EAEDF6"/>
          </w:tcPr>
          <w:p w:rsidR="003B2ADE" w:rsidRDefault="003B2ADE" w:rsidP="007E04C2">
            <w:pPr>
              <w:pStyle w:val="TableParagraph"/>
              <w:spacing w:before="24"/>
              <w:ind w:left="169"/>
              <w:rPr>
                <w:sz w:val="15"/>
              </w:rPr>
            </w:pPr>
            <w:r>
              <w:rPr>
                <w:spacing w:val="6"/>
                <w:w w:val="114"/>
                <w:sz w:val="15"/>
              </w:rPr>
              <w:t>r</w:t>
            </w:r>
            <w:r>
              <w:rPr>
                <w:spacing w:val="5"/>
                <w:w w:val="76"/>
                <w:sz w:val="15"/>
              </w:rPr>
              <w:t>i</w:t>
            </w:r>
            <w:r>
              <w:rPr>
                <w:spacing w:val="5"/>
                <w:w w:val="109"/>
                <w:sz w:val="15"/>
              </w:rPr>
              <w:t>c</w:t>
            </w:r>
            <w:r>
              <w:rPr>
                <w:spacing w:val="5"/>
                <w:w w:val="103"/>
                <w:sz w:val="15"/>
              </w:rPr>
              <w:t>h</w:t>
            </w:r>
            <w:r>
              <w:rPr>
                <w:spacing w:val="5"/>
                <w:w w:val="76"/>
                <w:sz w:val="15"/>
              </w:rPr>
              <w:t>i</w:t>
            </w:r>
            <w:r>
              <w:rPr>
                <w:spacing w:val="6"/>
                <w:w w:val="101"/>
                <w:sz w:val="15"/>
              </w:rPr>
              <w:t>e</w:t>
            </w:r>
            <w:r>
              <w:rPr>
                <w:spacing w:val="7"/>
                <w:w w:val="135"/>
                <w:sz w:val="15"/>
              </w:rPr>
              <w:t>s</w:t>
            </w:r>
            <w:r>
              <w:rPr>
                <w:spacing w:val="7"/>
                <w:w w:val="108"/>
                <w:sz w:val="15"/>
              </w:rPr>
              <w:t>t</w:t>
            </w:r>
            <w:r>
              <w:rPr>
                <w:w w:val="103"/>
                <w:sz w:val="15"/>
              </w:rPr>
              <w:t>o</w:t>
            </w:r>
            <w:r>
              <w:rPr>
                <w:spacing w:val="10"/>
                <w:sz w:val="15"/>
              </w:rPr>
              <w:t xml:space="preserve"> </w:t>
            </w:r>
            <w:r>
              <w:rPr>
                <w:spacing w:val="6"/>
                <w:w w:val="73"/>
                <w:sz w:val="15"/>
              </w:rPr>
              <w:t>l</w:t>
            </w:r>
            <w:r>
              <w:rPr>
                <w:w w:val="60"/>
                <w:sz w:val="15"/>
              </w:rPr>
              <w:t>’</w:t>
            </w:r>
            <w:r>
              <w:rPr>
                <w:spacing w:val="5"/>
                <w:w w:val="97"/>
                <w:sz w:val="15"/>
              </w:rPr>
              <w:t>ab</w:t>
            </w:r>
            <w:r>
              <w:rPr>
                <w:spacing w:val="4"/>
                <w:w w:val="97"/>
                <w:sz w:val="15"/>
              </w:rPr>
              <w:t>i</w:t>
            </w:r>
            <w:r>
              <w:rPr>
                <w:spacing w:val="4"/>
                <w:w w:val="73"/>
                <w:sz w:val="15"/>
              </w:rPr>
              <w:t>l</w:t>
            </w:r>
            <w:r>
              <w:rPr>
                <w:spacing w:val="6"/>
                <w:w w:val="76"/>
                <w:sz w:val="15"/>
              </w:rPr>
              <w:t>i</w:t>
            </w:r>
            <w:r>
              <w:rPr>
                <w:spacing w:val="7"/>
                <w:w w:val="108"/>
                <w:sz w:val="15"/>
              </w:rPr>
              <w:t>t</w:t>
            </w:r>
            <w:r>
              <w:rPr>
                <w:spacing w:val="6"/>
                <w:w w:val="106"/>
                <w:sz w:val="15"/>
              </w:rPr>
              <w:t>a</w:t>
            </w:r>
            <w:r>
              <w:rPr>
                <w:spacing w:val="6"/>
                <w:w w:val="101"/>
                <w:sz w:val="15"/>
              </w:rPr>
              <w:t>z</w:t>
            </w:r>
            <w:r>
              <w:rPr>
                <w:spacing w:val="5"/>
                <w:w w:val="94"/>
                <w:sz w:val="15"/>
              </w:rPr>
              <w:t>io</w:t>
            </w:r>
            <w:r>
              <w:rPr>
                <w:spacing w:val="5"/>
                <w:w w:val="102"/>
                <w:sz w:val="15"/>
              </w:rPr>
              <w:t>n</w:t>
            </w:r>
            <w:r>
              <w:rPr>
                <w:w w:val="101"/>
                <w:sz w:val="15"/>
              </w:rPr>
              <w:t>e</w:t>
            </w:r>
            <w:r>
              <w:rPr>
                <w:spacing w:val="10"/>
                <w:sz w:val="15"/>
              </w:rPr>
              <w:t xml:space="preserve"> </w:t>
            </w:r>
            <w:r>
              <w:rPr>
                <w:spacing w:val="5"/>
                <w:w w:val="106"/>
                <w:sz w:val="15"/>
              </w:rPr>
              <w:t>a</w:t>
            </w:r>
            <w:r>
              <w:rPr>
                <w:spacing w:val="4"/>
                <w:w w:val="73"/>
                <w:sz w:val="15"/>
              </w:rPr>
              <w:t>l</w:t>
            </w:r>
            <w:r>
              <w:rPr>
                <w:spacing w:val="6"/>
                <w:w w:val="73"/>
                <w:sz w:val="15"/>
              </w:rPr>
              <w:t>l</w:t>
            </w:r>
            <w:r>
              <w:rPr>
                <w:spacing w:val="7"/>
                <w:w w:val="60"/>
                <w:sz w:val="15"/>
              </w:rPr>
              <w:t>’</w:t>
            </w:r>
            <w:r>
              <w:rPr>
                <w:spacing w:val="7"/>
                <w:w w:val="116"/>
                <w:sz w:val="15"/>
              </w:rPr>
              <w:t>U</w:t>
            </w:r>
            <w:r>
              <w:rPr>
                <w:spacing w:val="6"/>
                <w:w w:val="147"/>
                <w:sz w:val="15"/>
              </w:rPr>
              <w:t>S</w:t>
            </w:r>
            <w:r>
              <w:rPr>
                <w:spacing w:val="3"/>
                <w:w w:val="96"/>
                <w:sz w:val="15"/>
              </w:rPr>
              <w:t>I</w:t>
            </w:r>
            <w:r>
              <w:rPr>
                <w:w w:val="90"/>
                <w:sz w:val="15"/>
              </w:rPr>
              <w:t>.</w:t>
            </w:r>
          </w:p>
        </w:tc>
        <w:tc>
          <w:tcPr>
            <w:tcW w:w="3114" w:type="dxa"/>
            <w:shd w:val="clear" w:color="auto" w:fill="EAEDF6"/>
          </w:tcPr>
          <w:p w:rsidR="003B2ADE" w:rsidRDefault="003B2ADE" w:rsidP="007E04C2">
            <w:pPr>
              <w:pStyle w:val="TableParagraph"/>
              <w:rPr>
                <w:rFonts w:ascii="Times New Roman"/>
                <w:sz w:val="14"/>
              </w:rPr>
            </w:pPr>
          </w:p>
        </w:tc>
      </w:tr>
    </w:tbl>
    <w:p w:rsidR="003B2ADE" w:rsidRPr="00191BE0" w:rsidRDefault="003B2ADE" w:rsidP="003B2ADE">
      <w:pPr>
        <w:rPr>
          <w:szCs w:val="24"/>
        </w:rPr>
      </w:pPr>
    </w:p>
    <w:p w:rsidR="003B2ADE" w:rsidRDefault="003B2ADE" w:rsidP="003B2ADE">
      <w:pPr>
        <w:rPr>
          <w:rFonts w:eastAsia="Times New Roman" w:cs="Arial"/>
          <w:szCs w:val="20"/>
          <w:lang w:val="it-IT" w:eastAsia="it-IT"/>
        </w:rPr>
      </w:pPr>
    </w:p>
    <w:p w:rsidR="003B2ADE" w:rsidRDefault="003B2ADE" w:rsidP="003B2ADE">
      <w:pPr>
        <w:rPr>
          <w:rFonts w:eastAsia="Times New Roman" w:cs="Arial"/>
          <w:szCs w:val="20"/>
          <w:lang w:val="it-IT" w:eastAsia="it-IT"/>
        </w:rPr>
      </w:pPr>
    </w:p>
    <w:p w:rsidR="003B2ADE" w:rsidRDefault="003B2ADE" w:rsidP="003B2ADE">
      <w:pPr>
        <w:rPr>
          <w:rFonts w:eastAsia="Times New Roman" w:cs="Arial"/>
          <w:szCs w:val="20"/>
          <w:lang w:val="it-IT" w:eastAsia="it-IT"/>
        </w:rPr>
      </w:pPr>
    </w:p>
    <w:p w:rsidR="003B2ADE" w:rsidRDefault="003B2ADE" w:rsidP="003B2ADE">
      <w:pPr>
        <w:rPr>
          <w:rFonts w:eastAsia="Times New Roman" w:cs="Arial"/>
          <w:szCs w:val="20"/>
          <w:lang w:val="it-IT" w:eastAsia="it-IT"/>
        </w:rPr>
      </w:pPr>
    </w:p>
    <w:p w:rsidR="003B2ADE" w:rsidRPr="006A3BD4" w:rsidRDefault="003B2ADE" w:rsidP="003B2ADE">
      <w:pPr>
        <w:rPr>
          <w:rFonts w:eastAsia="Times New Roman" w:cs="Arial"/>
          <w:szCs w:val="20"/>
          <w:lang w:val="it-IT" w:eastAsia="it-IT"/>
        </w:rPr>
      </w:pPr>
    </w:p>
    <w:p w:rsidR="003B2ADE" w:rsidRDefault="003B2ADE" w:rsidP="003B2ADE">
      <w:pPr>
        <w:pStyle w:val="Titolo4"/>
        <w:spacing w:before="0"/>
        <w:rPr>
          <w:rFonts w:eastAsia="Times New Roman"/>
          <w:lang w:val="it-IT" w:eastAsia="it-IT"/>
        </w:rPr>
      </w:pPr>
    </w:p>
    <w:p w:rsidR="003B2ADE" w:rsidRDefault="003B2ADE" w:rsidP="003B2ADE">
      <w:pPr>
        <w:pStyle w:val="Titolo4"/>
        <w:spacing w:before="0"/>
        <w:rPr>
          <w:rFonts w:eastAsia="Times New Roman"/>
          <w:lang w:val="it-IT" w:eastAsia="it-IT"/>
        </w:rPr>
      </w:pPr>
    </w:p>
    <w:p w:rsidR="003B2ADE" w:rsidRDefault="003B2ADE" w:rsidP="003B2ADE">
      <w:pPr>
        <w:pStyle w:val="Titolo4"/>
        <w:spacing w:before="0"/>
        <w:rPr>
          <w:rFonts w:eastAsia="Times New Roman"/>
          <w:lang w:val="it-IT" w:eastAsia="it-IT"/>
        </w:rPr>
      </w:pPr>
    </w:p>
    <w:p w:rsidR="003B2ADE" w:rsidRDefault="003B2ADE" w:rsidP="003B2ADE">
      <w:pPr>
        <w:pStyle w:val="Titolo4"/>
        <w:spacing w:before="0"/>
        <w:rPr>
          <w:rFonts w:eastAsia="Times New Roman"/>
          <w:lang w:val="it-IT" w:eastAsia="it-IT"/>
        </w:rPr>
      </w:pPr>
    </w:p>
    <w:p w:rsidR="003B2ADE" w:rsidRPr="00634A1F" w:rsidRDefault="003B2ADE" w:rsidP="00285BB5">
      <w:pPr>
        <w:rPr>
          <w:sz w:val="18"/>
          <w:szCs w:val="18"/>
          <w:lang w:val="it-IT" w:eastAsia="it-IT"/>
        </w:rPr>
      </w:pPr>
    </w:p>
    <w:p w:rsidR="003B2ADE" w:rsidRPr="00634A1F" w:rsidRDefault="003B2ADE" w:rsidP="00285BB5">
      <w:pPr>
        <w:rPr>
          <w:sz w:val="18"/>
          <w:szCs w:val="18"/>
          <w:lang w:val="it-IT" w:eastAsia="it-IT"/>
        </w:rPr>
      </w:pPr>
    </w:p>
    <w:p w:rsidR="003B2ADE" w:rsidRPr="00506FAB" w:rsidRDefault="003B2ADE" w:rsidP="003B2ADE">
      <w:pPr>
        <w:pStyle w:val="Titolo4"/>
        <w:spacing w:before="0"/>
        <w:rPr>
          <w:rFonts w:eastAsia="Times New Roman"/>
          <w:lang w:val="it-IT" w:eastAsia="it-IT"/>
        </w:rPr>
      </w:pPr>
      <w:r w:rsidRPr="006A3BD4">
        <w:rPr>
          <w:rFonts w:eastAsia="Times New Roman"/>
          <w:lang w:val="it-IT" w:eastAsia="it-IT"/>
        </w:rPr>
        <w:t xml:space="preserve">Centri </w:t>
      </w:r>
      <w:r>
        <w:rPr>
          <w:rFonts w:eastAsia="Times New Roman"/>
          <w:lang w:val="it-IT" w:eastAsia="it-IT"/>
        </w:rPr>
        <w:t>di primo</w:t>
      </w:r>
      <w:r w:rsidRPr="00506FAB">
        <w:rPr>
          <w:rFonts w:eastAsia="Times New Roman"/>
          <w:lang w:val="it-IT" w:eastAsia="it-IT"/>
        </w:rPr>
        <w:t xml:space="preserve"> soccorso</w:t>
      </w:r>
    </w:p>
    <w:p w:rsidR="003B2ADE" w:rsidRPr="00424CA8" w:rsidRDefault="003B2ADE" w:rsidP="003B2ADE">
      <w:pPr>
        <w:rPr>
          <w:lang w:eastAsia="it-IT"/>
        </w:rPr>
      </w:pPr>
      <w:r w:rsidRPr="00424CA8">
        <w:rPr>
          <w:lang w:val="it-IT" w:eastAsia="it-IT"/>
        </w:rPr>
        <w:t xml:space="preserve">Presso gli ospedali di Faido e Acquarossa sono operativi </w:t>
      </w:r>
      <w:r w:rsidRPr="00424CA8">
        <w:rPr>
          <w:lang w:eastAsia="it-IT"/>
        </w:rPr>
        <w:t>due centri di primo soccorso (CPS) aperti 24h/24h su tutto l’arco dell’anno, diretti da un medico FMH al beneficio del libero esercizio con la funzione di responsabile che si avvale della collaborazione dei medici assistenti presenti in sede e di un responsabile infermieristico con la specializzazione post diploma in cure urgenti.</w:t>
      </w:r>
    </w:p>
    <w:p w:rsidR="003B2ADE" w:rsidRPr="00424CA8" w:rsidRDefault="003B2ADE" w:rsidP="003B2ADE">
      <w:pPr>
        <w:rPr>
          <w:lang w:eastAsia="it-IT"/>
        </w:rPr>
      </w:pPr>
      <w:r w:rsidRPr="00424CA8">
        <w:rPr>
          <w:lang w:eastAsia="it-IT"/>
        </w:rPr>
        <w:t>Dal lunedì al venerdì, dalle 8:00 alle 20:00 e nei giorni festivi e durante i fine settimana dalle 8:00 alle 16:00, il CPS dispone di personale dedicato, mentre il servizio di guardia presente nella struttura garantisce il servizio nelle fasce orarie rimanenti. Presso i CPS sono istallati una radiologia convenzionale, un laboratorio “point of care” e un apparecchio di elettrocardiografia.</w:t>
      </w:r>
    </w:p>
    <w:p w:rsidR="003B2ADE" w:rsidRPr="00424CA8" w:rsidRDefault="003B2ADE" w:rsidP="003B2ADE">
      <w:pPr>
        <w:rPr>
          <w:lang w:eastAsia="it-IT"/>
        </w:rPr>
      </w:pPr>
      <w:r w:rsidRPr="00424CA8">
        <w:rPr>
          <w:lang w:eastAsia="it-IT"/>
        </w:rPr>
        <w:t xml:space="preserve">A titolo di prestazione di interesse generale il Cantone versa all’EOC fr. 249'700 per ogni centro (in totale </w:t>
      </w:r>
      <w:r w:rsidRPr="00424CA8">
        <w:rPr>
          <w:b/>
          <w:lang w:eastAsia="it-IT"/>
        </w:rPr>
        <w:t>fr. 499'400</w:t>
      </w:r>
      <w:r w:rsidRPr="00424CA8">
        <w:rPr>
          <w:lang w:eastAsia="it-IT"/>
        </w:rPr>
        <w:t xml:space="preserve">), corrispondente alla dotazione di personale minima per il funzionamento sopraindicato.  </w:t>
      </w:r>
    </w:p>
    <w:p w:rsidR="003B2ADE" w:rsidRPr="00424CA8" w:rsidRDefault="003B2ADE" w:rsidP="003B2ADE">
      <w:pPr>
        <w:rPr>
          <w:lang w:eastAsia="it-IT"/>
        </w:rPr>
      </w:pPr>
      <w:r w:rsidRPr="00424CA8">
        <w:rPr>
          <w:lang w:eastAsia="it-IT"/>
        </w:rPr>
        <w:t xml:space="preserve">A Faido e ad Acquarossa sono state eseguite rispettivamente 1'922/2'902 visite, di cui l’81%/83% nella fascia oraria 7.00-19.00. A queste visite hanno fatto seguito 291 ricoveri a Faido e 248 ricoveri ad Acquarossa.   </w:t>
      </w:r>
    </w:p>
    <w:p w:rsidR="003B2ADE" w:rsidRPr="00634A1F" w:rsidRDefault="003B2ADE" w:rsidP="003B2ADE">
      <w:pPr>
        <w:rPr>
          <w:sz w:val="36"/>
          <w:szCs w:val="36"/>
          <w:lang w:val="it-IT" w:eastAsia="it-IT"/>
        </w:rPr>
      </w:pPr>
    </w:p>
    <w:p w:rsidR="003B2ADE" w:rsidRPr="00BF56C3" w:rsidRDefault="003B2ADE" w:rsidP="003B2ADE">
      <w:pPr>
        <w:pStyle w:val="Titolo4"/>
        <w:spacing w:before="0"/>
        <w:rPr>
          <w:rFonts w:eastAsia="Times New Roman"/>
          <w:lang w:val="it-IT" w:eastAsia="it-IT"/>
        </w:rPr>
      </w:pPr>
      <w:r w:rsidRPr="006B39DA">
        <w:rPr>
          <w:rFonts w:eastAsia="Times New Roman"/>
          <w:lang w:val="it-IT" w:eastAsia="it-IT"/>
        </w:rPr>
        <w:t>Fabbisogno dei consultori salute sessuale (CoSS)</w:t>
      </w:r>
    </w:p>
    <w:p w:rsidR="003B2ADE" w:rsidRPr="00506FAB" w:rsidRDefault="003B2ADE" w:rsidP="003B2ADE">
      <w:pPr>
        <w:spacing w:after="120"/>
        <w:rPr>
          <w:rFonts w:eastAsia="Times New Roman" w:cs="Arial"/>
          <w:b/>
          <w:bCs/>
          <w:szCs w:val="24"/>
          <w:lang w:val="it-IT" w:eastAsia="it-IT"/>
        </w:rPr>
      </w:pPr>
      <w:r w:rsidRPr="00506FAB">
        <w:rPr>
          <w:rFonts w:eastAsia="Times New Roman" w:cs="Arial"/>
          <w:szCs w:val="24"/>
          <w:lang w:val="it-IT" w:eastAsia="it-IT"/>
        </w:rPr>
        <w:t xml:space="preserve">Il fabbisogno dei consultori di salute sessuale annessi ai quattro ospedali regionali, determinato analiticamente, è invariato dal 2012 a </w:t>
      </w:r>
      <w:r w:rsidRPr="00506FAB">
        <w:rPr>
          <w:rFonts w:eastAsia="Times New Roman" w:cs="Arial"/>
          <w:b/>
          <w:szCs w:val="24"/>
          <w:lang w:val="it-IT" w:eastAsia="it-IT"/>
        </w:rPr>
        <w:t>fr. 995'600</w:t>
      </w:r>
      <w:r w:rsidRPr="00506FAB">
        <w:rPr>
          <w:rFonts w:eastAsia="Times New Roman" w:cs="Arial"/>
          <w:szCs w:val="24"/>
          <w:lang w:val="it-IT" w:eastAsia="it-IT"/>
        </w:rPr>
        <w:t>.</w:t>
      </w:r>
    </w:p>
    <w:p w:rsidR="003B2ADE" w:rsidRPr="00506FAB" w:rsidRDefault="003B2ADE" w:rsidP="003B2ADE">
      <w:pPr>
        <w:spacing w:after="120"/>
        <w:rPr>
          <w:rFonts w:eastAsia="Times New Roman" w:cs="Arial"/>
          <w:szCs w:val="24"/>
          <w:lang w:val="it-IT" w:eastAsia="it-IT"/>
        </w:rPr>
      </w:pPr>
      <w:r w:rsidRPr="00506FAB">
        <w:rPr>
          <w:rFonts w:eastAsia="Times New Roman" w:cs="Arial"/>
          <w:szCs w:val="24"/>
          <w:lang w:val="it-IT" w:eastAsia="it-IT"/>
        </w:rPr>
        <w:t>Gli effettivi impiegati nei CoSS si confermano anche nel 2018, con una coordinatrice al 60% e 8 consulenti a tempo parziale suddivise sulle quattro sedi di Lugano, Bellinzona, Locarno e Mendrisio, cui si aggiunge un medico assistente all’80% per le quattro sedi.</w:t>
      </w:r>
    </w:p>
    <w:p w:rsidR="003B2ADE" w:rsidRPr="00506FAB" w:rsidRDefault="003B2ADE" w:rsidP="003B2ADE">
      <w:pPr>
        <w:spacing w:after="120"/>
        <w:rPr>
          <w:rFonts w:eastAsia="Times New Roman" w:cs="Arial"/>
          <w:szCs w:val="24"/>
          <w:lang w:val="it-IT" w:eastAsia="it-IT"/>
        </w:rPr>
      </w:pPr>
      <w:r w:rsidRPr="00506FAB">
        <w:rPr>
          <w:rFonts w:eastAsia="Times New Roman" w:cs="Arial"/>
          <w:szCs w:val="24"/>
          <w:lang w:val="it-IT" w:eastAsia="it-IT"/>
        </w:rPr>
        <w:t>L’attività principale di consulenza ha visto 1’983 utenti rivolgersi ai CoSS nel corso del 2018 (2017: 2’028), in prevalenza donne (92%). Le consulenze fornite sono state 6’133 (2017: 5’837), oltre a 985 consulenze prestate ad operatori sociosanitari (2017: 753). I temi centrali riguardano la contraccezione, l’interruzione di gravidanza, le consulenze a carattere medico, la gravidanza e le infezioni sessualmente trasmissibili.</w:t>
      </w:r>
    </w:p>
    <w:p w:rsidR="003B2ADE" w:rsidRPr="00506FAB" w:rsidRDefault="003B2ADE" w:rsidP="003B2ADE">
      <w:pPr>
        <w:spacing w:after="120"/>
        <w:rPr>
          <w:rFonts w:eastAsia="Times New Roman" w:cs="Arial"/>
          <w:szCs w:val="24"/>
          <w:lang w:val="it-IT" w:eastAsia="it-IT"/>
        </w:rPr>
      </w:pPr>
      <w:r w:rsidRPr="00506FAB">
        <w:rPr>
          <w:rFonts w:eastAsia="Times New Roman" w:cs="Arial"/>
          <w:szCs w:val="24"/>
          <w:lang w:val="it-IT" w:eastAsia="it-IT"/>
        </w:rPr>
        <w:t>L’attività d’animazione nelle scuole ha coinvolto 167 classi (2017: 136), per un totale di 2’922 allievi (2017: 2’371), mentre quella con adulti ha riguardato 20 gruppi per un totale di 193 persone (2017: 9 gruppi e 84 persone).</w:t>
      </w:r>
    </w:p>
    <w:p w:rsidR="003B2ADE" w:rsidRPr="00E72D6F" w:rsidRDefault="003B2ADE" w:rsidP="003B2ADE">
      <w:pPr>
        <w:rPr>
          <w:lang w:val="it-IT" w:eastAsia="it-IT"/>
        </w:rPr>
      </w:pPr>
    </w:p>
    <w:p w:rsidR="003B2ADE" w:rsidRPr="00382A65" w:rsidRDefault="003B2ADE" w:rsidP="003B2ADE">
      <w:pPr>
        <w:pStyle w:val="Titolo4"/>
        <w:spacing w:before="0"/>
        <w:rPr>
          <w:rFonts w:eastAsia="Times New Roman"/>
          <w:lang w:val="it-IT" w:eastAsia="it-IT"/>
        </w:rPr>
      </w:pPr>
      <w:r w:rsidRPr="00382A65">
        <w:rPr>
          <w:rFonts w:eastAsia="Times New Roman"/>
          <w:lang w:val="it-IT" w:eastAsia="it-IT"/>
        </w:rPr>
        <w:t>Piano di messa in allarme dei servizi ospedalieri (Piano MASO)</w:t>
      </w:r>
    </w:p>
    <w:p w:rsidR="003B2ADE" w:rsidRPr="00506FAB" w:rsidRDefault="003B2ADE" w:rsidP="003B2ADE">
      <w:pPr>
        <w:spacing w:after="120"/>
        <w:rPr>
          <w:rFonts w:eastAsia="Times New Roman" w:cs="Arial"/>
          <w:szCs w:val="24"/>
          <w:lang w:val="it-IT" w:eastAsia="it-IT"/>
        </w:rPr>
      </w:pPr>
      <w:r w:rsidRPr="00506FAB">
        <w:rPr>
          <w:rFonts w:eastAsia="Times New Roman" w:cs="Arial"/>
          <w:szCs w:val="24"/>
          <w:lang w:val="it-IT" w:eastAsia="it-IT"/>
        </w:rPr>
        <w:t>L’EOC, nel quadro del Servizio Sanitario coordinato, applica un piano di catastrofe che prevede anche l’aggiornamento continuo sia del piano stesso, sia del personale. L’aggiornamento del piano è stimato in 30 ore di lavoro per i quattro ospedali regionali. La formazione è di 2 ore all’anno per persona ed è assicurata a 80 persone. Il costo complessivo è stato stimato a fr. 60'000. A questi costi si aggiungono altri fr. 140'000 per garantire la prontezza in caso di pandemia che consiste nel disporre di un certo quantitativo di materiale sanitario e medicamentoso.</w:t>
      </w:r>
    </w:p>
    <w:p w:rsidR="003B2ADE" w:rsidRPr="00506FAB" w:rsidRDefault="003B2ADE" w:rsidP="003B2ADE">
      <w:pPr>
        <w:spacing w:after="120"/>
        <w:rPr>
          <w:rFonts w:eastAsia="Times New Roman" w:cs="Arial"/>
          <w:szCs w:val="24"/>
          <w:lang w:val="it-IT" w:eastAsia="it-IT"/>
        </w:rPr>
      </w:pPr>
      <w:r w:rsidRPr="00506FAB">
        <w:rPr>
          <w:rFonts w:eastAsia="Times New Roman" w:cs="Arial"/>
          <w:szCs w:val="24"/>
          <w:lang w:val="it-IT" w:eastAsia="it-IT"/>
        </w:rPr>
        <w:t xml:space="preserve">Il totale erogato per questa prestazione è quindi di </w:t>
      </w:r>
      <w:r w:rsidRPr="00506FAB">
        <w:rPr>
          <w:rFonts w:eastAsia="Times New Roman" w:cs="Arial"/>
          <w:b/>
          <w:bCs/>
          <w:szCs w:val="24"/>
          <w:lang w:val="it-IT" w:eastAsia="it-IT"/>
        </w:rPr>
        <w:t>fr. 200'000,</w:t>
      </w:r>
      <w:r w:rsidRPr="00506FAB">
        <w:rPr>
          <w:rFonts w:eastAsia="Times New Roman" w:cs="Arial"/>
          <w:bCs/>
          <w:szCs w:val="24"/>
          <w:lang w:val="it-IT" w:eastAsia="it-IT"/>
        </w:rPr>
        <w:t xml:space="preserve"> invariato dal 2012</w:t>
      </w:r>
      <w:r w:rsidRPr="00506FAB">
        <w:rPr>
          <w:rFonts w:eastAsia="Times New Roman" w:cs="Arial"/>
          <w:szCs w:val="24"/>
          <w:lang w:val="it-IT" w:eastAsia="it-IT"/>
        </w:rPr>
        <w:t>.</w:t>
      </w:r>
    </w:p>
    <w:p w:rsidR="003B2ADE" w:rsidRPr="00E72D6F" w:rsidRDefault="003B2ADE" w:rsidP="003B2ADE">
      <w:pPr>
        <w:rPr>
          <w:rFonts w:eastAsia="Times New Roman" w:cs="Arial"/>
          <w:szCs w:val="24"/>
          <w:lang w:val="it-IT" w:eastAsia="it-IT"/>
        </w:rPr>
      </w:pPr>
    </w:p>
    <w:p w:rsidR="003B2ADE" w:rsidRPr="00382A65" w:rsidRDefault="003B2ADE" w:rsidP="003B2ADE">
      <w:pPr>
        <w:pStyle w:val="Titolo4"/>
        <w:spacing w:before="0"/>
        <w:rPr>
          <w:rFonts w:eastAsia="Times New Roman"/>
          <w:lang w:val="it-IT" w:eastAsia="it-IT"/>
        </w:rPr>
      </w:pPr>
      <w:r w:rsidRPr="00382A65">
        <w:rPr>
          <w:rFonts w:eastAsia="Times New Roman"/>
          <w:lang w:val="it-IT" w:eastAsia="it-IT"/>
        </w:rPr>
        <w:t>Coordinatrice organizzazione espianti</w:t>
      </w:r>
    </w:p>
    <w:p w:rsidR="003B2ADE" w:rsidRPr="00424CA8" w:rsidRDefault="003B2ADE" w:rsidP="003B2ADE">
      <w:pPr>
        <w:spacing w:after="120"/>
        <w:rPr>
          <w:rFonts w:eastAsia="Times New Roman" w:cs="Arial"/>
          <w:szCs w:val="24"/>
          <w:lang w:eastAsia="it-IT"/>
        </w:rPr>
      </w:pPr>
      <w:r w:rsidRPr="00424CA8">
        <w:rPr>
          <w:rFonts w:eastAsia="Times New Roman" w:cs="Arial"/>
          <w:szCs w:val="24"/>
          <w:lang w:eastAsia="it-IT"/>
        </w:rPr>
        <w:t>L’articolo 56 della Legge federale sui trapianti attribuisce ai Cantoni l’organizzazione e il coordinamento delle attività attinenti ai trapianti</w:t>
      </w:r>
      <w:r w:rsidRPr="00424CA8">
        <w:rPr>
          <w:rFonts w:eastAsia="Times New Roman" w:cs="Arial"/>
          <w:szCs w:val="24"/>
          <w:lang w:val="it-IT" w:eastAsia="it-IT"/>
        </w:rPr>
        <w:t xml:space="preserve"> </w:t>
      </w:r>
      <w:r w:rsidRPr="00424CA8">
        <w:rPr>
          <w:rFonts w:eastAsia="Times New Roman" w:cs="Arial"/>
          <w:szCs w:val="24"/>
          <w:lang w:eastAsia="it-IT"/>
        </w:rPr>
        <w:t>e prevede segnatamente che vi sia una persona incaricata del coordinamento locale. Il Consiglio di Stato, in data 26 giugno 2007, aveva delegato all’EOC tali compiti.</w:t>
      </w:r>
    </w:p>
    <w:p w:rsidR="003B2ADE" w:rsidRPr="00424CA8" w:rsidRDefault="003B2ADE" w:rsidP="003B2ADE">
      <w:pPr>
        <w:spacing w:after="120"/>
        <w:rPr>
          <w:rFonts w:eastAsia="Times New Roman" w:cs="Arial"/>
          <w:szCs w:val="24"/>
          <w:lang w:eastAsia="it-IT"/>
        </w:rPr>
      </w:pPr>
      <w:r w:rsidRPr="00424CA8">
        <w:rPr>
          <w:rFonts w:eastAsia="Times New Roman" w:cs="Arial"/>
          <w:szCs w:val="24"/>
          <w:lang w:eastAsia="it-IT"/>
        </w:rPr>
        <w:t xml:space="preserve">L’EOC ha assunto già nel 2010 una coordinatrice locale al 40% presso l’Ospedale Regionale di Lugano, sede Ospedale Civico, assumendosi i costi relativi. Dal 2011 questo costo è finanziato dal Cantone attraverso il contributo globale e ammonta a </w:t>
      </w:r>
      <w:r w:rsidRPr="00424CA8">
        <w:rPr>
          <w:rFonts w:eastAsia="Times New Roman" w:cs="Arial"/>
          <w:b/>
          <w:bCs/>
          <w:szCs w:val="24"/>
          <w:lang w:eastAsia="it-IT"/>
        </w:rPr>
        <w:t>fr. 45'300</w:t>
      </w:r>
      <w:r w:rsidRPr="00424CA8">
        <w:rPr>
          <w:rFonts w:eastAsia="Times New Roman" w:cs="Arial"/>
          <w:szCs w:val="24"/>
          <w:lang w:eastAsia="it-IT"/>
        </w:rPr>
        <w:t>.</w:t>
      </w:r>
    </w:p>
    <w:p w:rsidR="003B2ADE" w:rsidRPr="00E72D6F" w:rsidRDefault="003B2ADE" w:rsidP="003B2ADE">
      <w:pPr>
        <w:rPr>
          <w:rFonts w:eastAsia="Times New Roman" w:cs="Arial"/>
          <w:szCs w:val="24"/>
          <w:lang w:val="it-IT" w:eastAsia="it-IT"/>
        </w:rPr>
      </w:pPr>
    </w:p>
    <w:p w:rsidR="003B2ADE" w:rsidRPr="00E72D6F" w:rsidRDefault="003B2ADE" w:rsidP="003B2ADE">
      <w:pPr>
        <w:pStyle w:val="Titolo3"/>
      </w:pPr>
      <w:r w:rsidRPr="00E72D6F">
        <w:t>4.</w:t>
      </w:r>
      <w:r>
        <w:t>1</w:t>
      </w:r>
      <w:r w:rsidRPr="00E72D6F">
        <w:t>.3</w:t>
      </w:r>
      <w:r>
        <w:tab/>
      </w:r>
      <w:r w:rsidRPr="00E72D6F">
        <w:t>Adeguamenti del contributo globale</w:t>
      </w:r>
    </w:p>
    <w:p w:rsidR="003B2ADE" w:rsidRPr="00424CA8" w:rsidRDefault="003B2ADE" w:rsidP="003B2ADE">
      <w:pPr>
        <w:spacing w:after="120"/>
        <w:rPr>
          <w:rFonts w:eastAsia="Times New Roman" w:cs="Arial"/>
          <w:szCs w:val="24"/>
          <w:lang w:val="it-IT" w:eastAsia="it-IT"/>
        </w:rPr>
      </w:pPr>
      <w:r w:rsidRPr="00424CA8">
        <w:rPr>
          <w:rFonts w:eastAsia="Times New Roman" w:cs="Arial"/>
          <w:szCs w:val="24"/>
          <w:lang w:val="it-IT" w:eastAsia="it-IT"/>
        </w:rPr>
        <w:t>Il contratto di prestazione prevede che il contributo globale rimanga di principio fisso. Se nell’anno del contratto si verifica uno scostamento d’attività oltre una soglia del +/- 3%, il contributo globale è adeguato rimunerando o rimborsando la variazione che oltrepassa il 3% al costo marginale (percentuale dei costi variabili sui costi totali).</w:t>
      </w:r>
    </w:p>
    <w:p w:rsidR="003B2ADE" w:rsidRPr="00424CA8" w:rsidRDefault="003B2ADE" w:rsidP="003B2ADE">
      <w:pPr>
        <w:spacing w:after="120"/>
        <w:rPr>
          <w:rFonts w:eastAsia="Times New Roman" w:cs="Arial"/>
          <w:szCs w:val="24"/>
          <w:lang w:val="it-IT" w:eastAsia="it-IT"/>
        </w:rPr>
      </w:pPr>
      <w:r w:rsidRPr="00424CA8">
        <w:rPr>
          <w:rFonts w:eastAsia="Times New Roman" w:cs="Arial"/>
          <w:szCs w:val="24"/>
          <w:lang w:val="it-IT" w:eastAsia="it-IT"/>
        </w:rPr>
        <w:t xml:space="preserve">Nel caso concreto, l’EOC nel 2018 non ha superato la soglia del +/- 3% in ambito somatico-acuto e in riabilitazione, mentre non ha raggiunto la soglia inferiore del -3% nei RAMI, dando quindi origine ad un rimborso dell’EOC al Cantone di </w:t>
      </w:r>
      <w:r w:rsidRPr="00424CA8">
        <w:rPr>
          <w:rFonts w:eastAsia="Times New Roman" w:cs="Arial"/>
          <w:b/>
          <w:szCs w:val="24"/>
          <w:lang w:val="it-IT" w:eastAsia="it-IT"/>
        </w:rPr>
        <w:t>fr. 41’600</w:t>
      </w:r>
      <w:r w:rsidRPr="00424CA8">
        <w:rPr>
          <w:rFonts w:eastAsia="Times New Roman" w:cs="Arial"/>
          <w:szCs w:val="24"/>
          <w:lang w:val="it-IT" w:eastAsia="it-IT"/>
        </w:rPr>
        <w:t>.</w:t>
      </w:r>
    </w:p>
    <w:p w:rsidR="003B2ADE" w:rsidRPr="00E72D6F" w:rsidRDefault="003B2ADE" w:rsidP="003B2ADE">
      <w:pPr>
        <w:rPr>
          <w:rFonts w:eastAsia="Times New Roman" w:cs="Arial"/>
          <w:szCs w:val="24"/>
          <w:lang w:eastAsia="it-IT"/>
        </w:rPr>
      </w:pPr>
    </w:p>
    <w:p w:rsidR="003B2ADE" w:rsidRPr="002B236C" w:rsidRDefault="003B2ADE" w:rsidP="003B2ADE">
      <w:pPr>
        <w:pStyle w:val="Titolo3"/>
      </w:pPr>
      <w:r w:rsidRPr="00E72D6F">
        <w:t>4.</w:t>
      </w:r>
      <w:r>
        <w:t>1</w:t>
      </w:r>
      <w:r w:rsidRPr="00E72D6F">
        <w:t>.</w:t>
      </w:r>
      <w:r>
        <w:t>4</w:t>
      </w:r>
      <w:r>
        <w:tab/>
      </w:r>
      <w:r w:rsidRPr="002B236C">
        <w:t>Altre prestazioni di cura</w:t>
      </w:r>
    </w:p>
    <w:p w:rsidR="003B2ADE" w:rsidRPr="00424CA8" w:rsidRDefault="003B2ADE" w:rsidP="003B2ADE">
      <w:pPr>
        <w:spacing w:after="120"/>
        <w:rPr>
          <w:rFonts w:eastAsia="Times New Roman" w:cs="Arial"/>
          <w:bCs/>
          <w:szCs w:val="24"/>
          <w:lang w:val="it-IT" w:eastAsia="it-IT"/>
        </w:rPr>
      </w:pPr>
      <w:r w:rsidRPr="00424CA8">
        <w:rPr>
          <w:rFonts w:eastAsia="Times New Roman" w:cs="Arial"/>
          <w:bCs/>
          <w:szCs w:val="24"/>
          <w:lang w:val="it-IT" w:eastAsia="it-IT"/>
        </w:rPr>
        <w:t xml:space="preserve">L’articolo 14bis LAI sul finanziamento degli ospedali, in vigore dal 1° gennaio 2013, prevede che l'AI copra le spese delle cure stazionarie d’infermità congenite per gli assicurati fino al 20° anno di età (dispensate in un ospedale autorizzato ai sensi della LAMal) nella misura dell’80%. Il restante 20% è assunto dal Cantone di domicilio dell'assicurato, che versa la propria parte all'ospedale. Nel 2018, per </w:t>
      </w:r>
      <w:r w:rsidRPr="00424CA8">
        <w:rPr>
          <w:rFonts w:eastAsia="Times New Roman" w:cs="Arial"/>
          <w:b/>
          <w:bCs/>
          <w:szCs w:val="24"/>
          <w:lang w:val="it-IT" w:eastAsia="it-IT"/>
        </w:rPr>
        <w:t>prestazioni a carico dell’assicurazione invalidità (AI)</w:t>
      </w:r>
      <w:r w:rsidRPr="00424CA8">
        <w:rPr>
          <w:rFonts w:eastAsia="Times New Roman" w:cs="Arial"/>
          <w:bCs/>
          <w:szCs w:val="24"/>
          <w:lang w:val="it-IT" w:eastAsia="it-IT"/>
        </w:rPr>
        <w:t xml:space="preserve"> il Cantone ha versato all’EOC </w:t>
      </w:r>
      <w:r w:rsidRPr="00424CA8">
        <w:rPr>
          <w:rFonts w:eastAsia="Times New Roman" w:cs="Arial"/>
          <w:b/>
          <w:bCs/>
          <w:szCs w:val="24"/>
          <w:lang w:val="it-IT" w:eastAsia="it-IT"/>
        </w:rPr>
        <w:t>fr. 722’225</w:t>
      </w:r>
      <w:r w:rsidRPr="00424CA8">
        <w:rPr>
          <w:rFonts w:eastAsia="Times New Roman" w:cs="Arial"/>
          <w:bCs/>
          <w:szCs w:val="24"/>
          <w:lang w:val="it-IT" w:eastAsia="it-IT"/>
        </w:rPr>
        <w:t>.</w:t>
      </w:r>
    </w:p>
    <w:p w:rsidR="003B2ADE" w:rsidRPr="00424CA8" w:rsidRDefault="003B2ADE" w:rsidP="003B2ADE">
      <w:pPr>
        <w:spacing w:after="120"/>
        <w:rPr>
          <w:rFonts w:eastAsia="Times New Roman" w:cs="Arial"/>
          <w:bCs/>
          <w:szCs w:val="24"/>
          <w:lang w:val="it-IT" w:eastAsia="it-IT"/>
        </w:rPr>
      </w:pPr>
      <w:r w:rsidRPr="00424CA8">
        <w:rPr>
          <w:rFonts w:eastAsia="Times New Roman" w:cs="Arial"/>
          <w:bCs/>
          <w:szCs w:val="24"/>
          <w:lang w:val="it-IT" w:eastAsia="it-IT"/>
        </w:rPr>
        <w:t xml:space="preserve">La struttura tariffale SwissDRG non contempla le </w:t>
      </w:r>
      <w:r w:rsidRPr="00424CA8">
        <w:rPr>
          <w:rFonts w:eastAsia="Times New Roman" w:cs="Arial"/>
          <w:b/>
          <w:bCs/>
          <w:szCs w:val="24"/>
          <w:lang w:val="it-IT" w:eastAsia="it-IT"/>
        </w:rPr>
        <w:t>prestazioni LAMal di emodialisi</w:t>
      </w:r>
      <w:r w:rsidRPr="00424CA8">
        <w:rPr>
          <w:rFonts w:eastAsia="Times New Roman" w:cs="Arial"/>
          <w:bCs/>
          <w:szCs w:val="24"/>
          <w:lang w:val="it-IT" w:eastAsia="it-IT"/>
        </w:rPr>
        <w:t xml:space="preserve"> che sono fatturate secondo forfait particolari, molto costosi. Il Cantone ha versato nel 2018 all’EOC, per queste prestazioni, </w:t>
      </w:r>
      <w:r w:rsidRPr="00424CA8">
        <w:rPr>
          <w:rFonts w:eastAsia="Times New Roman" w:cs="Arial"/>
          <w:b/>
          <w:bCs/>
          <w:szCs w:val="24"/>
          <w:lang w:val="it-IT" w:eastAsia="it-IT"/>
        </w:rPr>
        <w:t>fr. 856'069</w:t>
      </w:r>
      <w:r w:rsidRPr="00424CA8">
        <w:rPr>
          <w:rFonts w:eastAsia="Times New Roman" w:cs="Arial"/>
          <w:bCs/>
          <w:szCs w:val="24"/>
          <w:lang w:val="it-IT" w:eastAsia="it-IT"/>
        </w:rPr>
        <w:t>.</w:t>
      </w:r>
    </w:p>
    <w:p w:rsidR="003B2ADE" w:rsidRPr="00424CA8" w:rsidRDefault="003B2ADE" w:rsidP="003B2ADE">
      <w:pPr>
        <w:spacing w:after="120"/>
        <w:rPr>
          <w:rFonts w:eastAsia="Times New Roman" w:cs="Arial"/>
          <w:bCs/>
          <w:szCs w:val="24"/>
          <w:lang w:val="it-IT" w:eastAsia="it-IT"/>
        </w:rPr>
      </w:pPr>
      <w:r w:rsidRPr="00424CA8">
        <w:rPr>
          <w:rFonts w:eastAsia="Times New Roman" w:cs="Arial"/>
          <w:bCs/>
          <w:szCs w:val="24"/>
          <w:lang w:val="it-IT" w:eastAsia="it-IT"/>
        </w:rPr>
        <w:t xml:space="preserve">Alcuni </w:t>
      </w:r>
      <w:r w:rsidRPr="00424CA8">
        <w:rPr>
          <w:rFonts w:eastAsia="Times New Roman" w:cs="Arial"/>
          <w:b/>
          <w:bCs/>
          <w:szCs w:val="24"/>
          <w:lang w:val="it-IT" w:eastAsia="it-IT"/>
        </w:rPr>
        <w:t>medicamenti particolarmente costosi</w:t>
      </w:r>
      <w:r w:rsidRPr="00424CA8">
        <w:rPr>
          <w:rFonts w:eastAsia="Times New Roman" w:cs="Arial"/>
          <w:bCs/>
          <w:szCs w:val="24"/>
          <w:lang w:val="it-IT" w:eastAsia="it-IT"/>
        </w:rPr>
        <w:t xml:space="preserve">, destinati in particolare alle cure oncologiche, sono rimborsati a parte, poiché difficilmente rappresentabili nella struttura tariffale DRG. Nel 2018 il Cantone ha versato all’EOC </w:t>
      </w:r>
      <w:r w:rsidRPr="00424CA8">
        <w:rPr>
          <w:rFonts w:eastAsia="Times New Roman" w:cs="Arial"/>
          <w:b/>
          <w:bCs/>
          <w:szCs w:val="24"/>
          <w:lang w:val="it-IT" w:eastAsia="it-IT"/>
        </w:rPr>
        <w:t>fr. 1'409'220</w:t>
      </w:r>
      <w:r w:rsidRPr="00424CA8">
        <w:rPr>
          <w:rFonts w:eastAsia="Times New Roman" w:cs="Arial"/>
          <w:bCs/>
          <w:szCs w:val="24"/>
          <w:lang w:val="it-IT" w:eastAsia="it-IT"/>
        </w:rPr>
        <w:t>.</w:t>
      </w:r>
    </w:p>
    <w:p w:rsidR="003B2ADE" w:rsidRDefault="003B2ADE" w:rsidP="003B2ADE">
      <w:pPr>
        <w:rPr>
          <w:rFonts w:eastAsia="Times New Roman" w:cs="Arial"/>
          <w:szCs w:val="24"/>
          <w:lang w:val="it-IT" w:eastAsia="it-IT"/>
        </w:rPr>
      </w:pPr>
    </w:p>
    <w:p w:rsidR="003B2ADE" w:rsidRPr="00380926" w:rsidRDefault="003B2ADE" w:rsidP="003B2ADE">
      <w:pPr>
        <w:rPr>
          <w:lang w:val="it-IT" w:eastAsia="it-IT"/>
        </w:rPr>
      </w:pPr>
    </w:p>
    <w:p w:rsidR="003B2ADE" w:rsidRPr="004376D1" w:rsidRDefault="003B2ADE" w:rsidP="003B2ADE">
      <w:pPr>
        <w:pStyle w:val="Titolo1"/>
        <w:ind w:left="0" w:firstLine="0"/>
      </w:pPr>
      <w:r>
        <w:t>Osservazioni</w:t>
      </w:r>
    </w:p>
    <w:p w:rsidR="003B2ADE" w:rsidRPr="004376D1" w:rsidRDefault="00E863C1" w:rsidP="00644102">
      <w:pPr>
        <w:pStyle w:val="Titolo2"/>
      </w:pPr>
      <w:r>
        <w:t>5</w:t>
      </w:r>
      <w:r w:rsidR="00644102">
        <w:t>.1</w:t>
      </w:r>
      <w:r w:rsidR="00644102">
        <w:tab/>
      </w:r>
      <w:r w:rsidR="003B2ADE" w:rsidRPr="004376D1">
        <w:t>Correlazione con la pianificazione ospedaliera</w:t>
      </w:r>
    </w:p>
    <w:p w:rsidR="003B2ADE" w:rsidRPr="004376D1" w:rsidRDefault="003B2ADE" w:rsidP="003B2ADE">
      <w:pPr>
        <w:rPr>
          <w:szCs w:val="24"/>
        </w:rPr>
      </w:pPr>
      <w:r w:rsidRPr="004376D1">
        <w:rPr>
          <w:szCs w:val="24"/>
        </w:rPr>
        <w:t xml:space="preserve">L’EOC non ha ricorso contro la pianificazione ospedaliera approvata dal Parlamento nel dicembre 2015. D’altro canto, la mancata revisione della nuova LEOC caduta in votazione popolare </w:t>
      </w:r>
      <w:r>
        <w:rPr>
          <w:szCs w:val="24"/>
        </w:rPr>
        <w:t>il</w:t>
      </w:r>
      <w:r w:rsidRPr="004376D1">
        <w:rPr>
          <w:szCs w:val="24"/>
        </w:rPr>
        <w:t xml:space="preserve"> 5 giugno 2016 di fatto impedisce l’avvio di partenariati con cliniche private e mette l’EOC di fronte a una situazione di incertezza. </w:t>
      </w:r>
    </w:p>
    <w:p w:rsidR="003B2ADE" w:rsidRPr="004376D1" w:rsidRDefault="003B2ADE" w:rsidP="003B2ADE">
      <w:pPr>
        <w:rPr>
          <w:szCs w:val="24"/>
        </w:rPr>
      </w:pPr>
      <w:r w:rsidRPr="004376D1">
        <w:rPr>
          <w:szCs w:val="24"/>
        </w:rPr>
        <w:t>Di recente (2019) il Tribunale amministrativo federale (TAF) ha emesso due sentenze a seguito dei rispettivi ricorsi di due cliniche private. Da queste sentenze è emerso che la pianificazione ospedaliera cantonale non rispetta il diritto federale. Non è questa la sede di disquisire in merito alle considerazioni del TAF. Sta di fatto che si fa ora impellente la necessità per il Consiglio di Stato di rivedere detta pianificazione considerato che l’incertezza attuale non può essere ulteriormente procrastinata.</w:t>
      </w:r>
    </w:p>
    <w:p w:rsidR="003B2ADE" w:rsidRDefault="003B2ADE" w:rsidP="003B2ADE">
      <w:pPr>
        <w:rPr>
          <w:szCs w:val="24"/>
        </w:rPr>
      </w:pPr>
    </w:p>
    <w:p w:rsidR="00644102" w:rsidRPr="004376D1" w:rsidRDefault="00644102" w:rsidP="003B2ADE">
      <w:pPr>
        <w:rPr>
          <w:szCs w:val="24"/>
        </w:rPr>
      </w:pPr>
    </w:p>
    <w:p w:rsidR="003B2ADE" w:rsidRPr="00384858" w:rsidRDefault="00E863C1" w:rsidP="00644102">
      <w:pPr>
        <w:pStyle w:val="Titolo2"/>
      </w:pPr>
      <w:r>
        <w:t>5</w:t>
      </w:r>
      <w:r w:rsidR="00644102">
        <w:t>.2</w:t>
      </w:r>
      <w:r w:rsidR="00644102">
        <w:tab/>
      </w:r>
      <w:r w:rsidR="003B2ADE" w:rsidRPr="00384858">
        <w:t>La logistica</w:t>
      </w:r>
    </w:p>
    <w:p w:rsidR="003B2ADE" w:rsidRPr="00384858" w:rsidRDefault="003B2ADE" w:rsidP="003B2ADE">
      <w:pPr>
        <w:rPr>
          <w:lang w:val="it-IT" w:eastAsia="it-IT"/>
        </w:rPr>
      </w:pPr>
      <w:r w:rsidRPr="00384858">
        <w:rPr>
          <w:lang w:val="it-IT" w:eastAsia="it-IT"/>
        </w:rPr>
        <w:t>In settembre 2018 è stata posata la prima pietra della nuova Ala dell’</w:t>
      </w:r>
      <w:r w:rsidRPr="00384858">
        <w:rPr>
          <w:b/>
          <w:bCs/>
          <w:lang w:val="it-IT" w:eastAsia="it-IT"/>
        </w:rPr>
        <w:t xml:space="preserve">Ospedale Regionale di Mendrisio. </w:t>
      </w:r>
      <w:r w:rsidRPr="00384858">
        <w:rPr>
          <w:lang w:val="it-IT" w:eastAsia="it-IT"/>
        </w:rPr>
        <w:t>Il nuovo edificio comprende due piani interrati e quattro in superficie, oltre che l’estensione dell’autosilo. Ospiterà un polo ambulatoriale in cui saranno presenti anche i principali partner sanitari del territorio e prevede un’unità di cure post-acute orientata principalmente ai bisogni dei pazienti anziani e fragili. L’entrata in servizio della Nuova Ala è prevista nel primo semestre 2021.</w:t>
      </w:r>
    </w:p>
    <w:p w:rsidR="003B2ADE" w:rsidRPr="00384858" w:rsidRDefault="003B2ADE" w:rsidP="003B2ADE">
      <w:pPr>
        <w:rPr>
          <w:lang w:val="it-IT" w:eastAsia="it-IT"/>
        </w:rPr>
      </w:pPr>
    </w:p>
    <w:p w:rsidR="003B2ADE" w:rsidRPr="00384858" w:rsidRDefault="003B2ADE" w:rsidP="003B2ADE">
      <w:pPr>
        <w:rPr>
          <w:lang w:val="it-IT" w:eastAsia="it-IT"/>
        </w:rPr>
      </w:pPr>
      <w:r w:rsidRPr="00384858">
        <w:rPr>
          <w:lang w:val="it-IT" w:eastAsia="it-IT"/>
        </w:rPr>
        <w:t xml:space="preserve">A </w:t>
      </w:r>
      <w:r w:rsidRPr="00384858">
        <w:rPr>
          <w:b/>
          <w:bCs/>
          <w:lang w:val="it-IT" w:eastAsia="it-IT"/>
        </w:rPr>
        <w:t>Lugano</w:t>
      </w:r>
      <w:r w:rsidRPr="00384858">
        <w:rPr>
          <w:lang w:val="it-IT" w:eastAsia="it-IT"/>
        </w:rPr>
        <w:t xml:space="preserve"> è invece stata inoltrata a inizio anno la domanda di costruzione per l’ampliamento della piastra base dell’</w:t>
      </w:r>
      <w:r w:rsidRPr="00384858">
        <w:rPr>
          <w:b/>
          <w:bCs/>
          <w:lang w:val="it-IT" w:eastAsia="it-IT"/>
        </w:rPr>
        <w:t>Ospedale Civico</w:t>
      </w:r>
      <w:r w:rsidRPr="00384858">
        <w:rPr>
          <w:lang w:val="it-IT" w:eastAsia="it-IT"/>
        </w:rPr>
        <w:t>. La nuova struttura ospiterà la medicina intensiva con 26 posti letto, otto sale del blocco operatorio, il Pronto Soccorso con 38 postazioni di trattamento, l’eliporto, un piano di degenza, fisioterapia ed ergoterapia, come pure spazi riservati alla tecnica. Fra le novità l’ampliamento dell’autosilo. La consegna dell’opera è prevista non prima di fine 2022.</w:t>
      </w:r>
    </w:p>
    <w:p w:rsidR="003B2ADE" w:rsidRPr="00384858" w:rsidRDefault="003B2ADE" w:rsidP="003B2ADE">
      <w:pPr>
        <w:rPr>
          <w:lang w:val="it-IT" w:eastAsia="it-IT"/>
        </w:rPr>
      </w:pPr>
    </w:p>
    <w:p w:rsidR="003B2ADE" w:rsidRPr="00384858" w:rsidRDefault="003B2ADE" w:rsidP="003B2ADE">
      <w:pPr>
        <w:rPr>
          <w:lang w:val="it-IT" w:eastAsia="it-IT"/>
        </w:rPr>
      </w:pPr>
      <w:r w:rsidRPr="00384858">
        <w:rPr>
          <w:lang w:val="it-IT" w:eastAsia="it-IT"/>
        </w:rPr>
        <w:t>In aprile 2018 sono stati ufficialmente inaugurati i nuovi spazi dell’</w:t>
      </w:r>
      <w:r w:rsidRPr="00384858">
        <w:rPr>
          <w:b/>
          <w:bCs/>
          <w:lang w:val="it-IT" w:eastAsia="it-IT"/>
        </w:rPr>
        <w:t>Ospedale Italiano</w:t>
      </w:r>
      <w:r w:rsidRPr="00384858">
        <w:rPr>
          <w:lang w:val="it-IT" w:eastAsia="it-IT"/>
        </w:rPr>
        <w:t>, al termine della terza e ultima tappa dei lavori di ricostruzione di questo ospedale, iniziati nel 1996. Nel nuovo edificio sono state raggruppate le attività ambulatoriali dei vari specialisti seguendo il percorso di cura, in modo da migliorare la presa in carico multidisciplinare dei pazienti. I nuovi spazi, inoltre, permettono di rispondere alla richiesta crescente di medicina ambulatoriale e specialistica con cui è confrontato l’Ospedale Regionale di Lugano.</w:t>
      </w:r>
    </w:p>
    <w:p w:rsidR="003B2ADE" w:rsidRPr="00384858" w:rsidRDefault="003B2ADE" w:rsidP="003B2ADE">
      <w:pPr>
        <w:rPr>
          <w:lang w:val="it-IT" w:eastAsia="it-IT"/>
        </w:rPr>
      </w:pPr>
    </w:p>
    <w:p w:rsidR="003B2ADE" w:rsidRPr="00384858" w:rsidRDefault="003B2ADE" w:rsidP="003B2ADE">
      <w:pPr>
        <w:rPr>
          <w:lang w:val="it-IT" w:eastAsia="it-IT"/>
        </w:rPr>
      </w:pPr>
      <w:r w:rsidRPr="00384858">
        <w:rPr>
          <w:lang w:val="it-IT" w:eastAsia="it-IT"/>
        </w:rPr>
        <w:t>All’</w:t>
      </w:r>
      <w:r w:rsidRPr="00384858">
        <w:rPr>
          <w:b/>
          <w:bCs/>
          <w:lang w:val="it-IT" w:eastAsia="it-IT"/>
        </w:rPr>
        <w:t xml:space="preserve">Ospedale San Giovanni di Bellinzona </w:t>
      </w:r>
      <w:r w:rsidRPr="00384858">
        <w:rPr>
          <w:lang w:val="it-IT" w:eastAsia="it-IT"/>
        </w:rPr>
        <w:t>è stato completato il poliambulatorio pediatrico e approvate le licenze edilizie per la costruzione del nuovo blocco operatorio, con l’edificazione di uno stabile supplementare con sei sale operatorie, e per il rifacimento del Pronto Soccorso adulti e pediatrico.</w:t>
      </w:r>
    </w:p>
    <w:p w:rsidR="003B2ADE" w:rsidRDefault="003B2ADE" w:rsidP="003B2ADE">
      <w:pPr>
        <w:rPr>
          <w:lang w:val="it-IT" w:eastAsia="it-IT"/>
        </w:rPr>
      </w:pPr>
    </w:p>
    <w:p w:rsidR="00644102" w:rsidRPr="00384858" w:rsidRDefault="00644102" w:rsidP="003B2ADE">
      <w:pPr>
        <w:rPr>
          <w:lang w:val="it-IT" w:eastAsia="it-IT"/>
        </w:rPr>
      </w:pPr>
    </w:p>
    <w:p w:rsidR="003B2ADE" w:rsidRPr="0068386A" w:rsidRDefault="00E863C1" w:rsidP="00644102">
      <w:pPr>
        <w:pStyle w:val="Titolo2"/>
      </w:pPr>
      <w:r>
        <w:t>5</w:t>
      </w:r>
      <w:r w:rsidR="00644102">
        <w:t>.3</w:t>
      </w:r>
      <w:r w:rsidR="00644102">
        <w:tab/>
      </w:r>
      <w:r w:rsidR="003B2ADE">
        <w:t>V</w:t>
      </w:r>
      <w:r w:rsidR="003B2ADE" w:rsidRPr="00FB1366">
        <w:t>olumi di contratto e volumi di consuntivo - settore somatico-acuto</w:t>
      </w:r>
      <w:r w:rsidR="003B2ADE">
        <w:t>: EOC e cliniche private</w:t>
      </w:r>
    </w:p>
    <w:p w:rsidR="003B2ADE" w:rsidRPr="008628F6" w:rsidRDefault="003B2ADE" w:rsidP="003B2ADE">
      <w:r w:rsidRPr="008628F6">
        <w:t>Il contratto quadro di prestazioni sottoscritto dal Cantone con le strutture sanitarie ospedaliere del Cantone, in riferimento al calcolo del contributo globale prevede quanto segue:</w:t>
      </w:r>
    </w:p>
    <w:p w:rsidR="003B2ADE" w:rsidRPr="008628F6" w:rsidRDefault="003B2ADE" w:rsidP="003B2ADE">
      <w:r>
        <w:t>d</w:t>
      </w:r>
      <w:r w:rsidRPr="008628F6">
        <w:t>efinizione dei volumi da finanziare ex-ante sulla base dell’art. 48a del Regolamento di applicazione della Legge di applicazione della Legge federale sull’assicurazione malattie</w:t>
      </w:r>
    </w:p>
    <w:p w:rsidR="003B2ADE" w:rsidRPr="008628F6" w:rsidRDefault="003B2ADE" w:rsidP="003B2ADE"/>
    <w:p w:rsidR="003B2ADE" w:rsidRPr="008628F6" w:rsidRDefault="003B2ADE" w:rsidP="003B2ADE">
      <w:r w:rsidRPr="0068386A">
        <w:rPr>
          <w:noProof/>
          <w:lang w:eastAsia="it-CH"/>
        </w:rPr>
        <w:drawing>
          <wp:inline distT="0" distB="0" distL="0" distR="0" wp14:anchorId="0B208466" wp14:editId="7983FC37">
            <wp:extent cx="5829300" cy="2166938"/>
            <wp:effectExtent l="0" t="0" r="0" b="5080"/>
            <wp:docPr id="5" name="Immagine 5" descr="cid:image001.png@01D5AC09.7806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png@01D5AC09.78069C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839252" cy="2170638"/>
                    </a:xfrm>
                    <a:prstGeom prst="rect">
                      <a:avLst/>
                    </a:prstGeom>
                    <a:noFill/>
                    <a:ln>
                      <a:noFill/>
                    </a:ln>
                  </pic:spPr>
                </pic:pic>
              </a:graphicData>
            </a:graphic>
          </wp:inline>
        </w:drawing>
      </w:r>
    </w:p>
    <w:p w:rsidR="003B2ADE" w:rsidRPr="008628F6" w:rsidRDefault="003B2ADE" w:rsidP="003B2ADE"/>
    <w:p w:rsidR="003B2ADE" w:rsidRPr="008628F6" w:rsidRDefault="003B2ADE" w:rsidP="003B2ADE">
      <w:r w:rsidRPr="008628F6">
        <w:t>Adeguamenti del contributo a costi marginali qualora i volumi a consuntivo superino la soglia del +/- 3 % (art. 48b RLCAMal), fino al 2016 solo se i superamenti si verificavano per due anni consecutivi con lo stesso segno, dal 2017, annualmente.</w:t>
      </w:r>
    </w:p>
    <w:p w:rsidR="003B2ADE" w:rsidRPr="008628F6" w:rsidRDefault="003B2ADE" w:rsidP="003B2ADE"/>
    <w:p w:rsidR="003B2ADE" w:rsidRPr="008628F6" w:rsidRDefault="003B2ADE" w:rsidP="003B2ADE">
      <w:r w:rsidRPr="0068386A">
        <w:rPr>
          <w:noProof/>
          <w:lang w:eastAsia="it-CH"/>
        </w:rPr>
        <w:drawing>
          <wp:inline distT="0" distB="0" distL="0" distR="0" wp14:anchorId="576FCEE7" wp14:editId="776156BF">
            <wp:extent cx="5888355" cy="1390650"/>
            <wp:effectExtent l="0" t="0" r="0" b="0"/>
            <wp:docPr id="1" name="Immagine 1" descr="cid:image002.png@01D5AC0A.3B6F2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id:image002.png@01D5AC0A.3B6F2D9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02571" cy="1394007"/>
                    </a:xfrm>
                    <a:prstGeom prst="rect">
                      <a:avLst/>
                    </a:prstGeom>
                    <a:noFill/>
                    <a:ln>
                      <a:noFill/>
                    </a:ln>
                  </pic:spPr>
                </pic:pic>
              </a:graphicData>
            </a:graphic>
          </wp:inline>
        </w:drawing>
      </w:r>
    </w:p>
    <w:p w:rsidR="00E863C1" w:rsidRDefault="00E863C1" w:rsidP="003B2ADE"/>
    <w:p w:rsidR="003B2ADE" w:rsidRPr="008628F6" w:rsidRDefault="003B2ADE" w:rsidP="003B2ADE">
      <w:r w:rsidRPr="008628F6">
        <w:t>Le variazioni</w:t>
      </w:r>
      <w:r w:rsidRPr="0068386A">
        <w:t xml:space="preserve"> dei dati di consuntivo rispetto ai dati di contratto calcolata in percentuale rispetto ai volumi</w:t>
      </w:r>
      <w:r w:rsidRPr="008628F6">
        <w:t xml:space="preserve"> devono essere commentate annualmente, considerando che al momento della negoziazione i dati conosciuti e verificati dall’Unità statistiche sanitarie del DSS sono relativi all’anno di preventivo. Per esemp</w:t>
      </w:r>
      <w:r w:rsidRPr="0068386A">
        <w:t>io, prendendo il dato</w:t>
      </w:r>
      <w:r w:rsidRPr="008628F6">
        <w:t xml:space="preserve"> della clinica S.Anna di </w:t>
      </w:r>
      <w:r w:rsidRPr="0068386A">
        <w:t xml:space="preserve">cui al </w:t>
      </w:r>
      <w:r w:rsidRPr="008628F6">
        <w:t xml:space="preserve">contratto 2017 è stato stabilito sulla base del dato di consuntivo 2015, la differenza di volume ha poi dato origine a una restituzione di mezzo milione di </w:t>
      </w:r>
      <w:r w:rsidRPr="0068386A">
        <w:t>CHF.</w:t>
      </w:r>
    </w:p>
    <w:p w:rsidR="003B2ADE" w:rsidRPr="008628F6" w:rsidRDefault="003B2ADE" w:rsidP="003B2ADE"/>
    <w:p w:rsidR="003B2ADE" w:rsidRPr="008628F6" w:rsidRDefault="003B2ADE" w:rsidP="003B2ADE">
      <w:r w:rsidRPr="0068386A">
        <w:t>L</w:t>
      </w:r>
      <w:r w:rsidRPr="008628F6">
        <w:t>e differenze di volume (quando il consuntivo supera il dato di contratto) non hanno dato origine a perdite di esercizio LAMal proporzionali al “non incassato dal Cantone”, gli istituti emettono infatti comunque le fatture a carico delle casse malati per la parte di attività situata entro la soglia del 3%. Nel caso specifico dell’EOC, ad esempio, i 25.4 milioni di contributo cantonale “persi”, non hanno dato origine a perdite d’esercizio sulla parte LAMal di pari importo.</w:t>
      </w:r>
    </w:p>
    <w:p w:rsidR="003B2ADE" w:rsidRPr="008628F6" w:rsidRDefault="003B2ADE" w:rsidP="003B2ADE">
      <w:r w:rsidRPr="0068386A">
        <w:t>L</w:t>
      </w:r>
      <w:r w:rsidRPr="008628F6">
        <w:t>e variazioni sul volume totale di prestazioni tra contratto e preventivo si va vieppiù assottigliando, grazie a una base dati storica sempre più solida</w:t>
      </w:r>
      <w:r w:rsidRPr="0068386A">
        <w:t xml:space="preserve"> come si evince dalle tabelle seguenti:</w:t>
      </w:r>
    </w:p>
    <w:p w:rsidR="003B2ADE" w:rsidRPr="0068386A" w:rsidRDefault="003B2ADE" w:rsidP="003B2ADE"/>
    <w:p w:rsidR="003B2ADE" w:rsidRPr="0068386A" w:rsidRDefault="003B2ADE" w:rsidP="003B2ADE">
      <w:r w:rsidRPr="0068386A">
        <w:rPr>
          <w:noProof/>
          <w:lang w:eastAsia="it-CH"/>
        </w:rPr>
        <w:drawing>
          <wp:inline distT="0" distB="0" distL="0" distR="0" wp14:anchorId="6C49CDA0" wp14:editId="66627739">
            <wp:extent cx="5960745" cy="8358648"/>
            <wp:effectExtent l="0" t="0" r="1905"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0745" cy="8358648"/>
                    </a:xfrm>
                    <a:prstGeom prst="rect">
                      <a:avLst/>
                    </a:prstGeom>
                    <a:noFill/>
                    <a:ln>
                      <a:noFill/>
                    </a:ln>
                  </pic:spPr>
                </pic:pic>
              </a:graphicData>
            </a:graphic>
          </wp:inline>
        </w:drawing>
      </w:r>
    </w:p>
    <w:p w:rsidR="003B2ADE" w:rsidRPr="0068386A" w:rsidRDefault="003B2ADE" w:rsidP="003B2ADE"/>
    <w:p w:rsidR="003B2ADE" w:rsidRPr="0068386A" w:rsidRDefault="003B2ADE" w:rsidP="003B2ADE">
      <w:pPr>
        <w:pStyle w:val="Titolo1"/>
        <w:ind w:left="0" w:firstLine="0"/>
      </w:pPr>
      <w:r w:rsidRPr="0068386A">
        <w:t>Conclusioni</w:t>
      </w:r>
    </w:p>
    <w:p w:rsidR="003B2ADE" w:rsidRPr="00410F9E" w:rsidRDefault="003B2ADE" w:rsidP="003B2ADE">
      <w:r w:rsidRPr="00410F9E">
        <w:t>L'EOC presenta ancora una buona solidità finanziaria. Comunque, le molteplici sfide e soprattutto gli investimenti, immobiliari e non, da affrontare, oltre all’assunzione di nuovi costi e il Master in Medicina</w:t>
      </w:r>
      <w:r>
        <w:t xml:space="preserve"> umana</w:t>
      </w:r>
      <w:r w:rsidRPr="00410F9E">
        <w:t xml:space="preserve">, inducono ad essere vigili e cauti, senza con questo compromettere la qualità delle cure nell’interesse di tutti i pazienti e un giusto riconoscimento del lavoro del personale. </w:t>
      </w:r>
    </w:p>
    <w:p w:rsidR="003B2ADE" w:rsidRPr="00410F9E" w:rsidRDefault="003B2ADE" w:rsidP="003B2ADE">
      <w:r w:rsidRPr="00410F9E">
        <w:t>I risultati dell'attività dell'EOC denotano la qualità con cui questo ente parastatale</w:t>
      </w:r>
      <w:r>
        <w:t xml:space="preserve"> gestisce </w:t>
      </w:r>
      <w:r w:rsidRPr="00410F9E">
        <w:t xml:space="preserve">in generale l'offerta ospedaliera pubblica in Ticino. </w:t>
      </w:r>
    </w:p>
    <w:p w:rsidR="003B2ADE" w:rsidRPr="006C45AA" w:rsidRDefault="003B2ADE" w:rsidP="003B2ADE">
      <w:r w:rsidRPr="006C45AA">
        <w:t xml:space="preserve">Resta necessario un allineamento tra la politica della Confederazione e quella dei Cantoni in ambito sanitario per evitare che il sistema rischi di esplodere nei costi tra discrepanze tra lo spirito della LaMal e gli assicuratori e tra fornitori di prestazioni e la politica, oltre alle conseguenze dell’applicazione della LF sul lavoro ai medici ospedalieri che ha comportato l’aumento del contingente dei capi clinica e Medici assistenti. </w:t>
      </w:r>
    </w:p>
    <w:p w:rsidR="003B2ADE" w:rsidRDefault="003B2ADE" w:rsidP="003B2ADE">
      <w:r w:rsidRPr="006C45AA">
        <w:t>Per affrontare le sfide di cui sopra l'EOC deve poter prendere decisioni importanti alla cui base però vi dovranno essere le indispensabili certezze ancora da definire dopo il voto popolare del giugno 2016 che ha bocciato la revisione della Legge sull'EOC per quanto riguarda le collaborazioni pubblico-privato</w:t>
      </w:r>
      <w:r>
        <w:t>.</w:t>
      </w:r>
    </w:p>
    <w:p w:rsidR="003B2ADE" w:rsidRDefault="003B2ADE" w:rsidP="003B2ADE">
      <w:r w:rsidRPr="006C45AA">
        <w:t>L’EOC</w:t>
      </w:r>
      <w:r>
        <w:t>, infatti,</w:t>
      </w:r>
      <w:r w:rsidRPr="006C45AA">
        <w:t xml:space="preserve"> ha sottoscritto negli anni oltre 100 convenzioni con strutture sanitarie in Ticino e nel resto della Svizzera, inserendosi così in una rete nazionale di competenze di punta. Ciò consente di ampliare l’offerta per il paziente, garantendo la continuità e la sicurezza delle cure. Collaborare significa anche gestire insieme progetti di ricerca scientifica o di formazione. Inoltre, l’EOC, quale unica struttura a sud delle Alpi, dispone di diversi mandati per la Medicina Altamente Specializzata (MAS)</w:t>
      </w:r>
      <w:r>
        <w:t xml:space="preserve"> derivanti dalla pianificazione ospedaliera sovracantonale.</w:t>
      </w:r>
      <w:r w:rsidRPr="006C45AA">
        <w:t>.</w:t>
      </w:r>
      <w:r>
        <w:t xml:space="preserve"> </w:t>
      </w:r>
    </w:p>
    <w:p w:rsidR="003B2ADE" w:rsidRDefault="003B2ADE" w:rsidP="003B2ADE"/>
    <w:p w:rsidR="003B2ADE" w:rsidRDefault="003B2ADE" w:rsidP="003B2ADE">
      <w:r>
        <w:t>Mandati MAS assegnati definitivamente all’EOC:</w:t>
      </w:r>
    </w:p>
    <w:p w:rsidR="003B2ADE" w:rsidRDefault="003B2ADE" w:rsidP="00644102">
      <w:pPr>
        <w:tabs>
          <w:tab w:val="left" w:pos="284"/>
        </w:tabs>
        <w:spacing w:before="60"/>
      </w:pPr>
      <w:r>
        <w:t>•</w:t>
      </w:r>
      <w:r>
        <w:tab/>
        <w:t>Trattamento di pazienti con traumi gravi</w:t>
      </w:r>
    </w:p>
    <w:p w:rsidR="003B2ADE" w:rsidRDefault="003B2ADE" w:rsidP="00644102">
      <w:pPr>
        <w:tabs>
          <w:tab w:val="left" w:pos="284"/>
        </w:tabs>
        <w:spacing w:before="60"/>
      </w:pPr>
      <w:r>
        <w:t>•</w:t>
      </w:r>
      <w:r>
        <w:tab/>
        <w:t>Trattamento complesso dell’ictus cerebrale</w:t>
      </w:r>
    </w:p>
    <w:p w:rsidR="003B2ADE" w:rsidRDefault="003B2ADE" w:rsidP="00644102">
      <w:pPr>
        <w:tabs>
          <w:tab w:val="left" w:pos="284"/>
        </w:tabs>
        <w:spacing w:before="60"/>
      </w:pPr>
      <w:r>
        <w:t>•</w:t>
      </w:r>
      <w:r>
        <w:tab/>
        <w:t>Chirurgia viscerale: resezione epatica, resezione</w:t>
      </w:r>
      <w:r w:rsidR="00644102">
        <w:t xml:space="preserve"> </w:t>
      </w:r>
      <w:r>
        <w:t>del pancreas</w:t>
      </w:r>
    </w:p>
    <w:p w:rsidR="003B2ADE" w:rsidRDefault="003B2ADE" w:rsidP="00644102">
      <w:pPr>
        <w:tabs>
          <w:tab w:val="left" w:pos="284"/>
        </w:tabs>
        <w:spacing w:before="60"/>
      </w:pPr>
      <w:r>
        <w:t>•</w:t>
      </w:r>
      <w:r>
        <w:tab/>
        <w:t xml:space="preserve">Trattamento neurochirurgico delle patologie vascolari del sistema nervoso centrale </w:t>
      </w:r>
    </w:p>
    <w:p w:rsidR="003B2ADE" w:rsidRDefault="003B2ADE" w:rsidP="003B2ADE"/>
    <w:p w:rsidR="003B2ADE" w:rsidRDefault="003B2ADE" w:rsidP="003B2ADE">
      <w:r>
        <w:t xml:space="preserve">Esempi di collaborazioni con i maggiori </w:t>
      </w:r>
      <w:r w:rsidRPr="00D53F68">
        <w:rPr>
          <w:b/>
          <w:bCs/>
        </w:rPr>
        <w:t>ospedali svizzeri</w:t>
      </w:r>
      <w:r>
        <w:t>:</w:t>
      </w:r>
    </w:p>
    <w:p w:rsidR="003B2ADE" w:rsidRDefault="003B2ADE" w:rsidP="00644102">
      <w:pPr>
        <w:tabs>
          <w:tab w:val="left" w:pos="284"/>
          <w:tab w:val="right" w:pos="9638"/>
        </w:tabs>
        <w:spacing w:before="60"/>
      </w:pPr>
      <w:r>
        <w:t>•</w:t>
      </w:r>
      <w:r>
        <w:tab/>
        <w:t>Chirurgia vascolare</w:t>
      </w:r>
      <w:r>
        <w:tab/>
        <w:t>Ospedale universitario di Basilea</w:t>
      </w:r>
    </w:p>
    <w:p w:rsidR="003B2ADE" w:rsidRDefault="003B2ADE" w:rsidP="00644102">
      <w:pPr>
        <w:tabs>
          <w:tab w:val="left" w:pos="284"/>
          <w:tab w:val="right" w:pos="9638"/>
        </w:tabs>
        <w:spacing w:before="60"/>
      </w:pPr>
      <w:r>
        <w:t>•</w:t>
      </w:r>
      <w:r>
        <w:tab/>
        <w:t>Neuroradiologia interventistica</w:t>
      </w:r>
      <w:r>
        <w:tab/>
        <w:t>Inselgruppe Berna</w:t>
      </w:r>
    </w:p>
    <w:p w:rsidR="003B2ADE" w:rsidRDefault="003B2ADE" w:rsidP="00644102">
      <w:pPr>
        <w:tabs>
          <w:tab w:val="left" w:pos="284"/>
          <w:tab w:val="right" w:pos="9638"/>
        </w:tabs>
        <w:spacing w:before="60"/>
      </w:pPr>
      <w:r>
        <w:t>•</w:t>
      </w:r>
      <w:r>
        <w:tab/>
        <w:t>Sviluppo della qualità delle prestazioni dell’epatologia in</w:t>
      </w:r>
      <w:r w:rsidR="00644102">
        <w:t xml:space="preserve"> </w:t>
      </w:r>
      <w:r>
        <w:t>Ticino</w:t>
      </w:r>
      <w:r>
        <w:tab/>
        <w:t>HUG Ginevra</w:t>
      </w:r>
    </w:p>
    <w:p w:rsidR="003B2ADE" w:rsidRDefault="003B2ADE" w:rsidP="00644102">
      <w:pPr>
        <w:tabs>
          <w:tab w:val="left" w:pos="284"/>
          <w:tab w:val="right" w:pos="9638"/>
        </w:tabs>
        <w:spacing w:before="60"/>
      </w:pPr>
      <w:r>
        <w:t>•</w:t>
      </w:r>
      <w:r>
        <w:tab/>
        <w:t>Disturbi dell’equilibrio</w:t>
      </w:r>
      <w:r>
        <w:tab/>
        <w:t>Ospedale universitario di Zurigo</w:t>
      </w:r>
    </w:p>
    <w:p w:rsidR="003B2ADE" w:rsidRDefault="003B2ADE" w:rsidP="00644102">
      <w:pPr>
        <w:tabs>
          <w:tab w:val="left" w:pos="284"/>
          <w:tab w:val="right" w:pos="9638"/>
        </w:tabs>
        <w:spacing w:before="60"/>
      </w:pPr>
      <w:r>
        <w:t>•</w:t>
      </w:r>
      <w:r>
        <w:tab/>
        <w:t>Chirurgia toracica</w:t>
      </w:r>
      <w:r>
        <w:tab/>
        <w:t>Ospedale universitario di Zurigo</w:t>
      </w:r>
    </w:p>
    <w:p w:rsidR="003B2ADE" w:rsidRDefault="003B2ADE" w:rsidP="00644102">
      <w:pPr>
        <w:tabs>
          <w:tab w:val="left" w:pos="284"/>
          <w:tab w:val="right" w:pos="9638"/>
        </w:tabs>
        <w:spacing w:before="60"/>
        <w:jc w:val="left"/>
      </w:pPr>
      <w:r>
        <w:t>•</w:t>
      </w:r>
      <w:r>
        <w:tab/>
        <w:t xml:space="preserve">Garanzia dei migliori standard di cura e di trattamento </w:t>
      </w:r>
      <w:r w:rsidR="00644102">
        <w:br/>
      </w:r>
      <w:r w:rsidR="00644102">
        <w:tab/>
      </w:r>
      <w:r>
        <w:t>per la chirurgia pediatrica</w:t>
      </w:r>
      <w:r w:rsidR="00644102">
        <w:tab/>
        <w:t xml:space="preserve">Ospedale universitario </w:t>
      </w:r>
      <w:r w:rsidR="00644102" w:rsidRPr="00D53F68">
        <w:t>Basel</w:t>
      </w:r>
    </w:p>
    <w:p w:rsidR="003B2ADE" w:rsidRDefault="003B2ADE" w:rsidP="00644102">
      <w:pPr>
        <w:tabs>
          <w:tab w:val="left" w:pos="284"/>
          <w:tab w:val="right" w:pos="9638"/>
        </w:tabs>
        <w:spacing w:before="60"/>
      </w:pPr>
      <w:r>
        <w:t>•</w:t>
      </w:r>
      <w:r>
        <w:tab/>
        <w:t>Oncologia pediatrica</w:t>
      </w:r>
      <w:r>
        <w:tab/>
        <w:t>Ospedale cantonale Aarau e quello di Lucerna</w:t>
      </w:r>
    </w:p>
    <w:p w:rsidR="003B2ADE" w:rsidRDefault="003B2ADE" w:rsidP="003B2ADE"/>
    <w:p w:rsidR="003B2ADE" w:rsidRDefault="003B2ADE" w:rsidP="003B2ADE">
      <w:r>
        <w:t xml:space="preserve">Principali collaborazioni </w:t>
      </w:r>
      <w:r w:rsidRPr="00D53F68">
        <w:rPr>
          <w:b/>
          <w:bCs/>
        </w:rPr>
        <w:t>in Ticino</w:t>
      </w:r>
      <w:r>
        <w:t>:</w:t>
      </w:r>
    </w:p>
    <w:p w:rsidR="003B2ADE" w:rsidRDefault="003B2ADE" w:rsidP="00644102">
      <w:pPr>
        <w:tabs>
          <w:tab w:val="left" w:pos="284"/>
        </w:tabs>
        <w:spacing w:before="60"/>
      </w:pPr>
      <w:r>
        <w:t>•</w:t>
      </w:r>
      <w:r>
        <w:tab/>
        <w:t>Clinica Hildebrand Centro di riabilitazione Brissago;</w:t>
      </w:r>
    </w:p>
    <w:p w:rsidR="003B2ADE" w:rsidRDefault="003B2ADE" w:rsidP="00644102">
      <w:pPr>
        <w:tabs>
          <w:tab w:val="left" w:pos="284"/>
        </w:tabs>
        <w:spacing w:before="60"/>
      </w:pPr>
      <w:r>
        <w:t>•</w:t>
      </w:r>
      <w:r>
        <w:tab/>
        <w:t>Fondazione Cardiocentro Ticino, Lugano;</w:t>
      </w:r>
    </w:p>
    <w:p w:rsidR="003B2ADE" w:rsidRDefault="003B2ADE" w:rsidP="00644102">
      <w:pPr>
        <w:tabs>
          <w:tab w:val="left" w:pos="284"/>
        </w:tabs>
        <w:spacing w:before="60"/>
      </w:pPr>
      <w:r>
        <w:t>•</w:t>
      </w:r>
      <w:r>
        <w:tab/>
        <w:t>Servizio Trasfusionale CRS della Svizzera Ita</w:t>
      </w:r>
    </w:p>
    <w:p w:rsidR="003B2ADE" w:rsidRDefault="003B2ADE" w:rsidP="003B2ADE"/>
    <w:p w:rsidR="003B2ADE" w:rsidRDefault="003B2ADE" w:rsidP="003B2ADE"/>
    <w:p w:rsidR="003B2ADE" w:rsidRDefault="003B2ADE" w:rsidP="003B2ADE">
      <w:r>
        <w:t>D</w:t>
      </w:r>
      <w:r w:rsidRPr="006C45AA">
        <w:t>opo le recenti sentenze del Tribunale Amministrativo Federale che ha ritenuto la pianificazione ospedaliera cantonale non completamente conforme al diritto superiore</w:t>
      </w:r>
      <w:r>
        <w:t xml:space="preserve"> u</w:t>
      </w:r>
      <w:r w:rsidRPr="006C45AA">
        <w:t xml:space="preserve">rge l’avvio di una nuova pianificazione ospedaliera </w:t>
      </w:r>
      <w:r>
        <w:t>rispettosa della LAMal,</w:t>
      </w:r>
      <w:r w:rsidRPr="006C45AA">
        <w:t xml:space="preserve"> tenendo conto anche della recente messa in consultazione della modifica dell’OAMal in merito allo sviluppo dei criteri di pianificazione degli ospedali.</w:t>
      </w:r>
    </w:p>
    <w:p w:rsidR="003B2ADE" w:rsidRPr="006C45AA" w:rsidRDefault="003B2ADE" w:rsidP="003B2ADE"/>
    <w:p w:rsidR="003B2ADE" w:rsidRDefault="003B2ADE" w:rsidP="003B2ADE">
      <w:pPr>
        <w:rPr>
          <w:rFonts w:cs="Arial"/>
          <w:szCs w:val="24"/>
        </w:rPr>
      </w:pPr>
    </w:p>
    <w:p w:rsidR="003B2ADE" w:rsidRPr="00B860C2" w:rsidRDefault="003B2ADE" w:rsidP="003B2ADE">
      <w:pPr>
        <w:jc w:val="center"/>
        <w:rPr>
          <w:rFonts w:cs="Arial"/>
          <w:sz w:val="28"/>
          <w:szCs w:val="28"/>
        </w:rPr>
      </w:pP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r w:rsidRPr="00B860C2">
        <w:rPr>
          <w:rFonts w:cs="Arial"/>
          <w:sz w:val="28"/>
          <w:szCs w:val="28"/>
        </w:rPr>
        <w:t xml:space="preserve"> </w:t>
      </w:r>
      <w:r w:rsidRPr="00B860C2">
        <w:rPr>
          <w:rFonts w:cs="Arial"/>
          <w:sz w:val="28"/>
          <w:szCs w:val="28"/>
        </w:rPr>
        <w:sym w:font="Wingdings" w:char="F0AF"/>
      </w:r>
    </w:p>
    <w:p w:rsidR="003B2ADE" w:rsidRDefault="003B2ADE" w:rsidP="003B2ADE"/>
    <w:p w:rsidR="003B2ADE" w:rsidRPr="005366A4" w:rsidRDefault="003B2ADE" w:rsidP="003B2ADE"/>
    <w:p w:rsidR="003B2ADE" w:rsidRDefault="003B2ADE" w:rsidP="003B2ADE">
      <w:pPr>
        <w:rPr>
          <w:rFonts w:cs="Arial"/>
          <w:szCs w:val="24"/>
        </w:rPr>
      </w:pPr>
      <w:r w:rsidRPr="009D2EE4">
        <w:t>Preso atto delle considerazioni espresse, la C</w:t>
      </w:r>
      <w:r>
        <w:t>ommissione gestione e finanze</w:t>
      </w:r>
      <w:r w:rsidRPr="009D2EE4">
        <w:t xml:space="preserve"> propone al </w:t>
      </w:r>
      <w:r>
        <w:t>P</w:t>
      </w:r>
      <w:r w:rsidRPr="009D2EE4">
        <w:t>arlamento l'approvazione de</w:t>
      </w:r>
      <w:r w:rsidR="00E51938">
        <w:t>l</w:t>
      </w:r>
      <w:r w:rsidRPr="009D2EE4">
        <w:t xml:space="preserve"> messaggi</w:t>
      </w:r>
      <w:r w:rsidR="00E51938">
        <w:t>o</w:t>
      </w:r>
      <w:r w:rsidRPr="009D2EE4">
        <w:t xml:space="preserve"> in questione e de</w:t>
      </w:r>
      <w:r w:rsidR="00E51938">
        <w:t>l relativo</w:t>
      </w:r>
      <w:r w:rsidRPr="009D2EE4">
        <w:t xml:space="preserve"> decret</w:t>
      </w:r>
      <w:r w:rsidR="00E51938">
        <w:t>o legislativo</w:t>
      </w:r>
      <w:r w:rsidRPr="009D2EE4">
        <w:t>.</w:t>
      </w:r>
    </w:p>
    <w:p w:rsidR="003B2ADE" w:rsidRDefault="003B2ADE" w:rsidP="003B2ADE">
      <w:pPr>
        <w:rPr>
          <w:rFonts w:cs="Arial"/>
          <w:szCs w:val="24"/>
        </w:rPr>
      </w:pPr>
    </w:p>
    <w:p w:rsidR="00E51938" w:rsidRDefault="00E51938" w:rsidP="003B2ADE">
      <w:pPr>
        <w:rPr>
          <w:rFonts w:cs="Arial"/>
          <w:szCs w:val="24"/>
        </w:rPr>
      </w:pPr>
    </w:p>
    <w:p w:rsidR="00E51938" w:rsidRPr="00076E70" w:rsidRDefault="00E51938" w:rsidP="003B2ADE">
      <w:pPr>
        <w:rPr>
          <w:rFonts w:cs="Arial"/>
          <w:szCs w:val="24"/>
        </w:rPr>
      </w:pPr>
    </w:p>
    <w:p w:rsidR="003B2ADE" w:rsidRPr="00076E70" w:rsidRDefault="003B2ADE" w:rsidP="003B2ADE">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3B2ADE" w:rsidRDefault="003B2ADE" w:rsidP="003B2ADE">
      <w:pPr>
        <w:rPr>
          <w:rFonts w:cs="Arial"/>
          <w:szCs w:val="24"/>
        </w:rPr>
      </w:pPr>
      <w:r>
        <w:rPr>
          <w:rFonts w:cs="Arial"/>
          <w:szCs w:val="24"/>
        </w:rPr>
        <w:t>Matteo Quadranti</w:t>
      </w:r>
      <w:r w:rsidRPr="00076E70">
        <w:rPr>
          <w:rFonts w:cs="Arial"/>
          <w:szCs w:val="24"/>
        </w:rPr>
        <w:t>, relatore</w:t>
      </w:r>
    </w:p>
    <w:p w:rsidR="0073318C" w:rsidRDefault="0073318C" w:rsidP="0073318C">
      <w:pPr>
        <w:rPr>
          <w:rFonts w:cs="Arial"/>
        </w:rPr>
      </w:pPr>
      <w:bookmarkStart w:id="5" w:name="OLE_LINK1"/>
      <w:bookmarkStart w:id="6" w:name="OLE_LINK2"/>
      <w:r>
        <w:rPr>
          <w:rFonts w:cs="Arial"/>
        </w:rPr>
        <w:t xml:space="preserve">Agustoni - Bang - Bignasca B. (con riserva) - </w:t>
      </w:r>
    </w:p>
    <w:p w:rsidR="0073318C" w:rsidRDefault="0073318C" w:rsidP="0073318C">
      <w:pPr>
        <w:rPr>
          <w:rFonts w:cs="Arial"/>
        </w:rPr>
      </w:pPr>
      <w:r>
        <w:rPr>
          <w:rFonts w:cs="Arial"/>
        </w:rPr>
        <w:t xml:space="preserve">Biscossa - Bourgoin - Caprara - Caverzasio - </w:t>
      </w:r>
    </w:p>
    <w:p w:rsidR="0073318C" w:rsidRDefault="0073318C" w:rsidP="0073318C">
      <w:pPr>
        <w:rPr>
          <w:rFonts w:cs="Arial"/>
        </w:rPr>
      </w:pPr>
      <w:r>
        <w:rPr>
          <w:rFonts w:cs="Arial"/>
        </w:rPr>
        <w:t xml:space="preserve">Dadò - Durisch - Ferrara - Foletti - Fonio - </w:t>
      </w:r>
    </w:p>
    <w:p w:rsidR="0073318C" w:rsidRDefault="0073318C" w:rsidP="0073318C">
      <w:pPr>
        <w:rPr>
          <w:rFonts w:cs="Arial"/>
        </w:rPr>
      </w:pPr>
      <w:r>
        <w:rPr>
          <w:rFonts w:cs="Arial"/>
        </w:rPr>
        <w:t>Gianella Alessandra - Guerra - Pini</w:t>
      </w:r>
    </w:p>
    <w:bookmarkEnd w:id="5"/>
    <w:bookmarkEnd w:id="6"/>
    <w:p w:rsidR="003B2ADE" w:rsidRDefault="003B2ADE" w:rsidP="003B2ADE">
      <w:pPr>
        <w:rPr>
          <w:rFonts w:cs="Arial"/>
          <w:szCs w:val="24"/>
        </w:rPr>
      </w:pPr>
    </w:p>
    <w:bookmarkEnd w:id="1"/>
    <w:p w:rsidR="003B2ADE" w:rsidRDefault="003B2ADE" w:rsidP="003B2ADE">
      <w:pPr>
        <w:rPr>
          <w:rFonts w:cs="Arial"/>
          <w:szCs w:val="24"/>
        </w:rPr>
      </w:pPr>
    </w:p>
    <w:sectPr w:rsidR="003B2ADE" w:rsidSect="008B4137">
      <w:footerReference w:type="default" r:id="rId28"/>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A1F" w:rsidRDefault="00634A1F" w:rsidP="008E77C6">
      <w:r>
        <w:separator/>
      </w:r>
    </w:p>
  </w:endnote>
  <w:endnote w:type="continuationSeparator" w:id="0">
    <w:p w:rsidR="00634A1F" w:rsidRDefault="00634A1F"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9662"/>
      <w:docPartObj>
        <w:docPartGallery w:val="Page Numbers (Bottom of Page)"/>
        <w:docPartUnique/>
      </w:docPartObj>
    </w:sdtPr>
    <w:sdtEndPr>
      <w:rPr>
        <w:sz w:val="20"/>
        <w:szCs w:val="20"/>
      </w:rPr>
    </w:sdtEndPr>
    <w:sdtContent>
      <w:p w:rsidR="00634A1F" w:rsidRPr="008E77C6" w:rsidRDefault="00634A1F">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703805" w:rsidRPr="00703805">
          <w:rPr>
            <w:noProof/>
            <w:sz w:val="20"/>
            <w:szCs w:val="20"/>
            <w:lang w:val="it-IT"/>
          </w:rPr>
          <w:t>2</w:t>
        </w:r>
        <w:r w:rsidRPr="008E77C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A1F" w:rsidRDefault="00634A1F" w:rsidP="008E77C6">
      <w:r>
        <w:separator/>
      </w:r>
    </w:p>
  </w:footnote>
  <w:footnote w:type="continuationSeparator" w:id="0">
    <w:p w:rsidR="00634A1F" w:rsidRDefault="00634A1F" w:rsidP="008E77C6">
      <w:r>
        <w:continuationSeparator/>
      </w:r>
    </w:p>
  </w:footnote>
  <w:footnote w:id="1">
    <w:p w:rsidR="00634A1F" w:rsidRPr="005E1C0D" w:rsidRDefault="00634A1F" w:rsidP="003B2ADE">
      <w:pPr>
        <w:pStyle w:val="Testonotaapidipagina"/>
        <w:rPr>
          <w:sz w:val="18"/>
          <w:szCs w:val="18"/>
          <w:lang w:val="it-CH"/>
        </w:rPr>
      </w:pPr>
      <w:r w:rsidRPr="005E1C0D">
        <w:rPr>
          <w:rStyle w:val="Rimandonotaapidipagina"/>
          <w:sz w:val="18"/>
          <w:szCs w:val="18"/>
        </w:rPr>
        <w:footnoteRef/>
      </w:r>
      <w:r w:rsidRPr="005E1C0D">
        <w:rPr>
          <w:sz w:val="18"/>
          <w:szCs w:val="18"/>
        </w:rPr>
        <w:t xml:space="preserve"> </w:t>
      </w:r>
      <w:r w:rsidRPr="005E1C0D">
        <w:rPr>
          <w:sz w:val="18"/>
          <w:szCs w:val="18"/>
          <w:lang w:val="it-CH"/>
        </w:rPr>
        <w:t xml:space="preserve">Dal 1° gennaio 2012 è entrata in vigore la struttura tariffale SwissDRG che attribuisce un punteggio ad ogni tipo di intervento medico o chirurgico. La somma dei punteggi erogati in un anno si chiama </w:t>
      </w:r>
      <w:r w:rsidRPr="005E1C0D">
        <w:rPr>
          <w:i/>
          <w:iCs/>
          <w:sz w:val="18"/>
          <w:szCs w:val="18"/>
          <w:lang w:val="it-CH"/>
        </w:rPr>
        <w:t>caseload</w:t>
      </w:r>
      <w:r w:rsidRPr="005E1C0D">
        <w:rPr>
          <w:sz w:val="18"/>
          <w:szCs w:val="18"/>
          <w:lang w:val="it-CH"/>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C9F709C"/>
    <w:multiLevelType w:val="hybridMultilevel"/>
    <w:tmpl w:val="CBD2EB2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3" w15:restartNumberingAfterBreak="0">
    <w:nsid w:val="0D4C53CB"/>
    <w:multiLevelType w:val="hybridMultilevel"/>
    <w:tmpl w:val="1DC8E812"/>
    <w:lvl w:ilvl="0" w:tplc="C3BE05EA">
      <w:start w:val="7734"/>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cs="Wingdings" w:hint="default"/>
      </w:rPr>
    </w:lvl>
    <w:lvl w:ilvl="3" w:tplc="08100001" w:tentative="1">
      <w:start w:val="1"/>
      <w:numFmt w:val="bullet"/>
      <w:lvlText w:val=""/>
      <w:lvlJc w:val="left"/>
      <w:pPr>
        <w:ind w:left="2880" w:hanging="360"/>
      </w:pPr>
      <w:rPr>
        <w:rFonts w:ascii="Symbol" w:hAnsi="Symbol" w:cs="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cs="Wingdings" w:hint="default"/>
      </w:rPr>
    </w:lvl>
    <w:lvl w:ilvl="6" w:tplc="08100001" w:tentative="1">
      <w:start w:val="1"/>
      <w:numFmt w:val="bullet"/>
      <w:lvlText w:val=""/>
      <w:lvlJc w:val="left"/>
      <w:pPr>
        <w:ind w:left="5040" w:hanging="360"/>
      </w:pPr>
      <w:rPr>
        <w:rFonts w:ascii="Symbol" w:hAnsi="Symbol" w:cs="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B094D83"/>
    <w:multiLevelType w:val="hybridMultilevel"/>
    <w:tmpl w:val="D2EA1A06"/>
    <w:lvl w:ilvl="0" w:tplc="D78A60CE">
      <w:start w:val="1"/>
      <w:numFmt w:val="decimal"/>
      <w:lvlText w:val="%1."/>
      <w:lvlJc w:val="left"/>
      <w:pPr>
        <w:ind w:left="920" w:hanging="277"/>
      </w:pPr>
      <w:rPr>
        <w:rFonts w:ascii="Arial" w:eastAsia="Arial" w:hAnsi="Arial" w:cs="Arial" w:hint="default"/>
        <w:spacing w:val="-1"/>
        <w:w w:val="104"/>
        <w:sz w:val="22"/>
        <w:szCs w:val="22"/>
        <w:lang w:val="en-US" w:eastAsia="en-US" w:bidi="en-US"/>
      </w:rPr>
    </w:lvl>
    <w:lvl w:ilvl="1" w:tplc="5596C04A">
      <w:start w:val="1"/>
      <w:numFmt w:val="lowerLetter"/>
      <w:lvlText w:val="%2."/>
      <w:lvlJc w:val="left"/>
      <w:pPr>
        <w:ind w:left="1249" w:hanging="204"/>
      </w:pPr>
      <w:rPr>
        <w:rFonts w:ascii="Arial" w:eastAsia="Arial" w:hAnsi="Arial" w:cs="Arial" w:hint="default"/>
        <w:spacing w:val="-1"/>
        <w:w w:val="102"/>
        <w:sz w:val="20"/>
        <w:szCs w:val="20"/>
        <w:lang w:val="en-US" w:eastAsia="en-US" w:bidi="en-US"/>
      </w:rPr>
    </w:lvl>
    <w:lvl w:ilvl="2" w:tplc="6EBEDFC8">
      <w:numFmt w:val="bullet"/>
      <w:lvlText w:val="•"/>
      <w:lvlJc w:val="left"/>
      <w:pPr>
        <w:ind w:left="2233" w:hanging="204"/>
      </w:pPr>
      <w:rPr>
        <w:rFonts w:hint="default"/>
        <w:lang w:val="en-US" w:eastAsia="en-US" w:bidi="en-US"/>
      </w:rPr>
    </w:lvl>
    <w:lvl w:ilvl="3" w:tplc="B166333C">
      <w:numFmt w:val="bullet"/>
      <w:lvlText w:val="•"/>
      <w:lvlJc w:val="left"/>
      <w:pPr>
        <w:ind w:left="3227" w:hanging="204"/>
      </w:pPr>
      <w:rPr>
        <w:rFonts w:hint="default"/>
        <w:lang w:val="en-US" w:eastAsia="en-US" w:bidi="en-US"/>
      </w:rPr>
    </w:lvl>
    <w:lvl w:ilvl="4" w:tplc="DFF07CCE">
      <w:numFmt w:val="bullet"/>
      <w:lvlText w:val="•"/>
      <w:lvlJc w:val="left"/>
      <w:pPr>
        <w:ind w:left="4221" w:hanging="204"/>
      </w:pPr>
      <w:rPr>
        <w:rFonts w:hint="default"/>
        <w:lang w:val="en-US" w:eastAsia="en-US" w:bidi="en-US"/>
      </w:rPr>
    </w:lvl>
    <w:lvl w:ilvl="5" w:tplc="4CE0AE64">
      <w:numFmt w:val="bullet"/>
      <w:lvlText w:val="•"/>
      <w:lvlJc w:val="left"/>
      <w:pPr>
        <w:ind w:left="5215" w:hanging="204"/>
      </w:pPr>
      <w:rPr>
        <w:rFonts w:hint="default"/>
        <w:lang w:val="en-US" w:eastAsia="en-US" w:bidi="en-US"/>
      </w:rPr>
    </w:lvl>
    <w:lvl w:ilvl="6" w:tplc="C2F237B8">
      <w:numFmt w:val="bullet"/>
      <w:lvlText w:val="•"/>
      <w:lvlJc w:val="left"/>
      <w:pPr>
        <w:ind w:left="6208" w:hanging="204"/>
      </w:pPr>
      <w:rPr>
        <w:rFonts w:hint="default"/>
        <w:lang w:val="en-US" w:eastAsia="en-US" w:bidi="en-US"/>
      </w:rPr>
    </w:lvl>
    <w:lvl w:ilvl="7" w:tplc="FA426244">
      <w:numFmt w:val="bullet"/>
      <w:lvlText w:val="•"/>
      <w:lvlJc w:val="left"/>
      <w:pPr>
        <w:ind w:left="7202" w:hanging="204"/>
      </w:pPr>
      <w:rPr>
        <w:rFonts w:hint="default"/>
        <w:lang w:val="en-US" w:eastAsia="en-US" w:bidi="en-US"/>
      </w:rPr>
    </w:lvl>
    <w:lvl w:ilvl="8" w:tplc="2DA81230">
      <w:numFmt w:val="bullet"/>
      <w:lvlText w:val="•"/>
      <w:lvlJc w:val="left"/>
      <w:pPr>
        <w:ind w:left="8196" w:hanging="204"/>
      </w:pPr>
      <w:rPr>
        <w:rFonts w:hint="default"/>
        <w:lang w:val="en-US" w:eastAsia="en-US" w:bidi="en-US"/>
      </w:rPr>
    </w:lvl>
  </w:abstractNum>
  <w:abstractNum w:abstractNumId="6"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650D79"/>
    <w:multiLevelType w:val="hybridMultilevel"/>
    <w:tmpl w:val="37844B90"/>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C4638"/>
    <w:multiLevelType w:val="hybridMultilevel"/>
    <w:tmpl w:val="21B459B2"/>
    <w:lvl w:ilvl="0" w:tplc="969EADD8">
      <w:numFmt w:val="bullet"/>
      <w:lvlText w:val="·"/>
      <w:lvlJc w:val="left"/>
      <w:pPr>
        <w:ind w:left="460" w:hanging="74"/>
      </w:pPr>
      <w:rPr>
        <w:rFonts w:ascii="Arial" w:eastAsia="Arial" w:hAnsi="Arial" w:cs="Arial" w:hint="default"/>
        <w:color w:val="B8B8B8"/>
        <w:spacing w:val="10"/>
        <w:w w:val="105"/>
        <w:sz w:val="16"/>
        <w:szCs w:val="16"/>
        <w:lang w:val="en-US" w:eastAsia="en-US" w:bidi="en-US"/>
      </w:rPr>
    </w:lvl>
    <w:lvl w:ilvl="1" w:tplc="ADB81E1C">
      <w:numFmt w:val="bullet"/>
      <w:lvlText w:val="•"/>
      <w:lvlJc w:val="left"/>
      <w:pPr>
        <w:ind w:left="565" w:hanging="74"/>
      </w:pPr>
      <w:rPr>
        <w:rFonts w:hint="default"/>
        <w:lang w:val="en-US" w:eastAsia="en-US" w:bidi="en-US"/>
      </w:rPr>
    </w:lvl>
    <w:lvl w:ilvl="2" w:tplc="81D664D8">
      <w:numFmt w:val="bullet"/>
      <w:lvlText w:val="•"/>
      <w:lvlJc w:val="left"/>
      <w:pPr>
        <w:ind w:left="670" w:hanging="74"/>
      </w:pPr>
      <w:rPr>
        <w:rFonts w:hint="default"/>
        <w:lang w:val="en-US" w:eastAsia="en-US" w:bidi="en-US"/>
      </w:rPr>
    </w:lvl>
    <w:lvl w:ilvl="3" w:tplc="50707256">
      <w:numFmt w:val="bullet"/>
      <w:lvlText w:val="•"/>
      <w:lvlJc w:val="left"/>
      <w:pPr>
        <w:ind w:left="776" w:hanging="74"/>
      </w:pPr>
      <w:rPr>
        <w:rFonts w:hint="default"/>
        <w:lang w:val="en-US" w:eastAsia="en-US" w:bidi="en-US"/>
      </w:rPr>
    </w:lvl>
    <w:lvl w:ilvl="4" w:tplc="BE16C43C">
      <w:numFmt w:val="bullet"/>
      <w:lvlText w:val="•"/>
      <w:lvlJc w:val="left"/>
      <w:pPr>
        <w:ind w:left="881" w:hanging="74"/>
      </w:pPr>
      <w:rPr>
        <w:rFonts w:hint="default"/>
        <w:lang w:val="en-US" w:eastAsia="en-US" w:bidi="en-US"/>
      </w:rPr>
    </w:lvl>
    <w:lvl w:ilvl="5" w:tplc="EE3AE3BA">
      <w:numFmt w:val="bullet"/>
      <w:lvlText w:val="•"/>
      <w:lvlJc w:val="left"/>
      <w:pPr>
        <w:ind w:left="987" w:hanging="74"/>
      </w:pPr>
      <w:rPr>
        <w:rFonts w:hint="default"/>
        <w:lang w:val="en-US" w:eastAsia="en-US" w:bidi="en-US"/>
      </w:rPr>
    </w:lvl>
    <w:lvl w:ilvl="6" w:tplc="187C9850">
      <w:numFmt w:val="bullet"/>
      <w:lvlText w:val="•"/>
      <w:lvlJc w:val="left"/>
      <w:pPr>
        <w:ind w:left="1092" w:hanging="74"/>
      </w:pPr>
      <w:rPr>
        <w:rFonts w:hint="default"/>
        <w:lang w:val="en-US" w:eastAsia="en-US" w:bidi="en-US"/>
      </w:rPr>
    </w:lvl>
    <w:lvl w:ilvl="7" w:tplc="C91E4266">
      <w:numFmt w:val="bullet"/>
      <w:lvlText w:val="•"/>
      <w:lvlJc w:val="left"/>
      <w:pPr>
        <w:ind w:left="1197" w:hanging="74"/>
      </w:pPr>
      <w:rPr>
        <w:rFonts w:hint="default"/>
        <w:lang w:val="en-US" w:eastAsia="en-US" w:bidi="en-US"/>
      </w:rPr>
    </w:lvl>
    <w:lvl w:ilvl="8" w:tplc="93FEDBEE">
      <w:numFmt w:val="bullet"/>
      <w:lvlText w:val="•"/>
      <w:lvlJc w:val="left"/>
      <w:pPr>
        <w:ind w:left="1303" w:hanging="74"/>
      </w:pPr>
      <w:rPr>
        <w:rFonts w:hint="default"/>
        <w:lang w:val="en-US" w:eastAsia="en-US" w:bidi="en-US"/>
      </w:rPr>
    </w:lvl>
  </w:abstractNum>
  <w:abstractNum w:abstractNumId="11" w15:restartNumberingAfterBreak="0">
    <w:nsid w:val="282E32EE"/>
    <w:multiLevelType w:val="hybridMultilevel"/>
    <w:tmpl w:val="0754611E"/>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12" w15:restartNumberingAfterBreak="0">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2A6384A"/>
    <w:multiLevelType w:val="hybridMultilevel"/>
    <w:tmpl w:val="D30E4DB2"/>
    <w:lvl w:ilvl="0" w:tplc="627825C2">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3455684F"/>
    <w:multiLevelType w:val="hybridMultilevel"/>
    <w:tmpl w:val="F3D0043A"/>
    <w:lvl w:ilvl="0" w:tplc="A29604B0">
      <w:numFmt w:val="bullet"/>
      <w:lvlText w:val="•"/>
      <w:lvlJc w:val="left"/>
      <w:pPr>
        <w:ind w:left="1493" w:hanging="360"/>
      </w:pPr>
      <w:rPr>
        <w:rFonts w:ascii="Minion Pro" w:eastAsia="Minion Pro" w:hAnsi="Minion Pro" w:cs="Minion Pro" w:hint="default"/>
        <w:spacing w:val="-6"/>
        <w:w w:val="73"/>
        <w:sz w:val="24"/>
        <w:szCs w:val="24"/>
        <w:lang w:val="it-IT" w:eastAsia="it-IT" w:bidi="it-IT"/>
      </w:rPr>
    </w:lvl>
    <w:lvl w:ilvl="1" w:tplc="208621CA">
      <w:numFmt w:val="bullet"/>
      <w:lvlText w:val="•"/>
      <w:lvlJc w:val="left"/>
      <w:pPr>
        <w:ind w:left="2216" w:hanging="360"/>
      </w:pPr>
      <w:rPr>
        <w:rFonts w:ascii="Minion Pro" w:eastAsia="Minion Pro" w:hAnsi="Minion Pro" w:cs="Minion Pro" w:hint="default"/>
        <w:spacing w:val="-5"/>
        <w:w w:val="73"/>
        <w:sz w:val="24"/>
        <w:szCs w:val="24"/>
        <w:lang w:val="it-IT" w:eastAsia="it-IT" w:bidi="it-IT"/>
      </w:rPr>
    </w:lvl>
    <w:lvl w:ilvl="2" w:tplc="CBC85500">
      <w:numFmt w:val="bullet"/>
      <w:lvlText w:val="•"/>
      <w:lvlJc w:val="left"/>
      <w:pPr>
        <w:ind w:left="2572" w:hanging="360"/>
      </w:pPr>
      <w:rPr>
        <w:rFonts w:hint="default"/>
        <w:lang w:val="it-IT" w:eastAsia="it-IT" w:bidi="it-IT"/>
      </w:rPr>
    </w:lvl>
    <w:lvl w:ilvl="3" w:tplc="75547AE2">
      <w:numFmt w:val="bullet"/>
      <w:lvlText w:val="•"/>
      <w:lvlJc w:val="left"/>
      <w:pPr>
        <w:ind w:left="2925" w:hanging="360"/>
      </w:pPr>
      <w:rPr>
        <w:rFonts w:hint="default"/>
        <w:lang w:val="it-IT" w:eastAsia="it-IT" w:bidi="it-IT"/>
      </w:rPr>
    </w:lvl>
    <w:lvl w:ilvl="4" w:tplc="95625428">
      <w:numFmt w:val="bullet"/>
      <w:lvlText w:val="•"/>
      <w:lvlJc w:val="left"/>
      <w:pPr>
        <w:ind w:left="3277" w:hanging="360"/>
      </w:pPr>
      <w:rPr>
        <w:rFonts w:hint="default"/>
        <w:lang w:val="it-IT" w:eastAsia="it-IT" w:bidi="it-IT"/>
      </w:rPr>
    </w:lvl>
    <w:lvl w:ilvl="5" w:tplc="E57C7F6C">
      <w:numFmt w:val="bullet"/>
      <w:lvlText w:val="•"/>
      <w:lvlJc w:val="left"/>
      <w:pPr>
        <w:ind w:left="3630" w:hanging="360"/>
      </w:pPr>
      <w:rPr>
        <w:rFonts w:hint="default"/>
        <w:lang w:val="it-IT" w:eastAsia="it-IT" w:bidi="it-IT"/>
      </w:rPr>
    </w:lvl>
    <w:lvl w:ilvl="6" w:tplc="F926D3DE">
      <w:numFmt w:val="bullet"/>
      <w:lvlText w:val="•"/>
      <w:lvlJc w:val="left"/>
      <w:pPr>
        <w:ind w:left="3982" w:hanging="360"/>
      </w:pPr>
      <w:rPr>
        <w:rFonts w:hint="default"/>
        <w:lang w:val="it-IT" w:eastAsia="it-IT" w:bidi="it-IT"/>
      </w:rPr>
    </w:lvl>
    <w:lvl w:ilvl="7" w:tplc="73669FFC">
      <w:numFmt w:val="bullet"/>
      <w:lvlText w:val="•"/>
      <w:lvlJc w:val="left"/>
      <w:pPr>
        <w:ind w:left="4335" w:hanging="360"/>
      </w:pPr>
      <w:rPr>
        <w:rFonts w:hint="default"/>
        <w:lang w:val="it-IT" w:eastAsia="it-IT" w:bidi="it-IT"/>
      </w:rPr>
    </w:lvl>
    <w:lvl w:ilvl="8" w:tplc="19DC74A4">
      <w:numFmt w:val="bullet"/>
      <w:lvlText w:val="•"/>
      <w:lvlJc w:val="left"/>
      <w:pPr>
        <w:ind w:left="4687" w:hanging="360"/>
      </w:pPr>
      <w:rPr>
        <w:rFonts w:hint="default"/>
        <w:lang w:val="it-IT" w:eastAsia="it-IT" w:bidi="it-IT"/>
      </w:rPr>
    </w:lvl>
  </w:abstractNum>
  <w:abstractNum w:abstractNumId="16" w15:restartNumberingAfterBreak="0">
    <w:nsid w:val="3F333B2C"/>
    <w:multiLevelType w:val="hybridMultilevel"/>
    <w:tmpl w:val="79484F58"/>
    <w:lvl w:ilvl="0" w:tplc="45BC9C24">
      <w:numFmt w:val="bullet"/>
      <w:lvlText w:val="•"/>
      <w:lvlJc w:val="left"/>
      <w:pPr>
        <w:ind w:left="631" w:hanging="360"/>
      </w:pPr>
      <w:rPr>
        <w:rFonts w:ascii="Arial" w:eastAsia="Arial" w:hAnsi="Arial" w:cs="Arial" w:hint="default"/>
        <w:w w:val="142"/>
        <w:sz w:val="16"/>
        <w:szCs w:val="16"/>
        <w:lang w:val="it-IT" w:eastAsia="it-IT" w:bidi="it-IT"/>
      </w:rPr>
    </w:lvl>
    <w:lvl w:ilvl="1" w:tplc="7B6E872E">
      <w:numFmt w:val="bullet"/>
      <w:lvlText w:val="•"/>
      <w:lvlJc w:val="left"/>
      <w:pPr>
        <w:ind w:left="1551" w:hanging="360"/>
      </w:pPr>
      <w:rPr>
        <w:rFonts w:ascii="Arial" w:eastAsia="Arial" w:hAnsi="Arial" w:cs="Arial" w:hint="default"/>
        <w:w w:val="142"/>
        <w:sz w:val="16"/>
        <w:szCs w:val="16"/>
        <w:lang w:val="it-IT" w:eastAsia="it-IT" w:bidi="it-IT"/>
      </w:rPr>
    </w:lvl>
    <w:lvl w:ilvl="2" w:tplc="4FE8CCD0">
      <w:numFmt w:val="bullet"/>
      <w:lvlText w:val="–"/>
      <w:lvlJc w:val="left"/>
      <w:pPr>
        <w:ind w:left="1712" w:hanging="125"/>
      </w:pPr>
      <w:rPr>
        <w:rFonts w:ascii="Arial" w:eastAsia="Arial" w:hAnsi="Arial" w:cs="Arial" w:hint="default"/>
        <w:w w:val="89"/>
        <w:sz w:val="16"/>
        <w:szCs w:val="16"/>
        <w:lang w:val="it-IT" w:eastAsia="it-IT" w:bidi="it-IT"/>
      </w:rPr>
    </w:lvl>
    <w:lvl w:ilvl="3" w:tplc="DD048500">
      <w:numFmt w:val="bullet"/>
      <w:lvlText w:val="•"/>
      <w:lvlJc w:val="left"/>
      <w:pPr>
        <w:ind w:left="1499" w:hanging="125"/>
      </w:pPr>
      <w:rPr>
        <w:rFonts w:hint="default"/>
        <w:lang w:val="it-IT" w:eastAsia="it-IT" w:bidi="it-IT"/>
      </w:rPr>
    </w:lvl>
    <w:lvl w:ilvl="4" w:tplc="DF5A25EC">
      <w:numFmt w:val="bullet"/>
      <w:lvlText w:val="•"/>
      <w:lvlJc w:val="left"/>
      <w:pPr>
        <w:ind w:left="1279" w:hanging="125"/>
      </w:pPr>
      <w:rPr>
        <w:rFonts w:hint="default"/>
        <w:lang w:val="it-IT" w:eastAsia="it-IT" w:bidi="it-IT"/>
      </w:rPr>
    </w:lvl>
    <w:lvl w:ilvl="5" w:tplc="3E2C9E06">
      <w:numFmt w:val="bullet"/>
      <w:lvlText w:val="•"/>
      <w:lvlJc w:val="left"/>
      <w:pPr>
        <w:ind w:left="1059" w:hanging="125"/>
      </w:pPr>
      <w:rPr>
        <w:rFonts w:hint="default"/>
        <w:lang w:val="it-IT" w:eastAsia="it-IT" w:bidi="it-IT"/>
      </w:rPr>
    </w:lvl>
    <w:lvl w:ilvl="6" w:tplc="C504A6E4">
      <w:numFmt w:val="bullet"/>
      <w:lvlText w:val="•"/>
      <w:lvlJc w:val="left"/>
      <w:pPr>
        <w:ind w:left="839" w:hanging="125"/>
      </w:pPr>
      <w:rPr>
        <w:rFonts w:hint="default"/>
        <w:lang w:val="it-IT" w:eastAsia="it-IT" w:bidi="it-IT"/>
      </w:rPr>
    </w:lvl>
    <w:lvl w:ilvl="7" w:tplc="14DA5032">
      <w:numFmt w:val="bullet"/>
      <w:lvlText w:val="•"/>
      <w:lvlJc w:val="left"/>
      <w:pPr>
        <w:ind w:left="619" w:hanging="125"/>
      </w:pPr>
      <w:rPr>
        <w:rFonts w:hint="default"/>
        <w:lang w:val="it-IT" w:eastAsia="it-IT" w:bidi="it-IT"/>
      </w:rPr>
    </w:lvl>
    <w:lvl w:ilvl="8" w:tplc="02A02EDE">
      <w:numFmt w:val="bullet"/>
      <w:lvlText w:val="•"/>
      <w:lvlJc w:val="left"/>
      <w:pPr>
        <w:ind w:left="399" w:hanging="125"/>
      </w:pPr>
      <w:rPr>
        <w:rFonts w:hint="default"/>
        <w:lang w:val="it-IT" w:eastAsia="it-IT" w:bidi="it-IT"/>
      </w:rPr>
    </w:lvl>
  </w:abstractNum>
  <w:abstractNum w:abstractNumId="17" w15:restartNumberingAfterBreak="0">
    <w:nsid w:val="3F4E6383"/>
    <w:multiLevelType w:val="hybridMultilevel"/>
    <w:tmpl w:val="162ABEC0"/>
    <w:lvl w:ilvl="0" w:tplc="D7661BF0">
      <w:start w:val="1"/>
      <w:numFmt w:val="decimal"/>
      <w:lvlText w:val="%1."/>
      <w:lvlJc w:val="left"/>
      <w:pPr>
        <w:ind w:left="360" w:hanging="360"/>
      </w:pPr>
      <w:rPr>
        <w:rFonts w:ascii="Arial" w:hAnsi="Arial" w:cs="Tahoma"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9" w15:restartNumberingAfterBreak="0">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421246"/>
    <w:multiLevelType w:val="hybridMultilevel"/>
    <w:tmpl w:val="58B2216A"/>
    <w:lvl w:ilvl="0" w:tplc="4832FCCE">
      <w:numFmt w:val="bullet"/>
      <w:lvlText w:val="•"/>
      <w:lvlJc w:val="left"/>
      <w:pPr>
        <w:ind w:left="730" w:hanging="360"/>
      </w:pPr>
      <w:rPr>
        <w:rFonts w:ascii="Minion Pro" w:eastAsia="Minion Pro" w:hAnsi="Minion Pro" w:cs="Minion Pro" w:hint="default"/>
        <w:spacing w:val="-4"/>
        <w:w w:val="60"/>
        <w:sz w:val="24"/>
        <w:szCs w:val="24"/>
        <w:lang w:val="it-IT" w:eastAsia="it-IT" w:bidi="it-IT"/>
      </w:rPr>
    </w:lvl>
    <w:lvl w:ilvl="1" w:tplc="05863EA8">
      <w:numFmt w:val="bullet"/>
      <w:lvlText w:val="•"/>
      <w:lvlJc w:val="left"/>
      <w:pPr>
        <w:ind w:left="2216" w:hanging="360"/>
      </w:pPr>
      <w:rPr>
        <w:rFonts w:ascii="Minion Pro" w:eastAsia="Minion Pro" w:hAnsi="Minion Pro" w:cs="Minion Pro" w:hint="default"/>
        <w:spacing w:val="-5"/>
        <w:w w:val="60"/>
        <w:sz w:val="24"/>
        <w:szCs w:val="24"/>
        <w:lang w:val="it-IT" w:eastAsia="it-IT" w:bidi="it-IT"/>
      </w:rPr>
    </w:lvl>
    <w:lvl w:ilvl="2" w:tplc="1A2666BA">
      <w:numFmt w:val="bullet"/>
      <w:lvlText w:val="•"/>
      <w:lvlJc w:val="left"/>
      <w:pPr>
        <w:ind w:left="2693" w:hanging="360"/>
      </w:pPr>
      <w:rPr>
        <w:rFonts w:hint="default"/>
        <w:lang w:val="it-IT" w:eastAsia="it-IT" w:bidi="it-IT"/>
      </w:rPr>
    </w:lvl>
    <w:lvl w:ilvl="3" w:tplc="552030C0">
      <w:numFmt w:val="bullet"/>
      <w:lvlText w:val="•"/>
      <w:lvlJc w:val="left"/>
      <w:pPr>
        <w:ind w:left="3166" w:hanging="360"/>
      </w:pPr>
      <w:rPr>
        <w:rFonts w:hint="default"/>
        <w:lang w:val="it-IT" w:eastAsia="it-IT" w:bidi="it-IT"/>
      </w:rPr>
    </w:lvl>
    <w:lvl w:ilvl="4" w:tplc="836C57CE">
      <w:numFmt w:val="bullet"/>
      <w:lvlText w:val="•"/>
      <w:lvlJc w:val="left"/>
      <w:pPr>
        <w:ind w:left="3639" w:hanging="360"/>
      </w:pPr>
      <w:rPr>
        <w:rFonts w:hint="default"/>
        <w:lang w:val="it-IT" w:eastAsia="it-IT" w:bidi="it-IT"/>
      </w:rPr>
    </w:lvl>
    <w:lvl w:ilvl="5" w:tplc="FAE833CE">
      <w:numFmt w:val="bullet"/>
      <w:lvlText w:val="•"/>
      <w:lvlJc w:val="left"/>
      <w:pPr>
        <w:ind w:left="4112" w:hanging="360"/>
      </w:pPr>
      <w:rPr>
        <w:rFonts w:hint="default"/>
        <w:lang w:val="it-IT" w:eastAsia="it-IT" w:bidi="it-IT"/>
      </w:rPr>
    </w:lvl>
    <w:lvl w:ilvl="6" w:tplc="F306B416">
      <w:numFmt w:val="bullet"/>
      <w:lvlText w:val="•"/>
      <w:lvlJc w:val="left"/>
      <w:pPr>
        <w:ind w:left="4586" w:hanging="360"/>
      </w:pPr>
      <w:rPr>
        <w:rFonts w:hint="default"/>
        <w:lang w:val="it-IT" w:eastAsia="it-IT" w:bidi="it-IT"/>
      </w:rPr>
    </w:lvl>
    <w:lvl w:ilvl="7" w:tplc="3C6C4A6A">
      <w:numFmt w:val="bullet"/>
      <w:lvlText w:val="•"/>
      <w:lvlJc w:val="left"/>
      <w:pPr>
        <w:ind w:left="5059" w:hanging="360"/>
      </w:pPr>
      <w:rPr>
        <w:rFonts w:hint="default"/>
        <w:lang w:val="it-IT" w:eastAsia="it-IT" w:bidi="it-IT"/>
      </w:rPr>
    </w:lvl>
    <w:lvl w:ilvl="8" w:tplc="11A8CB8A">
      <w:numFmt w:val="bullet"/>
      <w:lvlText w:val="•"/>
      <w:lvlJc w:val="left"/>
      <w:pPr>
        <w:ind w:left="5532" w:hanging="360"/>
      </w:pPr>
      <w:rPr>
        <w:rFonts w:hint="default"/>
        <w:lang w:val="it-IT" w:eastAsia="it-IT" w:bidi="it-IT"/>
      </w:rPr>
    </w:lvl>
  </w:abstractNum>
  <w:abstractNum w:abstractNumId="22" w15:restartNumberingAfterBreak="0">
    <w:nsid w:val="518E7830"/>
    <w:multiLevelType w:val="hybridMultilevel"/>
    <w:tmpl w:val="4E101D00"/>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5" w15:restartNumberingAfterBreak="0">
    <w:nsid w:val="5E343DB8"/>
    <w:multiLevelType w:val="hybridMultilevel"/>
    <w:tmpl w:val="FD0A060C"/>
    <w:lvl w:ilvl="0" w:tplc="6D3C3156">
      <w:numFmt w:val="bullet"/>
      <w:lvlText w:val="•"/>
      <w:lvlJc w:val="left"/>
      <w:pPr>
        <w:ind w:left="529" w:hanging="360"/>
      </w:pPr>
      <w:rPr>
        <w:rFonts w:ascii="Minion Pro" w:eastAsia="Minion Pro" w:hAnsi="Minion Pro" w:cs="Minion Pro" w:hint="default"/>
        <w:w w:val="73"/>
        <w:sz w:val="24"/>
        <w:szCs w:val="24"/>
        <w:lang w:val="it-IT" w:eastAsia="it-IT" w:bidi="it-IT"/>
      </w:rPr>
    </w:lvl>
    <w:lvl w:ilvl="1" w:tplc="001CA9A8">
      <w:numFmt w:val="bullet"/>
      <w:lvlText w:val="•"/>
      <w:lvlJc w:val="left"/>
      <w:pPr>
        <w:ind w:left="768" w:hanging="360"/>
      </w:pPr>
      <w:rPr>
        <w:rFonts w:hint="default"/>
        <w:lang w:val="it-IT" w:eastAsia="it-IT" w:bidi="it-IT"/>
      </w:rPr>
    </w:lvl>
    <w:lvl w:ilvl="2" w:tplc="FCA281EE">
      <w:numFmt w:val="bullet"/>
      <w:lvlText w:val="•"/>
      <w:lvlJc w:val="left"/>
      <w:pPr>
        <w:ind w:left="1017" w:hanging="360"/>
      </w:pPr>
      <w:rPr>
        <w:rFonts w:hint="default"/>
        <w:lang w:val="it-IT" w:eastAsia="it-IT" w:bidi="it-IT"/>
      </w:rPr>
    </w:lvl>
    <w:lvl w:ilvl="3" w:tplc="012AE292">
      <w:numFmt w:val="bullet"/>
      <w:lvlText w:val="•"/>
      <w:lvlJc w:val="left"/>
      <w:pPr>
        <w:ind w:left="1265" w:hanging="360"/>
      </w:pPr>
      <w:rPr>
        <w:rFonts w:hint="default"/>
        <w:lang w:val="it-IT" w:eastAsia="it-IT" w:bidi="it-IT"/>
      </w:rPr>
    </w:lvl>
    <w:lvl w:ilvl="4" w:tplc="7C5E9090">
      <w:numFmt w:val="bullet"/>
      <w:lvlText w:val="•"/>
      <w:lvlJc w:val="left"/>
      <w:pPr>
        <w:ind w:left="1514" w:hanging="360"/>
      </w:pPr>
      <w:rPr>
        <w:rFonts w:hint="default"/>
        <w:lang w:val="it-IT" w:eastAsia="it-IT" w:bidi="it-IT"/>
      </w:rPr>
    </w:lvl>
    <w:lvl w:ilvl="5" w:tplc="699E7096">
      <w:numFmt w:val="bullet"/>
      <w:lvlText w:val="•"/>
      <w:lvlJc w:val="left"/>
      <w:pPr>
        <w:ind w:left="1762" w:hanging="360"/>
      </w:pPr>
      <w:rPr>
        <w:rFonts w:hint="default"/>
        <w:lang w:val="it-IT" w:eastAsia="it-IT" w:bidi="it-IT"/>
      </w:rPr>
    </w:lvl>
    <w:lvl w:ilvl="6" w:tplc="C0EE013C">
      <w:numFmt w:val="bullet"/>
      <w:lvlText w:val="•"/>
      <w:lvlJc w:val="left"/>
      <w:pPr>
        <w:ind w:left="2011" w:hanging="360"/>
      </w:pPr>
      <w:rPr>
        <w:rFonts w:hint="default"/>
        <w:lang w:val="it-IT" w:eastAsia="it-IT" w:bidi="it-IT"/>
      </w:rPr>
    </w:lvl>
    <w:lvl w:ilvl="7" w:tplc="95E037DC">
      <w:numFmt w:val="bullet"/>
      <w:lvlText w:val="•"/>
      <w:lvlJc w:val="left"/>
      <w:pPr>
        <w:ind w:left="2259" w:hanging="360"/>
      </w:pPr>
      <w:rPr>
        <w:rFonts w:hint="default"/>
        <w:lang w:val="it-IT" w:eastAsia="it-IT" w:bidi="it-IT"/>
      </w:rPr>
    </w:lvl>
    <w:lvl w:ilvl="8" w:tplc="7534C39E">
      <w:numFmt w:val="bullet"/>
      <w:lvlText w:val="•"/>
      <w:lvlJc w:val="left"/>
      <w:pPr>
        <w:ind w:left="2508" w:hanging="360"/>
      </w:pPr>
      <w:rPr>
        <w:rFonts w:hint="default"/>
        <w:lang w:val="it-IT" w:eastAsia="it-IT" w:bidi="it-IT"/>
      </w:rPr>
    </w:lvl>
  </w:abstractNum>
  <w:abstractNum w:abstractNumId="26" w15:restartNumberingAfterBreak="0">
    <w:nsid w:val="5FA45159"/>
    <w:multiLevelType w:val="hybridMultilevel"/>
    <w:tmpl w:val="1AD4A9B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15:restartNumberingAfterBreak="0">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E4027C"/>
    <w:multiLevelType w:val="hybridMultilevel"/>
    <w:tmpl w:val="EDA0C154"/>
    <w:lvl w:ilvl="0" w:tplc="4D10D742">
      <w:numFmt w:val="bullet"/>
      <w:lvlText w:val="•"/>
      <w:lvlJc w:val="left"/>
      <w:pPr>
        <w:ind w:left="529" w:hanging="360"/>
      </w:pPr>
      <w:rPr>
        <w:rFonts w:ascii="Minion Pro" w:eastAsia="Minion Pro" w:hAnsi="Minion Pro" w:cs="Minion Pro" w:hint="default"/>
        <w:w w:val="73"/>
        <w:sz w:val="24"/>
        <w:szCs w:val="24"/>
        <w:lang w:val="it-IT" w:eastAsia="it-IT" w:bidi="it-IT"/>
      </w:rPr>
    </w:lvl>
    <w:lvl w:ilvl="1" w:tplc="B5A61FC6">
      <w:numFmt w:val="bullet"/>
      <w:lvlText w:val="•"/>
      <w:lvlJc w:val="left"/>
      <w:pPr>
        <w:ind w:left="768" w:hanging="360"/>
      </w:pPr>
      <w:rPr>
        <w:rFonts w:hint="default"/>
        <w:lang w:val="it-IT" w:eastAsia="it-IT" w:bidi="it-IT"/>
      </w:rPr>
    </w:lvl>
    <w:lvl w:ilvl="2" w:tplc="60E25D70">
      <w:numFmt w:val="bullet"/>
      <w:lvlText w:val="•"/>
      <w:lvlJc w:val="left"/>
      <w:pPr>
        <w:ind w:left="1017" w:hanging="360"/>
      </w:pPr>
      <w:rPr>
        <w:rFonts w:hint="default"/>
        <w:lang w:val="it-IT" w:eastAsia="it-IT" w:bidi="it-IT"/>
      </w:rPr>
    </w:lvl>
    <w:lvl w:ilvl="3" w:tplc="161208C6">
      <w:numFmt w:val="bullet"/>
      <w:lvlText w:val="•"/>
      <w:lvlJc w:val="left"/>
      <w:pPr>
        <w:ind w:left="1265" w:hanging="360"/>
      </w:pPr>
      <w:rPr>
        <w:rFonts w:hint="default"/>
        <w:lang w:val="it-IT" w:eastAsia="it-IT" w:bidi="it-IT"/>
      </w:rPr>
    </w:lvl>
    <w:lvl w:ilvl="4" w:tplc="03542C86">
      <w:numFmt w:val="bullet"/>
      <w:lvlText w:val="•"/>
      <w:lvlJc w:val="left"/>
      <w:pPr>
        <w:ind w:left="1514" w:hanging="360"/>
      </w:pPr>
      <w:rPr>
        <w:rFonts w:hint="default"/>
        <w:lang w:val="it-IT" w:eastAsia="it-IT" w:bidi="it-IT"/>
      </w:rPr>
    </w:lvl>
    <w:lvl w:ilvl="5" w:tplc="7880369A">
      <w:numFmt w:val="bullet"/>
      <w:lvlText w:val="•"/>
      <w:lvlJc w:val="left"/>
      <w:pPr>
        <w:ind w:left="1762" w:hanging="360"/>
      </w:pPr>
      <w:rPr>
        <w:rFonts w:hint="default"/>
        <w:lang w:val="it-IT" w:eastAsia="it-IT" w:bidi="it-IT"/>
      </w:rPr>
    </w:lvl>
    <w:lvl w:ilvl="6" w:tplc="37BC8FB8">
      <w:numFmt w:val="bullet"/>
      <w:lvlText w:val="•"/>
      <w:lvlJc w:val="left"/>
      <w:pPr>
        <w:ind w:left="2011" w:hanging="360"/>
      </w:pPr>
      <w:rPr>
        <w:rFonts w:hint="default"/>
        <w:lang w:val="it-IT" w:eastAsia="it-IT" w:bidi="it-IT"/>
      </w:rPr>
    </w:lvl>
    <w:lvl w:ilvl="7" w:tplc="0EB0F808">
      <w:numFmt w:val="bullet"/>
      <w:lvlText w:val="•"/>
      <w:lvlJc w:val="left"/>
      <w:pPr>
        <w:ind w:left="2259" w:hanging="360"/>
      </w:pPr>
      <w:rPr>
        <w:rFonts w:hint="default"/>
        <w:lang w:val="it-IT" w:eastAsia="it-IT" w:bidi="it-IT"/>
      </w:rPr>
    </w:lvl>
    <w:lvl w:ilvl="8" w:tplc="EB6657FC">
      <w:numFmt w:val="bullet"/>
      <w:lvlText w:val="•"/>
      <w:lvlJc w:val="left"/>
      <w:pPr>
        <w:ind w:left="2508" w:hanging="360"/>
      </w:pPr>
      <w:rPr>
        <w:rFonts w:hint="default"/>
        <w:lang w:val="it-IT" w:eastAsia="it-IT" w:bidi="it-IT"/>
      </w:rPr>
    </w:lvl>
  </w:abstractNum>
  <w:abstractNum w:abstractNumId="29"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507506"/>
    <w:multiLevelType w:val="hybridMultilevel"/>
    <w:tmpl w:val="571C62A8"/>
    <w:lvl w:ilvl="0" w:tplc="2FFE9620">
      <w:numFmt w:val="bullet"/>
      <w:lvlText w:val="•"/>
      <w:lvlJc w:val="left"/>
      <w:pPr>
        <w:ind w:left="529" w:hanging="360"/>
      </w:pPr>
      <w:rPr>
        <w:rFonts w:ascii="Minion Pro" w:eastAsia="Minion Pro" w:hAnsi="Minion Pro" w:cs="Minion Pro" w:hint="default"/>
        <w:w w:val="73"/>
        <w:sz w:val="24"/>
        <w:szCs w:val="24"/>
        <w:lang w:val="it-IT" w:eastAsia="it-IT" w:bidi="it-IT"/>
      </w:rPr>
    </w:lvl>
    <w:lvl w:ilvl="1" w:tplc="B0F4FCFE">
      <w:numFmt w:val="bullet"/>
      <w:lvlText w:val="•"/>
      <w:lvlJc w:val="left"/>
      <w:pPr>
        <w:ind w:left="768" w:hanging="360"/>
      </w:pPr>
      <w:rPr>
        <w:rFonts w:hint="default"/>
        <w:lang w:val="it-IT" w:eastAsia="it-IT" w:bidi="it-IT"/>
      </w:rPr>
    </w:lvl>
    <w:lvl w:ilvl="2" w:tplc="64FA33F2">
      <w:numFmt w:val="bullet"/>
      <w:lvlText w:val="•"/>
      <w:lvlJc w:val="left"/>
      <w:pPr>
        <w:ind w:left="1017" w:hanging="360"/>
      </w:pPr>
      <w:rPr>
        <w:rFonts w:hint="default"/>
        <w:lang w:val="it-IT" w:eastAsia="it-IT" w:bidi="it-IT"/>
      </w:rPr>
    </w:lvl>
    <w:lvl w:ilvl="3" w:tplc="172673F6">
      <w:numFmt w:val="bullet"/>
      <w:lvlText w:val="•"/>
      <w:lvlJc w:val="left"/>
      <w:pPr>
        <w:ind w:left="1265" w:hanging="360"/>
      </w:pPr>
      <w:rPr>
        <w:rFonts w:hint="default"/>
        <w:lang w:val="it-IT" w:eastAsia="it-IT" w:bidi="it-IT"/>
      </w:rPr>
    </w:lvl>
    <w:lvl w:ilvl="4" w:tplc="45121B68">
      <w:numFmt w:val="bullet"/>
      <w:lvlText w:val="•"/>
      <w:lvlJc w:val="left"/>
      <w:pPr>
        <w:ind w:left="1514" w:hanging="360"/>
      </w:pPr>
      <w:rPr>
        <w:rFonts w:hint="default"/>
        <w:lang w:val="it-IT" w:eastAsia="it-IT" w:bidi="it-IT"/>
      </w:rPr>
    </w:lvl>
    <w:lvl w:ilvl="5" w:tplc="E94A6C84">
      <w:numFmt w:val="bullet"/>
      <w:lvlText w:val="•"/>
      <w:lvlJc w:val="left"/>
      <w:pPr>
        <w:ind w:left="1762" w:hanging="360"/>
      </w:pPr>
      <w:rPr>
        <w:rFonts w:hint="default"/>
        <w:lang w:val="it-IT" w:eastAsia="it-IT" w:bidi="it-IT"/>
      </w:rPr>
    </w:lvl>
    <w:lvl w:ilvl="6" w:tplc="7E840264">
      <w:numFmt w:val="bullet"/>
      <w:lvlText w:val="•"/>
      <w:lvlJc w:val="left"/>
      <w:pPr>
        <w:ind w:left="2011" w:hanging="360"/>
      </w:pPr>
      <w:rPr>
        <w:rFonts w:hint="default"/>
        <w:lang w:val="it-IT" w:eastAsia="it-IT" w:bidi="it-IT"/>
      </w:rPr>
    </w:lvl>
    <w:lvl w:ilvl="7" w:tplc="F14ECC8A">
      <w:numFmt w:val="bullet"/>
      <w:lvlText w:val="•"/>
      <w:lvlJc w:val="left"/>
      <w:pPr>
        <w:ind w:left="2259" w:hanging="360"/>
      </w:pPr>
      <w:rPr>
        <w:rFonts w:hint="default"/>
        <w:lang w:val="it-IT" w:eastAsia="it-IT" w:bidi="it-IT"/>
      </w:rPr>
    </w:lvl>
    <w:lvl w:ilvl="8" w:tplc="53A684BE">
      <w:numFmt w:val="bullet"/>
      <w:lvlText w:val="•"/>
      <w:lvlJc w:val="left"/>
      <w:pPr>
        <w:ind w:left="2508" w:hanging="360"/>
      </w:pPr>
      <w:rPr>
        <w:rFonts w:hint="default"/>
        <w:lang w:val="it-IT" w:eastAsia="it-IT" w:bidi="it-IT"/>
      </w:rPr>
    </w:lvl>
  </w:abstractNum>
  <w:abstractNum w:abstractNumId="32" w15:restartNumberingAfterBreak="0">
    <w:nsid w:val="6D065018"/>
    <w:multiLevelType w:val="hybridMultilevel"/>
    <w:tmpl w:val="F544BFAA"/>
    <w:lvl w:ilvl="0" w:tplc="75385396">
      <w:numFmt w:val="bullet"/>
      <w:lvlText w:val="•"/>
      <w:lvlJc w:val="left"/>
      <w:pPr>
        <w:ind w:left="2216" w:hanging="360"/>
      </w:pPr>
      <w:rPr>
        <w:rFonts w:ascii="Minion Pro" w:eastAsia="Minion Pro" w:hAnsi="Minion Pro" w:cs="Minion Pro" w:hint="default"/>
        <w:spacing w:val="-3"/>
        <w:w w:val="73"/>
        <w:sz w:val="24"/>
        <w:szCs w:val="24"/>
        <w:lang w:val="it-IT" w:eastAsia="it-IT" w:bidi="it-IT"/>
      </w:rPr>
    </w:lvl>
    <w:lvl w:ilvl="1" w:tplc="2998004E">
      <w:numFmt w:val="bullet"/>
      <w:lvlText w:val="-"/>
      <w:lvlJc w:val="left"/>
      <w:pPr>
        <w:ind w:left="2331" w:hanging="114"/>
      </w:pPr>
      <w:rPr>
        <w:rFonts w:ascii="Trebuchet MS" w:eastAsia="Trebuchet MS" w:hAnsi="Trebuchet MS" w:cs="Trebuchet MS" w:hint="default"/>
        <w:w w:val="90"/>
        <w:sz w:val="17"/>
        <w:szCs w:val="17"/>
        <w:lang w:val="it-IT" w:eastAsia="it-IT" w:bidi="it-IT"/>
      </w:rPr>
    </w:lvl>
    <w:lvl w:ilvl="2" w:tplc="17A69896">
      <w:numFmt w:val="bullet"/>
      <w:lvlText w:val="•"/>
      <w:lvlJc w:val="left"/>
      <w:pPr>
        <w:ind w:left="2758" w:hanging="114"/>
      </w:pPr>
      <w:rPr>
        <w:rFonts w:hint="default"/>
        <w:lang w:val="it-IT" w:eastAsia="it-IT" w:bidi="it-IT"/>
      </w:rPr>
    </w:lvl>
    <w:lvl w:ilvl="3" w:tplc="43A6B0D8">
      <w:numFmt w:val="bullet"/>
      <w:lvlText w:val="•"/>
      <w:lvlJc w:val="left"/>
      <w:pPr>
        <w:ind w:left="3177" w:hanging="114"/>
      </w:pPr>
      <w:rPr>
        <w:rFonts w:hint="default"/>
        <w:lang w:val="it-IT" w:eastAsia="it-IT" w:bidi="it-IT"/>
      </w:rPr>
    </w:lvl>
    <w:lvl w:ilvl="4" w:tplc="F878C398">
      <w:numFmt w:val="bullet"/>
      <w:lvlText w:val="•"/>
      <w:lvlJc w:val="left"/>
      <w:pPr>
        <w:ind w:left="3596" w:hanging="114"/>
      </w:pPr>
      <w:rPr>
        <w:rFonts w:hint="default"/>
        <w:lang w:val="it-IT" w:eastAsia="it-IT" w:bidi="it-IT"/>
      </w:rPr>
    </w:lvl>
    <w:lvl w:ilvl="5" w:tplc="32B005E6">
      <w:numFmt w:val="bullet"/>
      <w:lvlText w:val="•"/>
      <w:lvlJc w:val="left"/>
      <w:pPr>
        <w:ind w:left="4015" w:hanging="114"/>
      </w:pPr>
      <w:rPr>
        <w:rFonts w:hint="default"/>
        <w:lang w:val="it-IT" w:eastAsia="it-IT" w:bidi="it-IT"/>
      </w:rPr>
    </w:lvl>
    <w:lvl w:ilvl="6" w:tplc="B7B898A4">
      <w:numFmt w:val="bullet"/>
      <w:lvlText w:val="•"/>
      <w:lvlJc w:val="left"/>
      <w:pPr>
        <w:ind w:left="4433" w:hanging="114"/>
      </w:pPr>
      <w:rPr>
        <w:rFonts w:hint="default"/>
        <w:lang w:val="it-IT" w:eastAsia="it-IT" w:bidi="it-IT"/>
      </w:rPr>
    </w:lvl>
    <w:lvl w:ilvl="7" w:tplc="3E1C4A90">
      <w:numFmt w:val="bullet"/>
      <w:lvlText w:val="•"/>
      <w:lvlJc w:val="left"/>
      <w:pPr>
        <w:ind w:left="4852" w:hanging="114"/>
      </w:pPr>
      <w:rPr>
        <w:rFonts w:hint="default"/>
        <w:lang w:val="it-IT" w:eastAsia="it-IT" w:bidi="it-IT"/>
      </w:rPr>
    </w:lvl>
    <w:lvl w:ilvl="8" w:tplc="FFDEA80C">
      <w:numFmt w:val="bullet"/>
      <w:lvlText w:val="•"/>
      <w:lvlJc w:val="left"/>
      <w:pPr>
        <w:ind w:left="5271" w:hanging="114"/>
      </w:pPr>
      <w:rPr>
        <w:rFonts w:hint="default"/>
        <w:lang w:val="it-IT" w:eastAsia="it-IT" w:bidi="it-IT"/>
      </w:rPr>
    </w:lvl>
  </w:abstractNum>
  <w:abstractNum w:abstractNumId="33" w15:restartNumberingAfterBreak="0">
    <w:nsid w:val="6E2556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F9286D"/>
    <w:multiLevelType w:val="hybridMultilevel"/>
    <w:tmpl w:val="332C7EE4"/>
    <w:lvl w:ilvl="0" w:tplc="E8E2A310">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7"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0"/>
  </w:num>
  <w:num w:numId="2">
    <w:abstractNumId w:val="30"/>
  </w:num>
  <w:num w:numId="3">
    <w:abstractNumId w:val="37"/>
  </w:num>
  <w:num w:numId="4">
    <w:abstractNumId w:val="2"/>
  </w:num>
  <w:num w:numId="5">
    <w:abstractNumId w:val="18"/>
  </w:num>
  <w:num w:numId="6">
    <w:abstractNumId w:val="0"/>
  </w:num>
  <w:num w:numId="7">
    <w:abstractNumId w:val="36"/>
  </w:num>
  <w:num w:numId="8">
    <w:abstractNumId w:val="4"/>
  </w:num>
  <w:num w:numId="9">
    <w:abstractNumId w:val="29"/>
  </w:num>
  <w:num w:numId="10">
    <w:abstractNumId w:val="23"/>
  </w:num>
  <w:num w:numId="11">
    <w:abstractNumId w:val="6"/>
  </w:num>
  <w:num w:numId="12">
    <w:abstractNumId w:val="13"/>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0"/>
  </w:num>
  <w:num w:numId="16">
    <w:abstractNumId w:val="12"/>
  </w:num>
  <w:num w:numId="17">
    <w:abstractNumId w:val="7"/>
  </w:num>
  <w:num w:numId="18">
    <w:abstractNumId w:val="27"/>
  </w:num>
  <w:num w:numId="19">
    <w:abstractNumId w:val="35"/>
  </w:num>
  <w:num w:numId="20">
    <w:abstractNumId w:val="34"/>
  </w:num>
  <w:num w:numId="21">
    <w:abstractNumId w:val="24"/>
  </w:num>
  <w:num w:numId="22">
    <w:abstractNumId w:val="17"/>
  </w:num>
  <w:num w:numId="23">
    <w:abstractNumId w:val="33"/>
  </w:num>
  <w:num w:numId="24">
    <w:abstractNumId w:val="9"/>
  </w:num>
  <w:num w:numId="25">
    <w:abstractNumId w:val="22"/>
  </w:num>
  <w:num w:numId="26">
    <w:abstractNumId w:val="1"/>
  </w:num>
  <w:num w:numId="27">
    <w:abstractNumId w:val="2"/>
    <w:lvlOverride w:ilvl="0">
      <w:startOverride w:val="2"/>
    </w:lvlOverride>
    <w:lvlOverride w:ilvl="1">
      <w:startOverride w:val="2"/>
    </w:lvlOverride>
  </w:num>
  <w:num w:numId="28">
    <w:abstractNumId w:val="2"/>
    <w:lvlOverride w:ilvl="0">
      <w:startOverride w:val="2"/>
    </w:lvlOverride>
    <w:lvlOverride w:ilvl="1">
      <w:startOverride w:val="2"/>
    </w:lvlOverride>
  </w:num>
  <w:num w:numId="29">
    <w:abstractNumId w:val="26"/>
  </w:num>
  <w:num w:numId="30">
    <w:abstractNumId w:val="2"/>
    <w:lvlOverride w:ilvl="0">
      <w:startOverride w:val="4"/>
    </w:lvlOverride>
    <w:lvlOverride w:ilvl="1">
      <w:startOverride w:val="3"/>
    </w:lvlOverride>
    <w:lvlOverride w:ilvl="2">
      <w:startOverride w:val="2"/>
    </w:lvlOverride>
  </w:num>
  <w:num w:numId="31">
    <w:abstractNumId w:val="2"/>
    <w:lvlOverride w:ilvl="0">
      <w:startOverride w:val="4"/>
    </w:lvlOverride>
    <w:lvlOverride w:ilvl="1">
      <w:startOverride w:val="3"/>
    </w:lvlOverride>
    <w:lvlOverride w:ilvl="2">
      <w:startOverride w:val="2"/>
    </w:lvlOverride>
  </w:num>
  <w:num w:numId="32">
    <w:abstractNumId w:val="2"/>
    <w:lvlOverride w:ilvl="0">
      <w:startOverride w:val="4"/>
    </w:lvlOverride>
    <w:lvlOverride w:ilvl="1">
      <w:startOverride w:val="3"/>
    </w:lvlOverride>
    <w:lvlOverride w:ilvl="2">
      <w:startOverride w:val="2"/>
    </w:lvlOverride>
  </w:num>
  <w:num w:numId="33">
    <w:abstractNumId w:val="2"/>
    <w:lvlOverride w:ilvl="0">
      <w:startOverride w:val="4"/>
    </w:lvlOverride>
    <w:lvlOverride w:ilvl="1">
      <w:startOverride w:val="3"/>
    </w:lvlOverride>
    <w:lvlOverride w:ilvl="2">
      <w:startOverride w:val="2"/>
    </w:lvlOverride>
  </w:num>
  <w:num w:numId="34">
    <w:abstractNumId w:val="10"/>
  </w:num>
  <w:num w:numId="35">
    <w:abstractNumId w:val="5"/>
  </w:num>
  <w:num w:numId="36">
    <w:abstractNumId w:val="14"/>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32"/>
  </w:num>
  <w:num w:numId="40">
    <w:abstractNumId w:val="21"/>
  </w:num>
  <w:num w:numId="41">
    <w:abstractNumId w:val="31"/>
  </w:num>
  <w:num w:numId="42">
    <w:abstractNumId w:val="28"/>
  </w:num>
  <w:num w:numId="43">
    <w:abstractNumId w:val="25"/>
  </w:num>
  <w:num w:numId="44">
    <w:abstractNumId w:val="16"/>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37"/>
    <w:rsid w:val="00076E70"/>
    <w:rsid w:val="001574D7"/>
    <w:rsid w:val="00244576"/>
    <w:rsid w:val="00260C8C"/>
    <w:rsid w:val="002677DC"/>
    <w:rsid w:val="00285BB5"/>
    <w:rsid w:val="002E5E40"/>
    <w:rsid w:val="003B2ADE"/>
    <w:rsid w:val="0052425A"/>
    <w:rsid w:val="00586A8D"/>
    <w:rsid w:val="00593016"/>
    <w:rsid w:val="00634A1F"/>
    <w:rsid w:val="00644102"/>
    <w:rsid w:val="006749F9"/>
    <w:rsid w:val="006C17AA"/>
    <w:rsid w:val="006D7A3B"/>
    <w:rsid w:val="006E4AE2"/>
    <w:rsid w:val="00703805"/>
    <w:rsid w:val="0073318C"/>
    <w:rsid w:val="007352D3"/>
    <w:rsid w:val="007B5462"/>
    <w:rsid w:val="007E04C2"/>
    <w:rsid w:val="008034BD"/>
    <w:rsid w:val="00876352"/>
    <w:rsid w:val="008B2655"/>
    <w:rsid w:val="008B4137"/>
    <w:rsid w:val="008C767A"/>
    <w:rsid w:val="008E77C6"/>
    <w:rsid w:val="009770BB"/>
    <w:rsid w:val="009E008D"/>
    <w:rsid w:val="009F3743"/>
    <w:rsid w:val="00A5465F"/>
    <w:rsid w:val="00A77678"/>
    <w:rsid w:val="00B22E43"/>
    <w:rsid w:val="00B860C2"/>
    <w:rsid w:val="00BC4C95"/>
    <w:rsid w:val="00BD5944"/>
    <w:rsid w:val="00CF6858"/>
    <w:rsid w:val="00D377B5"/>
    <w:rsid w:val="00D93B31"/>
    <w:rsid w:val="00E505DB"/>
    <w:rsid w:val="00E51938"/>
    <w:rsid w:val="00E765A9"/>
    <w:rsid w:val="00E863C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AC35E1F"/>
  <w15:docId w15:val="{211C8D34-53B4-477B-ACB0-230DBE23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44102"/>
    <w:pPr>
      <w:keepNext/>
      <w:tabs>
        <w:tab w:val="left" w:pos="567"/>
      </w:tabs>
      <w:spacing w:after="120"/>
      <w:ind w:left="567" w:hanging="567"/>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44102"/>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nhideWhenUsed/>
    <w:rsid w:val="0052425A"/>
    <w:pPr>
      <w:spacing w:before="60"/>
    </w:pPr>
    <w:rPr>
      <w:rFonts w:eastAsia="Calibri" w:cs="Times New Roman"/>
      <w:szCs w:val="24"/>
      <w:lang w:val="it-IT"/>
    </w:rPr>
  </w:style>
  <w:style w:type="paragraph" w:styleId="Sommario2">
    <w:name w:val="toc 2"/>
    <w:basedOn w:val="Normale"/>
    <w:next w:val="Normale"/>
    <w:autoRedefine/>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uiPriority w:val="1"/>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semiHidden/>
    <w:rsid w:val="00B860C2"/>
    <w:rPr>
      <w:rFonts w:ascii="Tahoma" w:hAnsi="Tahoma" w:cs="Tahoma"/>
      <w:sz w:val="16"/>
      <w:szCs w:val="16"/>
    </w:rPr>
  </w:style>
  <w:style w:type="character" w:styleId="Numeropagina">
    <w:name w:val="page number"/>
    <w:basedOn w:val="Carpredefinitoparagrafo"/>
    <w:rsid w:val="003B2ADE"/>
  </w:style>
  <w:style w:type="paragraph" w:styleId="Corpodeltesto2">
    <w:name w:val="Body Text 2"/>
    <w:basedOn w:val="Normale"/>
    <w:link w:val="Corpodeltesto2Carattere"/>
    <w:rsid w:val="003B2ADE"/>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3B2ADE"/>
    <w:rPr>
      <w:rFonts w:ascii="Arial" w:eastAsia="Times New Roman" w:hAnsi="Arial" w:cs="Times New Roman"/>
      <w:b/>
      <w:sz w:val="26"/>
      <w:szCs w:val="20"/>
      <w:lang w:val="it-IT" w:eastAsia="it-IT"/>
    </w:rPr>
  </w:style>
  <w:style w:type="paragraph" w:styleId="Sommario4">
    <w:name w:val="toc 4"/>
    <w:basedOn w:val="Normale"/>
    <w:next w:val="Normale"/>
    <w:autoRedefine/>
    <w:semiHidden/>
    <w:rsid w:val="003B2ADE"/>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3B2ADE"/>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3B2ADE"/>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3B2ADE"/>
    <w:rPr>
      <w:rFonts w:ascii="Arial" w:eastAsia="Times New Roman" w:hAnsi="Arial" w:cs="Times New Roman"/>
      <w:sz w:val="20"/>
      <w:szCs w:val="20"/>
      <w:lang w:val="it-IT" w:eastAsia="it-IT"/>
    </w:rPr>
  </w:style>
  <w:style w:type="character" w:styleId="Rimandonotaapidipagina">
    <w:name w:val="footnote reference"/>
    <w:rsid w:val="003B2ADE"/>
    <w:rPr>
      <w:vertAlign w:val="superscript"/>
    </w:rPr>
  </w:style>
  <w:style w:type="character" w:styleId="Collegamentoipertestuale">
    <w:name w:val="Hyperlink"/>
    <w:unhideWhenUsed/>
    <w:rsid w:val="003B2ADE"/>
    <w:rPr>
      <w:color w:val="0000FF"/>
      <w:u w:val="single"/>
    </w:rPr>
  </w:style>
  <w:style w:type="character" w:styleId="Rimandocommento">
    <w:name w:val="annotation reference"/>
    <w:basedOn w:val="Carpredefinitoparagrafo"/>
    <w:semiHidden/>
    <w:unhideWhenUsed/>
    <w:rsid w:val="003B2ADE"/>
    <w:rPr>
      <w:sz w:val="16"/>
      <w:szCs w:val="16"/>
    </w:rPr>
  </w:style>
  <w:style w:type="paragraph" w:styleId="Testocommento">
    <w:name w:val="annotation text"/>
    <w:basedOn w:val="Normale"/>
    <w:link w:val="TestocommentoCarattere"/>
    <w:semiHidden/>
    <w:unhideWhenUsed/>
    <w:rsid w:val="003B2ADE"/>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semiHidden/>
    <w:rsid w:val="003B2ADE"/>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semiHidden/>
    <w:unhideWhenUsed/>
    <w:rsid w:val="003B2ADE"/>
    <w:rPr>
      <w:b/>
      <w:bCs/>
    </w:rPr>
  </w:style>
  <w:style w:type="character" w:customStyle="1" w:styleId="SoggettocommentoCarattere">
    <w:name w:val="Soggetto commento Carattere"/>
    <w:basedOn w:val="TestocommentoCarattere"/>
    <w:link w:val="Soggettocommento"/>
    <w:semiHidden/>
    <w:rsid w:val="003B2ADE"/>
    <w:rPr>
      <w:rFonts w:ascii="Arial" w:eastAsia="Times New Roman" w:hAnsi="Arial" w:cs="Times New Roman"/>
      <w:b/>
      <w:bCs/>
      <w:sz w:val="20"/>
      <w:szCs w:val="20"/>
      <w:lang w:val="it-IT" w:eastAsia="it-IT"/>
    </w:rPr>
  </w:style>
  <w:style w:type="character" w:customStyle="1" w:styleId="Menzionenonrisolta1">
    <w:name w:val="Menzione non risolta1"/>
    <w:basedOn w:val="Carpredefinitoparagrafo"/>
    <w:uiPriority w:val="99"/>
    <w:semiHidden/>
    <w:unhideWhenUsed/>
    <w:rsid w:val="003B2ADE"/>
    <w:rPr>
      <w:color w:val="605E5C"/>
      <w:shd w:val="clear" w:color="auto" w:fill="E1DFDD"/>
    </w:rPr>
  </w:style>
  <w:style w:type="table" w:customStyle="1" w:styleId="TableNormal">
    <w:name w:val="Table Normal"/>
    <w:uiPriority w:val="2"/>
    <w:semiHidden/>
    <w:unhideWhenUsed/>
    <w:qFormat/>
    <w:rsid w:val="003B2ADE"/>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3B2ADE"/>
    <w:pPr>
      <w:widowControl w:val="0"/>
      <w:autoSpaceDE w:val="0"/>
      <w:autoSpaceDN w:val="0"/>
      <w:jc w:val="left"/>
    </w:pPr>
    <w:rPr>
      <w:rFonts w:ascii="Trebuchet MS" w:eastAsia="Trebuchet MS" w:hAnsi="Trebuchet MS" w:cs="Trebuchet MS"/>
      <w:sz w:val="22"/>
      <w:lang w:val="it-IT" w:eastAsia="it-IT" w:bidi="it-IT"/>
    </w:rPr>
  </w:style>
  <w:style w:type="paragraph" w:styleId="Revisione">
    <w:name w:val="Revision"/>
    <w:hidden/>
    <w:uiPriority w:val="99"/>
    <w:semiHidden/>
    <w:rsid w:val="003B2ADE"/>
    <w:pPr>
      <w:jc w:val="left"/>
    </w:pPr>
    <w:rPr>
      <w:rFonts w:ascii="Arial" w:hAnsi="Arial"/>
      <w:sz w:val="24"/>
    </w:rPr>
  </w:style>
  <w:style w:type="character" w:customStyle="1" w:styleId="Menzionenonrisolta2">
    <w:name w:val="Menzione non risolta2"/>
    <w:basedOn w:val="Carpredefinitoparagrafo"/>
    <w:uiPriority w:val="99"/>
    <w:semiHidden/>
    <w:unhideWhenUsed/>
    <w:rsid w:val="003B2ADE"/>
    <w:rPr>
      <w:color w:val="605E5C"/>
      <w:shd w:val="clear" w:color="auto" w:fill="E1DFDD"/>
    </w:rPr>
  </w:style>
  <w:style w:type="character" w:customStyle="1" w:styleId="Menzionenonrisolta3">
    <w:name w:val="Menzione non risolta3"/>
    <w:basedOn w:val="Carpredefinitoparagrafo"/>
    <w:uiPriority w:val="99"/>
    <w:semiHidden/>
    <w:unhideWhenUsed/>
    <w:rsid w:val="003B2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oc.ch/comunicazione/Documenti-EOC.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cid:image002.png@01D5AC0A.3B6F2D9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eoc.ch" TargetMode="External"/><Relationship Id="rId17" Type="http://schemas.openxmlformats.org/officeDocument/2006/relationships/image" Target="media/image8.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cid:image001.png@01D5AC09.78069C80"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F7AA6-1FEB-44E3-8706-5AD46AD8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7987</Words>
  <Characters>45532</Characters>
  <Application>Microsoft Office Word</Application>
  <DocSecurity>0</DocSecurity>
  <Lines>379</Lines>
  <Paragraphs>106</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53413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cp:lastModifiedBy>
  <cp:revision>2</cp:revision>
  <cp:lastPrinted>2020-05-18T13:27:00Z</cp:lastPrinted>
  <dcterms:created xsi:type="dcterms:W3CDTF">2020-05-18T13:29:00Z</dcterms:created>
  <dcterms:modified xsi:type="dcterms:W3CDTF">2020-05-18T13:29:00Z</dcterms:modified>
</cp:coreProperties>
</file>