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D7A3B" w:rsidRDefault="00D57A3C" w:rsidP="00B860C2">
      <w:pPr>
        <w:rPr>
          <w:rFonts w:cs="Arial"/>
          <w:sz w:val="20"/>
          <w:szCs w:val="20"/>
        </w:rPr>
      </w:pPr>
      <w:r>
        <w:rPr>
          <w:rFonts w:ascii="Gill Sans MT" w:hAnsi="Gill Sans MT"/>
          <w:b/>
          <w:sz w:val="56"/>
          <w:szCs w:val="56"/>
        </w:rPr>
        <w:t>Rapporto</w:t>
      </w:r>
    </w:p>
    <w:p w:rsidR="00B860C2" w:rsidRPr="00D57A3C" w:rsidRDefault="00B860C2" w:rsidP="00B860C2">
      <w:pPr>
        <w:rPr>
          <w:sz w:val="22"/>
        </w:rPr>
      </w:pPr>
    </w:p>
    <w:p w:rsidR="00B860C2" w:rsidRPr="00D57A3C" w:rsidRDefault="00B860C2" w:rsidP="00B860C2">
      <w:pPr>
        <w:rPr>
          <w:rFonts w:cs="Arial"/>
          <w:sz w:val="22"/>
        </w:rPr>
      </w:pPr>
    </w:p>
    <w:p w:rsidR="00B860C2" w:rsidRPr="00D57A3C" w:rsidRDefault="00B860C2" w:rsidP="00B860C2">
      <w:pPr>
        <w:rPr>
          <w:rFonts w:cs="Arial"/>
          <w:sz w:val="22"/>
        </w:rPr>
      </w:pPr>
    </w:p>
    <w:p w:rsidR="00B860C2" w:rsidRDefault="009312F9" w:rsidP="00B860C2">
      <w:pPr>
        <w:tabs>
          <w:tab w:val="left" w:pos="2098"/>
          <w:tab w:val="left" w:pos="4933"/>
        </w:tabs>
        <w:rPr>
          <w:rFonts w:cs="Arial"/>
          <w:szCs w:val="24"/>
        </w:rPr>
      </w:pPr>
      <w:r>
        <w:rPr>
          <w:rFonts w:cs="Arial"/>
          <w:b/>
          <w:sz w:val="32"/>
          <w:szCs w:val="32"/>
        </w:rPr>
        <w:t>7729</w:t>
      </w:r>
      <w:r w:rsidR="00B860C2" w:rsidRPr="008B4137">
        <w:rPr>
          <w:rFonts w:cs="Arial"/>
          <w:b/>
          <w:sz w:val="32"/>
          <w:szCs w:val="32"/>
        </w:rPr>
        <w:t xml:space="preserve"> R</w:t>
      </w:r>
      <w:r w:rsidR="00B860C2" w:rsidRPr="008B4137">
        <w:rPr>
          <w:rFonts w:cs="Arial"/>
          <w:sz w:val="28"/>
          <w:szCs w:val="28"/>
        </w:rPr>
        <w:tab/>
      </w:r>
      <w:r>
        <w:rPr>
          <w:rFonts w:cs="Arial"/>
          <w:sz w:val="28"/>
          <w:szCs w:val="28"/>
        </w:rPr>
        <w:t>1° dicembre 2020</w:t>
      </w:r>
      <w:r w:rsidR="00B860C2" w:rsidRPr="008B4137">
        <w:rPr>
          <w:rFonts w:cs="Arial"/>
          <w:sz w:val="28"/>
          <w:szCs w:val="28"/>
        </w:rPr>
        <w:tab/>
      </w:r>
      <w:r w:rsidRPr="001C0FA8">
        <w:rPr>
          <w:rFonts w:cs="Arial"/>
          <w:sz w:val="28"/>
          <w:lang w:val="it-IT"/>
        </w:rPr>
        <w:t>FINANZE E ECONOMIA</w:t>
      </w:r>
    </w:p>
    <w:p w:rsidR="00B860C2" w:rsidRPr="00D57A3C" w:rsidRDefault="00B860C2" w:rsidP="00B860C2">
      <w:pPr>
        <w:rPr>
          <w:rFonts w:cs="Arial"/>
          <w:sz w:val="22"/>
        </w:rPr>
      </w:pPr>
    </w:p>
    <w:p w:rsidR="00B860C2" w:rsidRPr="00D57A3C" w:rsidRDefault="00B860C2" w:rsidP="00B860C2">
      <w:pPr>
        <w:rPr>
          <w:rFonts w:cs="Arial"/>
          <w:sz w:val="22"/>
        </w:rPr>
      </w:pPr>
    </w:p>
    <w:p w:rsidR="00B860C2" w:rsidRPr="00D57A3C" w:rsidRDefault="00B860C2" w:rsidP="00B860C2">
      <w:pPr>
        <w:rPr>
          <w:rFonts w:cs="Arial"/>
          <w:sz w:val="22"/>
        </w:rPr>
      </w:pPr>
    </w:p>
    <w:p w:rsidR="009312F9" w:rsidRPr="001C0FA8" w:rsidRDefault="009312F9" w:rsidP="009312F9">
      <w:pPr>
        <w:rPr>
          <w:rFonts w:cs="Arial"/>
          <w:b/>
          <w:color w:val="000000" w:themeColor="text1"/>
          <w:sz w:val="28"/>
          <w:szCs w:val="28"/>
          <w:lang w:val="it-IT"/>
        </w:rPr>
      </w:pPr>
      <w:bookmarkStart w:id="0" w:name="_Toc532286235"/>
      <w:r w:rsidRPr="001C0FA8">
        <w:rPr>
          <w:rFonts w:cs="Arial"/>
          <w:b/>
          <w:color w:val="000000" w:themeColor="text1"/>
          <w:sz w:val="28"/>
          <w:szCs w:val="28"/>
          <w:lang w:val="it-IT"/>
        </w:rPr>
        <w:t>della Commissione economia e lavoro</w:t>
      </w:r>
    </w:p>
    <w:p w:rsidR="009312F9" w:rsidRPr="001C0FA8" w:rsidRDefault="009312F9" w:rsidP="009312F9">
      <w:pPr>
        <w:spacing w:after="120"/>
        <w:rPr>
          <w:rFonts w:cs="Arial"/>
          <w:b/>
          <w:sz w:val="28"/>
          <w:szCs w:val="28"/>
          <w:lang w:val="it-IT"/>
        </w:rPr>
      </w:pPr>
      <w:r w:rsidRPr="001C0FA8">
        <w:rPr>
          <w:rFonts w:cs="Arial"/>
          <w:b/>
          <w:color w:val="000000" w:themeColor="text1"/>
          <w:sz w:val="28"/>
          <w:szCs w:val="28"/>
          <w:lang w:val="it-IT"/>
        </w:rPr>
        <w:t>sulla</w:t>
      </w:r>
      <w:r w:rsidRPr="001C0FA8">
        <w:rPr>
          <w:rFonts w:cs="Arial"/>
          <w:b/>
          <w:bCs/>
          <w:color w:val="000000" w:themeColor="text1"/>
          <w:sz w:val="28"/>
          <w:szCs w:val="28"/>
          <w:lang w:val="it-IT"/>
        </w:rPr>
        <w:t xml:space="preserve"> mozione 14 marzo 2019 presentata da Sergio Morisoli per il gruppo La Destra “</w:t>
      </w:r>
      <w:r w:rsidRPr="001C0FA8">
        <w:rPr>
          <w:rFonts w:cs="Arial"/>
          <w:b/>
          <w:sz w:val="28"/>
          <w:szCs w:val="28"/>
          <w:lang w:val="it-IT"/>
        </w:rPr>
        <w:t>Basta annunci di lavoro per soli frontalieri!</w:t>
      </w:r>
      <w:r w:rsidRPr="001C0FA8">
        <w:rPr>
          <w:rFonts w:cs="Arial"/>
          <w:b/>
          <w:bCs/>
          <w:color w:val="000000" w:themeColor="text1"/>
          <w:sz w:val="28"/>
          <w:szCs w:val="28"/>
          <w:lang w:val="it-IT"/>
        </w:rPr>
        <w:t>”</w:t>
      </w:r>
    </w:p>
    <w:p w:rsidR="009312F9" w:rsidRPr="00CB715A" w:rsidRDefault="009312F9" w:rsidP="009312F9">
      <w:pPr>
        <w:spacing w:before="100"/>
        <w:rPr>
          <w:rFonts w:cs="Arial"/>
          <w:b/>
          <w:color w:val="000000" w:themeColor="text1"/>
          <w:sz w:val="26"/>
          <w:szCs w:val="26"/>
          <w:lang w:val="it-IT"/>
        </w:rPr>
      </w:pPr>
      <w:r w:rsidRPr="00CB715A">
        <w:rPr>
          <w:rFonts w:cs="Arial"/>
          <w:b/>
          <w:bCs/>
          <w:color w:val="000000" w:themeColor="text1"/>
          <w:sz w:val="26"/>
          <w:szCs w:val="26"/>
          <w:lang w:val="it-IT"/>
        </w:rPr>
        <w:t xml:space="preserve">(v. messaggio 16 ottobre 2019 n. </w:t>
      </w:r>
      <w:r w:rsidRPr="00CB715A">
        <w:rPr>
          <w:rFonts w:cs="Arial"/>
          <w:b/>
          <w:bCs/>
          <w:sz w:val="26"/>
          <w:szCs w:val="26"/>
        </w:rPr>
        <w:t>7729</w:t>
      </w:r>
      <w:r w:rsidRPr="00CB715A">
        <w:rPr>
          <w:rFonts w:cs="Arial"/>
          <w:b/>
          <w:bCs/>
          <w:color w:val="000000" w:themeColor="text1"/>
          <w:sz w:val="26"/>
          <w:szCs w:val="26"/>
          <w:lang w:val="it-IT"/>
        </w:rPr>
        <w:t>)</w:t>
      </w:r>
    </w:p>
    <w:p w:rsidR="009312F9" w:rsidRPr="00D57A3C" w:rsidRDefault="009312F9" w:rsidP="009312F9">
      <w:pPr>
        <w:rPr>
          <w:rFonts w:cs="Arial"/>
          <w:bCs/>
          <w:color w:val="000000" w:themeColor="text1"/>
          <w:sz w:val="22"/>
          <w:lang w:val="it-IT"/>
        </w:rPr>
      </w:pPr>
    </w:p>
    <w:p w:rsidR="009312F9" w:rsidRPr="00D57A3C" w:rsidRDefault="009312F9" w:rsidP="009312F9">
      <w:pPr>
        <w:rPr>
          <w:rFonts w:cs="Arial"/>
          <w:bCs/>
          <w:color w:val="000000" w:themeColor="text1"/>
          <w:sz w:val="22"/>
          <w:lang w:val="it-IT"/>
        </w:rPr>
      </w:pPr>
    </w:p>
    <w:p w:rsidR="009312F9" w:rsidRPr="00D57A3C" w:rsidRDefault="009312F9" w:rsidP="009312F9">
      <w:pPr>
        <w:rPr>
          <w:rFonts w:cs="Arial"/>
          <w:bCs/>
          <w:color w:val="000000" w:themeColor="text1"/>
          <w:sz w:val="22"/>
          <w:lang w:val="it-IT"/>
        </w:rPr>
      </w:pPr>
    </w:p>
    <w:p w:rsidR="009312F9" w:rsidRPr="001C0FA8" w:rsidRDefault="009312F9" w:rsidP="009312F9">
      <w:pPr>
        <w:pStyle w:val="Titolo1"/>
        <w:rPr>
          <w:rFonts w:cs="Arial"/>
          <w:color w:val="000000" w:themeColor="text1"/>
        </w:rPr>
      </w:pPr>
      <w:r w:rsidRPr="001C0FA8">
        <w:rPr>
          <w:rFonts w:cs="Arial"/>
          <w:color w:val="000000" w:themeColor="text1"/>
        </w:rPr>
        <w:t xml:space="preserve">La mozione </w:t>
      </w:r>
      <w:r w:rsidRPr="001C0FA8">
        <w:rPr>
          <w:rFonts w:cs="Arial"/>
        </w:rPr>
        <w:t>del 14 marzo 2019</w:t>
      </w:r>
    </w:p>
    <w:p w:rsidR="009312F9" w:rsidRPr="00CB715A" w:rsidRDefault="009312F9" w:rsidP="009312F9">
      <w:pPr>
        <w:spacing w:after="120"/>
        <w:rPr>
          <w:rFonts w:cs="Arial"/>
          <w:szCs w:val="24"/>
          <w:lang w:val="it-IT"/>
        </w:rPr>
      </w:pPr>
      <w:r w:rsidRPr="00CB715A">
        <w:rPr>
          <w:rFonts w:cs="Arial"/>
          <w:color w:val="000000" w:themeColor="text1"/>
          <w:szCs w:val="24"/>
          <w:lang w:val="it-IT"/>
        </w:rPr>
        <w:t xml:space="preserve">La mozione </w:t>
      </w:r>
      <w:hyperlink r:id="rId8" w:history="1">
        <w:r w:rsidRPr="00CB715A">
          <w:rPr>
            <w:rStyle w:val="Collegamentoipertestuale"/>
            <w:rFonts w:cs="Arial"/>
            <w:szCs w:val="24"/>
          </w:rPr>
          <w:t>MO1390</w:t>
        </w:r>
      </w:hyperlink>
      <w:r w:rsidRPr="00CB715A">
        <w:rPr>
          <w:rFonts w:cs="Arial"/>
          <w:color w:val="000000" w:themeColor="text1"/>
          <w:szCs w:val="24"/>
          <w:lang w:val="it-IT"/>
        </w:rPr>
        <w:t xml:space="preserve"> presentata da Sergio Morisoli chiede al </w:t>
      </w:r>
      <w:r w:rsidRPr="00CB715A">
        <w:rPr>
          <w:rStyle w:val="bumpedfont15"/>
          <w:rFonts w:cs="Arial"/>
          <w:szCs w:val="24"/>
        </w:rPr>
        <w:t xml:space="preserve">Governo </w:t>
      </w:r>
      <w:r w:rsidRPr="00CB715A">
        <w:rPr>
          <w:rFonts w:cs="Arial"/>
          <w:szCs w:val="24"/>
          <w:lang w:val="it-IT"/>
        </w:rPr>
        <w:t>di intervenire direttamente e immediatamente in virtù del mandato diretto ricevuto dall'art. 50 della Costituzione cantonale affinché:</w:t>
      </w:r>
    </w:p>
    <w:p w:rsidR="009312F9" w:rsidRPr="00CB715A" w:rsidRDefault="009312F9" w:rsidP="009312F9">
      <w:pPr>
        <w:pStyle w:val="Paragrafoelenco"/>
        <w:numPr>
          <w:ilvl w:val="0"/>
          <w:numId w:val="12"/>
        </w:numPr>
        <w:spacing w:after="120"/>
        <w:ind w:left="425" w:hanging="425"/>
        <w:rPr>
          <w:rFonts w:cs="Arial"/>
          <w:szCs w:val="24"/>
          <w:lang w:val="it-IT"/>
        </w:rPr>
      </w:pPr>
      <w:r w:rsidRPr="00CB715A">
        <w:rPr>
          <w:rFonts w:cs="Arial"/>
          <w:szCs w:val="24"/>
          <w:lang w:val="it-IT"/>
        </w:rPr>
        <w:t>le ditte che attuano l'anticostituzionale preferenza straniera vengano immediatamente richiamate, monitorate, sanzionate, e in caso di reiterazione messe all'indice;</w:t>
      </w:r>
    </w:p>
    <w:p w:rsidR="009312F9" w:rsidRPr="00CB715A" w:rsidRDefault="009312F9" w:rsidP="009312F9">
      <w:pPr>
        <w:pStyle w:val="Paragrafoelenco"/>
        <w:numPr>
          <w:ilvl w:val="0"/>
          <w:numId w:val="12"/>
        </w:numPr>
        <w:spacing w:after="120"/>
        <w:ind w:left="425" w:hanging="425"/>
        <w:rPr>
          <w:rFonts w:cs="Arial"/>
          <w:szCs w:val="24"/>
          <w:lang w:val="it-IT"/>
        </w:rPr>
      </w:pPr>
      <w:r w:rsidRPr="00CB715A">
        <w:rPr>
          <w:rFonts w:cs="Arial"/>
          <w:szCs w:val="24"/>
          <w:lang w:val="it-IT"/>
        </w:rPr>
        <w:t xml:space="preserve">le ditte che applicano l'anticostituzionale preferenza straniera vengano tassate con un contributo di sostituzione destinato a coprire i costi sociali che cagionano, quali quelli della disoccupazione e assistenza dei lavoratori residenti, </w:t>
      </w:r>
    </w:p>
    <w:p w:rsidR="009312F9" w:rsidRPr="00CB715A" w:rsidRDefault="009312F9" w:rsidP="009312F9">
      <w:pPr>
        <w:pStyle w:val="Paragrafoelenco"/>
        <w:numPr>
          <w:ilvl w:val="0"/>
          <w:numId w:val="12"/>
        </w:numPr>
        <w:spacing w:after="60"/>
        <w:ind w:left="426" w:hanging="426"/>
        <w:contextualSpacing/>
        <w:rPr>
          <w:rFonts w:cs="Arial"/>
          <w:szCs w:val="24"/>
          <w:lang w:val="it-IT"/>
        </w:rPr>
      </w:pPr>
      <w:r w:rsidRPr="00CB715A">
        <w:rPr>
          <w:rFonts w:cs="Arial"/>
          <w:szCs w:val="24"/>
          <w:lang w:val="it-IT"/>
        </w:rPr>
        <w:t>di intervenire già fin d'ora contro le ditte che nel recente passato hanno pubblicato anticostituzionali annunci di ricerca del personale applicando il principio della preferenza straniera.</w:t>
      </w:r>
    </w:p>
    <w:p w:rsidR="009312F9" w:rsidRPr="00D57A3C" w:rsidRDefault="009312F9" w:rsidP="009312F9">
      <w:pPr>
        <w:rPr>
          <w:rFonts w:cs="Arial"/>
          <w:color w:val="000000" w:themeColor="text1"/>
          <w:sz w:val="22"/>
          <w:lang w:val="it-IT"/>
        </w:rPr>
      </w:pPr>
      <w:bookmarkStart w:id="1" w:name="_GoBack"/>
    </w:p>
    <w:p w:rsidR="00CB715A" w:rsidRPr="00D57A3C" w:rsidRDefault="00CB715A" w:rsidP="009312F9">
      <w:pPr>
        <w:rPr>
          <w:rFonts w:cs="Arial"/>
          <w:color w:val="000000" w:themeColor="text1"/>
          <w:sz w:val="22"/>
          <w:lang w:val="it-IT"/>
        </w:rPr>
      </w:pPr>
    </w:p>
    <w:p w:rsidR="009312F9" w:rsidRPr="00D57A3C" w:rsidRDefault="009312F9" w:rsidP="009312F9">
      <w:pPr>
        <w:rPr>
          <w:rFonts w:cs="Arial"/>
          <w:color w:val="000000" w:themeColor="text1"/>
          <w:sz w:val="22"/>
          <w:lang w:val="it-IT"/>
        </w:rPr>
      </w:pPr>
    </w:p>
    <w:bookmarkEnd w:id="1"/>
    <w:p w:rsidR="009312F9" w:rsidRPr="001C0FA8" w:rsidRDefault="009312F9" w:rsidP="009312F9">
      <w:pPr>
        <w:pStyle w:val="Titolo1"/>
        <w:rPr>
          <w:rFonts w:cs="Arial"/>
          <w:color w:val="000000" w:themeColor="text1"/>
        </w:rPr>
      </w:pPr>
      <w:r w:rsidRPr="001C0FA8">
        <w:rPr>
          <w:rFonts w:cs="Arial"/>
          <w:color w:val="000000" w:themeColor="text1"/>
        </w:rPr>
        <w:t xml:space="preserve">La risposta del messaggio governativo </w:t>
      </w:r>
      <w:r w:rsidR="00CB715A">
        <w:rPr>
          <w:rFonts w:cs="Arial"/>
          <w:color w:val="000000" w:themeColor="text1"/>
        </w:rPr>
        <w:t xml:space="preserve">N. </w:t>
      </w:r>
      <w:r w:rsidRPr="00CB715A">
        <w:rPr>
          <w:rFonts w:cs="Arial"/>
          <w:bCs/>
        </w:rPr>
        <w:t>7729</w:t>
      </w:r>
      <w:r w:rsidRPr="00CB715A">
        <w:rPr>
          <w:rFonts w:cs="Arial"/>
          <w:color w:val="000000" w:themeColor="text1"/>
        </w:rPr>
        <w:t xml:space="preserve"> </w:t>
      </w:r>
      <w:r w:rsidRPr="001C0FA8">
        <w:rPr>
          <w:rFonts w:cs="Arial"/>
          <w:color w:val="000000" w:themeColor="text1"/>
        </w:rPr>
        <w:t>del 16 ottobre 2019</w:t>
      </w:r>
    </w:p>
    <w:p w:rsidR="009312F9" w:rsidRPr="001C0FA8" w:rsidRDefault="009312F9" w:rsidP="009312F9">
      <w:pPr>
        <w:rPr>
          <w:rFonts w:eastAsia="Calibri" w:cs="Arial"/>
          <w:lang w:val="it-IT" w:eastAsia="it-CH"/>
        </w:rPr>
      </w:pPr>
      <w:r w:rsidRPr="001C0FA8">
        <w:rPr>
          <w:rFonts w:cs="Arial"/>
          <w:iCs/>
          <w:lang w:val="it-IT"/>
        </w:rPr>
        <w:t>Nel suo scritto il C</w:t>
      </w:r>
      <w:r>
        <w:rPr>
          <w:rFonts w:cs="Arial"/>
          <w:iCs/>
          <w:lang w:val="it-IT"/>
        </w:rPr>
        <w:t xml:space="preserve">onsiglio </w:t>
      </w:r>
      <w:r w:rsidRPr="001C0FA8">
        <w:rPr>
          <w:rFonts w:cs="Arial"/>
          <w:iCs/>
          <w:lang w:val="it-IT"/>
        </w:rPr>
        <w:t>d</w:t>
      </w:r>
      <w:r>
        <w:rPr>
          <w:rFonts w:cs="Arial"/>
          <w:iCs/>
          <w:lang w:val="it-IT"/>
        </w:rPr>
        <w:t xml:space="preserve">i </w:t>
      </w:r>
      <w:r w:rsidRPr="001C0FA8">
        <w:rPr>
          <w:rFonts w:cs="Arial"/>
          <w:iCs/>
          <w:lang w:val="it-IT"/>
        </w:rPr>
        <w:t>S</w:t>
      </w:r>
      <w:r>
        <w:rPr>
          <w:rFonts w:cs="Arial"/>
          <w:iCs/>
          <w:lang w:val="it-IT"/>
        </w:rPr>
        <w:t>tato</w:t>
      </w:r>
      <w:r w:rsidRPr="001C0FA8">
        <w:rPr>
          <w:rFonts w:cs="Arial"/>
          <w:iCs/>
          <w:lang w:val="it-IT"/>
        </w:rPr>
        <w:t xml:space="preserve"> spiega </w:t>
      </w:r>
      <w:r w:rsidRPr="001C0FA8">
        <w:rPr>
          <w:rFonts w:eastAsia="Calibri" w:cs="Arial"/>
          <w:lang w:val="it-IT" w:eastAsia="it-CH"/>
        </w:rPr>
        <w:t>come non sia giuridicamente possibile intervenire direttamente ed immediatamente sulla base degli art. 50, 4, 14 cpv. 1 lett. b</w:t>
      </w:r>
      <w:r w:rsidR="00CB715A">
        <w:rPr>
          <w:rFonts w:eastAsia="Calibri" w:cs="Arial"/>
          <w:lang w:val="it-IT" w:eastAsia="it-CH"/>
        </w:rPr>
        <w:t>)</w:t>
      </w:r>
      <w:r w:rsidRPr="001C0FA8">
        <w:rPr>
          <w:rFonts w:eastAsia="Calibri" w:cs="Arial"/>
          <w:lang w:val="it-IT" w:eastAsia="it-CH"/>
        </w:rPr>
        <w:t xml:space="preserve"> Cost</w:t>
      </w:r>
      <w:r>
        <w:rPr>
          <w:rFonts w:eastAsia="Calibri" w:cs="Arial"/>
          <w:lang w:val="it-IT" w:eastAsia="it-CH"/>
        </w:rPr>
        <w:t>ituzione</w:t>
      </w:r>
      <w:r w:rsidRPr="001C0FA8">
        <w:rPr>
          <w:rFonts w:eastAsia="Calibri" w:cs="Arial"/>
          <w:lang w:val="it-IT" w:eastAsia="it-CH"/>
        </w:rPr>
        <w:t xml:space="preserve"> cant</w:t>
      </w:r>
      <w:r>
        <w:rPr>
          <w:rFonts w:eastAsia="Calibri" w:cs="Arial"/>
          <w:lang w:val="it-IT" w:eastAsia="it-CH"/>
        </w:rPr>
        <w:t>onale</w:t>
      </w:r>
      <w:r w:rsidRPr="001C0FA8">
        <w:rPr>
          <w:rFonts w:eastAsia="Calibri" w:cs="Arial"/>
          <w:lang w:val="it-IT" w:eastAsia="it-CH"/>
        </w:rPr>
        <w:t xml:space="preserve"> (citati dal mozionante) nei confronti delle aziende ree di aver pubblicato gli annunci discriminatori della forza lavoro residente. </w:t>
      </w:r>
    </w:p>
    <w:p w:rsidR="009312F9" w:rsidRPr="001C0FA8" w:rsidRDefault="009312F9" w:rsidP="009312F9">
      <w:pPr>
        <w:rPr>
          <w:rFonts w:eastAsia="Calibri" w:cs="Arial"/>
          <w:lang w:val="it-IT" w:eastAsia="it-CH"/>
        </w:rPr>
      </w:pPr>
    </w:p>
    <w:p w:rsidR="009312F9" w:rsidRPr="001C0FA8" w:rsidRDefault="009312F9" w:rsidP="009312F9">
      <w:pPr>
        <w:spacing w:after="120"/>
        <w:rPr>
          <w:rFonts w:eastAsia="Calibri" w:cs="Arial"/>
          <w:lang w:val="it-IT" w:eastAsia="it-CH"/>
        </w:rPr>
      </w:pPr>
      <w:r w:rsidRPr="001C0FA8">
        <w:rPr>
          <w:rFonts w:eastAsia="Calibri" w:cs="Arial"/>
          <w:lang w:val="it-IT" w:eastAsia="it-CH"/>
        </w:rPr>
        <w:t xml:space="preserve">Il Governo scrive poi che già nel Messaggio no. </w:t>
      </w:r>
      <w:hyperlink r:id="rId9" w:history="1">
        <w:r w:rsidRPr="001C0FA8">
          <w:rPr>
            <w:rStyle w:val="Collegamentoipertestuale"/>
            <w:rFonts w:eastAsia="Calibri" w:cs="Arial"/>
            <w:lang w:eastAsia="it-CH"/>
          </w:rPr>
          <w:t>7636</w:t>
        </w:r>
      </w:hyperlink>
      <w:r w:rsidRPr="001C0FA8">
        <w:rPr>
          <w:rFonts w:eastAsia="Calibri" w:cs="Arial"/>
          <w:lang w:val="it-IT" w:eastAsia="it-CH"/>
        </w:rPr>
        <w:t xml:space="preserve"> </w:t>
      </w:r>
      <w:r>
        <w:rPr>
          <w:rFonts w:eastAsia="Calibri" w:cs="Arial"/>
          <w:lang w:val="it-IT" w:eastAsia="it-CH"/>
        </w:rPr>
        <w:t xml:space="preserve">del 13 marzo 2019 </w:t>
      </w:r>
      <w:r w:rsidRPr="001C0FA8">
        <w:rPr>
          <w:rFonts w:eastAsia="Calibri" w:cs="Arial"/>
          <w:lang w:val="it-IT" w:eastAsia="it-CH"/>
        </w:rPr>
        <w:t xml:space="preserve">relativo alla modifica dell’art. 12 della </w:t>
      </w:r>
      <w:hyperlink r:id="rId10" w:history="1">
        <w:r w:rsidRPr="001C0FA8">
          <w:rPr>
            <w:rStyle w:val="Collegamentoipertestuale"/>
            <w:rFonts w:eastAsia="Calibri" w:cs="Arial"/>
            <w:lang w:eastAsia="it-CH"/>
          </w:rPr>
          <w:t>LALPS</w:t>
        </w:r>
      </w:hyperlink>
      <w:r w:rsidRPr="001C0FA8">
        <w:rPr>
          <w:rFonts w:eastAsia="Calibri" w:cs="Arial"/>
          <w:lang w:val="it-IT" w:eastAsia="it-CH"/>
        </w:rPr>
        <w:t>, sono esposte le possibili strategie e azioni di controllo applicabili a livello cantonale. In aggiunta a quanto ivi indicato il C</w:t>
      </w:r>
      <w:r>
        <w:rPr>
          <w:rFonts w:eastAsia="Calibri" w:cs="Arial"/>
          <w:lang w:val="it-IT" w:eastAsia="it-CH"/>
        </w:rPr>
        <w:t>onsiglio di Stato</w:t>
      </w:r>
      <w:r w:rsidRPr="001C0FA8">
        <w:rPr>
          <w:rFonts w:eastAsia="Calibri" w:cs="Arial"/>
          <w:lang w:val="it-IT" w:eastAsia="it-CH"/>
        </w:rPr>
        <w:t xml:space="preserve"> rileva che a </w:t>
      </w:r>
      <w:r>
        <w:rPr>
          <w:rFonts w:eastAsia="Calibri" w:cs="Arial"/>
          <w:lang w:val="it-IT" w:eastAsia="it-CH"/>
        </w:rPr>
        <w:t>p</w:t>
      </w:r>
      <w:r w:rsidRPr="001C0FA8">
        <w:rPr>
          <w:rFonts w:eastAsia="Calibri" w:cs="Arial"/>
          <w:lang w:val="it-IT" w:eastAsia="it-CH"/>
        </w:rPr>
        <w:t xml:space="preserve">artire dal 1° gennaio 2020, da questo genere di annunci l’autorità competente può senz’altro tentare di risalire alle aziende che hanno pubblicato l’annuncio discriminatorio ed effettuare le verifiche del caso. In caso di comprovata violazione della legge, esse dovranno pronunciare la multa prevista all’art. 117a </w:t>
      </w:r>
      <w:hyperlink r:id="rId11" w:history="1">
        <w:r w:rsidRPr="001C0FA8">
          <w:rPr>
            <w:rStyle w:val="Collegamentoipertestuale"/>
            <w:rFonts w:eastAsia="Calibri" w:cs="Arial"/>
            <w:lang w:eastAsia="it-CH"/>
          </w:rPr>
          <w:t>LStrI</w:t>
        </w:r>
      </w:hyperlink>
      <w:r w:rsidRPr="001C0FA8">
        <w:rPr>
          <w:rFonts w:eastAsia="Calibri" w:cs="Arial"/>
          <w:lang w:val="it-IT" w:eastAsia="it-CH"/>
        </w:rPr>
        <w:t xml:space="preserve">. </w:t>
      </w:r>
    </w:p>
    <w:p w:rsidR="009312F9" w:rsidRPr="001C0FA8" w:rsidRDefault="009312F9" w:rsidP="009312F9">
      <w:pPr>
        <w:spacing w:after="120"/>
        <w:rPr>
          <w:rFonts w:eastAsia="Calibri" w:cs="Arial"/>
          <w:lang w:val="it-IT" w:eastAsia="it-CH"/>
        </w:rPr>
      </w:pPr>
      <w:r w:rsidRPr="001C0FA8">
        <w:rPr>
          <w:rFonts w:eastAsia="Calibri" w:cs="Arial"/>
          <w:lang w:val="it-IT" w:eastAsia="it-CH"/>
        </w:rPr>
        <w:t xml:space="preserve">Quanto alla </w:t>
      </w:r>
      <w:r w:rsidRPr="001C0FA8">
        <w:rPr>
          <w:rFonts w:eastAsia="Calibri" w:cs="Arial"/>
          <w:u w:val="single"/>
          <w:lang w:val="it-IT" w:eastAsia="it-CH"/>
        </w:rPr>
        <w:t>seconda richiesta</w:t>
      </w:r>
      <w:r w:rsidRPr="001C0FA8">
        <w:rPr>
          <w:rFonts w:eastAsia="Calibri" w:cs="Arial"/>
          <w:lang w:val="it-IT" w:eastAsia="it-CH"/>
        </w:rPr>
        <w:t xml:space="preserve"> della mozione di tassare le aziende ree di applicare la preferenza straniera con un contributo destinato a coprire i costi sociali che cagionerebbero, </w:t>
      </w:r>
      <w:r>
        <w:rPr>
          <w:rFonts w:eastAsia="Calibri" w:cs="Arial"/>
          <w:lang w:val="it-IT" w:eastAsia="it-CH"/>
        </w:rPr>
        <w:t>il Consiglio di Stato</w:t>
      </w:r>
      <w:r w:rsidRPr="001C0FA8">
        <w:rPr>
          <w:rFonts w:eastAsia="Calibri" w:cs="Arial"/>
          <w:lang w:val="it-IT" w:eastAsia="it-CH"/>
        </w:rPr>
        <w:t xml:space="preserve"> osserva come il principio della legalità cui deve sottostare l’autorità, ovvero la necessità di una base legale sufficientemente precisa e adottata dall’autorità </w:t>
      </w:r>
      <w:r w:rsidRPr="001C0FA8">
        <w:rPr>
          <w:rFonts w:eastAsia="Calibri" w:cs="Arial"/>
          <w:lang w:val="it-IT" w:eastAsia="it-CH"/>
        </w:rPr>
        <w:lastRenderedPageBreak/>
        <w:t>competente, è un principio che viene interpretato in maniera molto restrittiva in materia di diritto tributario. Nel caso concreto una base legale che autorizzi il prelievo di una simile tassa non esiste e quindi il Governo cantonale non è legittimato</w:t>
      </w:r>
      <w:r w:rsidR="00CB715A">
        <w:rPr>
          <w:rFonts w:eastAsia="Calibri" w:cs="Arial"/>
          <w:lang w:val="it-IT" w:eastAsia="it-CH"/>
        </w:rPr>
        <w:t xml:space="preserve"> a prelevare un simile tributo.</w:t>
      </w:r>
    </w:p>
    <w:p w:rsidR="009312F9" w:rsidRPr="001C0FA8" w:rsidRDefault="009312F9" w:rsidP="009312F9">
      <w:pPr>
        <w:rPr>
          <w:rFonts w:eastAsia="Calibri" w:cs="Arial"/>
          <w:lang w:val="it-IT" w:eastAsia="it-CH"/>
        </w:rPr>
      </w:pPr>
      <w:r w:rsidRPr="001C0FA8">
        <w:rPr>
          <w:rFonts w:eastAsia="Calibri" w:cs="Arial"/>
          <w:lang w:val="it-IT" w:eastAsia="it-CH"/>
        </w:rPr>
        <w:t xml:space="preserve">Al riguardo del </w:t>
      </w:r>
      <w:r w:rsidRPr="001C0FA8">
        <w:rPr>
          <w:rFonts w:eastAsia="Calibri" w:cs="Arial"/>
          <w:u w:val="single"/>
          <w:lang w:val="it-IT" w:eastAsia="it-CH"/>
        </w:rPr>
        <w:t>terzo punto</w:t>
      </w:r>
      <w:r w:rsidRPr="001C0FA8">
        <w:rPr>
          <w:rFonts w:eastAsia="Calibri" w:cs="Arial"/>
          <w:lang w:val="it-IT" w:eastAsia="it-CH"/>
        </w:rPr>
        <w:t xml:space="preserve"> della mozione, il </w:t>
      </w:r>
      <w:r>
        <w:rPr>
          <w:rFonts w:eastAsia="Calibri" w:cs="Arial"/>
          <w:lang w:val="it-IT" w:eastAsia="it-CH"/>
        </w:rPr>
        <w:t>G</w:t>
      </w:r>
      <w:r w:rsidRPr="001C0FA8">
        <w:rPr>
          <w:rFonts w:eastAsia="Calibri" w:cs="Arial"/>
          <w:lang w:val="it-IT" w:eastAsia="it-CH"/>
        </w:rPr>
        <w:t xml:space="preserve">overno osserva come l’obbligo sancito dall’art. 21a </w:t>
      </w:r>
      <w:hyperlink r:id="rId12" w:history="1">
        <w:r w:rsidRPr="001C0FA8">
          <w:rPr>
            <w:rStyle w:val="Collegamentoipertestuale"/>
            <w:rFonts w:eastAsia="Calibri" w:cs="Arial"/>
            <w:lang w:eastAsia="it-CH"/>
          </w:rPr>
          <w:t>LStrI</w:t>
        </w:r>
      </w:hyperlink>
      <w:r w:rsidRPr="001C0FA8">
        <w:rPr>
          <w:rFonts w:eastAsia="Calibri" w:cs="Arial"/>
          <w:lang w:val="it-IT" w:eastAsia="it-CH"/>
        </w:rPr>
        <w:t xml:space="preserve"> è entrato in vigore il 1° luglio 2018, per cui eventuali violazioni posteriori a tale data che dovessero essere comprovate a carico delle aziende che hanno pubblicato questi annunci, potranno essere sanzionate.</w:t>
      </w:r>
      <w:r>
        <w:rPr>
          <w:rFonts w:eastAsia="Calibri" w:cs="Arial"/>
          <w:lang w:val="it-IT" w:eastAsia="it-CH"/>
        </w:rPr>
        <w:t xml:space="preserve"> </w:t>
      </w:r>
    </w:p>
    <w:p w:rsidR="009312F9" w:rsidRPr="001C0FA8" w:rsidRDefault="009312F9" w:rsidP="009312F9">
      <w:pPr>
        <w:rPr>
          <w:rFonts w:eastAsia="Calibri" w:cs="Arial"/>
          <w:lang w:val="it-IT" w:eastAsia="it-CH"/>
        </w:rPr>
      </w:pPr>
    </w:p>
    <w:p w:rsidR="009312F9" w:rsidRDefault="009312F9" w:rsidP="00CB715A">
      <w:pPr>
        <w:rPr>
          <w:lang w:val="it-IT" w:eastAsia="it-CH"/>
        </w:rPr>
      </w:pPr>
      <w:r>
        <w:rPr>
          <w:lang w:val="it-IT" w:eastAsia="it-CH"/>
        </w:rPr>
        <w:t>Il Consiglio di Stato</w:t>
      </w:r>
      <w:r w:rsidRPr="001C0FA8">
        <w:rPr>
          <w:lang w:val="it-IT" w:eastAsia="it-CH"/>
        </w:rPr>
        <w:t xml:space="preserve"> osserva anche che il citato nuovo articolo della LStrI prevede l’obbligo per i datori di lavoro che impiegano lavoratori attivi in determinate professioni aventi un tasso di disoccupazione superiore alla media, di annunciare ai servizi pubblici di collocamento i posti di lavoro vacanti e questo al fine di concedere la precedenza alla forza lavoro locale disoccupata. Dal 1° luglio 2018 questa soglia era fissata l’8%, mentre a partire dal 1° gennaio 2020 </w:t>
      </w:r>
      <w:r>
        <w:rPr>
          <w:lang w:val="it-IT" w:eastAsia="it-CH"/>
        </w:rPr>
        <w:t>è stata</w:t>
      </w:r>
      <w:r w:rsidRPr="001C0FA8">
        <w:rPr>
          <w:lang w:val="it-IT" w:eastAsia="it-CH"/>
        </w:rPr>
        <w:t xml:space="preserve"> abbassata al 5%.</w:t>
      </w:r>
    </w:p>
    <w:p w:rsidR="009312F9" w:rsidRDefault="009312F9" w:rsidP="009312F9">
      <w:pPr>
        <w:rPr>
          <w:rFonts w:eastAsia="Calibri" w:cs="Arial"/>
          <w:lang w:val="it-IT" w:eastAsia="it-CH"/>
        </w:rPr>
      </w:pPr>
    </w:p>
    <w:p w:rsidR="00CB715A" w:rsidRDefault="00CB715A" w:rsidP="009312F9">
      <w:pPr>
        <w:rPr>
          <w:rFonts w:eastAsia="Calibri" w:cs="Arial"/>
          <w:lang w:val="it-IT" w:eastAsia="it-CH"/>
        </w:rPr>
      </w:pPr>
    </w:p>
    <w:p w:rsidR="009312F9" w:rsidRDefault="009312F9" w:rsidP="009312F9">
      <w:pPr>
        <w:rPr>
          <w:rFonts w:eastAsia="Calibri" w:cs="Arial"/>
          <w:lang w:val="it-IT" w:eastAsia="it-CH"/>
        </w:rPr>
      </w:pPr>
    </w:p>
    <w:p w:rsidR="009312F9" w:rsidRPr="000E30D2" w:rsidRDefault="009312F9" w:rsidP="009312F9">
      <w:pPr>
        <w:pStyle w:val="Titolo1"/>
      </w:pPr>
      <w:r w:rsidRPr="000E30D2">
        <w:t>AGGIORNAMENTO DELLA SITUAZIONE</w:t>
      </w:r>
    </w:p>
    <w:p w:rsidR="009312F9" w:rsidRDefault="009312F9" w:rsidP="009312F9">
      <w:pPr>
        <w:rPr>
          <w:rFonts w:eastAsia="Calibri" w:cs="Arial"/>
          <w:lang w:val="it-IT" w:eastAsia="it-CH"/>
        </w:rPr>
      </w:pPr>
      <w:r w:rsidRPr="001C0FA8">
        <w:rPr>
          <w:rFonts w:eastAsia="Calibri" w:cs="Arial"/>
          <w:lang w:val="it-IT" w:eastAsia="it-CH"/>
        </w:rPr>
        <w:t xml:space="preserve">Dato che il messaggio </w:t>
      </w:r>
      <w:r w:rsidR="00CB715A">
        <w:rPr>
          <w:rFonts w:eastAsia="Calibri" w:cs="Arial"/>
          <w:lang w:val="it-IT" w:eastAsia="it-CH"/>
        </w:rPr>
        <w:t xml:space="preserve">n. </w:t>
      </w:r>
      <w:r w:rsidRPr="00CB715A">
        <w:rPr>
          <w:rFonts w:cs="Arial"/>
          <w:bCs/>
        </w:rPr>
        <w:t>7729</w:t>
      </w:r>
      <w:r w:rsidRPr="001C0FA8">
        <w:rPr>
          <w:rFonts w:cs="Arial"/>
          <w:b/>
          <w:bCs/>
          <w:color w:val="000000" w:themeColor="text1"/>
          <w:lang w:val="it-IT"/>
        </w:rPr>
        <w:t xml:space="preserve"> </w:t>
      </w:r>
      <w:r w:rsidRPr="001C0FA8">
        <w:rPr>
          <w:rFonts w:cs="Arial"/>
          <w:color w:val="000000" w:themeColor="text1"/>
          <w:lang w:val="it-IT"/>
        </w:rPr>
        <w:t>dell’ottobre 2019</w:t>
      </w:r>
      <w:r w:rsidRPr="00CB715A">
        <w:rPr>
          <w:rFonts w:cs="Arial"/>
          <w:bCs/>
          <w:color w:val="000000" w:themeColor="text1"/>
          <w:sz w:val="28"/>
          <w:szCs w:val="28"/>
          <w:lang w:val="it-IT"/>
        </w:rPr>
        <w:t xml:space="preserve"> </w:t>
      </w:r>
      <w:r w:rsidRPr="001C0FA8">
        <w:rPr>
          <w:rFonts w:eastAsia="Calibri" w:cs="Arial"/>
          <w:lang w:val="it-IT" w:eastAsia="it-CH"/>
        </w:rPr>
        <w:t>è precedente</w:t>
      </w:r>
      <w:r>
        <w:rPr>
          <w:rFonts w:eastAsia="Calibri" w:cs="Arial"/>
          <w:lang w:val="it-IT" w:eastAsia="it-CH"/>
        </w:rPr>
        <w:t xml:space="preserve"> all’entrata in vigore della soglia del 5%, il relatore ha ritenuto opportuno chiedere al Consiglio di Stato </w:t>
      </w:r>
      <w:r w:rsidRPr="001C0FA8">
        <w:rPr>
          <w:rFonts w:eastAsia="Calibri" w:cs="Arial"/>
          <w:lang w:val="it-IT" w:eastAsia="it-CH"/>
        </w:rPr>
        <w:t>un aggiornamento dei dati dei controlli relativi al rispetto dell'obbligo d'annuncio dei posti vacanti.</w:t>
      </w:r>
    </w:p>
    <w:p w:rsidR="009312F9" w:rsidRDefault="009312F9" w:rsidP="009312F9">
      <w:pPr>
        <w:rPr>
          <w:rFonts w:cs="Arial"/>
          <w:color w:val="000000"/>
          <w:lang w:val="it-IT"/>
        </w:rPr>
      </w:pPr>
    </w:p>
    <w:p w:rsidR="009312F9" w:rsidRPr="001C0FA8" w:rsidRDefault="009312F9" w:rsidP="009312F9">
      <w:pPr>
        <w:rPr>
          <w:rFonts w:cs="Arial"/>
          <w:color w:val="000000"/>
          <w:lang w:val="it-IT"/>
        </w:rPr>
      </w:pPr>
      <w:r>
        <w:rPr>
          <w:rFonts w:cs="Arial"/>
          <w:color w:val="000000"/>
          <w:lang w:val="it-IT"/>
        </w:rPr>
        <w:t xml:space="preserve">Nella risposta il Governo osserva che, a causa della </w:t>
      </w:r>
      <w:r w:rsidRPr="001C0FA8">
        <w:rPr>
          <w:rFonts w:cs="Arial"/>
          <w:color w:val="000000"/>
          <w:lang w:val="it-IT"/>
        </w:rPr>
        <w:t xml:space="preserve">"situazione straordinaria" </w:t>
      </w:r>
      <w:r>
        <w:rPr>
          <w:rFonts w:cs="Arial"/>
          <w:color w:val="000000"/>
          <w:lang w:val="it-IT"/>
        </w:rPr>
        <w:t>causata dal Covid, l’obbligo di annuncio è stato sospeso dal Consiglio federale dal 28 marzo 2020 all’8 giugno 2020.</w:t>
      </w:r>
      <w:r w:rsidRPr="001C0FA8">
        <w:rPr>
          <w:rFonts w:cs="Arial"/>
          <w:color w:val="000000"/>
          <w:lang w:val="it-IT"/>
        </w:rPr>
        <w:t xml:space="preserve"> </w:t>
      </w:r>
    </w:p>
    <w:p w:rsidR="009312F9" w:rsidRPr="001C0FA8" w:rsidRDefault="009312F9" w:rsidP="009312F9">
      <w:pPr>
        <w:rPr>
          <w:rFonts w:cs="Arial"/>
          <w:color w:val="000000"/>
          <w:lang w:val="it-IT"/>
        </w:rPr>
      </w:pPr>
      <w:r>
        <w:rPr>
          <w:rFonts w:cs="Arial"/>
          <w:color w:val="000000"/>
          <w:lang w:val="it-IT"/>
        </w:rPr>
        <w:t>Comunque</w:t>
      </w:r>
      <w:r w:rsidRPr="001C0FA8">
        <w:rPr>
          <w:rFonts w:cs="Arial"/>
          <w:color w:val="000000"/>
          <w:lang w:val="it-IT"/>
        </w:rPr>
        <w:t>, dal primo rapporto di monitoraggio relativo all'esecuzione dell'obbligo d'annunciare i posti vacanti della SECO</w:t>
      </w:r>
      <w:r>
        <w:rPr>
          <w:rFonts w:cs="Arial"/>
          <w:color w:val="000000"/>
          <w:lang w:val="it-IT"/>
        </w:rPr>
        <w:t>,</w:t>
      </w:r>
      <w:r w:rsidRPr="001C0FA8">
        <w:rPr>
          <w:rFonts w:cs="Arial"/>
          <w:color w:val="000000"/>
          <w:lang w:val="it-IT"/>
        </w:rPr>
        <w:t xml:space="preserve"> risulta che i datori di lavoro lo rispettano e il numero di posti vacanti annunciati è aumentato significativamente subito dopo l'entrata in vigore dell'obbligo e si è stabilizzato ad un livello elevato, escludendo le influenze stagionali. L'aumento di posti vacanti annunciati dimostra sostanzialmente che questa nuova misura </w:t>
      </w:r>
      <w:r>
        <w:rPr>
          <w:rFonts w:cs="Arial"/>
          <w:color w:val="000000"/>
          <w:lang w:val="it-IT"/>
        </w:rPr>
        <w:t xml:space="preserve">è </w:t>
      </w:r>
      <w:r w:rsidRPr="001C0FA8">
        <w:rPr>
          <w:rFonts w:cs="Arial"/>
          <w:color w:val="000000"/>
          <w:lang w:val="it-IT"/>
        </w:rPr>
        <w:t>ampiamente accettata dai datori di lavoro.</w:t>
      </w:r>
    </w:p>
    <w:p w:rsidR="009312F9" w:rsidRDefault="009312F9" w:rsidP="009312F9">
      <w:pPr>
        <w:rPr>
          <w:rFonts w:cs="Arial"/>
          <w:color w:val="000000"/>
          <w:lang w:val="it-IT"/>
        </w:rPr>
      </w:pPr>
      <w:r w:rsidRPr="001C0FA8">
        <w:rPr>
          <w:rFonts w:cs="Arial"/>
          <w:color w:val="000000"/>
          <w:lang w:val="it-IT"/>
        </w:rPr>
        <w:t xml:space="preserve">In ogni caso, a seguito delle risultanze dei primi accertamenti effettuati, l'USML ha comunque emesso le prime decisioni di ammonimento. </w:t>
      </w:r>
    </w:p>
    <w:p w:rsidR="009312F9" w:rsidRDefault="009312F9" w:rsidP="009312F9">
      <w:pPr>
        <w:rPr>
          <w:rFonts w:cs="Arial"/>
          <w:color w:val="000000"/>
          <w:lang w:val="it-IT"/>
        </w:rPr>
      </w:pPr>
      <w:r>
        <w:rPr>
          <w:rFonts w:cs="Arial"/>
          <w:color w:val="000000"/>
          <w:lang w:val="it-IT"/>
        </w:rPr>
        <w:t>Il Consiglio di Stato ritiene,</w:t>
      </w:r>
      <w:r w:rsidRPr="001C0FA8">
        <w:rPr>
          <w:rFonts w:cs="Arial"/>
          <w:color w:val="000000"/>
          <w:lang w:val="it-IT"/>
        </w:rPr>
        <w:t xml:space="preserve"> tuttavia</w:t>
      </w:r>
      <w:r>
        <w:rPr>
          <w:rFonts w:cs="Arial"/>
          <w:color w:val="000000"/>
          <w:lang w:val="it-IT"/>
        </w:rPr>
        <w:t>,</w:t>
      </w:r>
      <w:r w:rsidRPr="001C0FA8">
        <w:rPr>
          <w:rFonts w:cs="Arial"/>
          <w:color w:val="000000"/>
          <w:lang w:val="it-IT"/>
        </w:rPr>
        <w:t xml:space="preserve"> prematuro fare dei bilanci</w:t>
      </w:r>
      <w:r>
        <w:rPr>
          <w:rFonts w:cs="Arial"/>
          <w:color w:val="000000"/>
          <w:lang w:val="it-IT"/>
        </w:rPr>
        <w:t xml:space="preserve"> in questo momento.</w:t>
      </w:r>
    </w:p>
    <w:p w:rsidR="009312F9" w:rsidRDefault="009312F9" w:rsidP="009312F9">
      <w:pPr>
        <w:rPr>
          <w:rFonts w:cs="Arial"/>
          <w:color w:val="000000"/>
          <w:lang w:val="it-IT"/>
        </w:rPr>
      </w:pPr>
    </w:p>
    <w:p w:rsidR="009312F9" w:rsidRDefault="009312F9" w:rsidP="00CB715A">
      <w:pPr>
        <w:rPr>
          <w:rFonts w:cs="Arial"/>
          <w:color w:val="000000"/>
          <w:lang w:val="it-IT"/>
        </w:rPr>
      </w:pPr>
      <w:r>
        <w:rPr>
          <w:rFonts w:cs="Arial"/>
          <w:color w:val="000000"/>
          <w:lang w:val="it-IT"/>
        </w:rPr>
        <w:t>Proprio al momento della stesura del presente rapporto vi è un aggiornamento sulla questione dell’annuncio dei posti di lavoro vacanti per 2021.</w:t>
      </w:r>
    </w:p>
    <w:p w:rsidR="009312F9" w:rsidRDefault="009312F9" w:rsidP="00CB715A">
      <w:pPr>
        <w:rPr>
          <w:rFonts w:cs="Arial"/>
          <w:color w:val="000000"/>
          <w:lang w:val="it-IT"/>
        </w:rPr>
      </w:pPr>
      <w:r w:rsidRPr="003E65CF">
        <w:rPr>
          <w:rFonts w:cs="Arial"/>
          <w:color w:val="000000"/>
          <w:lang w:val="it-IT"/>
        </w:rPr>
        <w:t xml:space="preserve">Il 27 novembre 2020 il </w:t>
      </w:r>
      <w:r>
        <w:rPr>
          <w:rFonts w:cs="Arial"/>
          <w:color w:val="000000"/>
          <w:lang w:val="it-IT"/>
        </w:rPr>
        <w:t>C</w:t>
      </w:r>
      <w:r w:rsidRPr="003E65CF">
        <w:rPr>
          <w:rFonts w:cs="Arial"/>
          <w:color w:val="000000"/>
          <w:lang w:val="it-IT"/>
        </w:rPr>
        <w:t>onsigliere federale Guy Parmelin, ha approvato l’elenco dei generi di professioni soggetti all’obbligo di annunciare i posti vacanti per il 2021</w:t>
      </w:r>
      <w:r>
        <w:rPr>
          <w:rFonts w:cs="Arial"/>
          <w:color w:val="000000"/>
          <w:lang w:val="it-IT"/>
        </w:rPr>
        <w:t xml:space="preserve">: </w:t>
      </w:r>
    </w:p>
    <w:p w:rsidR="009312F9" w:rsidRPr="003E65CF" w:rsidRDefault="009312F9" w:rsidP="00CB715A">
      <w:pPr>
        <w:rPr>
          <w:rFonts w:cs="Arial"/>
          <w:color w:val="000000"/>
          <w:lang w:val="it-IT"/>
        </w:rPr>
      </w:pPr>
      <w:r>
        <w:rPr>
          <w:rFonts w:cs="Arial"/>
          <w:color w:val="000000"/>
          <w:lang w:val="it-IT"/>
        </w:rPr>
        <w:t>(</w:t>
      </w:r>
      <w:hyperlink r:id="rId13" w:history="1">
        <w:r w:rsidRPr="00C803A0">
          <w:rPr>
            <w:rStyle w:val="Collegamentoipertestuale"/>
            <w:rFonts w:cs="Arial"/>
          </w:rPr>
          <w:t>https://www.admin.ch/gov/it/pagina-iniziale/documentazione/comunicati-stampa.msg-id-81385.html</w:t>
        </w:r>
      </w:hyperlink>
      <w:r>
        <w:rPr>
          <w:rFonts w:cs="Arial"/>
          <w:color w:val="000000"/>
          <w:lang w:val="it-IT"/>
        </w:rPr>
        <w:t xml:space="preserve">): </w:t>
      </w:r>
      <w:r w:rsidRPr="003E65CF">
        <w:rPr>
          <w:rFonts w:cs="Arial"/>
          <w:color w:val="000000"/>
          <w:lang w:val="it-IT"/>
        </w:rPr>
        <w:t xml:space="preserve">il numero di professioni assoggettati a tale obbligo nel 2021 </w:t>
      </w:r>
      <w:r>
        <w:rPr>
          <w:rFonts w:cs="Arial"/>
          <w:color w:val="000000"/>
          <w:lang w:val="it-IT"/>
        </w:rPr>
        <w:t>crescerà</w:t>
      </w:r>
      <w:r w:rsidRPr="003E65CF">
        <w:rPr>
          <w:rFonts w:cs="Arial"/>
          <w:color w:val="000000"/>
          <w:lang w:val="it-IT"/>
        </w:rPr>
        <w:t xml:space="preserve"> rispetto al 2020</w:t>
      </w:r>
      <w:r>
        <w:rPr>
          <w:rFonts w:cs="Arial"/>
          <w:color w:val="000000"/>
          <w:lang w:val="it-IT"/>
        </w:rPr>
        <w:t xml:space="preserve">, mentre tutte le </w:t>
      </w:r>
      <w:r w:rsidRPr="003E65CF">
        <w:rPr>
          <w:rFonts w:cs="Arial"/>
          <w:color w:val="000000"/>
          <w:lang w:val="it-IT"/>
        </w:rPr>
        <w:t>professioni che nel 2020 erano soggett</w:t>
      </w:r>
      <w:r>
        <w:rPr>
          <w:rFonts w:cs="Arial"/>
          <w:color w:val="000000"/>
          <w:lang w:val="it-IT"/>
        </w:rPr>
        <w:t xml:space="preserve">e </w:t>
      </w:r>
      <w:r w:rsidRPr="003E65CF">
        <w:rPr>
          <w:rFonts w:cs="Arial"/>
          <w:color w:val="000000"/>
          <w:lang w:val="it-IT"/>
        </w:rPr>
        <w:t>all’obbligo di annunciare i posti vacanti lo saranno anche nel 2021</w:t>
      </w:r>
      <w:r>
        <w:rPr>
          <w:rFonts w:cs="Arial"/>
          <w:color w:val="000000"/>
          <w:lang w:val="it-IT"/>
        </w:rPr>
        <w:t>. Tra i</w:t>
      </w:r>
      <w:r w:rsidRPr="003E65CF">
        <w:rPr>
          <w:rFonts w:cs="Arial"/>
          <w:color w:val="000000"/>
          <w:lang w:val="it-IT"/>
        </w:rPr>
        <w:t xml:space="preserve"> nuovi generi di professioni soggetti all’obbligo di annuncio </w:t>
      </w:r>
      <w:r>
        <w:rPr>
          <w:rFonts w:cs="Arial"/>
          <w:color w:val="000000"/>
          <w:lang w:val="it-IT"/>
        </w:rPr>
        <w:t>si citano</w:t>
      </w:r>
      <w:r w:rsidRPr="003E65CF">
        <w:rPr>
          <w:rFonts w:cs="Arial"/>
          <w:color w:val="000000"/>
          <w:lang w:val="it-IT"/>
        </w:rPr>
        <w:t xml:space="preserve"> i cuochi, gli addetti alla ristorazione, gli addetti alle pulizie in uffici, esercizi alberghieri ed altri esercizi, i responsabili di eventi, gli agenti di sicurezza, i tassisti, i saldatori, gli operatori in orologeria nonché i dirigenti nei servizi di vendita e di marketing. L’elenco completo dei generi assoggettati all’obbligo di annuncio da gennaio 2021 è consultabile sul sito </w:t>
      </w:r>
      <w:hyperlink r:id="rId14" w:history="1">
        <w:r w:rsidRPr="009516B6">
          <w:rPr>
            <w:rStyle w:val="Collegamentoipertestuale"/>
            <w:rFonts w:cs="Arial"/>
          </w:rPr>
          <w:t>www.lavoro.swiss</w:t>
        </w:r>
      </w:hyperlink>
      <w:r w:rsidRPr="003E65CF">
        <w:rPr>
          <w:rFonts w:cs="Arial"/>
          <w:color w:val="000000"/>
          <w:lang w:val="it-IT"/>
        </w:rPr>
        <w:t>.</w:t>
      </w:r>
      <w:r>
        <w:rPr>
          <w:rFonts w:cs="Arial"/>
          <w:color w:val="000000"/>
          <w:lang w:val="it-IT"/>
        </w:rPr>
        <w:t xml:space="preserve"> </w:t>
      </w:r>
    </w:p>
    <w:p w:rsidR="009312F9" w:rsidRPr="003E65CF" w:rsidRDefault="009312F9" w:rsidP="009312F9">
      <w:pPr>
        <w:rPr>
          <w:rFonts w:cs="Arial"/>
          <w:color w:val="000000"/>
          <w:lang w:val="it-IT"/>
        </w:rPr>
      </w:pPr>
      <w:r w:rsidRPr="003E65CF">
        <w:rPr>
          <w:rFonts w:cs="Arial"/>
          <w:color w:val="000000"/>
          <w:lang w:val="it-IT"/>
        </w:rPr>
        <w:lastRenderedPageBreak/>
        <w:t>Nel quadro dell’obbligo di annunciare i posti vacanti l’elenco si applica a partire da un tasso di disoccupazione del cinque per cento. Il nuovo elenco entrerà in vigore il 1° gennaio 2021. A causa del notevole aumento della disoccupazione registrato da marzo 2020, è cresciuto il numero dei generi di professioni che hanno raggiunto o superato la soglia del cinque per cento.</w:t>
      </w:r>
    </w:p>
    <w:p w:rsidR="009312F9" w:rsidRDefault="009312F9" w:rsidP="009312F9">
      <w:pPr>
        <w:rPr>
          <w:rFonts w:cs="Arial"/>
        </w:rPr>
      </w:pPr>
    </w:p>
    <w:p w:rsidR="00CB715A" w:rsidRDefault="00CB715A" w:rsidP="009312F9">
      <w:pPr>
        <w:rPr>
          <w:rFonts w:cs="Arial"/>
        </w:rPr>
      </w:pPr>
    </w:p>
    <w:p w:rsidR="009312F9" w:rsidRPr="000F38ED" w:rsidRDefault="009312F9" w:rsidP="009312F9">
      <w:pPr>
        <w:rPr>
          <w:rFonts w:cs="Arial"/>
        </w:rPr>
      </w:pPr>
    </w:p>
    <w:p w:rsidR="009312F9" w:rsidRPr="001C0FA8" w:rsidRDefault="009312F9" w:rsidP="009312F9">
      <w:pPr>
        <w:pStyle w:val="Titolo1"/>
        <w:rPr>
          <w:rFonts w:cs="Arial"/>
        </w:rPr>
      </w:pPr>
      <w:r w:rsidRPr="001C0FA8">
        <w:rPr>
          <w:rFonts w:cs="Arial"/>
        </w:rPr>
        <w:t>Considerazioni della Commissione economia e lavoro</w:t>
      </w:r>
    </w:p>
    <w:p w:rsidR="009312F9" w:rsidRDefault="009312F9" w:rsidP="009312F9">
      <w:pPr>
        <w:rPr>
          <w:rFonts w:cs="Arial"/>
          <w:color w:val="000000" w:themeColor="text1"/>
          <w:lang w:val="it-IT"/>
        </w:rPr>
      </w:pPr>
      <w:r>
        <w:rPr>
          <w:rFonts w:cs="Arial"/>
          <w:color w:val="000000" w:themeColor="text1"/>
          <w:lang w:val="it-IT"/>
        </w:rPr>
        <w:t>Una volta ancora, come p.es. nel caso della LIA, ci ritroviamo di fronte ai limiti imposti dal diritto superiore che, in questo caso, impediscono di agire in modo incisivo nel senso indicato dalla mozione; dobbiamo quindi accontentarci di applicare ciò che è applicabile.</w:t>
      </w:r>
    </w:p>
    <w:p w:rsidR="009312F9" w:rsidRDefault="009312F9" w:rsidP="009312F9">
      <w:pPr>
        <w:rPr>
          <w:rFonts w:cs="Arial"/>
          <w:color w:val="000000" w:themeColor="text1"/>
          <w:lang w:val="it-IT"/>
        </w:rPr>
      </w:pPr>
    </w:p>
    <w:p w:rsidR="009312F9" w:rsidRDefault="009312F9" w:rsidP="009312F9">
      <w:pPr>
        <w:rPr>
          <w:rFonts w:cs="Arial"/>
          <w:color w:val="000000" w:themeColor="text1"/>
          <w:lang w:val="it-IT"/>
        </w:rPr>
      </w:pPr>
    </w:p>
    <w:p w:rsidR="00CB715A" w:rsidRPr="001C0FA8" w:rsidRDefault="00CB715A" w:rsidP="009312F9">
      <w:pPr>
        <w:rPr>
          <w:rFonts w:cs="Arial"/>
          <w:color w:val="000000" w:themeColor="text1"/>
          <w:lang w:val="it-IT"/>
        </w:rPr>
      </w:pPr>
    </w:p>
    <w:p w:rsidR="009312F9" w:rsidRPr="001C0FA8" w:rsidRDefault="009312F9" w:rsidP="009312F9">
      <w:pPr>
        <w:pStyle w:val="Titolo1"/>
        <w:rPr>
          <w:rFonts w:cs="Arial"/>
        </w:rPr>
      </w:pPr>
      <w:r w:rsidRPr="001C0FA8">
        <w:rPr>
          <w:rFonts w:cs="Arial"/>
        </w:rPr>
        <w:t>Conclusioni</w:t>
      </w:r>
    </w:p>
    <w:p w:rsidR="009312F9" w:rsidRPr="001C0FA8" w:rsidRDefault="009312F9" w:rsidP="009312F9">
      <w:pPr>
        <w:rPr>
          <w:rFonts w:eastAsia="Calibri" w:cs="Arial"/>
          <w:lang w:val="it-IT" w:eastAsia="it-CH"/>
        </w:rPr>
      </w:pPr>
      <w:r>
        <w:rPr>
          <w:rFonts w:eastAsia="Calibri" w:cs="Arial"/>
          <w:lang w:val="it-IT" w:eastAsia="it-CH"/>
        </w:rPr>
        <w:t>Fermo</w:t>
      </w:r>
      <w:r w:rsidRPr="002721B7">
        <w:rPr>
          <w:rFonts w:eastAsia="Calibri" w:cs="Arial"/>
          <w:lang w:val="it-IT" w:eastAsia="it-CH"/>
        </w:rPr>
        <w:t xml:space="preserve"> restando che atteggiamenti discriminatori nei confronti della manodo</w:t>
      </w:r>
      <w:r>
        <w:rPr>
          <w:rFonts w:eastAsia="Calibri" w:cs="Arial"/>
          <w:lang w:val="it-IT" w:eastAsia="it-CH"/>
        </w:rPr>
        <w:t xml:space="preserve">pera residente sono censurabili e che si auspica che le aziende facciano propria la responsabilità sociale d'impresa per quanto riguarda tanto gli annunci di ricerca di personale, quanto riguardo alle assunzioni, la Commissione economia e lavoro propone al Gran </w:t>
      </w:r>
      <w:r w:rsidRPr="00C525B4">
        <w:rPr>
          <w:rFonts w:eastAsia="Calibri" w:cs="Arial"/>
          <w:lang w:val="it-IT" w:eastAsia="it-CH"/>
        </w:rPr>
        <w:t>Consiglio di considerare la mozione evasa</w:t>
      </w:r>
      <w:r w:rsidRPr="002721B7">
        <w:rPr>
          <w:rFonts w:eastAsia="Calibri" w:cs="Arial"/>
          <w:lang w:val="it-IT" w:eastAsia="it-CH"/>
        </w:rPr>
        <w:t xml:space="preserve"> nella misura in cui le proposte conformi al diritto superiore sono </w:t>
      </w:r>
      <w:r>
        <w:rPr>
          <w:rFonts w:eastAsia="Calibri" w:cs="Arial"/>
          <w:lang w:val="it-IT" w:eastAsia="it-CH"/>
        </w:rPr>
        <w:t xml:space="preserve">già concretizzate o </w:t>
      </w:r>
      <w:r w:rsidRPr="002721B7">
        <w:rPr>
          <w:rFonts w:eastAsia="Calibri" w:cs="Arial"/>
          <w:lang w:val="it-IT" w:eastAsia="it-CH"/>
        </w:rPr>
        <w:t>in fase di concretizzazione.</w:t>
      </w:r>
    </w:p>
    <w:p w:rsidR="009312F9" w:rsidRDefault="009312F9" w:rsidP="009312F9">
      <w:pPr>
        <w:rPr>
          <w:rFonts w:cs="Arial"/>
          <w:lang w:val="it-IT"/>
        </w:rPr>
      </w:pPr>
    </w:p>
    <w:p w:rsidR="00CB715A" w:rsidRPr="001C0FA8" w:rsidRDefault="00CB715A" w:rsidP="009312F9">
      <w:pPr>
        <w:rPr>
          <w:rFonts w:cs="Arial"/>
          <w:lang w:val="it-IT"/>
        </w:rPr>
      </w:pPr>
    </w:p>
    <w:p w:rsidR="009312F9" w:rsidRPr="001C0FA8" w:rsidRDefault="009312F9" w:rsidP="009312F9">
      <w:pPr>
        <w:rPr>
          <w:rFonts w:cs="Arial"/>
          <w:lang w:val="it-IT"/>
        </w:rPr>
      </w:pPr>
    </w:p>
    <w:p w:rsidR="009312F9" w:rsidRPr="00CB715A" w:rsidRDefault="009312F9" w:rsidP="009312F9">
      <w:pPr>
        <w:spacing w:after="120"/>
        <w:rPr>
          <w:rFonts w:cs="Arial"/>
          <w:szCs w:val="24"/>
          <w:lang w:val="it-IT"/>
        </w:rPr>
      </w:pPr>
      <w:r w:rsidRPr="00CB715A">
        <w:rPr>
          <w:rFonts w:cs="Arial"/>
          <w:szCs w:val="24"/>
          <w:lang w:val="it-IT"/>
        </w:rPr>
        <w:t>Per la Commissione economia e lavoro:</w:t>
      </w:r>
    </w:p>
    <w:p w:rsidR="009312F9" w:rsidRPr="00CB715A" w:rsidRDefault="009312F9" w:rsidP="009312F9">
      <w:pPr>
        <w:rPr>
          <w:rFonts w:cs="Arial"/>
          <w:szCs w:val="24"/>
          <w:lang w:val="it-IT"/>
        </w:rPr>
      </w:pPr>
      <w:r w:rsidRPr="00CB715A">
        <w:rPr>
          <w:rFonts w:cs="Arial"/>
          <w:color w:val="000000"/>
          <w:szCs w:val="24"/>
          <w:lang w:val="it-IT"/>
        </w:rPr>
        <w:t>Edo Pellegrini,</w:t>
      </w:r>
      <w:r w:rsidRPr="00CB715A">
        <w:rPr>
          <w:rFonts w:cs="Arial"/>
          <w:szCs w:val="24"/>
          <w:lang w:val="it-IT"/>
        </w:rPr>
        <w:t xml:space="preserve"> relatore</w:t>
      </w:r>
    </w:p>
    <w:p w:rsidR="009312F9" w:rsidRPr="00CB715A" w:rsidRDefault="009312F9" w:rsidP="009312F9">
      <w:pPr>
        <w:rPr>
          <w:rFonts w:cs="Arial"/>
          <w:szCs w:val="24"/>
          <w:lang w:val="it-IT"/>
        </w:rPr>
      </w:pPr>
      <w:r w:rsidRPr="00CB715A">
        <w:rPr>
          <w:rFonts w:cs="Arial"/>
          <w:szCs w:val="24"/>
          <w:lang w:val="it-IT"/>
        </w:rPr>
        <w:t xml:space="preserve">Balli - Bignasca - Censi - Dadò - Durisch - </w:t>
      </w:r>
    </w:p>
    <w:p w:rsidR="009312F9" w:rsidRPr="00CB715A" w:rsidRDefault="009312F9" w:rsidP="009312F9">
      <w:pPr>
        <w:rPr>
          <w:rFonts w:cs="Arial"/>
          <w:szCs w:val="24"/>
          <w:lang w:val="it-IT"/>
        </w:rPr>
      </w:pPr>
      <w:r w:rsidRPr="00CB715A">
        <w:rPr>
          <w:rFonts w:cs="Arial"/>
          <w:szCs w:val="24"/>
          <w:lang w:val="it-IT"/>
        </w:rPr>
        <w:t xml:space="preserve">Garbani Nerini - Isabella - Maderni - </w:t>
      </w:r>
    </w:p>
    <w:p w:rsidR="009312F9" w:rsidRPr="00CB715A" w:rsidRDefault="009312F9" w:rsidP="009312F9">
      <w:pPr>
        <w:rPr>
          <w:rFonts w:cs="Arial"/>
          <w:szCs w:val="24"/>
          <w:lang w:val="it-IT"/>
        </w:rPr>
      </w:pPr>
      <w:r w:rsidRPr="00CB715A">
        <w:rPr>
          <w:rFonts w:cs="Arial"/>
          <w:szCs w:val="24"/>
          <w:lang w:val="it-IT"/>
        </w:rPr>
        <w:t xml:space="preserve">Minotti - Noi - Ortelli P. - Passalia - </w:t>
      </w:r>
    </w:p>
    <w:p w:rsidR="009312F9" w:rsidRPr="00CB715A" w:rsidRDefault="009312F9" w:rsidP="009312F9">
      <w:pPr>
        <w:rPr>
          <w:rFonts w:cs="Arial"/>
          <w:szCs w:val="24"/>
          <w:lang w:val="it-IT"/>
        </w:rPr>
      </w:pPr>
      <w:r w:rsidRPr="00CB715A">
        <w:rPr>
          <w:rFonts w:cs="Arial"/>
          <w:szCs w:val="24"/>
          <w:lang w:val="it-IT"/>
        </w:rPr>
        <w:t>Passardi - Pini - Sirica - Speziali</w:t>
      </w:r>
    </w:p>
    <w:p w:rsidR="009312F9" w:rsidRPr="00CB715A" w:rsidRDefault="009312F9" w:rsidP="009312F9">
      <w:pPr>
        <w:rPr>
          <w:rFonts w:cs="Arial"/>
          <w:szCs w:val="24"/>
          <w:lang w:val="it-IT"/>
        </w:rPr>
      </w:pPr>
    </w:p>
    <w:p w:rsidR="00B860C2" w:rsidRPr="00CB715A" w:rsidRDefault="00B860C2" w:rsidP="00B860C2">
      <w:pPr>
        <w:rPr>
          <w:szCs w:val="24"/>
        </w:rPr>
      </w:pPr>
    </w:p>
    <w:bookmarkEnd w:id="0"/>
    <w:sectPr w:rsidR="00B860C2" w:rsidRPr="00CB715A" w:rsidSect="008B4137">
      <w:footerReference w:type="default" r:id="rId15"/>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57A3C" w:rsidRPr="00D57A3C">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4826F98"/>
    <w:multiLevelType w:val="hybridMultilevel"/>
    <w:tmpl w:val="F160784E"/>
    <w:lvl w:ilvl="0" w:tplc="0810000F">
      <w:start w:val="1"/>
      <w:numFmt w:val="decimal"/>
      <w:lvlText w:val="%1."/>
      <w:lvlJc w:val="left"/>
      <w:pPr>
        <w:ind w:left="783" w:hanging="360"/>
      </w:pPr>
    </w:lvl>
    <w:lvl w:ilvl="1" w:tplc="08100019">
      <w:start w:val="1"/>
      <w:numFmt w:val="lowerLetter"/>
      <w:lvlText w:val="%2."/>
      <w:lvlJc w:val="left"/>
      <w:pPr>
        <w:ind w:left="1503" w:hanging="360"/>
      </w:pPr>
    </w:lvl>
    <w:lvl w:ilvl="2" w:tplc="0810001B" w:tentative="1">
      <w:start w:val="1"/>
      <w:numFmt w:val="lowerRoman"/>
      <w:lvlText w:val="%3."/>
      <w:lvlJc w:val="right"/>
      <w:pPr>
        <w:ind w:left="2223" w:hanging="180"/>
      </w:pPr>
    </w:lvl>
    <w:lvl w:ilvl="3" w:tplc="0810000F" w:tentative="1">
      <w:start w:val="1"/>
      <w:numFmt w:val="decimal"/>
      <w:lvlText w:val="%4."/>
      <w:lvlJc w:val="left"/>
      <w:pPr>
        <w:ind w:left="2943" w:hanging="360"/>
      </w:pPr>
    </w:lvl>
    <w:lvl w:ilvl="4" w:tplc="08100019" w:tentative="1">
      <w:start w:val="1"/>
      <w:numFmt w:val="lowerLetter"/>
      <w:lvlText w:val="%5."/>
      <w:lvlJc w:val="left"/>
      <w:pPr>
        <w:ind w:left="3663" w:hanging="360"/>
      </w:pPr>
    </w:lvl>
    <w:lvl w:ilvl="5" w:tplc="0810001B" w:tentative="1">
      <w:start w:val="1"/>
      <w:numFmt w:val="lowerRoman"/>
      <w:lvlText w:val="%6."/>
      <w:lvlJc w:val="right"/>
      <w:pPr>
        <w:ind w:left="4383" w:hanging="180"/>
      </w:pPr>
    </w:lvl>
    <w:lvl w:ilvl="6" w:tplc="0810000F" w:tentative="1">
      <w:start w:val="1"/>
      <w:numFmt w:val="decimal"/>
      <w:lvlText w:val="%7."/>
      <w:lvlJc w:val="left"/>
      <w:pPr>
        <w:ind w:left="5103" w:hanging="360"/>
      </w:pPr>
    </w:lvl>
    <w:lvl w:ilvl="7" w:tplc="08100019" w:tentative="1">
      <w:start w:val="1"/>
      <w:numFmt w:val="lowerLetter"/>
      <w:lvlText w:val="%8."/>
      <w:lvlJc w:val="left"/>
      <w:pPr>
        <w:ind w:left="5823" w:hanging="360"/>
      </w:pPr>
    </w:lvl>
    <w:lvl w:ilvl="8" w:tplc="0810001B" w:tentative="1">
      <w:start w:val="1"/>
      <w:numFmt w:val="lowerRoman"/>
      <w:lvlText w:val="%9."/>
      <w:lvlJc w:val="right"/>
      <w:pPr>
        <w:ind w:left="6543"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5"/>
  </w:num>
  <w:num w:numId="6">
    <w:abstractNumId w:val="0"/>
  </w:num>
  <w:num w:numId="7">
    <w:abstractNumId w:val="9"/>
  </w:num>
  <w:num w:numId="8">
    <w:abstractNumId w:val="3"/>
  </w:num>
  <w:num w:numId="9">
    <w:abstractNumId w:val="7"/>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52425A"/>
    <w:rsid w:val="00586A8D"/>
    <w:rsid w:val="006C17AA"/>
    <w:rsid w:val="006D7A3B"/>
    <w:rsid w:val="006E4AE2"/>
    <w:rsid w:val="007352D3"/>
    <w:rsid w:val="007B5462"/>
    <w:rsid w:val="008034BD"/>
    <w:rsid w:val="00876352"/>
    <w:rsid w:val="008B2655"/>
    <w:rsid w:val="008B4137"/>
    <w:rsid w:val="008C767A"/>
    <w:rsid w:val="008E77C6"/>
    <w:rsid w:val="009312F9"/>
    <w:rsid w:val="009770BB"/>
    <w:rsid w:val="009E008D"/>
    <w:rsid w:val="00A5465F"/>
    <w:rsid w:val="00A77678"/>
    <w:rsid w:val="00B860C2"/>
    <w:rsid w:val="00BC4C95"/>
    <w:rsid w:val="00BD5944"/>
    <w:rsid w:val="00CB715A"/>
    <w:rsid w:val="00CF6858"/>
    <w:rsid w:val="00D377B5"/>
    <w:rsid w:val="00D57A3C"/>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5C066-D33F-4E6A-B4D0-87C406D7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character" w:styleId="Collegamentoipertestuale">
    <w:name w:val="Hyperlink"/>
    <w:uiPriority w:val="99"/>
    <w:unhideWhenUsed/>
    <w:rsid w:val="009312F9"/>
    <w:rPr>
      <w:color w:val="0000FF"/>
      <w:u w:val="single"/>
    </w:rPr>
  </w:style>
  <w:style w:type="character" w:customStyle="1" w:styleId="bumpedfont15">
    <w:name w:val="bumpedfont15"/>
    <w:basedOn w:val="Carpredefinitoparagrafo"/>
    <w:rsid w:val="0093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ti.ch/user_librerie/php/GC/allegato.php?allid=128459" TargetMode="External"/><Relationship Id="rId13" Type="http://schemas.openxmlformats.org/officeDocument/2006/relationships/hyperlink" Target="https://www.admin.ch/gov/it/pagina-iniziale/documentazione/comunicati-stampa.msg-id-8138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min.ch/opc/it/classified-compilation/20020232/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min.ch/opc/it/classified-compilation/20020232/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xfind.ch/fe/de/tol/20097/it" TargetMode="External"/><Relationship Id="rId4" Type="http://schemas.openxmlformats.org/officeDocument/2006/relationships/settings" Target="settings.xml"/><Relationship Id="rId9" Type="http://schemas.openxmlformats.org/officeDocument/2006/relationships/hyperlink" Target="https://www4.ti.ch/user_librerie/php/GC/allegato.php?allid=128221" TargetMode="External"/><Relationship Id="rId14" Type="http://schemas.openxmlformats.org/officeDocument/2006/relationships/hyperlink" Target="http://www.lavoro.swis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86D5-BA39-4584-A47F-AE1074CE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2020-12-02T10:07:00Z</cp:lastPrinted>
  <dcterms:created xsi:type="dcterms:W3CDTF">2020-12-02T10:08:00Z</dcterms:created>
  <dcterms:modified xsi:type="dcterms:W3CDTF">2020-12-02T10:08:00Z</dcterms:modified>
</cp:coreProperties>
</file>