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1B4636" w:rsidP="00F242E5">
      <w:pPr>
        <w:tabs>
          <w:tab w:val="left" w:pos="2495"/>
        </w:tabs>
        <w:spacing w:before="80" w:after="40"/>
        <w:rPr>
          <w:rFonts w:ascii="Gill Sans MT" w:hAnsi="Gill Sans MT"/>
          <w:b/>
          <w:sz w:val="56"/>
          <w:szCs w:val="56"/>
        </w:rPr>
      </w:pPr>
      <w:r>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w:t>
      </w:r>
      <w:r w:rsidR="00417E5E">
        <w:rPr>
          <w:rFonts w:ascii="Gill Sans MT" w:hAnsi="Gill Sans MT"/>
          <w:b/>
          <w:sz w:val="56"/>
          <w:szCs w:val="56"/>
        </w:rPr>
        <w:t>agg</w:t>
      </w:r>
      <w:r w:rsidR="00F242E5" w:rsidRPr="005C669B">
        <w:rPr>
          <w:rFonts w:ascii="Gill Sans MT" w:hAnsi="Gill Sans MT"/>
          <w:b/>
          <w:sz w:val="56"/>
          <w:szCs w:val="56"/>
        </w:rPr>
        <w:t>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8071A2">
        <w:rPr>
          <w:position w:val="4"/>
          <w:sz w:val="28"/>
        </w:rPr>
        <w:t>17 novembre 2020</w:t>
      </w:r>
      <w:r>
        <w:rPr>
          <w:position w:val="4"/>
          <w:sz w:val="28"/>
        </w:rPr>
        <w:tab/>
      </w:r>
      <w:r w:rsidR="008071A2">
        <w:rPr>
          <w:position w:val="4"/>
          <w:sz w:val="28"/>
        </w:rPr>
        <w:t>FINANZE E ECONOMIA</w:t>
      </w:r>
    </w:p>
    <w:p w:rsidR="00F242E5" w:rsidRDefault="00F242E5" w:rsidP="00F242E5"/>
    <w:p w:rsidR="00F242E5" w:rsidRDefault="00F242E5" w:rsidP="00F242E5"/>
    <w:p w:rsidR="00F242E5" w:rsidRDefault="00F242E5" w:rsidP="00F242E5"/>
    <w:p w:rsidR="00CB127C" w:rsidRPr="00C82035" w:rsidRDefault="00CB127C" w:rsidP="00C82035">
      <w:pPr>
        <w:rPr>
          <w:b/>
          <w:sz w:val="28"/>
          <w:szCs w:val="28"/>
        </w:rPr>
      </w:pPr>
      <w:r w:rsidRPr="00C82035">
        <w:rPr>
          <w:b/>
          <w:sz w:val="28"/>
          <w:szCs w:val="28"/>
        </w:rPr>
        <w:t xml:space="preserve">della Commissione </w:t>
      </w:r>
      <w:r w:rsidR="008071A2" w:rsidRPr="00C82035">
        <w:rPr>
          <w:b/>
          <w:sz w:val="28"/>
          <w:szCs w:val="28"/>
        </w:rPr>
        <w:t>gestione e finanze</w:t>
      </w:r>
    </w:p>
    <w:p w:rsidR="00CB127C" w:rsidRPr="00C82035" w:rsidRDefault="00CB127C" w:rsidP="00C82035">
      <w:pPr>
        <w:rPr>
          <w:b/>
          <w:sz w:val="28"/>
          <w:szCs w:val="28"/>
        </w:rPr>
      </w:pPr>
      <w:r w:rsidRPr="00C82035">
        <w:rPr>
          <w:b/>
          <w:sz w:val="28"/>
          <w:szCs w:val="28"/>
        </w:rPr>
        <w:t>sul</w:t>
      </w:r>
      <w:r w:rsidR="008071A2" w:rsidRPr="00C82035">
        <w:rPr>
          <w:b/>
          <w:sz w:val="28"/>
          <w:szCs w:val="28"/>
        </w:rPr>
        <w:t xml:space="preserve">l’iniziativa parlamentare </w:t>
      </w:r>
      <w:r w:rsidR="00CE5297" w:rsidRPr="00C82035">
        <w:rPr>
          <w:b/>
          <w:sz w:val="28"/>
          <w:szCs w:val="28"/>
        </w:rPr>
        <w:t>15 ottobre 2018 presentata nella forma elaborata da Paolo Pamini e cofirmatari “Modifica dell'art. 32 della Legge tributaria: piena deducibilità dei premi di cassa malati”</w:t>
      </w:r>
    </w:p>
    <w:p w:rsidR="00CB127C" w:rsidRPr="007A285B" w:rsidRDefault="00CB127C" w:rsidP="00CB127C">
      <w:pPr>
        <w:tabs>
          <w:tab w:val="left" w:pos="284"/>
          <w:tab w:val="left" w:pos="426"/>
          <w:tab w:val="left" w:pos="4962"/>
        </w:tabs>
        <w:ind w:right="-1"/>
        <w:rPr>
          <w:rFonts w:cs="Arial"/>
          <w:szCs w:val="24"/>
        </w:rPr>
      </w:pPr>
    </w:p>
    <w:p w:rsidR="00CB127C" w:rsidRDefault="00CB127C" w:rsidP="00CB127C">
      <w:pPr>
        <w:tabs>
          <w:tab w:val="left" w:pos="284"/>
          <w:tab w:val="left" w:pos="426"/>
          <w:tab w:val="left" w:pos="4962"/>
        </w:tabs>
        <w:ind w:right="-1"/>
        <w:rPr>
          <w:rFonts w:cs="Arial"/>
          <w:szCs w:val="24"/>
        </w:rPr>
      </w:pPr>
    </w:p>
    <w:p w:rsidR="008071A2" w:rsidRPr="007A285B" w:rsidRDefault="008071A2" w:rsidP="00CB127C">
      <w:pPr>
        <w:tabs>
          <w:tab w:val="left" w:pos="284"/>
          <w:tab w:val="left" w:pos="426"/>
          <w:tab w:val="left" w:pos="4962"/>
        </w:tabs>
        <w:ind w:right="-1"/>
        <w:rPr>
          <w:rFonts w:cs="Arial"/>
          <w:szCs w:val="24"/>
        </w:rPr>
      </w:pPr>
    </w:p>
    <w:p w:rsidR="00417E5E" w:rsidRPr="00981BED" w:rsidRDefault="00417E5E" w:rsidP="00417E5E">
      <w:pPr>
        <w:rPr>
          <w:szCs w:val="24"/>
        </w:rPr>
      </w:pPr>
      <w:r w:rsidRPr="00981BED">
        <w:rPr>
          <w:szCs w:val="24"/>
        </w:rPr>
        <w:t>La Sottocommissione Fisco ha analizzato l’IE526 e ottenuto dalla Divisione delle contribuzioni delle simulazioni sui possibili impatti sul gettito fiscale relativi a differenti scenari ad essa correlati e affini. L’aumento delle soglie proposto dall’IE526 ha in particolare effetto in relazione all’introduzione di una deduzione aggiuntiva per ogni figlio o persona bisognosa a carico, attualmente non contemplata nella nostra Legge Tributaria, a differenza della quasi totalità delle altre legislazioni tributarie cantonali che, così come a livello federale, prevedono tale ulteriore deduzione. Sulla base di un colloquio telefonico avvenuto il 3 ottobre 2018 tra l’allora Direttore del DSS Paolo Beltraminelli e l’iniziativista, il premio medio per bambini si attesta attorno ai CHF 130 mensili, ossia CHF 1'600 annuali.</w:t>
      </w:r>
    </w:p>
    <w:p w:rsidR="00417E5E" w:rsidRPr="00981BED" w:rsidRDefault="00417E5E" w:rsidP="00417E5E">
      <w:pPr>
        <w:rPr>
          <w:szCs w:val="24"/>
        </w:rPr>
      </w:pPr>
    </w:p>
    <w:p w:rsidR="00417E5E" w:rsidRPr="00981BED" w:rsidRDefault="00417E5E" w:rsidP="00417E5E">
      <w:pPr>
        <w:rPr>
          <w:szCs w:val="24"/>
        </w:rPr>
      </w:pPr>
      <w:r w:rsidRPr="00981BED">
        <w:rPr>
          <w:szCs w:val="24"/>
        </w:rPr>
        <w:t xml:space="preserve">La </w:t>
      </w:r>
      <w:r w:rsidRPr="00417E5E">
        <w:rPr>
          <w:szCs w:val="24"/>
        </w:rPr>
        <w:t>Commissione gestione e finanze</w:t>
      </w:r>
      <w:r w:rsidRPr="00981BED">
        <w:rPr>
          <w:szCs w:val="24"/>
        </w:rPr>
        <w:t xml:space="preserve"> propone come compromesso il mantenimento degli attuali limiti massimi deducibili introducendo un supplemento di CHF 700 annui per figlio o persona bisognosa a carico. Secondo le stime fatte dalla Divisione delle contribuzioni, il minor gettito sul piano dell’imposta cantonale sul reddito potrebbe attestarsi al massimo a ca. CHF 3.3 milioni, e a ca. CHF 2.6 milioni sul piano delle imposte comunali sul reddito.</w:t>
      </w:r>
      <w:r>
        <w:rPr>
          <w:szCs w:val="24"/>
        </w:rPr>
        <w:t xml:space="preserve"> </w:t>
      </w:r>
      <w:r w:rsidRPr="00981BED">
        <w:rPr>
          <w:szCs w:val="24"/>
        </w:rPr>
        <w:t>Il calo di gettito sarebbe verosimilmente minore in considerazione delle coppie il cui premio di cassa malati è attualmente sussidiato.</w:t>
      </w:r>
    </w:p>
    <w:p w:rsidR="00417E5E" w:rsidRPr="00981BED" w:rsidRDefault="00417E5E" w:rsidP="00417E5E">
      <w:pPr>
        <w:rPr>
          <w:szCs w:val="24"/>
        </w:rPr>
      </w:pPr>
    </w:p>
    <w:p w:rsidR="00417E5E" w:rsidRPr="00981BED" w:rsidRDefault="00417E5E" w:rsidP="00417E5E">
      <w:pPr>
        <w:rPr>
          <w:szCs w:val="24"/>
        </w:rPr>
      </w:pPr>
      <w:r w:rsidRPr="00981BED">
        <w:rPr>
          <w:szCs w:val="24"/>
        </w:rPr>
        <w:t>Per evitare abusi relativi alla deducibilità dei premi di cassa malati, si propone parimenti l’introduzione dell’obbligo della presentazione di una prova documentale che attesti l’importo dei premi effettivamente pagati agli istituti assicurativi. Qualora tale norma determinasse addirittura un aumento netto del gettito d’imposta (cosa che sulla base delle verifiche fatte non può essere esclusa), si potrà contemplare in futuro un innalzamento della soglia di deducibilità dei premi di cassa malati, in primis per i figli e secondariamente aumentando gli attuali limiti massimi deducibili (CHF 10'500 per coniugi che vivono in comunione domestica e CHF 5'200 per gli altri contribuenti).</w:t>
      </w:r>
    </w:p>
    <w:p w:rsidR="00417E5E" w:rsidRDefault="00417E5E" w:rsidP="00417E5E">
      <w:pPr>
        <w:rPr>
          <w:szCs w:val="24"/>
        </w:rPr>
      </w:pPr>
    </w:p>
    <w:p w:rsidR="00417E5E" w:rsidRDefault="00417E5E" w:rsidP="00417E5E">
      <w:pPr>
        <w:rPr>
          <w:szCs w:val="24"/>
        </w:rPr>
      </w:pPr>
    </w:p>
    <w:p w:rsidR="00417E5E" w:rsidRPr="00981BED" w:rsidRDefault="00417E5E" w:rsidP="00417E5E">
      <w:pPr>
        <w:rPr>
          <w:szCs w:val="24"/>
        </w:rPr>
      </w:pPr>
    </w:p>
    <w:p w:rsidR="00417E5E" w:rsidRPr="00981BED" w:rsidRDefault="00417E5E" w:rsidP="00417E5E">
      <w:pPr>
        <w:spacing w:after="120"/>
        <w:rPr>
          <w:szCs w:val="24"/>
        </w:rPr>
      </w:pPr>
      <w:r w:rsidRPr="00981BED">
        <w:rPr>
          <w:szCs w:val="24"/>
        </w:rPr>
        <w:t xml:space="preserve">Per la </w:t>
      </w:r>
      <w:r>
        <w:rPr>
          <w:szCs w:val="24"/>
        </w:rPr>
        <w:t xml:space="preserve">maggioranza della </w:t>
      </w:r>
      <w:r w:rsidRPr="00981BED">
        <w:rPr>
          <w:szCs w:val="24"/>
        </w:rPr>
        <w:t>Commissione gestione e finanze</w:t>
      </w:r>
    </w:p>
    <w:p w:rsidR="00417E5E" w:rsidRDefault="00417E5E" w:rsidP="00417E5E">
      <w:pPr>
        <w:rPr>
          <w:szCs w:val="24"/>
        </w:rPr>
      </w:pPr>
      <w:r w:rsidRPr="00981BED">
        <w:rPr>
          <w:szCs w:val="24"/>
        </w:rPr>
        <w:t>Paolo Pamini</w:t>
      </w:r>
      <w:r w:rsidR="005D7BE8">
        <w:rPr>
          <w:szCs w:val="24"/>
        </w:rPr>
        <w:t xml:space="preserve"> e Maurizio Agustoni</w:t>
      </w:r>
      <w:r>
        <w:rPr>
          <w:szCs w:val="24"/>
        </w:rPr>
        <w:t xml:space="preserve">, </w:t>
      </w:r>
      <w:r w:rsidR="005D7BE8">
        <w:rPr>
          <w:szCs w:val="24"/>
        </w:rPr>
        <w:t>correlatori</w:t>
      </w:r>
    </w:p>
    <w:p w:rsidR="00417E5E" w:rsidRPr="00981BED" w:rsidRDefault="005D7BE8" w:rsidP="00417E5E">
      <w:pPr>
        <w:rPr>
          <w:szCs w:val="24"/>
        </w:rPr>
      </w:pPr>
      <w:r>
        <w:rPr>
          <w:szCs w:val="24"/>
        </w:rPr>
        <w:t>Dadò - Jelmini</w:t>
      </w:r>
    </w:p>
    <w:p w:rsidR="00417E5E" w:rsidRPr="009104FA" w:rsidRDefault="00417E5E" w:rsidP="00417E5E"/>
    <w:p w:rsidR="00417E5E" w:rsidRDefault="00417E5E" w:rsidP="00417E5E">
      <w:pPr>
        <w:jc w:val="left"/>
        <w:rPr>
          <w:szCs w:val="24"/>
        </w:rPr>
      </w:pPr>
      <w:r>
        <w:rPr>
          <w:szCs w:val="24"/>
        </w:rPr>
        <w:br w:type="page"/>
      </w:r>
    </w:p>
    <w:p w:rsidR="00417E5E" w:rsidRPr="00842196" w:rsidRDefault="00417E5E" w:rsidP="00417E5E">
      <w:pPr>
        <w:tabs>
          <w:tab w:val="left" w:pos="426"/>
          <w:tab w:val="left" w:pos="709"/>
        </w:tabs>
        <w:rPr>
          <w:rFonts w:cs="Arial"/>
          <w:szCs w:val="24"/>
        </w:rPr>
      </w:pPr>
      <w:r w:rsidRPr="00842196">
        <w:rPr>
          <w:rFonts w:cs="Arial"/>
          <w:szCs w:val="24"/>
        </w:rPr>
        <w:lastRenderedPageBreak/>
        <w:t>Disegno di</w:t>
      </w:r>
    </w:p>
    <w:p w:rsidR="00417E5E" w:rsidRPr="00842196" w:rsidRDefault="00417E5E" w:rsidP="00417E5E">
      <w:pPr>
        <w:tabs>
          <w:tab w:val="left" w:pos="426"/>
          <w:tab w:val="left" w:pos="709"/>
          <w:tab w:val="right" w:pos="9498"/>
        </w:tabs>
        <w:rPr>
          <w:rFonts w:cs="Arial"/>
          <w:szCs w:val="24"/>
        </w:rPr>
      </w:pPr>
    </w:p>
    <w:p w:rsidR="00417E5E" w:rsidRPr="00842196" w:rsidRDefault="00417E5E" w:rsidP="00B04611">
      <w:pPr>
        <w:tabs>
          <w:tab w:val="left" w:pos="426"/>
          <w:tab w:val="left" w:pos="709"/>
        </w:tabs>
        <w:spacing w:before="120" w:after="120"/>
        <w:rPr>
          <w:rFonts w:cs="Arial"/>
          <w:b/>
          <w:szCs w:val="24"/>
        </w:rPr>
      </w:pPr>
      <w:r w:rsidRPr="00842196">
        <w:rPr>
          <w:rFonts w:cs="Arial"/>
          <w:b/>
          <w:szCs w:val="24"/>
        </w:rPr>
        <w:t>LEGGE</w:t>
      </w:r>
    </w:p>
    <w:p w:rsidR="00417E5E" w:rsidRPr="00842196" w:rsidRDefault="00417E5E" w:rsidP="00417E5E">
      <w:pPr>
        <w:tabs>
          <w:tab w:val="left" w:pos="426"/>
          <w:tab w:val="left" w:pos="709"/>
        </w:tabs>
        <w:rPr>
          <w:rFonts w:cs="Arial"/>
          <w:b/>
          <w:szCs w:val="24"/>
        </w:rPr>
      </w:pPr>
      <w:r w:rsidRPr="00842196">
        <w:rPr>
          <w:rFonts w:cs="Arial"/>
          <w:b/>
          <w:szCs w:val="24"/>
        </w:rPr>
        <w:t>tributaria del 21 giugno 1994; modifica</w:t>
      </w:r>
    </w:p>
    <w:p w:rsidR="00417E5E" w:rsidRPr="00842196" w:rsidRDefault="00417E5E" w:rsidP="00417E5E">
      <w:pPr>
        <w:tabs>
          <w:tab w:val="left" w:pos="426"/>
          <w:tab w:val="left" w:pos="709"/>
        </w:tabs>
        <w:rPr>
          <w:rFonts w:cs="Arial"/>
          <w:szCs w:val="24"/>
        </w:rPr>
      </w:pPr>
    </w:p>
    <w:p w:rsidR="00417E5E" w:rsidRPr="00842196" w:rsidRDefault="00417E5E" w:rsidP="00417E5E">
      <w:pPr>
        <w:tabs>
          <w:tab w:val="left" w:pos="426"/>
          <w:tab w:val="left" w:pos="709"/>
        </w:tabs>
        <w:rPr>
          <w:rFonts w:cs="Arial"/>
          <w:szCs w:val="24"/>
        </w:rPr>
      </w:pPr>
    </w:p>
    <w:p w:rsidR="00417E5E" w:rsidRPr="00842196" w:rsidRDefault="00417E5E" w:rsidP="00417E5E">
      <w:pPr>
        <w:tabs>
          <w:tab w:val="left" w:pos="426"/>
          <w:tab w:val="left" w:pos="709"/>
        </w:tabs>
        <w:rPr>
          <w:rFonts w:cs="Arial"/>
          <w:szCs w:val="24"/>
        </w:rPr>
      </w:pPr>
      <w:r w:rsidRPr="00842196">
        <w:rPr>
          <w:rFonts w:cs="Arial"/>
          <w:szCs w:val="24"/>
        </w:rPr>
        <w:t>Il Gran Consiglio</w:t>
      </w:r>
    </w:p>
    <w:p w:rsidR="00417E5E" w:rsidRPr="00842196" w:rsidRDefault="00417E5E" w:rsidP="00417E5E">
      <w:pPr>
        <w:tabs>
          <w:tab w:val="left" w:pos="426"/>
          <w:tab w:val="left" w:pos="709"/>
        </w:tabs>
        <w:rPr>
          <w:rFonts w:cs="Arial"/>
          <w:szCs w:val="24"/>
        </w:rPr>
      </w:pPr>
      <w:r w:rsidRPr="00842196">
        <w:rPr>
          <w:rFonts w:cs="Arial"/>
          <w:szCs w:val="24"/>
        </w:rPr>
        <w:t>della Repubblica e Cantone Ticino</w:t>
      </w:r>
    </w:p>
    <w:p w:rsidR="00417E5E" w:rsidRPr="00842196" w:rsidRDefault="00417E5E" w:rsidP="00417E5E">
      <w:pPr>
        <w:tabs>
          <w:tab w:val="left" w:pos="426"/>
          <w:tab w:val="left" w:pos="709"/>
        </w:tabs>
        <w:rPr>
          <w:rFonts w:cs="Arial"/>
          <w:szCs w:val="24"/>
        </w:rPr>
      </w:pPr>
    </w:p>
    <w:p w:rsidR="00417E5E" w:rsidRDefault="00417E5E" w:rsidP="00B04611">
      <w:pPr>
        <w:numPr>
          <w:ilvl w:val="0"/>
          <w:numId w:val="20"/>
        </w:numPr>
        <w:tabs>
          <w:tab w:val="left" w:pos="284"/>
        </w:tabs>
        <w:ind w:left="284" w:hanging="284"/>
        <w:rPr>
          <w:rFonts w:cs="Arial"/>
          <w:szCs w:val="24"/>
        </w:rPr>
      </w:pPr>
      <w:r w:rsidRPr="00842196">
        <w:rPr>
          <w:rFonts w:cs="Arial"/>
          <w:szCs w:val="24"/>
        </w:rPr>
        <w:t>vista l'iniziativa parlamentare elaborata 15 ottobre 2018 di Paolo Pamini e cofirmatari;</w:t>
      </w:r>
      <w:bookmarkStart w:id="1" w:name="OLE_LINK6"/>
      <w:bookmarkStart w:id="2" w:name="OLE_LINK7"/>
      <w:bookmarkStart w:id="3" w:name="OLE_LINK8"/>
      <w:bookmarkEnd w:id="1"/>
      <w:bookmarkEnd w:id="2"/>
      <w:bookmarkEnd w:id="3"/>
    </w:p>
    <w:p w:rsidR="00B04611" w:rsidRPr="00842196" w:rsidRDefault="00B04611" w:rsidP="00B04611">
      <w:pPr>
        <w:numPr>
          <w:ilvl w:val="0"/>
          <w:numId w:val="20"/>
        </w:numPr>
        <w:tabs>
          <w:tab w:val="left" w:pos="284"/>
        </w:tabs>
        <w:spacing w:before="120"/>
        <w:ind w:left="284" w:hanging="284"/>
        <w:rPr>
          <w:rFonts w:cs="Arial"/>
          <w:szCs w:val="24"/>
        </w:rPr>
      </w:pPr>
      <w:r>
        <w:rPr>
          <w:rFonts w:cs="Arial"/>
          <w:szCs w:val="24"/>
        </w:rPr>
        <w:t>visto il rapporto di maggioranza 17 novembre 2020 della Commissione gestione e finanze,</w:t>
      </w:r>
    </w:p>
    <w:p w:rsidR="00417E5E" w:rsidRPr="00842196" w:rsidRDefault="00417E5E" w:rsidP="00417E5E">
      <w:pPr>
        <w:tabs>
          <w:tab w:val="left" w:pos="426"/>
          <w:tab w:val="left" w:pos="709"/>
        </w:tabs>
        <w:rPr>
          <w:rFonts w:cs="Arial"/>
          <w:szCs w:val="24"/>
        </w:rPr>
      </w:pPr>
    </w:p>
    <w:p w:rsidR="00417E5E" w:rsidRPr="00842196" w:rsidRDefault="00417E5E" w:rsidP="00417E5E">
      <w:pPr>
        <w:tabs>
          <w:tab w:val="left" w:pos="426"/>
          <w:tab w:val="left" w:pos="709"/>
        </w:tabs>
        <w:rPr>
          <w:rFonts w:cs="Arial"/>
          <w:szCs w:val="24"/>
        </w:rPr>
      </w:pPr>
    </w:p>
    <w:p w:rsidR="00417E5E" w:rsidRPr="00981BED" w:rsidRDefault="00417E5E" w:rsidP="00417E5E">
      <w:pPr>
        <w:tabs>
          <w:tab w:val="left" w:pos="426"/>
          <w:tab w:val="left" w:pos="709"/>
        </w:tabs>
        <w:rPr>
          <w:rFonts w:cs="Arial"/>
          <w:szCs w:val="24"/>
        </w:rPr>
      </w:pPr>
      <w:r w:rsidRPr="00842196">
        <w:rPr>
          <w:rFonts w:cs="Arial"/>
          <w:b/>
          <w:szCs w:val="24"/>
        </w:rPr>
        <w:t xml:space="preserve">d </w:t>
      </w:r>
      <w:r w:rsidRPr="00981BED">
        <w:rPr>
          <w:rFonts w:cs="Arial"/>
          <w:b/>
          <w:szCs w:val="24"/>
        </w:rPr>
        <w:t xml:space="preserve">e c r e t a : </w:t>
      </w:r>
    </w:p>
    <w:p w:rsidR="00417E5E" w:rsidRPr="00981BED" w:rsidRDefault="00417E5E" w:rsidP="00417E5E">
      <w:pPr>
        <w:tabs>
          <w:tab w:val="left" w:pos="426"/>
          <w:tab w:val="left" w:pos="709"/>
        </w:tabs>
        <w:rPr>
          <w:rFonts w:cs="Arial"/>
          <w:szCs w:val="24"/>
        </w:rPr>
      </w:pPr>
    </w:p>
    <w:p w:rsidR="00417E5E" w:rsidRPr="00981BED" w:rsidRDefault="00417E5E" w:rsidP="00417E5E">
      <w:pPr>
        <w:tabs>
          <w:tab w:val="left" w:pos="426"/>
          <w:tab w:val="left" w:pos="709"/>
        </w:tabs>
        <w:rPr>
          <w:rFonts w:cs="Arial"/>
          <w:szCs w:val="24"/>
        </w:rPr>
      </w:pPr>
    </w:p>
    <w:p w:rsidR="00417E5E" w:rsidRPr="00981BED" w:rsidRDefault="00417E5E" w:rsidP="00417E5E">
      <w:pPr>
        <w:tabs>
          <w:tab w:val="left" w:pos="426"/>
          <w:tab w:val="left" w:pos="709"/>
        </w:tabs>
        <w:spacing w:after="120"/>
        <w:rPr>
          <w:rFonts w:cs="Arial"/>
          <w:b/>
          <w:szCs w:val="24"/>
        </w:rPr>
      </w:pPr>
      <w:r w:rsidRPr="00981BED">
        <w:rPr>
          <w:rFonts w:cs="Arial"/>
          <w:b/>
          <w:szCs w:val="24"/>
        </w:rPr>
        <w:t>I.</w:t>
      </w:r>
    </w:p>
    <w:p w:rsidR="00417E5E" w:rsidRPr="00981BED" w:rsidRDefault="00417E5E" w:rsidP="00417E5E">
      <w:pPr>
        <w:tabs>
          <w:tab w:val="left" w:pos="426"/>
          <w:tab w:val="left" w:pos="709"/>
        </w:tabs>
        <w:rPr>
          <w:rFonts w:cs="Arial"/>
          <w:szCs w:val="24"/>
        </w:rPr>
      </w:pPr>
      <w:r w:rsidRPr="00981BED">
        <w:rPr>
          <w:rFonts w:cs="Arial"/>
          <w:szCs w:val="24"/>
        </w:rPr>
        <w:t xml:space="preserve">La Legge tributaria del 21 giugno 1994 </w:t>
      </w:r>
      <w:r w:rsidR="00B04611">
        <w:rPr>
          <w:rFonts w:cs="Arial"/>
          <w:szCs w:val="24"/>
        </w:rPr>
        <w:t xml:space="preserve">è </w:t>
      </w:r>
      <w:r w:rsidRPr="00981BED">
        <w:rPr>
          <w:rFonts w:cs="Arial"/>
          <w:szCs w:val="24"/>
        </w:rPr>
        <w:t>modificata come segue:</w:t>
      </w:r>
    </w:p>
    <w:p w:rsidR="00417E5E" w:rsidRPr="00981BED" w:rsidRDefault="00417E5E" w:rsidP="00417E5E">
      <w:pPr>
        <w:tabs>
          <w:tab w:val="left" w:pos="426"/>
          <w:tab w:val="left" w:pos="709"/>
        </w:tabs>
        <w:autoSpaceDE w:val="0"/>
        <w:autoSpaceDN w:val="0"/>
        <w:adjustRightInd w:val="0"/>
        <w:rPr>
          <w:rFonts w:cs="Arial"/>
          <w:b/>
          <w:bCs/>
          <w:szCs w:val="24"/>
          <w:u w:val="single"/>
        </w:rPr>
      </w:pPr>
    </w:p>
    <w:p w:rsidR="00417E5E" w:rsidRPr="005D7BE8" w:rsidRDefault="00417E5E" w:rsidP="005D7BE8">
      <w:pPr>
        <w:tabs>
          <w:tab w:val="left" w:pos="1560"/>
        </w:tabs>
        <w:autoSpaceDE w:val="0"/>
        <w:autoSpaceDN w:val="0"/>
        <w:adjustRightInd w:val="0"/>
        <w:ind w:left="1134"/>
        <w:rPr>
          <w:rFonts w:cs="Arial"/>
          <w:b/>
          <w:sz w:val="22"/>
          <w:u w:val="single"/>
        </w:rPr>
      </w:pPr>
      <w:r w:rsidRPr="005D7BE8">
        <w:rPr>
          <w:rFonts w:cs="Arial"/>
          <w:b/>
          <w:sz w:val="22"/>
        </w:rPr>
        <w:t>Art</w:t>
      </w:r>
      <w:r w:rsidR="005D7BE8" w:rsidRPr="005D7BE8">
        <w:rPr>
          <w:rFonts w:cs="Arial"/>
          <w:b/>
          <w:sz w:val="22"/>
        </w:rPr>
        <w:t>.</w:t>
      </w:r>
      <w:r w:rsidRPr="005D7BE8">
        <w:rPr>
          <w:rFonts w:cs="Arial"/>
          <w:b/>
          <w:sz w:val="22"/>
        </w:rPr>
        <w:t xml:space="preserve"> 32 cpv. 1bis (nuovo)</w:t>
      </w:r>
    </w:p>
    <w:p w:rsidR="00417E5E" w:rsidRPr="005D7BE8" w:rsidRDefault="00417E5E" w:rsidP="005D7BE8">
      <w:pPr>
        <w:tabs>
          <w:tab w:val="left" w:pos="1560"/>
        </w:tabs>
        <w:ind w:left="1134"/>
        <w:rPr>
          <w:rFonts w:cs="Arial"/>
          <w:sz w:val="22"/>
        </w:rPr>
      </w:pPr>
    </w:p>
    <w:p w:rsidR="00417E5E" w:rsidRPr="005D7BE8" w:rsidRDefault="00417E5E" w:rsidP="005D7BE8">
      <w:pPr>
        <w:tabs>
          <w:tab w:val="left" w:pos="1560"/>
        </w:tabs>
        <w:ind w:left="1134"/>
        <w:rPr>
          <w:rFonts w:cs="Arial"/>
          <w:sz w:val="22"/>
        </w:rPr>
      </w:pPr>
      <w:r w:rsidRPr="005D7BE8">
        <w:rPr>
          <w:rFonts w:cs="Arial"/>
          <w:sz w:val="22"/>
          <w:vertAlign w:val="superscript"/>
        </w:rPr>
        <w:t>1bis</w:t>
      </w:r>
      <w:r w:rsidRPr="005D7BE8">
        <w:rPr>
          <w:rFonts w:cs="Arial"/>
          <w:bCs/>
          <w:sz w:val="22"/>
        </w:rPr>
        <w:t>Le deduzioni di cui al capoverso 1 lettera g</w:t>
      </w:r>
      <w:r w:rsidR="00886B24">
        <w:rPr>
          <w:rFonts w:cs="Arial"/>
          <w:bCs/>
          <w:sz w:val="22"/>
        </w:rPr>
        <w:t>)</w:t>
      </w:r>
      <w:r w:rsidRPr="005D7BE8">
        <w:rPr>
          <w:rFonts w:cs="Arial"/>
          <w:bCs/>
          <w:sz w:val="22"/>
        </w:rPr>
        <w:t xml:space="preserve"> sono aumentate di 700 franchi per ogni figlio o persona bisognosa per cui il contribuente può far valere la deduzione prevista dall’articolo 34 capoverso 1 lettera a</w:t>
      </w:r>
      <w:r w:rsidR="00886B24">
        <w:rPr>
          <w:rFonts w:cs="Arial"/>
          <w:bCs/>
          <w:sz w:val="22"/>
        </w:rPr>
        <w:t>)</w:t>
      </w:r>
      <w:r w:rsidRPr="005D7BE8">
        <w:rPr>
          <w:rFonts w:cs="Arial"/>
          <w:bCs/>
          <w:sz w:val="22"/>
        </w:rPr>
        <w:t xml:space="preserve"> o b</w:t>
      </w:r>
      <w:r w:rsidR="00886B24">
        <w:rPr>
          <w:rFonts w:cs="Arial"/>
          <w:bCs/>
          <w:sz w:val="22"/>
        </w:rPr>
        <w:t>).</w:t>
      </w:r>
    </w:p>
    <w:p w:rsidR="00417E5E" w:rsidRPr="005D7BE8" w:rsidRDefault="00417E5E" w:rsidP="005D7BE8">
      <w:pPr>
        <w:tabs>
          <w:tab w:val="left" w:pos="1560"/>
        </w:tabs>
        <w:ind w:left="1134"/>
        <w:rPr>
          <w:rFonts w:cs="Arial"/>
          <w:sz w:val="22"/>
        </w:rPr>
      </w:pPr>
    </w:p>
    <w:p w:rsidR="00417E5E" w:rsidRPr="005D7BE8" w:rsidRDefault="00417E5E" w:rsidP="005D7BE8">
      <w:pPr>
        <w:tabs>
          <w:tab w:val="left" w:pos="1560"/>
        </w:tabs>
        <w:ind w:left="1134"/>
        <w:rPr>
          <w:rFonts w:cs="Arial"/>
          <w:sz w:val="22"/>
        </w:rPr>
      </w:pPr>
    </w:p>
    <w:p w:rsidR="00417E5E" w:rsidRPr="005D7BE8" w:rsidRDefault="00417E5E" w:rsidP="005D7BE8">
      <w:pPr>
        <w:tabs>
          <w:tab w:val="left" w:pos="1560"/>
        </w:tabs>
        <w:autoSpaceDE w:val="0"/>
        <w:autoSpaceDN w:val="0"/>
        <w:adjustRightInd w:val="0"/>
        <w:ind w:left="1134"/>
        <w:rPr>
          <w:rFonts w:cs="Arial"/>
          <w:b/>
          <w:bCs/>
          <w:sz w:val="22"/>
        </w:rPr>
      </w:pPr>
      <w:r w:rsidRPr="005D7BE8">
        <w:rPr>
          <w:rFonts w:cs="Arial"/>
          <w:b/>
          <w:bCs/>
          <w:sz w:val="22"/>
        </w:rPr>
        <w:t>Art</w:t>
      </w:r>
      <w:r w:rsidR="005D7BE8" w:rsidRPr="005D7BE8">
        <w:rPr>
          <w:rFonts w:cs="Arial"/>
          <w:b/>
          <w:bCs/>
          <w:sz w:val="22"/>
        </w:rPr>
        <w:t>.</w:t>
      </w:r>
      <w:r w:rsidRPr="005D7BE8">
        <w:rPr>
          <w:rFonts w:cs="Arial"/>
          <w:b/>
          <w:bCs/>
          <w:sz w:val="22"/>
        </w:rPr>
        <w:t xml:space="preserve"> 199 cpv. 1 lett. f) (nuov</w:t>
      </w:r>
      <w:r w:rsidR="005D7BE8">
        <w:rPr>
          <w:rFonts w:cs="Arial"/>
          <w:b/>
          <w:bCs/>
          <w:sz w:val="22"/>
        </w:rPr>
        <w:t>a</w:t>
      </w:r>
      <w:r w:rsidRPr="005D7BE8">
        <w:rPr>
          <w:rFonts w:cs="Arial"/>
          <w:b/>
          <w:bCs/>
          <w:sz w:val="22"/>
        </w:rPr>
        <w:t>)</w:t>
      </w:r>
    </w:p>
    <w:p w:rsidR="00417E5E" w:rsidRPr="005D7BE8" w:rsidRDefault="00417E5E" w:rsidP="005D7BE8">
      <w:pPr>
        <w:tabs>
          <w:tab w:val="left" w:pos="1560"/>
        </w:tabs>
        <w:autoSpaceDE w:val="0"/>
        <w:autoSpaceDN w:val="0"/>
        <w:adjustRightInd w:val="0"/>
        <w:ind w:left="1134"/>
        <w:rPr>
          <w:rFonts w:cs="Arial"/>
          <w:sz w:val="22"/>
          <w:u w:val="single"/>
        </w:rPr>
      </w:pPr>
    </w:p>
    <w:p w:rsidR="00417E5E" w:rsidRPr="005D7BE8" w:rsidRDefault="00417E5E" w:rsidP="005D7BE8">
      <w:pPr>
        <w:tabs>
          <w:tab w:val="left" w:pos="1560"/>
        </w:tabs>
        <w:autoSpaceDE w:val="0"/>
        <w:autoSpaceDN w:val="0"/>
        <w:adjustRightInd w:val="0"/>
        <w:ind w:left="1134"/>
        <w:rPr>
          <w:rFonts w:cs="Arial"/>
          <w:sz w:val="22"/>
        </w:rPr>
      </w:pPr>
      <w:r w:rsidRPr="005D7BE8">
        <w:rPr>
          <w:rFonts w:cs="Arial"/>
          <w:sz w:val="22"/>
        </w:rPr>
        <w:t>[Le persone fisiche devono allegare alla dichiarazione d’imposta, in particolare:]</w:t>
      </w:r>
    </w:p>
    <w:p w:rsidR="00417E5E" w:rsidRPr="005D7BE8" w:rsidRDefault="00417E5E" w:rsidP="005D7BE8">
      <w:pPr>
        <w:tabs>
          <w:tab w:val="left" w:pos="1560"/>
        </w:tabs>
        <w:ind w:left="1134"/>
        <w:rPr>
          <w:rFonts w:cs="Arial"/>
          <w:sz w:val="22"/>
        </w:rPr>
      </w:pPr>
    </w:p>
    <w:p w:rsidR="00417E5E" w:rsidRPr="005D7BE8" w:rsidRDefault="00417E5E" w:rsidP="005D7BE8">
      <w:pPr>
        <w:tabs>
          <w:tab w:val="left" w:pos="1560"/>
        </w:tabs>
        <w:ind w:left="1560" w:hanging="426"/>
        <w:rPr>
          <w:rFonts w:cs="Arial"/>
          <w:bCs/>
          <w:sz w:val="22"/>
        </w:rPr>
      </w:pPr>
      <w:r w:rsidRPr="005D7BE8">
        <w:rPr>
          <w:rFonts w:cs="Arial"/>
          <w:bCs/>
          <w:sz w:val="22"/>
        </w:rPr>
        <w:t>f)</w:t>
      </w:r>
      <w:r w:rsidRPr="005D7BE8">
        <w:rPr>
          <w:rFonts w:cs="Arial"/>
          <w:bCs/>
          <w:sz w:val="22"/>
        </w:rPr>
        <w:tab/>
        <w:t>un’attestazione circa i versamenti, i premi e i contributi per assicurazioni sulla vita, contro le malattie e contro gli infortuni ai sensi dell’articolo 32 capoverso 1 lettera g</w:t>
      </w:r>
      <w:r w:rsidR="00886B24">
        <w:rPr>
          <w:rFonts w:cs="Arial"/>
          <w:bCs/>
          <w:sz w:val="22"/>
        </w:rPr>
        <w:t>)</w:t>
      </w:r>
      <w:r w:rsidRPr="005D7BE8">
        <w:rPr>
          <w:rFonts w:cs="Arial"/>
          <w:bCs/>
          <w:sz w:val="22"/>
        </w:rPr>
        <w:t>.</w:t>
      </w:r>
    </w:p>
    <w:p w:rsidR="00417E5E" w:rsidRPr="00981BED" w:rsidRDefault="00417E5E" w:rsidP="00417E5E">
      <w:pPr>
        <w:tabs>
          <w:tab w:val="left" w:pos="426"/>
          <w:tab w:val="left" w:pos="709"/>
        </w:tabs>
        <w:rPr>
          <w:rFonts w:cs="Arial"/>
          <w:szCs w:val="24"/>
        </w:rPr>
      </w:pPr>
    </w:p>
    <w:p w:rsidR="00417E5E" w:rsidRPr="00981BED" w:rsidRDefault="00417E5E" w:rsidP="00417E5E">
      <w:pPr>
        <w:tabs>
          <w:tab w:val="left" w:pos="426"/>
          <w:tab w:val="left" w:pos="709"/>
        </w:tabs>
        <w:rPr>
          <w:rFonts w:cs="Arial"/>
          <w:szCs w:val="24"/>
        </w:rPr>
      </w:pPr>
      <w:bookmarkStart w:id="4" w:name="_Hlk512785350"/>
    </w:p>
    <w:p w:rsidR="00417E5E" w:rsidRPr="00842196" w:rsidRDefault="00417E5E" w:rsidP="00417E5E">
      <w:pPr>
        <w:tabs>
          <w:tab w:val="left" w:pos="426"/>
          <w:tab w:val="left" w:pos="709"/>
        </w:tabs>
        <w:spacing w:after="120"/>
        <w:rPr>
          <w:rFonts w:cs="Arial"/>
          <w:b/>
          <w:szCs w:val="24"/>
        </w:rPr>
      </w:pPr>
      <w:r w:rsidRPr="00842196">
        <w:rPr>
          <w:rFonts w:cs="Arial"/>
          <w:b/>
          <w:szCs w:val="24"/>
        </w:rPr>
        <w:t>II.</w:t>
      </w:r>
    </w:p>
    <w:p w:rsidR="00417E5E" w:rsidRPr="00842196" w:rsidRDefault="00417E5E" w:rsidP="00417E5E">
      <w:pPr>
        <w:tabs>
          <w:tab w:val="left" w:pos="284"/>
          <w:tab w:val="left" w:pos="426"/>
          <w:tab w:val="left" w:pos="709"/>
        </w:tabs>
        <w:rPr>
          <w:szCs w:val="24"/>
        </w:rPr>
      </w:pPr>
      <w:r w:rsidRPr="00842196">
        <w:rPr>
          <w:rFonts w:cs="Arial"/>
          <w:szCs w:val="24"/>
        </w:rPr>
        <w:t xml:space="preserve">Trascorsi i termini per l'esercizio del diritto di referendum, la presente modifica di legge è pubblicata nel Bollettino ufficiale delle leggi e degli atti esecutivi ed entra in vigore il </w:t>
      </w:r>
      <w:r w:rsidR="005D7BE8">
        <w:rPr>
          <w:rFonts w:cs="Arial"/>
          <w:szCs w:val="24"/>
        </w:rPr>
        <w:br/>
      </w:r>
      <w:r w:rsidRPr="00842196">
        <w:rPr>
          <w:rFonts w:cs="Arial"/>
          <w:szCs w:val="24"/>
        </w:rPr>
        <w:t>1° gennaio 20</w:t>
      </w:r>
      <w:r>
        <w:rPr>
          <w:rFonts w:cs="Arial"/>
          <w:szCs w:val="24"/>
        </w:rPr>
        <w:t>21</w:t>
      </w:r>
      <w:r w:rsidRPr="00842196">
        <w:rPr>
          <w:rFonts w:cs="Arial"/>
          <w:szCs w:val="24"/>
        </w:rPr>
        <w:t>.</w:t>
      </w:r>
      <w:bookmarkEnd w:id="4"/>
    </w:p>
    <w:p w:rsidR="00417E5E" w:rsidRPr="00842196" w:rsidRDefault="00417E5E" w:rsidP="00417E5E">
      <w:pPr>
        <w:spacing w:after="120"/>
        <w:rPr>
          <w:szCs w:val="24"/>
        </w:rPr>
      </w:pPr>
    </w:p>
    <w:sectPr w:rsidR="00417E5E" w:rsidRPr="00842196"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B4636" w:rsidRPr="001B4636">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1EDF1813"/>
    <w:multiLevelType w:val="hybridMultilevel"/>
    <w:tmpl w:val="8C2E2ECE"/>
    <w:lvl w:ilvl="0" w:tplc="89C8314C">
      <w:start w:val="7"/>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7"/>
  </w:num>
  <w:num w:numId="2">
    <w:abstractNumId w:val="17"/>
  </w:num>
  <w:num w:numId="3">
    <w:abstractNumId w:val="18"/>
  </w:num>
  <w:num w:numId="4">
    <w:abstractNumId w:val="2"/>
  </w:num>
  <w:num w:numId="5">
    <w:abstractNumId w:val="8"/>
  </w:num>
  <w:num w:numId="6">
    <w:abstractNumId w:val="7"/>
  </w:num>
  <w:num w:numId="7">
    <w:abstractNumId w:val="3"/>
  </w:num>
  <w:num w:numId="8">
    <w:abstractNumId w:val="13"/>
  </w:num>
  <w:num w:numId="9">
    <w:abstractNumId w:val="5"/>
  </w:num>
  <w:num w:numId="10">
    <w:abstractNumId w:val="10"/>
  </w:num>
  <w:num w:numId="11">
    <w:abstractNumId w:val="11"/>
  </w:num>
  <w:num w:numId="12">
    <w:abstractNumId w:val="14"/>
  </w:num>
  <w:num w:numId="13">
    <w:abstractNumId w:val="4"/>
  </w:num>
  <w:num w:numId="14">
    <w:abstractNumId w:val="12"/>
  </w:num>
  <w:num w:numId="15">
    <w:abstractNumId w:val="16"/>
  </w:num>
  <w:num w:numId="16">
    <w:abstractNumId w:val="0"/>
  </w:num>
  <w:num w:numId="17">
    <w:abstractNumId w:val="15"/>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2940"/>
    <w:rsid w:val="001B4636"/>
    <w:rsid w:val="002E5E40"/>
    <w:rsid w:val="003B7935"/>
    <w:rsid w:val="00417E5E"/>
    <w:rsid w:val="0052425A"/>
    <w:rsid w:val="0057039F"/>
    <w:rsid w:val="00586A8D"/>
    <w:rsid w:val="005D7BE8"/>
    <w:rsid w:val="005F4380"/>
    <w:rsid w:val="006D7A3B"/>
    <w:rsid w:val="007B5462"/>
    <w:rsid w:val="008034BD"/>
    <w:rsid w:val="008071A2"/>
    <w:rsid w:val="00876352"/>
    <w:rsid w:val="00886B24"/>
    <w:rsid w:val="008B4137"/>
    <w:rsid w:val="008C767A"/>
    <w:rsid w:val="008E77C6"/>
    <w:rsid w:val="009770BB"/>
    <w:rsid w:val="009E008D"/>
    <w:rsid w:val="00A5465F"/>
    <w:rsid w:val="00A77678"/>
    <w:rsid w:val="00B04611"/>
    <w:rsid w:val="00BC4C95"/>
    <w:rsid w:val="00BD5944"/>
    <w:rsid w:val="00C82035"/>
    <w:rsid w:val="00CB127C"/>
    <w:rsid w:val="00CE5297"/>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02F7"/>
  <w15:docId w15:val="{70546FCC-087F-4204-AA91-A99207A7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0F174-9DF2-4E3F-BFA4-F9A17208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2020-12-02T09:49:00Z</cp:lastPrinted>
  <dcterms:created xsi:type="dcterms:W3CDTF">2020-12-02T09:49:00Z</dcterms:created>
  <dcterms:modified xsi:type="dcterms:W3CDTF">2020-12-02T09:49:00Z</dcterms:modified>
</cp:coreProperties>
</file>