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E5" w:rsidRPr="005C669B" w:rsidRDefault="00376590" w:rsidP="00F242E5">
      <w:pPr>
        <w:tabs>
          <w:tab w:val="left" w:pos="2495"/>
        </w:tabs>
        <w:spacing w:before="80" w:after="40"/>
        <w:rPr>
          <w:rFonts w:ascii="Gill Sans MT" w:hAnsi="Gill Sans MT"/>
          <w:b/>
          <w:sz w:val="56"/>
          <w:szCs w:val="56"/>
        </w:rPr>
      </w:pPr>
      <w:r>
        <w:rPr>
          <w:rFonts w:ascii="Gill Sans MT" w:hAnsi="Gill Sans MT"/>
          <w:b/>
          <w:sz w:val="56"/>
          <w:szCs w:val="56"/>
        </w:rPr>
        <w:t>Rapporto</w:t>
      </w:r>
      <w:r>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mi</w:t>
      </w:r>
      <w:r w:rsidR="008071A2">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242E5" w:rsidP="00F242E5">
      <w:pPr>
        <w:tabs>
          <w:tab w:val="left" w:pos="2098"/>
          <w:tab w:val="left" w:pos="4962"/>
        </w:tabs>
        <w:rPr>
          <w:position w:val="4"/>
        </w:rPr>
      </w:pPr>
      <w:r>
        <w:rPr>
          <w:position w:val="4"/>
          <w:sz w:val="28"/>
        </w:rPr>
        <w:tab/>
      </w:r>
      <w:r w:rsidR="008071A2">
        <w:rPr>
          <w:position w:val="4"/>
          <w:sz w:val="28"/>
        </w:rPr>
        <w:t>17 novembre 2020</w:t>
      </w:r>
      <w:r>
        <w:rPr>
          <w:position w:val="4"/>
          <w:sz w:val="28"/>
        </w:rPr>
        <w:tab/>
      </w:r>
      <w:r w:rsidR="008071A2">
        <w:rPr>
          <w:position w:val="4"/>
          <w:sz w:val="28"/>
        </w:rPr>
        <w:t>FINANZE E ECONOMIA</w:t>
      </w:r>
    </w:p>
    <w:p w:rsidR="00F242E5" w:rsidRDefault="00F242E5" w:rsidP="00F242E5"/>
    <w:p w:rsidR="00F242E5" w:rsidRDefault="00F242E5" w:rsidP="00F242E5"/>
    <w:p w:rsidR="00F242E5" w:rsidRDefault="00F242E5" w:rsidP="00F242E5"/>
    <w:p w:rsidR="00CB127C" w:rsidRPr="008173DE" w:rsidRDefault="00CB127C" w:rsidP="008173DE">
      <w:pPr>
        <w:rPr>
          <w:b/>
          <w:sz w:val="28"/>
          <w:szCs w:val="28"/>
        </w:rPr>
      </w:pPr>
      <w:r w:rsidRPr="008173DE">
        <w:rPr>
          <w:b/>
          <w:sz w:val="28"/>
          <w:szCs w:val="28"/>
        </w:rPr>
        <w:t xml:space="preserve">della Commissione </w:t>
      </w:r>
      <w:r w:rsidR="008071A2" w:rsidRPr="008173DE">
        <w:rPr>
          <w:b/>
          <w:sz w:val="28"/>
          <w:szCs w:val="28"/>
        </w:rPr>
        <w:t>gestione e finanze</w:t>
      </w:r>
    </w:p>
    <w:p w:rsidR="00CB127C" w:rsidRPr="008173DE" w:rsidRDefault="00CB127C" w:rsidP="008173DE">
      <w:pPr>
        <w:rPr>
          <w:b/>
          <w:sz w:val="28"/>
          <w:szCs w:val="28"/>
        </w:rPr>
      </w:pPr>
      <w:r w:rsidRPr="008173DE">
        <w:rPr>
          <w:b/>
          <w:sz w:val="28"/>
          <w:szCs w:val="28"/>
        </w:rPr>
        <w:t>sul</w:t>
      </w:r>
      <w:r w:rsidR="008071A2" w:rsidRPr="008173DE">
        <w:rPr>
          <w:b/>
          <w:sz w:val="28"/>
          <w:szCs w:val="28"/>
        </w:rPr>
        <w:t xml:space="preserve">l’iniziativa parlamentare </w:t>
      </w:r>
      <w:r w:rsidR="00CE5297" w:rsidRPr="008173DE">
        <w:rPr>
          <w:b/>
          <w:sz w:val="28"/>
          <w:szCs w:val="28"/>
        </w:rPr>
        <w:t>15 ottobre 2018 presentata nella forma elaborata da Paolo Pamini e cofirmatari “Modifica dell'art. 32 della Legge tributaria: piena deducibilità dei premi di cassa malati”</w:t>
      </w:r>
    </w:p>
    <w:p w:rsidR="00CB127C" w:rsidRPr="007A285B" w:rsidRDefault="00CB127C" w:rsidP="00CB127C">
      <w:pPr>
        <w:tabs>
          <w:tab w:val="left" w:pos="284"/>
          <w:tab w:val="left" w:pos="426"/>
          <w:tab w:val="left" w:pos="4962"/>
        </w:tabs>
        <w:ind w:right="-1"/>
        <w:rPr>
          <w:rFonts w:cs="Arial"/>
          <w:szCs w:val="24"/>
        </w:rPr>
      </w:pPr>
    </w:p>
    <w:p w:rsidR="00CB127C" w:rsidRDefault="00CB127C" w:rsidP="00CB127C">
      <w:pPr>
        <w:tabs>
          <w:tab w:val="left" w:pos="284"/>
          <w:tab w:val="left" w:pos="426"/>
          <w:tab w:val="left" w:pos="4962"/>
        </w:tabs>
        <w:ind w:right="-1"/>
        <w:rPr>
          <w:rFonts w:cs="Arial"/>
          <w:szCs w:val="24"/>
        </w:rPr>
      </w:pPr>
    </w:p>
    <w:p w:rsidR="008071A2" w:rsidRPr="007A285B" w:rsidRDefault="008071A2" w:rsidP="00CB127C">
      <w:pPr>
        <w:tabs>
          <w:tab w:val="left" w:pos="284"/>
          <w:tab w:val="left" w:pos="426"/>
          <w:tab w:val="left" w:pos="4962"/>
        </w:tabs>
        <w:ind w:right="-1"/>
        <w:rPr>
          <w:rFonts w:cs="Arial"/>
          <w:szCs w:val="24"/>
        </w:rPr>
      </w:pPr>
    </w:p>
    <w:p w:rsidR="008071A2" w:rsidRPr="00CE5297" w:rsidRDefault="008071A2" w:rsidP="00CE5297">
      <w:pPr>
        <w:shd w:val="clear" w:color="auto" w:fill="FFFFFF"/>
        <w:spacing w:after="120"/>
        <w:rPr>
          <w:rFonts w:cs="Arial"/>
          <w:szCs w:val="24"/>
        </w:rPr>
      </w:pPr>
      <w:r w:rsidRPr="00CE5297">
        <w:rPr>
          <w:rFonts w:cs="Arial"/>
          <w:szCs w:val="24"/>
        </w:rPr>
        <w:t xml:space="preserve">Come premessa e come principale motivazione alla bocciatura dell’iniziativa IE526 presentata il 15 ottobre 2018 da Paolo Pamini e cofirmatari </w:t>
      </w:r>
      <w:r w:rsidR="00CE5297">
        <w:rPr>
          <w:rFonts w:cs="Arial"/>
          <w:szCs w:val="24"/>
        </w:rPr>
        <w:t>“</w:t>
      </w:r>
      <w:r w:rsidRPr="00CE5297">
        <w:rPr>
          <w:rFonts w:cs="Arial"/>
          <w:szCs w:val="24"/>
        </w:rPr>
        <w:t>Modifica dell'art. 32 della Legge tributaria: piena deducibilità dei premi di cassa malati</w:t>
      </w:r>
      <w:r w:rsidR="00CE5297">
        <w:rPr>
          <w:rFonts w:cs="Arial"/>
          <w:szCs w:val="24"/>
        </w:rPr>
        <w:t>”</w:t>
      </w:r>
      <w:r w:rsidRPr="00CE5297">
        <w:rPr>
          <w:rFonts w:cs="Arial"/>
          <w:szCs w:val="24"/>
        </w:rPr>
        <w:t>, abbiamo la convinzione, comprovata dalle cifre, che il modo peggiore di voler fare socialità è attraverso la fiscalità.</w:t>
      </w:r>
    </w:p>
    <w:p w:rsidR="008071A2" w:rsidRPr="00CE5297" w:rsidRDefault="008071A2" w:rsidP="00CE5297">
      <w:pPr>
        <w:shd w:val="clear" w:color="auto" w:fill="FFFFFF"/>
        <w:spacing w:after="120"/>
        <w:rPr>
          <w:rFonts w:cs="Arial"/>
          <w:szCs w:val="24"/>
        </w:rPr>
      </w:pPr>
      <w:r w:rsidRPr="00CE5297">
        <w:rPr>
          <w:rFonts w:cs="Arial"/>
          <w:szCs w:val="24"/>
        </w:rPr>
        <w:t>Lo ha capito bene il popolo svizzero che nell’ultima votazione federale ha bocciato un aumento delle deduzioni per figli che avrebbe favorito dal punto di vista economico le fasce di reddito più alte togliendo però importanti risorse allo Stato.</w:t>
      </w:r>
    </w:p>
    <w:p w:rsidR="008071A2" w:rsidRPr="00CE5297" w:rsidRDefault="008071A2" w:rsidP="00CE5297">
      <w:pPr>
        <w:shd w:val="clear" w:color="auto" w:fill="FFFFFF"/>
        <w:spacing w:after="120"/>
        <w:rPr>
          <w:rFonts w:cs="Arial"/>
          <w:szCs w:val="24"/>
        </w:rPr>
      </w:pPr>
      <w:r w:rsidRPr="00CE5297">
        <w:rPr>
          <w:rFonts w:cs="Arial"/>
          <w:szCs w:val="24"/>
        </w:rPr>
        <w:t>Da un punto di vista economico, una delle principali funzioni riconosciute allo Stato, Cantone e Comuni compresi, è quello della ridistribuzione della ricchezza. Con questa funzione si vuole correggere le distorsioni distributive causate dall’economia di mercato.</w:t>
      </w:r>
    </w:p>
    <w:p w:rsidR="008071A2" w:rsidRPr="00CE5297" w:rsidRDefault="008071A2" w:rsidP="00CE5297">
      <w:pPr>
        <w:shd w:val="clear" w:color="auto" w:fill="FFFFFF"/>
        <w:spacing w:after="120"/>
        <w:rPr>
          <w:rFonts w:cs="Arial"/>
          <w:szCs w:val="24"/>
        </w:rPr>
      </w:pPr>
      <w:r w:rsidRPr="00CE5297">
        <w:rPr>
          <w:rFonts w:cs="Arial"/>
          <w:szCs w:val="24"/>
        </w:rPr>
        <w:t>Questa funzione è centrale alfine di contenere le diseguaglianze, di favorire la coesione sociale, di promuovere i diritti delle persone e con essi la democrazia come pure la ricchezza e il benessere del paese.</w:t>
      </w:r>
    </w:p>
    <w:p w:rsidR="008071A2" w:rsidRPr="00CE5297" w:rsidRDefault="008071A2" w:rsidP="00CE5297">
      <w:pPr>
        <w:shd w:val="clear" w:color="auto" w:fill="FFFFFF"/>
        <w:spacing w:after="120"/>
        <w:rPr>
          <w:rFonts w:cs="Arial"/>
          <w:szCs w:val="24"/>
        </w:rPr>
      </w:pPr>
      <w:r w:rsidRPr="00CE5297">
        <w:rPr>
          <w:rFonts w:cs="Arial"/>
          <w:szCs w:val="24"/>
        </w:rPr>
        <w:t xml:space="preserve">Per svolgere questa funzione lo Stato da una parte, tramite le imposte, si procura le risorse necessarie in base al reddito delle persone con un’aliquota progressiva. </w:t>
      </w:r>
    </w:p>
    <w:p w:rsidR="008071A2" w:rsidRPr="00CE5297" w:rsidRDefault="008071A2" w:rsidP="00CE5297">
      <w:pPr>
        <w:shd w:val="clear" w:color="auto" w:fill="FFFFFF"/>
        <w:spacing w:after="120"/>
        <w:rPr>
          <w:rFonts w:cs="Arial"/>
          <w:szCs w:val="24"/>
        </w:rPr>
      </w:pPr>
      <w:r w:rsidRPr="00CE5297">
        <w:rPr>
          <w:rFonts w:cs="Arial"/>
          <w:szCs w:val="24"/>
        </w:rPr>
        <w:t>D’altra parte lo Stato usa queste risorse innanzitutto per mettere a disposizione dei beni e delle prestazioni. Beni e prestazioni a cui tutte le persone hanno libero accesso, indipendentemente da quanto hanno pagato con le imposte. Un esempio tipico è la scuola pubblica obbligatoria.</w:t>
      </w:r>
    </w:p>
    <w:p w:rsidR="008071A2" w:rsidRPr="00CE5297" w:rsidRDefault="008071A2" w:rsidP="00CE5297">
      <w:pPr>
        <w:shd w:val="clear" w:color="auto" w:fill="FFFFFF"/>
        <w:spacing w:after="120"/>
        <w:rPr>
          <w:rFonts w:cs="Arial"/>
          <w:szCs w:val="24"/>
        </w:rPr>
      </w:pPr>
      <w:r w:rsidRPr="00CE5297">
        <w:rPr>
          <w:rFonts w:cs="Arial"/>
          <w:szCs w:val="24"/>
        </w:rPr>
        <w:t>Le risorse fiscali sono poi utilizzate per degli aiuti specifici alle persone. Senza aiuti specifici l’accesso a dei beni o delle prestazioni necessari/e per determinate fasce di persone con reddito limitato può essere problematico o addirittura non dato. Esempi importanti sono gli aiuti ai premi casse malati con i quali si finanziano (pagano) le cure sanitarie come pure gli aiuti per sostenere le spese determinate da un figlio.</w:t>
      </w:r>
    </w:p>
    <w:p w:rsidR="008071A2" w:rsidRPr="00CE5297" w:rsidRDefault="008071A2" w:rsidP="00CE5297">
      <w:pPr>
        <w:shd w:val="clear" w:color="auto" w:fill="FFFFFF"/>
        <w:spacing w:after="120"/>
        <w:rPr>
          <w:rFonts w:cs="Arial"/>
          <w:szCs w:val="24"/>
        </w:rPr>
      </w:pPr>
      <w:r w:rsidRPr="00CE5297">
        <w:rPr>
          <w:rFonts w:cs="Arial"/>
          <w:szCs w:val="24"/>
        </w:rPr>
        <w:t xml:space="preserve">Per le cerchie di persone economicamente più sfavorite sono pure previsti degli aiuti per garantire all’economia domestica un reddito minimo. Gli esempi più conosciuti sono le prestazioni complementari AVS e AI, l’assegno di prima infanzia (di regola fino a tre anni), l’assistenza sociale. </w:t>
      </w:r>
    </w:p>
    <w:p w:rsidR="008071A2" w:rsidRPr="00CE5297" w:rsidRDefault="008071A2" w:rsidP="00CE5297">
      <w:pPr>
        <w:shd w:val="clear" w:color="auto" w:fill="FFFFFF"/>
        <w:spacing w:after="120"/>
        <w:rPr>
          <w:rFonts w:cs="Arial"/>
          <w:szCs w:val="24"/>
        </w:rPr>
      </w:pPr>
      <w:r w:rsidRPr="00CE5297">
        <w:rPr>
          <w:rFonts w:cs="Arial"/>
          <w:szCs w:val="24"/>
        </w:rPr>
        <w:t xml:space="preserve">Una regola fondamentale e necessaria per gestire correttamente la funzione di ridistribuzione dello Stato è di mantenere ben distinti e separati il compito di prelevare le risorse (la fiscalità) da quello della loro utilizzazione (le spese dello Stato) come ad esempio per la socialità e la sanità. Quando per contro si pretende usare direttamente la fiscalità non </w:t>
      </w:r>
      <w:r w:rsidRPr="00CE5297">
        <w:rPr>
          <w:rFonts w:cs="Arial"/>
          <w:szCs w:val="24"/>
        </w:rPr>
        <w:lastRenderedPageBreak/>
        <w:t>solo per procurarsi le risorse, ma anche per rispondere a dei bisogni delle persone si imbocca una scorciatoia che porta immancabilmente in un vicolo cieco. Rispetto alle conseguenze negative anche la pretesa semplificazione amministrativa non regge minimamente. La prima conseguenza negativa, sicuramente capitale, è la perdita della trasparenza, dell’informazione e quindi del controllo sull’azione dello Stato.</w:t>
      </w:r>
    </w:p>
    <w:p w:rsidR="008071A2" w:rsidRPr="00CE5297" w:rsidRDefault="008071A2" w:rsidP="00CE5297">
      <w:pPr>
        <w:shd w:val="clear" w:color="auto" w:fill="FFFFFF"/>
        <w:spacing w:after="120"/>
        <w:rPr>
          <w:rFonts w:cs="Arial"/>
          <w:szCs w:val="24"/>
        </w:rPr>
      </w:pPr>
      <w:r w:rsidRPr="00CE5297">
        <w:rPr>
          <w:rFonts w:cs="Arial"/>
          <w:szCs w:val="24"/>
        </w:rPr>
        <w:t>Infatti nei conti consuntivi non sta scritto quanto in realtà costano.</w:t>
      </w:r>
    </w:p>
    <w:p w:rsidR="008071A2" w:rsidRPr="00CE5297" w:rsidRDefault="008071A2" w:rsidP="00CE5297">
      <w:pPr>
        <w:shd w:val="clear" w:color="auto" w:fill="FFFFFF"/>
        <w:spacing w:after="120"/>
        <w:rPr>
          <w:rFonts w:cs="Arial"/>
          <w:szCs w:val="24"/>
        </w:rPr>
      </w:pPr>
      <w:r w:rsidRPr="00CE5297">
        <w:rPr>
          <w:rFonts w:cs="Arial"/>
          <w:szCs w:val="24"/>
        </w:rPr>
        <w:t>Come dimostreranno di seguito i benefici maggiori li traggono i nuclei domestici che meno ne avrebbero bisogno. Si tratta di un intervento non mirato ma molto costoso.</w:t>
      </w:r>
    </w:p>
    <w:p w:rsidR="008071A2" w:rsidRPr="00CE5297" w:rsidRDefault="008071A2" w:rsidP="00CE5297">
      <w:pPr>
        <w:shd w:val="clear" w:color="auto" w:fill="FFFFFF"/>
        <w:spacing w:after="120"/>
        <w:rPr>
          <w:rFonts w:cs="Arial"/>
          <w:szCs w:val="24"/>
        </w:rPr>
      </w:pPr>
      <w:r w:rsidRPr="00CE5297">
        <w:rPr>
          <w:rFonts w:cs="Arial"/>
          <w:szCs w:val="24"/>
        </w:rPr>
        <w:t>Una parziale correzione a questa distorsione la si avrebbe con il cosiddetto sconto di imposta, che però non è purtroppo applicabile alle deduzioni sociali.</w:t>
      </w:r>
    </w:p>
    <w:p w:rsidR="008071A2" w:rsidRPr="00CE5297" w:rsidRDefault="008071A2" w:rsidP="00CE5297">
      <w:r w:rsidRPr="00CE5297">
        <w:t>Se proprio volessimo in maniera equivalente, ma anche più equa, aiutare le famiglie con figli allora dovremmo trasformare una parte delle attuali deduzioni per figli in sconto di imposta. Questo non avrebbe nessun costo aggiuntivo, ma aiuterebbe in maniera importante le famiglie del ceto medio. In questo senso abbiamo depositato un atto parlamentare che ha questo obbiettivo: “Deduzione per i figli mirata a favore dei redditi medi”.</w:t>
      </w:r>
    </w:p>
    <w:p w:rsidR="008071A2" w:rsidRPr="00CE5297" w:rsidRDefault="008071A2" w:rsidP="00CE5297"/>
    <w:p w:rsidR="008071A2" w:rsidRPr="00CE5297" w:rsidRDefault="008071A2" w:rsidP="00CE5297"/>
    <w:p w:rsidR="008071A2" w:rsidRPr="00CE5297" w:rsidRDefault="006B23B4" w:rsidP="006B23B4">
      <w:pPr>
        <w:pStyle w:val="Titolo2"/>
      </w:pPr>
      <w:r>
        <w:t>1.</w:t>
      </w:r>
      <w:r>
        <w:tab/>
      </w:r>
      <w:r w:rsidR="008071A2" w:rsidRPr="00CE5297">
        <w:t>Inquadramento giuridico</w:t>
      </w:r>
    </w:p>
    <w:p w:rsidR="008071A2" w:rsidRDefault="008071A2" w:rsidP="00CE5297">
      <w:r w:rsidRPr="00CE5297">
        <w:t>La Legge tributaria del Cantone Ticino del 21 giugno 1994 nel capitolo 5 “Deduzione delle perdite” prevede la possibilità di de</w:t>
      </w:r>
      <w:r w:rsidR="00CE5297">
        <w:t>duzioni per oneri assicurativi.</w:t>
      </w:r>
    </w:p>
    <w:p w:rsidR="00CE5297" w:rsidRPr="00CE5297" w:rsidRDefault="00CE5297" w:rsidP="006B23B4"/>
    <w:p w:rsidR="008071A2" w:rsidRPr="00CE5297" w:rsidRDefault="008071A2" w:rsidP="006B23B4">
      <w:pPr>
        <w:shd w:val="clear" w:color="auto" w:fill="FFFFFF"/>
        <w:spacing w:after="120"/>
        <w:rPr>
          <w:rFonts w:cs="Arial"/>
          <w:szCs w:val="24"/>
        </w:rPr>
      </w:pPr>
      <w:r w:rsidRPr="00CE5297">
        <w:rPr>
          <w:rFonts w:cs="Arial"/>
          <w:szCs w:val="24"/>
        </w:rPr>
        <w:t>L’art. 32 prevede:</w:t>
      </w:r>
    </w:p>
    <w:p w:rsidR="008071A2" w:rsidRPr="00CE5297" w:rsidRDefault="008071A2" w:rsidP="008071A2">
      <w:pPr>
        <w:shd w:val="clear" w:color="auto" w:fill="FFFFFF"/>
        <w:spacing w:before="75" w:after="75" w:line="300" w:lineRule="atLeast"/>
        <w:rPr>
          <w:rFonts w:cs="Arial"/>
          <w:i/>
          <w:sz w:val="22"/>
        </w:rPr>
      </w:pPr>
      <w:r w:rsidRPr="00CE5297">
        <w:rPr>
          <w:rFonts w:cs="Arial"/>
          <w:i/>
          <w:sz w:val="22"/>
        </w:rPr>
        <w:t>sono deducibili dai proventi:</w:t>
      </w:r>
    </w:p>
    <w:p w:rsidR="008071A2" w:rsidRPr="00CE5297" w:rsidRDefault="008071A2" w:rsidP="00CE5297">
      <w:pPr>
        <w:shd w:val="clear" w:color="auto" w:fill="FFFFFF"/>
        <w:tabs>
          <w:tab w:val="left" w:pos="426"/>
        </w:tabs>
        <w:spacing w:before="75" w:after="75" w:line="300" w:lineRule="atLeast"/>
        <w:ind w:left="426" w:hanging="426"/>
        <w:rPr>
          <w:rFonts w:cs="Arial"/>
          <w:i/>
          <w:sz w:val="22"/>
        </w:rPr>
      </w:pPr>
      <w:r w:rsidRPr="00CE5297">
        <w:rPr>
          <w:rFonts w:cs="Arial"/>
          <w:i/>
          <w:sz w:val="22"/>
        </w:rPr>
        <w:t>g)</w:t>
      </w:r>
      <w:r w:rsidR="00CE5297" w:rsidRPr="00CE5297">
        <w:rPr>
          <w:rFonts w:cs="Arial"/>
          <w:i/>
          <w:sz w:val="22"/>
        </w:rPr>
        <w:tab/>
      </w:r>
      <w:r w:rsidRPr="00CE5297">
        <w:rPr>
          <w:rFonts w:cs="Arial"/>
          <w:i/>
          <w:sz w:val="22"/>
        </w:rPr>
        <w:t>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10’500.– franchi per i coniugi che vivono in comunione domestica e di 5’200.– franchi per gli altri contribuenti; per i contribuenti che non versano contributi alle istituzioni di previdenza professionale e a forme riconosciute della previdenza individuale vincolata queste somme sono aumentate di 4’300.– franchi per i coniugi che vivono in comunione domestica e di 2’200.– franchi per gli altri contribuenti.</w:t>
      </w:r>
    </w:p>
    <w:p w:rsidR="008071A2" w:rsidRPr="00CE5297" w:rsidRDefault="008071A2" w:rsidP="00CE5297"/>
    <w:p w:rsidR="008071A2" w:rsidRPr="00CE5297" w:rsidRDefault="008071A2" w:rsidP="00CE5297"/>
    <w:p w:rsidR="008071A2" w:rsidRPr="00CE5297" w:rsidRDefault="006B23B4" w:rsidP="006B23B4">
      <w:pPr>
        <w:pStyle w:val="Titolo2"/>
      </w:pPr>
      <w:r>
        <w:t>2.</w:t>
      </w:r>
      <w:r>
        <w:tab/>
      </w:r>
      <w:r w:rsidR="008071A2" w:rsidRPr="00CE5297">
        <w:t>Confronto intercantonale</w:t>
      </w:r>
    </w:p>
    <w:p w:rsidR="008071A2" w:rsidRPr="00CE5297" w:rsidRDefault="008071A2" w:rsidP="006B23B4">
      <w:r w:rsidRPr="00CE5297">
        <w:t>Il Canton Ticino in fatto di deduzioni per oneri assicurativi è il più generoso in tutta la Svizzzera.</w:t>
      </w:r>
    </w:p>
    <w:p w:rsidR="008071A2" w:rsidRPr="00CE5297" w:rsidRDefault="008071A2" w:rsidP="006B23B4"/>
    <w:tbl>
      <w:tblPr>
        <w:tblStyle w:val="Grigliatabella"/>
        <w:tblW w:w="0" w:type="auto"/>
        <w:tblLook w:val="04A0" w:firstRow="1" w:lastRow="0" w:firstColumn="1" w:lastColumn="0" w:noHBand="0" w:noVBand="1"/>
      </w:tblPr>
      <w:tblGrid>
        <w:gridCol w:w="3209"/>
        <w:gridCol w:w="3209"/>
        <w:gridCol w:w="3210"/>
      </w:tblGrid>
      <w:tr w:rsidR="008071A2" w:rsidRPr="00C94A24" w:rsidTr="00185F1C">
        <w:tc>
          <w:tcPr>
            <w:tcW w:w="3209" w:type="dxa"/>
          </w:tcPr>
          <w:p w:rsidR="008071A2" w:rsidRDefault="008071A2" w:rsidP="006B23B4">
            <w:pPr>
              <w:shd w:val="clear" w:color="auto" w:fill="FFFFFF"/>
              <w:spacing w:before="40" w:after="40" w:line="300" w:lineRule="atLeast"/>
              <w:rPr>
                <w:rFonts w:cs="Arial"/>
                <w:sz w:val="20"/>
                <w:szCs w:val="23"/>
              </w:rPr>
            </w:pPr>
          </w:p>
        </w:tc>
        <w:tc>
          <w:tcPr>
            <w:tcW w:w="6419" w:type="dxa"/>
            <w:gridSpan w:val="2"/>
          </w:tcPr>
          <w:p w:rsidR="008071A2" w:rsidRPr="006B23B4" w:rsidRDefault="008071A2" w:rsidP="006B23B4">
            <w:pPr>
              <w:shd w:val="clear" w:color="auto" w:fill="FFFFFF"/>
              <w:spacing w:before="40" w:after="40" w:line="300" w:lineRule="atLeast"/>
              <w:rPr>
                <w:rFonts w:cs="Arial"/>
                <w:b/>
                <w:sz w:val="20"/>
                <w:szCs w:val="23"/>
              </w:rPr>
            </w:pPr>
            <w:r w:rsidRPr="006B23B4">
              <w:rPr>
                <w:rFonts w:cs="Arial"/>
                <w:b/>
                <w:sz w:val="20"/>
                <w:szCs w:val="23"/>
              </w:rPr>
              <w:t>Deduzione massima per oneri assicurativi</w:t>
            </w:r>
          </w:p>
        </w:tc>
      </w:tr>
      <w:tr w:rsidR="008071A2" w:rsidRPr="006B23B4" w:rsidTr="00185F1C">
        <w:tc>
          <w:tcPr>
            <w:tcW w:w="3209" w:type="dxa"/>
          </w:tcPr>
          <w:p w:rsidR="008071A2" w:rsidRPr="006B23B4" w:rsidRDefault="008071A2" w:rsidP="006B23B4">
            <w:pPr>
              <w:shd w:val="clear" w:color="auto" w:fill="FFFFFF"/>
              <w:spacing w:before="40" w:after="40" w:line="300" w:lineRule="atLeast"/>
              <w:rPr>
                <w:rFonts w:cs="Arial"/>
                <w:b/>
                <w:sz w:val="20"/>
                <w:szCs w:val="23"/>
              </w:rPr>
            </w:pPr>
            <w:r w:rsidRPr="006B23B4">
              <w:rPr>
                <w:rFonts w:cs="Arial"/>
                <w:b/>
                <w:sz w:val="20"/>
                <w:szCs w:val="23"/>
              </w:rPr>
              <w:t>Cantone</w:t>
            </w:r>
          </w:p>
        </w:tc>
        <w:tc>
          <w:tcPr>
            <w:tcW w:w="3209" w:type="dxa"/>
          </w:tcPr>
          <w:p w:rsidR="008071A2" w:rsidRPr="006B23B4" w:rsidRDefault="008071A2" w:rsidP="006B23B4">
            <w:pPr>
              <w:shd w:val="clear" w:color="auto" w:fill="FFFFFF"/>
              <w:spacing w:before="40" w:after="40" w:line="300" w:lineRule="atLeast"/>
              <w:rPr>
                <w:rFonts w:cs="Arial"/>
                <w:b/>
                <w:sz w:val="20"/>
                <w:szCs w:val="23"/>
              </w:rPr>
            </w:pPr>
            <w:r w:rsidRPr="006B23B4">
              <w:rPr>
                <w:rFonts w:cs="Arial"/>
                <w:b/>
                <w:sz w:val="20"/>
                <w:szCs w:val="23"/>
              </w:rPr>
              <w:t>Coniugati/partner registrati</w:t>
            </w:r>
          </w:p>
        </w:tc>
        <w:tc>
          <w:tcPr>
            <w:tcW w:w="3210" w:type="dxa"/>
          </w:tcPr>
          <w:p w:rsidR="008071A2" w:rsidRPr="006B23B4" w:rsidRDefault="008071A2" w:rsidP="006B23B4">
            <w:pPr>
              <w:shd w:val="clear" w:color="auto" w:fill="FFFFFF"/>
              <w:spacing w:before="40" w:after="40" w:line="300" w:lineRule="atLeast"/>
              <w:rPr>
                <w:rFonts w:cs="Arial"/>
                <w:b/>
                <w:sz w:val="20"/>
                <w:szCs w:val="23"/>
              </w:rPr>
            </w:pPr>
            <w:r w:rsidRPr="006B23B4">
              <w:rPr>
                <w:rFonts w:cs="Arial"/>
                <w:b/>
                <w:sz w:val="20"/>
                <w:szCs w:val="23"/>
              </w:rPr>
              <w:t>Persone sole</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AG</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4000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2000 </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AI</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4800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2400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AR</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4000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2000 </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BE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4600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2300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BL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4000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2000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lastRenderedPageBreak/>
              <w:t xml:space="preserve">BS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4000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2000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FR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7800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3900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GE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3300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2200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GL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4800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2400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GR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8700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4400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LU</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4700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2400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NE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4800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2400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NW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3300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1700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OW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3300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1700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SG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4800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2400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SH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3000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1500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SO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5000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2500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SZ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6400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3200</w:t>
            </w:r>
          </w:p>
        </w:tc>
      </w:tr>
      <w:tr w:rsidR="008071A2" w:rsidRPr="00C94A24" w:rsidTr="00185F1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 xml:space="preserve">TG </w:t>
            </w:r>
          </w:p>
        </w:tc>
        <w:tc>
          <w:tcPr>
            <w:tcW w:w="3209"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6200</w:t>
            </w:r>
          </w:p>
        </w:tc>
        <w:tc>
          <w:tcPr>
            <w:tcW w:w="3210" w:type="dxa"/>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3100</w:t>
            </w:r>
          </w:p>
        </w:tc>
      </w:tr>
      <w:tr w:rsidR="008071A2" w:rsidRPr="00E524BE" w:rsidTr="00185F1C">
        <w:tc>
          <w:tcPr>
            <w:tcW w:w="3209" w:type="dxa"/>
          </w:tcPr>
          <w:p w:rsidR="008071A2" w:rsidRPr="00E524BE" w:rsidRDefault="008071A2" w:rsidP="006B23B4">
            <w:pPr>
              <w:shd w:val="clear" w:color="auto" w:fill="FFFFFF"/>
              <w:spacing w:before="40" w:after="40" w:line="300" w:lineRule="atLeast"/>
              <w:rPr>
                <w:rFonts w:cs="Arial"/>
                <w:b/>
                <w:color w:val="FF0000"/>
                <w:sz w:val="20"/>
                <w:szCs w:val="23"/>
              </w:rPr>
            </w:pPr>
            <w:r w:rsidRPr="00E524BE">
              <w:rPr>
                <w:rFonts w:cs="Arial"/>
                <w:b/>
                <w:color w:val="FF0000"/>
                <w:sz w:val="20"/>
                <w:szCs w:val="23"/>
              </w:rPr>
              <w:t xml:space="preserve">TI </w:t>
            </w:r>
          </w:p>
        </w:tc>
        <w:tc>
          <w:tcPr>
            <w:tcW w:w="3209" w:type="dxa"/>
          </w:tcPr>
          <w:p w:rsidR="008071A2" w:rsidRPr="00E524BE" w:rsidRDefault="008071A2" w:rsidP="006B23B4">
            <w:pPr>
              <w:shd w:val="clear" w:color="auto" w:fill="FFFFFF"/>
              <w:spacing w:before="40" w:after="40" w:line="300" w:lineRule="atLeast"/>
              <w:rPr>
                <w:rFonts w:cs="Arial"/>
                <w:b/>
                <w:color w:val="FF0000"/>
                <w:sz w:val="20"/>
                <w:szCs w:val="23"/>
              </w:rPr>
            </w:pPr>
            <w:r w:rsidRPr="00E524BE">
              <w:rPr>
                <w:rFonts w:cs="Arial"/>
                <w:b/>
                <w:color w:val="FF0000"/>
                <w:sz w:val="20"/>
                <w:szCs w:val="23"/>
              </w:rPr>
              <w:t>10300</w:t>
            </w:r>
          </w:p>
        </w:tc>
        <w:tc>
          <w:tcPr>
            <w:tcW w:w="3210" w:type="dxa"/>
          </w:tcPr>
          <w:p w:rsidR="008071A2" w:rsidRPr="00E524BE" w:rsidRDefault="008071A2" w:rsidP="006B23B4">
            <w:pPr>
              <w:shd w:val="clear" w:color="auto" w:fill="FFFFFF"/>
              <w:spacing w:before="40" w:after="40" w:line="300" w:lineRule="atLeast"/>
              <w:rPr>
                <w:rFonts w:cs="Arial"/>
                <w:b/>
                <w:color w:val="FF0000"/>
                <w:sz w:val="20"/>
                <w:szCs w:val="23"/>
              </w:rPr>
            </w:pPr>
            <w:r w:rsidRPr="00E524BE">
              <w:rPr>
                <w:rFonts w:cs="Arial"/>
                <w:b/>
                <w:color w:val="FF0000"/>
                <w:sz w:val="20"/>
                <w:szCs w:val="23"/>
              </w:rPr>
              <w:t>5200</w:t>
            </w:r>
          </w:p>
        </w:tc>
      </w:tr>
      <w:tr w:rsidR="008071A2" w:rsidRPr="00C94A24" w:rsidTr="00185F1C">
        <w:tc>
          <w:tcPr>
            <w:tcW w:w="3209"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 xml:space="preserve">UR </w:t>
            </w:r>
          </w:p>
        </w:tc>
        <w:tc>
          <w:tcPr>
            <w:tcW w:w="3209"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3300</w:t>
            </w:r>
          </w:p>
        </w:tc>
        <w:tc>
          <w:tcPr>
            <w:tcW w:w="3210"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1700</w:t>
            </w:r>
          </w:p>
        </w:tc>
      </w:tr>
      <w:tr w:rsidR="008071A2" w:rsidRPr="00C94A24" w:rsidTr="00185F1C">
        <w:tc>
          <w:tcPr>
            <w:tcW w:w="3209"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 xml:space="preserve">VD </w:t>
            </w:r>
          </w:p>
        </w:tc>
        <w:tc>
          <w:tcPr>
            <w:tcW w:w="3209"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4000</w:t>
            </w:r>
          </w:p>
        </w:tc>
        <w:tc>
          <w:tcPr>
            <w:tcW w:w="3210"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2000</w:t>
            </w:r>
          </w:p>
        </w:tc>
      </w:tr>
      <w:tr w:rsidR="008071A2" w:rsidRPr="00C94A24" w:rsidTr="00185F1C">
        <w:tc>
          <w:tcPr>
            <w:tcW w:w="3209"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 xml:space="preserve">VS </w:t>
            </w:r>
          </w:p>
        </w:tc>
        <w:tc>
          <w:tcPr>
            <w:tcW w:w="3209"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3950</w:t>
            </w:r>
          </w:p>
        </w:tc>
        <w:tc>
          <w:tcPr>
            <w:tcW w:w="3210"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1560</w:t>
            </w:r>
          </w:p>
        </w:tc>
      </w:tr>
      <w:tr w:rsidR="008071A2" w:rsidRPr="00C94A24" w:rsidTr="00185F1C">
        <w:tc>
          <w:tcPr>
            <w:tcW w:w="3209"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 xml:space="preserve">ZG </w:t>
            </w:r>
          </w:p>
        </w:tc>
        <w:tc>
          <w:tcPr>
            <w:tcW w:w="3209"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6600</w:t>
            </w:r>
          </w:p>
        </w:tc>
        <w:tc>
          <w:tcPr>
            <w:tcW w:w="3210"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3300</w:t>
            </w:r>
          </w:p>
        </w:tc>
      </w:tr>
      <w:tr w:rsidR="008071A2" w:rsidRPr="00C94A24" w:rsidTr="00185F1C">
        <w:tc>
          <w:tcPr>
            <w:tcW w:w="3209"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 xml:space="preserve">ZH </w:t>
            </w:r>
          </w:p>
        </w:tc>
        <w:tc>
          <w:tcPr>
            <w:tcW w:w="3209"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 xml:space="preserve">4800 </w:t>
            </w:r>
          </w:p>
        </w:tc>
        <w:tc>
          <w:tcPr>
            <w:tcW w:w="3210" w:type="dxa"/>
          </w:tcPr>
          <w:p w:rsidR="008071A2" w:rsidRPr="00E524BE" w:rsidRDefault="008071A2" w:rsidP="006B23B4">
            <w:pPr>
              <w:shd w:val="clear" w:color="auto" w:fill="FFFFFF"/>
              <w:spacing w:before="40" w:after="40" w:line="300" w:lineRule="atLeast"/>
              <w:rPr>
                <w:rFonts w:cs="Arial"/>
                <w:sz w:val="20"/>
                <w:szCs w:val="23"/>
              </w:rPr>
            </w:pPr>
            <w:r w:rsidRPr="00E524BE">
              <w:rPr>
                <w:rFonts w:cs="Arial"/>
                <w:sz w:val="20"/>
                <w:szCs w:val="23"/>
              </w:rPr>
              <w:t>2400</w:t>
            </w:r>
          </w:p>
        </w:tc>
      </w:tr>
    </w:tbl>
    <w:p w:rsidR="008071A2" w:rsidRDefault="008071A2" w:rsidP="006B23B4"/>
    <w:p w:rsidR="006B23B4" w:rsidRPr="00CE5297" w:rsidRDefault="006B23B4" w:rsidP="006B23B4"/>
    <w:p w:rsidR="008071A2" w:rsidRPr="00CE5297" w:rsidRDefault="006B23B4" w:rsidP="006B23B4">
      <w:pPr>
        <w:pStyle w:val="Titolo2"/>
      </w:pPr>
      <w:r>
        <w:t>3.</w:t>
      </w:r>
      <w:r>
        <w:tab/>
      </w:r>
      <w:r w:rsidR="008071A2" w:rsidRPr="00CE5297">
        <w:t>Impatto sulle finanze cantonali e comunali</w:t>
      </w:r>
    </w:p>
    <w:p w:rsidR="008071A2" w:rsidRPr="00CE5297" w:rsidRDefault="008071A2" w:rsidP="00CE5297">
      <w:pPr>
        <w:shd w:val="clear" w:color="auto" w:fill="FFFFFF"/>
        <w:spacing w:after="120"/>
        <w:rPr>
          <w:rFonts w:cs="Arial"/>
          <w:szCs w:val="24"/>
        </w:rPr>
      </w:pPr>
      <w:r w:rsidRPr="00CE5297">
        <w:rPr>
          <w:rFonts w:cs="Arial"/>
          <w:szCs w:val="24"/>
        </w:rPr>
        <w:t>L’impatto delle deduzioni assicurative</w:t>
      </w:r>
      <w:r w:rsidRPr="00CE5297">
        <w:footnoteReference w:id="1"/>
      </w:r>
      <w:r w:rsidRPr="00CE5297">
        <w:rPr>
          <w:rFonts w:cs="Arial"/>
          <w:szCs w:val="24"/>
        </w:rPr>
        <w:t xml:space="preserve"> per le finanze dello Stato è molto importante. In base alle fasce di reddito imponibile</w:t>
      </w:r>
      <w:r w:rsidRPr="00CE5297">
        <w:footnoteReference w:id="2"/>
      </w:r>
      <w:r w:rsidRPr="00CE5297">
        <w:rPr>
          <w:rFonts w:cs="Arial"/>
          <w:szCs w:val="24"/>
        </w:rPr>
        <w:t xml:space="preserve"> riportiamo nella tabella seguente i minori introiti dovuti alle deduzioni assicurative suddivisi per fasce di reddito.</w:t>
      </w:r>
    </w:p>
    <w:p w:rsidR="008071A2" w:rsidRPr="00CE5297" w:rsidRDefault="008071A2" w:rsidP="00CE5297">
      <w:pPr>
        <w:shd w:val="clear" w:color="auto" w:fill="FFFFFF"/>
        <w:spacing w:after="120"/>
        <w:rPr>
          <w:rFonts w:cs="Arial"/>
          <w:szCs w:val="24"/>
        </w:rPr>
      </w:pPr>
    </w:p>
    <w:tbl>
      <w:tblPr>
        <w:tblStyle w:val="Grigliatabella"/>
        <w:tblW w:w="9628" w:type="dxa"/>
        <w:tblLook w:val="04A0" w:firstRow="1" w:lastRow="0" w:firstColumn="1" w:lastColumn="0" w:noHBand="0" w:noVBand="1"/>
      </w:tblPr>
      <w:tblGrid>
        <w:gridCol w:w="2407"/>
        <w:gridCol w:w="2407"/>
        <w:gridCol w:w="2407"/>
        <w:gridCol w:w="2407"/>
      </w:tblGrid>
      <w:tr w:rsidR="008071A2" w:rsidRPr="00815D5A" w:rsidTr="00185F1C">
        <w:tc>
          <w:tcPr>
            <w:tcW w:w="2407" w:type="dxa"/>
            <w:vAlign w:val="bottom"/>
          </w:tcPr>
          <w:p w:rsidR="008071A2" w:rsidRPr="00815D5A" w:rsidRDefault="008071A2" w:rsidP="006B23B4">
            <w:pPr>
              <w:shd w:val="clear" w:color="auto" w:fill="FFFFFF"/>
              <w:spacing w:before="40" w:after="40" w:line="300" w:lineRule="atLeast"/>
              <w:rPr>
                <w:rFonts w:cs="Arial"/>
                <w:b/>
                <w:sz w:val="20"/>
                <w:szCs w:val="23"/>
              </w:rPr>
            </w:pPr>
            <w:r w:rsidRPr="00815D5A">
              <w:rPr>
                <w:rFonts w:cs="Arial"/>
                <w:b/>
                <w:sz w:val="20"/>
                <w:szCs w:val="23"/>
              </w:rPr>
              <w:t>Fascia di reddito</w:t>
            </w:r>
          </w:p>
        </w:tc>
        <w:tc>
          <w:tcPr>
            <w:tcW w:w="2407" w:type="dxa"/>
            <w:vAlign w:val="bottom"/>
          </w:tcPr>
          <w:p w:rsidR="008071A2" w:rsidRPr="00815D5A" w:rsidRDefault="008071A2" w:rsidP="006B23B4">
            <w:pPr>
              <w:shd w:val="clear" w:color="auto" w:fill="FFFFFF"/>
              <w:spacing w:before="40" w:after="40" w:line="300" w:lineRule="atLeast"/>
              <w:rPr>
                <w:rFonts w:cs="Arial"/>
                <w:b/>
                <w:sz w:val="20"/>
                <w:szCs w:val="23"/>
              </w:rPr>
            </w:pPr>
            <w:r w:rsidRPr="00815D5A">
              <w:rPr>
                <w:rFonts w:cs="Arial"/>
                <w:b/>
                <w:sz w:val="20"/>
                <w:szCs w:val="23"/>
              </w:rPr>
              <w:t>Numero casi</w:t>
            </w:r>
          </w:p>
        </w:tc>
        <w:tc>
          <w:tcPr>
            <w:tcW w:w="2407" w:type="dxa"/>
            <w:vAlign w:val="bottom"/>
          </w:tcPr>
          <w:p w:rsidR="008071A2" w:rsidRPr="00815D5A" w:rsidRDefault="008071A2" w:rsidP="006B23B4">
            <w:pPr>
              <w:shd w:val="clear" w:color="auto" w:fill="FFFFFF"/>
              <w:spacing w:before="40" w:after="40"/>
              <w:rPr>
                <w:rFonts w:cs="Arial"/>
                <w:b/>
                <w:sz w:val="20"/>
                <w:szCs w:val="23"/>
              </w:rPr>
            </w:pPr>
            <w:r w:rsidRPr="00815D5A">
              <w:rPr>
                <w:rFonts w:cs="Arial"/>
                <w:b/>
                <w:sz w:val="20"/>
                <w:szCs w:val="23"/>
              </w:rPr>
              <w:t>Minor entrata cantonale</w:t>
            </w:r>
          </w:p>
        </w:tc>
        <w:tc>
          <w:tcPr>
            <w:tcW w:w="2407" w:type="dxa"/>
            <w:vAlign w:val="bottom"/>
          </w:tcPr>
          <w:p w:rsidR="008071A2" w:rsidRPr="00815D5A" w:rsidRDefault="008071A2" w:rsidP="006B23B4">
            <w:pPr>
              <w:shd w:val="clear" w:color="auto" w:fill="FFFFFF"/>
              <w:spacing w:before="40" w:after="40"/>
              <w:rPr>
                <w:rFonts w:cs="Arial"/>
                <w:b/>
                <w:sz w:val="20"/>
                <w:szCs w:val="23"/>
              </w:rPr>
            </w:pPr>
            <w:r w:rsidRPr="00815D5A">
              <w:rPr>
                <w:rFonts w:cs="Arial"/>
                <w:b/>
                <w:sz w:val="20"/>
                <w:szCs w:val="23"/>
              </w:rPr>
              <w:t>Minor entrata comunale</w:t>
            </w:r>
          </w:p>
        </w:tc>
      </w:tr>
      <w:tr w:rsidR="008071A2" w:rsidTr="00185F1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Esenti</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34</w:t>
            </w:r>
            <w:r w:rsidRPr="00F13ABB">
              <w:rPr>
                <w:rFonts w:cs="Arial"/>
                <w:sz w:val="20"/>
                <w:szCs w:val="23"/>
              </w:rPr>
              <w:t>’</w:t>
            </w:r>
            <w:r w:rsidRPr="007F334E">
              <w:rPr>
                <w:rFonts w:cs="Arial"/>
                <w:sz w:val="20"/>
                <w:szCs w:val="23"/>
              </w:rPr>
              <w:t>492</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2</w:t>
            </w:r>
            <w:r w:rsidRPr="00F13ABB">
              <w:rPr>
                <w:rFonts w:cs="Arial"/>
                <w:sz w:val="20"/>
                <w:szCs w:val="23"/>
              </w:rPr>
              <w:t>’</w:t>
            </w:r>
            <w:r w:rsidRPr="007F334E">
              <w:rPr>
                <w:rFonts w:cs="Arial"/>
                <w:sz w:val="20"/>
                <w:szCs w:val="23"/>
              </w:rPr>
              <w:t>488</w:t>
            </w:r>
            <w:r w:rsidRPr="00F13ABB">
              <w:rPr>
                <w:rFonts w:cs="Arial"/>
                <w:sz w:val="20"/>
                <w:szCs w:val="23"/>
              </w:rPr>
              <w:t>’</w:t>
            </w:r>
            <w:r w:rsidRPr="007F334E">
              <w:rPr>
                <w:rFonts w:cs="Arial"/>
                <w:sz w:val="20"/>
                <w:szCs w:val="23"/>
              </w:rPr>
              <w:t>906</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w:t>
            </w:r>
            <w:r w:rsidRPr="00F13ABB">
              <w:rPr>
                <w:rFonts w:cs="Arial"/>
                <w:sz w:val="20"/>
                <w:szCs w:val="23"/>
              </w:rPr>
              <w:t>’</w:t>
            </w:r>
            <w:r w:rsidRPr="007F334E">
              <w:rPr>
                <w:rFonts w:cs="Arial"/>
                <w:sz w:val="20"/>
                <w:szCs w:val="23"/>
              </w:rPr>
              <w:t>991</w:t>
            </w:r>
            <w:r w:rsidRPr="00F13ABB">
              <w:rPr>
                <w:rFonts w:cs="Arial"/>
                <w:sz w:val="20"/>
                <w:szCs w:val="23"/>
              </w:rPr>
              <w:t>’</w:t>
            </w:r>
            <w:r w:rsidRPr="007F334E">
              <w:rPr>
                <w:rFonts w:cs="Arial"/>
                <w:sz w:val="20"/>
                <w:szCs w:val="23"/>
              </w:rPr>
              <w:t>125</w:t>
            </w:r>
          </w:p>
        </w:tc>
      </w:tr>
      <w:tr w:rsidR="008071A2" w:rsidTr="00185F1C">
        <w:tc>
          <w:tcPr>
            <w:tcW w:w="2407" w:type="dxa"/>
            <w:vAlign w:val="bottom"/>
          </w:tcPr>
          <w:p w:rsidR="008071A2" w:rsidRPr="00F13ABB" w:rsidRDefault="008071A2" w:rsidP="006B23B4">
            <w:pPr>
              <w:shd w:val="clear" w:color="auto" w:fill="FFFFFF"/>
              <w:spacing w:before="40" w:after="40" w:line="300" w:lineRule="atLeast"/>
              <w:rPr>
                <w:rFonts w:cs="Arial"/>
                <w:sz w:val="20"/>
                <w:szCs w:val="23"/>
              </w:rPr>
            </w:pPr>
            <w:r w:rsidRPr="00F13ABB">
              <w:rPr>
                <w:rFonts w:cs="Arial"/>
                <w:sz w:val="20"/>
                <w:szCs w:val="23"/>
              </w:rPr>
              <w:t>0-60</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93</w:t>
            </w:r>
            <w:r w:rsidRPr="00F13ABB">
              <w:rPr>
                <w:rFonts w:cs="Arial"/>
                <w:sz w:val="20"/>
                <w:szCs w:val="23"/>
              </w:rPr>
              <w:t>’</w:t>
            </w:r>
            <w:r w:rsidRPr="007F334E">
              <w:rPr>
                <w:rFonts w:cs="Arial"/>
                <w:sz w:val="20"/>
                <w:szCs w:val="23"/>
              </w:rPr>
              <w:t>407</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53</w:t>
            </w:r>
            <w:r w:rsidRPr="00F13ABB">
              <w:rPr>
                <w:rFonts w:cs="Arial"/>
                <w:sz w:val="20"/>
                <w:szCs w:val="23"/>
              </w:rPr>
              <w:t>’</w:t>
            </w:r>
            <w:r w:rsidRPr="007F334E">
              <w:rPr>
                <w:rFonts w:cs="Arial"/>
                <w:sz w:val="20"/>
                <w:szCs w:val="23"/>
              </w:rPr>
              <w:t>087</w:t>
            </w:r>
            <w:r w:rsidRPr="00F13ABB">
              <w:rPr>
                <w:rFonts w:cs="Arial"/>
                <w:sz w:val="20"/>
                <w:szCs w:val="23"/>
              </w:rPr>
              <w:t>’</w:t>
            </w:r>
            <w:r w:rsidRPr="007F334E">
              <w:rPr>
                <w:rFonts w:cs="Arial"/>
                <w:sz w:val="20"/>
                <w:szCs w:val="23"/>
              </w:rPr>
              <w:t>875</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42</w:t>
            </w:r>
            <w:r w:rsidRPr="00F13ABB">
              <w:rPr>
                <w:rFonts w:cs="Arial"/>
                <w:sz w:val="20"/>
                <w:szCs w:val="23"/>
              </w:rPr>
              <w:t>’</w:t>
            </w:r>
            <w:r w:rsidRPr="007F334E">
              <w:rPr>
                <w:rFonts w:cs="Arial"/>
                <w:sz w:val="20"/>
                <w:szCs w:val="23"/>
              </w:rPr>
              <w:t>470</w:t>
            </w:r>
            <w:r w:rsidRPr="00F13ABB">
              <w:rPr>
                <w:rFonts w:cs="Arial"/>
                <w:sz w:val="20"/>
                <w:szCs w:val="23"/>
              </w:rPr>
              <w:t>’</w:t>
            </w:r>
            <w:r w:rsidRPr="007F334E">
              <w:rPr>
                <w:rFonts w:cs="Arial"/>
                <w:sz w:val="20"/>
                <w:szCs w:val="23"/>
              </w:rPr>
              <w:t>300</w:t>
            </w:r>
          </w:p>
        </w:tc>
      </w:tr>
      <w:tr w:rsidR="008071A2" w:rsidTr="00185F1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60-80</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21</w:t>
            </w:r>
            <w:r w:rsidRPr="00F13ABB">
              <w:rPr>
                <w:rFonts w:cs="Arial"/>
                <w:sz w:val="20"/>
                <w:szCs w:val="23"/>
              </w:rPr>
              <w:t>’</w:t>
            </w:r>
            <w:r w:rsidRPr="007F334E">
              <w:rPr>
                <w:rFonts w:cs="Arial"/>
                <w:sz w:val="20"/>
                <w:szCs w:val="23"/>
              </w:rPr>
              <w:t>271</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21</w:t>
            </w:r>
            <w:r w:rsidRPr="00F13ABB">
              <w:rPr>
                <w:rFonts w:cs="Arial"/>
                <w:sz w:val="20"/>
                <w:szCs w:val="23"/>
              </w:rPr>
              <w:t>’</w:t>
            </w:r>
            <w:r w:rsidRPr="007F334E">
              <w:rPr>
                <w:rFonts w:cs="Arial"/>
                <w:sz w:val="20"/>
                <w:szCs w:val="23"/>
              </w:rPr>
              <w:t>709</w:t>
            </w:r>
            <w:r w:rsidRPr="00F13ABB">
              <w:rPr>
                <w:rFonts w:cs="Arial"/>
                <w:sz w:val="20"/>
                <w:szCs w:val="23"/>
              </w:rPr>
              <w:t>’</w:t>
            </w:r>
            <w:r w:rsidRPr="007F334E">
              <w:rPr>
                <w:rFonts w:cs="Arial"/>
                <w:sz w:val="20"/>
                <w:szCs w:val="23"/>
              </w:rPr>
              <w:t>315</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17</w:t>
            </w:r>
            <w:r w:rsidRPr="00F13ABB">
              <w:rPr>
                <w:rFonts w:cs="Arial"/>
                <w:sz w:val="20"/>
                <w:szCs w:val="23"/>
              </w:rPr>
              <w:t>’</w:t>
            </w:r>
            <w:r w:rsidRPr="007F334E">
              <w:rPr>
                <w:rFonts w:cs="Arial"/>
                <w:sz w:val="20"/>
                <w:szCs w:val="23"/>
              </w:rPr>
              <w:t>367</w:t>
            </w:r>
            <w:r w:rsidRPr="00F13ABB">
              <w:rPr>
                <w:rFonts w:cs="Arial"/>
                <w:sz w:val="20"/>
                <w:szCs w:val="23"/>
              </w:rPr>
              <w:t>’</w:t>
            </w:r>
            <w:r w:rsidRPr="007F334E">
              <w:rPr>
                <w:rFonts w:cs="Arial"/>
                <w:sz w:val="20"/>
                <w:szCs w:val="23"/>
              </w:rPr>
              <w:t>452</w:t>
            </w:r>
          </w:p>
        </w:tc>
      </w:tr>
      <w:tr w:rsidR="008071A2" w:rsidTr="00185F1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80-110</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13</w:t>
            </w:r>
            <w:r w:rsidRPr="00F13ABB">
              <w:rPr>
                <w:rFonts w:cs="Arial"/>
                <w:sz w:val="20"/>
                <w:szCs w:val="23"/>
              </w:rPr>
              <w:t>’</w:t>
            </w:r>
            <w:r w:rsidRPr="007F334E">
              <w:rPr>
                <w:rFonts w:cs="Arial"/>
                <w:sz w:val="20"/>
                <w:szCs w:val="23"/>
              </w:rPr>
              <w:t>352</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16</w:t>
            </w:r>
            <w:r w:rsidRPr="00F13ABB">
              <w:rPr>
                <w:rFonts w:cs="Arial"/>
                <w:sz w:val="20"/>
                <w:szCs w:val="23"/>
              </w:rPr>
              <w:t>’</w:t>
            </w:r>
            <w:r w:rsidRPr="007F334E">
              <w:rPr>
                <w:rFonts w:cs="Arial"/>
                <w:sz w:val="20"/>
                <w:szCs w:val="23"/>
              </w:rPr>
              <w:t>646</w:t>
            </w:r>
            <w:r w:rsidRPr="00F13ABB">
              <w:rPr>
                <w:rFonts w:cs="Arial"/>
                <w:sz w:val="20"/>
                <w:szCs w:val="23"/>
              </w:rPr>
              <w:t>’</w:t>
            </w:r>
            <w:r w:rsidRPr="007F334E">
              <w:rPr>
                <w:rFonts w:cs="Arial"/>
                <w:sz w:val="20"/>
                <w:szCs w:val="23"/>
              </w:rPr>
              <w:t>918</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13</w:t>
            </w:r>
            <w:r w:rsidRPr="00F13ABB">
              <w:rPr>
                <w:rFonts w:cs="Arial"/>
                <w:sz w:val="20"/>
                <w:szCs w:val="23"/>
              </w:rPr>
              <w:t>’</w:t>
            </w:r>
            <w:r w:rsidRPr="007F334E">
              <w:rPr>
                <w:rFonts w:cs="Arial"/>
                <w:sz w:val="20"/>
                <w:szCs w:val="23"/>
              </w:rPr>
              <w:t>317</w:t>
            </w:r>
            <w:r w:rsidRPr="00F13ABB">
              <w:rPr>
                <w:rFonts w:cs="Arial"/>
                <w:sz w:val="20"/>
                <w:szCs w:val="23"/>
              </w:rPr>
              <w:t>’</w:t>
            </w:r>
            <w:r w:rsidRPr="007F334E">
              <w:rPr>
                <w:rFonts w:cs="Arial"/>
                <w:sz w:val="20"/>
                <w:szCs w:val="23"/>
              </w:rPr>
              <w:t>534</w:t>
            </w:r>
          </w:p>
        </w:tc>
      </w:tr>
      <w:tr w:rsidR="008071A2" w:rsidTr="00185F1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110-160</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7</w:t>
            </w:r>
            <w:r w:rsidRPr="00F13ABB">
              <w:rPr>
                <w:rFonts w:cs="Arial"/>
                <w:sz w:val="20"/>
                <w:szCs w:val="23"/>
              </w:rPr>
              <w:t>’</w:t>
            </w:r>
            <w:r w:rsidRPr="007F334E">
              <w:rPr>
                <w:rFonts w:cs="Arial"/>
                <w:sz w:val="20"/>
                <w:szCs w:val="23"/>
              </w:rPr>
              <w:t>101</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9</w:t>
            </w:r>
            <w:r w:rsidRPr="00F13ABB">
              <w:rPr>
                <w:rFonts w:cs="Arial"/>
                <w:sz w:val="20"/>
                <w:szCs w:val="23"/>
              </w:rPr>
              <w:t>’</w:t>
            </w:r>
            <w:r w:rsidRPr="007F334E">
              <w:rPr>
                <w:rFonts w:cs="Arial"/>
                <w:sz w:val="20"/>
                <w:szCs w:val="23"/>
              </w:rPr>
              <w:t>294</w:t>
            </w:r>
            <w:r w:rsidRPr="00F13ABB">
              <w:rPr>
                <w:rFonts w:cs="Arial"/>
                <w:sz w:val="20"/>
                <w:szCs w:val="23"/>
              </w:rPr>
              <w:t>’</w:t>
            </w:r>
            <w:r w:rsidRPr="007F334E">
              <w:rPr>
                <w:rFonts w:cs="Arial"/>
                <w:sz w:val="20"/>
                <w:szCs w:val="23"/>
              </w:rPr>
              <w:t>687</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7</w:t>
            </w:r>
            <w:r w:rsidRPr="00F13ABB">
              <w:rPr>
                <w:rFonts w:cs="Arial"/>
                <w:sz w:val="20"/>
                <w:szCs w:val="23"/>
              </w:rPr>
              <w:t>’</w:t>
            </w:r>
            <w:r w:rsidRPr="007F334E">
              <w:rPr>
                <w:rFonts w:cs="Arial"/>
                <w:sz w:val="20"/>
                <w:szCs w:val="23"/>
              </w:rPr>
              <w:t>435</w:t>
            </w:r>
            <w:r w:rsidRPr="00F13ABB">
              <w:rPr>
                <w:rFonts w:cs="Arial"/>
                <w:sz w:val="20"/>
                <w:szCs w:val="23"/>
              </w:rPr>
              <w:t>’</w:t>
            </w:r>
            <w:r w:rsidRPr="007F334E">
              <w:rPr>
                <w:rFonts w:cs="Arial"/>
                <w:sz w:val="20"/>
                <w:szCs w:val="23"/>
              </w:rPr>
              <w:t>750</w:t>
            </w:r>
          </w:p>
        </w:tc>
      </w:tr>
      <w:tr w:rsidR="008071A2" w:rsidTr="00185F1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160-200</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2</w:t>
            </w:r>
            <w:r w:rsidRPr="00F13ABB">
              <w:rPr>
                <w:rFonts w:cs="Arial"/>
                <w:sz w:val="20"/>
                <w:szCs w:val="23"/>
              </w:rPr>
              <w:t>’</w:t>
            </w:r>
            <w:r w:rsidRPr="007F334E">
              <w:rPr>
                <w:rFonts w:cs="Arial"/>
                <w:sz w:val="20"/>
                <w:szCs w:val="23"/>
              </w:rPr>
              <w:t>088</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2</w:t>
            </w:r>
            <w:r w:rsidRPr="00F13ABB">
              <w:rPr>
                <w:rFonts w:cs="Arial"/>
                <w:sz w:val="20"/>
                <w:szCs w:val="23"/>
              </w:rPr>
              <w:t>’</w:t>
            </w:r>
            <w:r w:rsidRPr="007F334E">
              <w:rPr>
                <w:rFonts w:cs="Arial"/>
                <w:sz w:val="20"/>
                <w:szCs w:val="23"/>
              </w:rPr>
              <w:t>939</w:t>
            </w:r>
            <w:r w:rsidRPr="00F13ABB">
              <w:rPr>
                <w:rFonts w:cs="Arial"/>
                <w:sz w:val="20"/>
                <w:szCs w:val="23"/>
              </w:rPr>
              <w:t>’</w:t>
            </w:r>
            <w:r w:rsidRPr="007F334E">
              <w:rPr>
                <w:rFonts w:cs="Arial"/>
                <w:sz w:val="20"/>
                <w:szCs w:val="23"/>
              </w:rPr>
              <w:t>086</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2</w:t>
            </w:r>
            <w:r w:rsidRPr="00F13ABB">
              <w:rPr>
                <w:rFonts w:cs="Arial"/>
                <w:sz w:val="20"/>
                <w:szCs w:val="23"/>
              </w:rPr>
              <w:t>’</w:t>
            </w:r>
            <w:r w:rsidRPr="007F334E">
              <w:rPr>
                <w:rFonts w:cs="Arial"/>
                <w:sz w:val="20"/>
                <w:szCs w:val="23"/>
              </w:rPr>
              <w:t>351</w:t>
            </w:r>
            <w:r w:rsidRPr="00F13ABB">
              <w:rPr>
                <w:rFonts w:cs="Arial"/>
                <w:sz w:val="20"/>
                <w:szCs w:val="23"/>
              </w:rPr>
              <w:t>’</w:t>
            </w:r>
            <w:r w:rsidRPr="007F334E">
              <w:rPr>
                <w:rFonts w:cs="Arial"/>
                <w:sz w:val="20"/>
                <w:szCs w:val="23"/>
              </w:rPr>
              <w:t>269</w:t>
            </w:r>
          </w:p>
        </w:tc>
      </w:tr>
      <w:tr w:rsidR="008071A2" w:rsidTr="00185F1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200- 250</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w:t>
            </w:r>
            <w:r w:rsidRPr="00F13ABB">
              <w:rPr>
                <w:rFonts w:cs="Arial"/>
                <w:sz w:val="20"/>
                <w:szCs w:val="23"/>
              </w:rPr>
              <w:t>’</w:t>
            </w:r>
            <w:r w:rsidRPr="007F334E">
              <w:rPr>
                <w:rFonts w:cs="Arial"/>
                <w:sz w:val="20"/>
                <w:szCs w:val="23"/>
              </w:rPr>
              <w:t>328</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w:t>
            </w:r>
            <w:r w:rsidRPr="00F13ABB">
              <w:rPr>
                <w:rFonts w:cs="Arial"/>
                <w:sz w:val="20"/>
                <w:szCs w:val="23"/>
              </w:rPr>
              <w:t>’</w:t>
            </w:r>
            <w:r w:rsidRPr="007F334E">
              <w:rPr>
                <w:rFonts w:cs="Arial"/>
                <w:sz w:val="20"/>
                <w:szCs w:val="23"/>
              </w:rPr>
              <w:t>960</w:t>
            </w:r>
            <w:r w:rsidRPr="00F13ABB">
              <w:rPr>
                <w:rFonts w:cs="Arial"/>
                <w:sz w:val="20"/>
                <w:szCs w:val="23"/>
              </w:rPr>
              <w:t>’</w:t>
            </w:r>
            <w:r w:rsidRPr="007F334E">
              <w:rPr>
                <w:rFonts w:cs="Arial"/>
                <w:sz w:val="20"/>
                <w:szCs w:val="23"/>
              </w:rPr>
              <w:t>581</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w:t>
            </w:r>
            <w:r w:rsidRPr="00F13ABB">
              <w:rPr>
                <w:rFonts w:cs="Arial"/>
                <w:sz w:val="20"/>
                <w:szCs w:val="23"/>
              </w:rPr>
              <w:t>’</w:t>
            </w:r>
            <w:r w:rsidRPr="007F334E">
              <w:rPr>
                <w:rFonts w:cs="Arial"/>
                <w:sz w:val="20"/>
                <w:szCs w:val="23"/>
              </w:rPr>
              <w:t>568</w:t>
            </w:r>
            <w:r w:rsidRPr="00F13ABB">
              <w:rPr>
                <w:rFonts w:cs="Arial"/>
                <w:sz w:val="20"/>
                <w:szCs w:val="23"/>
              </w:rPr>
              <w:t>’</w:t>
            </w:r>
            <w:r w:rsidRPr="007F334E">
              <w:rPr>
                <w:rFonts w:cs="Arial"/>
                <w:sz w:val="20"/>
                <w:szCs w:val="23"/>
              </w:rPr>
              <w:t>465</w:t>
            </w:r>
          </w:p>
        </w:tc>
      </w:tr>
      <w:tr w:rsidR="008071A2" w:rsidTr="00185F1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lastRenderedPageBreak/>
              <w:t>250-500</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w:t>
            </w:r>
            <w:r w:rsidRPr="00F13ABB">
              <w:rPr>
                <w:rFonts w:cs="Arial"/>
                <w:sz w:val="20"/>
                <w:szCs w:val="23"/>
              </w:rPr>
              <w:t>’</w:t>
            </w:r>
            <w:r w:rsidRPr="007F334E">
              <w:rPr>
                <w:rFonts w:cs="Arial"/>
                <w:sz w:val="20"/>
                <w:szCs w:val="23"/>
              </w:rPr>
              <w:t>734</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2</w:t>
            </w:r>
            <w:r w:rsidRPr="00F13ABB">
              <w:rPr>
                <w:rFonts w:cs="Arial"/>
                <w:sz w:val="20"/>
                <w:szCs w:val="23"/>
              </w:rPr>
              <w:t>’</w:t>
            </w:r>
            <w:r w:rsidRPr="007F334E">
              <w:rPr>
                <w:rFonts w:cs="Arial"/>
                <w:sz w:val="20"/>
                <w:szCs w:val="23"/>
              </w:rPr>
              <w:t>709</w:t>
            </w:r>
            <w:r w:rsidRPr="00F13ABB">
              <w:rPr>
                <w:rFonts w:cs="Arial"/>
                <w:sz w:val="20"/>
                <w:szCs w:val="23"/>
              </w:rPr>
              <w:t>’</w:t>
            </w:r>
            <w:r w:rsidRPr="007F334E">
              <w:rPr>
                <w:rFonts w:cs="Arial"/>
                <w:sz w:val="20"/>
                <w:szCs w:val="23"/>
              </w:rPr>
              <w:t>354</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2</w:t>
            </w:r>
            <w:r w:rsidRPr="00F13ABB">
              <w:rPr>
                <w:rFonts w:cs="Arial"/>
                <w:sz w:val="20"/>
                <w:szCs w:val="23"/>
              </w:rPr>
              <w:t>’</w:t>
            </w:r>
            <w:r w:rsidRPr="007F334E">
              <w:rPr>
                <w:rFonts w:cs="Arial"/>
                <w:sz w:val="20"/>
                <w:szCs w:val="23"/>
              </w:rPr>
              <w:t>167</w:t>
            </w:r>
            <w:r w:rsidRPr="00F13ABB">
              <w:rPr>
                <w:rFonts w:cs="Arial"/>
                <w:sz w:val="20"/>
                <w:szCs w:val="23"/>
              </w:rPr>
              <w:t>’</w:t>
            </w:r>
            <w:r w:rsidRPr="007F334E">
              <w:rPr>
                <w:rFonts w:cs="Arial"/>
                <w:sz w:val="20"/>
                <w:szCs w:val="23"/>
              </w:rPr>
              <w:t>483</w:t>
            </w:r>
          </w:p>
        </w:tc>
      </w:tr>
      <w:tr w:rsidR="008071A2" w:rsidTr="00185F1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oltre 500</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531</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852</w:t>
            </w:r>
            <w:r w:rsidRPr="00F13ABB">
              <w:rPr>
                <w:rFonts w:cs="Arial"/>
                <w:sz w:val="20"/>
                <w:szCs w:val="23"/>
              </w:rPr>
              <w:t>’</w:t>
            </w:r>
            <w:r w:rsidRPr="007F334E">
              <w:rPr>
                <w:rFonts w:cs="Arial"/>
                <w:sz w:val="20"/>
                <w:szCs w:val="23"/>
              </w:rPr>
              <w:t>117</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F13ABB">
              <w:rPr>
                <w:rFonts w:cs="Arial"/>
                <w:sz w:val="20"/>
                <w:szCs w:val="23"/>
              </w:rPr>
              <w:t>681’693</w:t>
            </w:r>
          </w:p>
        </w:tc>
      </w:tr>
      <w:tr w:rsidR="008071A2" w:rsidTr="00185F1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Pr>
                <w:rFonts w:cs="Arial"/>
                <w:sz w:val="20"/>
                <w:szCs w:val="23"/>
              </w:rPr>
              <w:t>Totale</w:t>
            </w:r>
          </w:p>
        </w:tc>
        <w:tc>
          <w:tcPr>
            <w:tcW w:w="2407" w:type="dxa"/>
            <w:vAlign w:val="bottom"/>
          </w:tcPr>
          <w:p w:rsidR="008071A2" w:rsidRPr="00890A4F" w:rsidRDefault="008071A2" w:rsidP="006B23B4">
            <w:pPr>
              <w:spacing w:before="40" w:after="40"/>
              <w:rPr>
                <w:rFonts w:ascii="Calibri" w:hAnsi="Calibri"/>
                <w:color w:val="000000"/>
              </w:rPr>
            </w:pPr>
            <w:r>
              <w:rPr>
                <w:rFonts w:ascii="Calibri" w:hAnsi="Calibri"/>
                <w:color w:val="000000"/>
              </w:rPr>
              <w:t>175’304</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111</w:t>
            </w:r>
            <w:r w:rsidRPr="00F13ABB">
              <w:rPr>
                <w:rFonts w:cs="Arial"/>
                <w:sz w:val="20"/>
                <w:szCs w:val="23"/>
              </w:rPr>
              <w:t>’</w:t>
            </w:r>
            <w:r w:rsidRPr="007F334E">
              <w:rPr>
                <w:rFonts w:cs="Arial"/>
                <w:sz w:val="20"/>
                <w:szCs w:val="23"/>
              </w:rPr>
              <w:t>688</w:t>
            </w:r>
            <w:r w:rsidRPr="00F13ABB">
              <w:rPr>
                <w:rFonts w:cs="Arial"/>
                <w:sz w:val="20"/>
                <w:szCs w:val="23"/>
              </w:rPr>
              <w:t>’</w:t>
            </w:r>
            <w:r w:rsidRPr="007F334E">
              <w:rPr>
                <w:rFonts w:cs="Arial"/>
                <w:sz w:val="20"/>
                <w:szCs w:val="23"/>
              </w:rPr>
              <w:t>839</w:t>
            </w:r>
          </w:p>
        </w:tc>
        <w:tc>
          <w:tcPr>
            <w:tcW w:w="2407" w:type="dxa"/>
            <w:vAlign w:val="bottom"/>
          </w:tcPr>
          <w:p w:rsidR="008071A2" w:rsidRPr="007F334E" w:rsidRDefault="008071A2" w:rsidP="006B23B4">
            <w:pPr>
              <w:shd w:val="clear" w:color="auto" w:fill="FFFFFF"/>
              <w:spacing w:before="40" w:after="40" w:line="300" w:lineRule="atLeast"/>
              <w:rPr>
                <w:rFonts w:cs="Arial"/>
                <w:sz w:val="20"/>
                <w:szCs w:val="23"/>
              </w:rPr>
            </w:pPr>
            <w:r w:rsidRPr="007F334E">
              <w:rPr>
                <w:rFonts w:cs="Arial"/>
                <w:sz w:val="20"/>
                <w:szCs w:val="23"/>
              </w:rPr>
              <w:t>89</w:t>
            </w:r>
            <w:r w:rsidRPr="00F13ABB">
              <w:rPr>
                <w:rFonts w:cs="Arial"/>
                <w:sz w:val="20"/>
                <w:szCs w:val="23"/>
              </w:rPr>
              <w:t>’</w:t>
            </w:r>
            <w:r w:rsidRPr="007F334E">
              <w:rPr>
                <w:rFonts w:cs="Arial"/>
                <w:sz w:val="20"/>
                <w:szCs w:val="23"/>
              </w:rPr>
              <w:t>351</w:t>
            </w:r>
            <w:r w:rsidRPr="00F13ABB">
              <w:rPr>
                <w:rFonts w:cs="Arial"/>
                <w:sz w:val="20"/>
                <w:szCs w:val="23"/>
              </w:rPr>
              <w:t>’</w:t>
            </w:r>
            <w:r w:rsidRPr="007F334E">
              <w:rPr>
                <w:rFonts w:cs="Arial"/>
                <w:sz w:val="20"/>
                <w:szCs w:val="23"/>
              </w:rPr>
              <w:t>071</w:t>
            </w:r>
          </w:p>
        </w:tc>
      </w:tr>
    </w:tbl>
    <w:p w:rsidR="008071A2" w:rsidRPr="00CE5297" w:rsidRDefault="008071A2" w:rsidP="006B23B4"/>
    <w:p w:rsidR="008071A2" w:rsidRPr="00CE5297" w:rsidRDefault="008071A2" w:rsidP="006B23B4"/>
    <w:p w:rsidR="008071A2" w:rsidRPr="00CE5297" w:rsidRDefault="006B23B4" w:rsidP="006B23B4">
      <w:pPr>
        <w:pStyle w:val="Titolo2"/>
      </w:pPr>
      <w:r>
        <w:t>4.</w:t>
      </w:r>
      <w:r>
        <w:tab/>
      </w:r>
      <w:r w:rsidR="008071A2" w:rsidRPr="00CE5297">
        <w:t>Impatto sulle singole economie domestiche</w:t>
      </w:r>
    </w:p>
    <w:p w:rsidR="008071A2" w:rsidRPr="00CE5297" w:rsidRDefault="008071A2" w:rsidP="00CE5297">
      <w:pPr>
        <w:shd w:val="clear" w:color="auto" w:fill="FFFFFF"/>
        <w:spacing w:after="120"/>
        <w:rPr>
          <w:rFonts w:cs="Arial"/>
          <w:szCs w:val="24"/>
        </w:rPr>
      </w:pPr>
      <w:r w:rsidRPr="00CE5297">
        <w:rPr>
          <w:rFonts w:cs="Arial"/>
          <w:szCs w:val="24"/>
        </w:rPr>
        <w:t>Il fatto che l’onere assicurativo sia una deduzione sul reddito premia le fasce più ricche di popolazione, maggiore è il reddito, maggiore è la riduzione dell’imposta.</w:t>
      </w:r>
    </w:p>
    <w:p w:rsidR="008071A2" w:rsidRPr="00CE5297" w:rsidRDefault="008071A2" w:rsidP="00CE5297">
      <w:pPr>
        <w:shd w:val="clear" w:color="auto" w:fill="FFFFFF"/>
        <w:spacing w:after="120"/>
        <w:rPr>
          <w:rFonts w:cs="Arial"/>
          <w:szCs w:val="24"/>
        </w:rPr>
      </w:pPr>
      <w:r w:rsidRPr="00CE5297">
        <w:rPr>
          <w:rFonts w:cs="Arial"/>
          <w:szCs w:val="24"/>
        </w:rPr>
        <w:t>Concretamente questo si rileva dividendo il minor introito conseguito dalle casse dello Stato per il numero dei casi secondo la fascia di reddito.</w:t>
      </w:r>
    </w:p>
    <w:p w:rsidR="008071A2" w:rsidRPr="00CE5297" w:rsidRDefault="008071A2" w:rsidP="00CE5297">
      <w:pPr>
        <w:shd w:val="clear" w:color="auto" w:fill="FFFFFF"/>
        <w:spacing w:after="120"/>
        <w:rPr>
          <w:rFonts w:cs="Arial"/>
          <w:szCs w:val="24"/>
        </w:rPr>
      </w:pPr>
    </w:p>
    <w:tbl>
      <w:tblPr>
        <w:tblStyle w:val="Grigliatabella"/>
        <w:tblW w:w="9628" w:type="dxa"/>
        <w:tblLook w:val="04A0" w:firstRow="1" w:lastRow="0" w:firstColumn="1" w:lastColumn="0" w:noHBand="0" w:noVBand="1"/>
      </w:tblPr>
      <w:tblGrid>
        <w:gridCol w:w="4814"/>
        <w:gridCol w:w="4814"/>
      </w:tblGrid>
      <w:tr w:rsidR="008071A2" w:rsidRPr="00815D5A" w:rsidTr="00185F1C">
        <w:tc>
          <w:tcPr>
            <w:tcW w:w="4814" w:type="dxa"/>
            <w:vAlign w:val="bottom"/>
          </w:tcPr>
          <w:p w:rsidR="008071A2" w:rsidRPr="00815D5A" w:rsidRDefault="008071A2" w:rsidP="006B23B4">
            <w:pPr>
              <w:shd w:val="clear" w:color="auto" w:fill="FFFFFF"/>
              <w:spacing w:before="40" w:after="40"/>
              <w:rPr>
                <w:rFonts w:cs="Arial"/>
                <w:b/>
                <w:sz w:val="20"/>
                <w:szCs w:val="23"/>
              </w:rPr>
            </w:pPr>
            <w:r w:rsidRPr="00815D5A">
              <w:rPr>
                <w:rFonts w:cs="Arial"/>
                <w:b/>
                <w:sz w:val="20"/>
                <w:szCs w:val="23"/>
              </w:rPr>
              <w:t>Fascia di reddito</w:t>
            </w:r>
          </w:p>
        </w:tc>
        <w:tc>
          <w:tcPr>
            <w:tcW w:w="4814" w:type="dxa"/>
            <w:vAlign w:val="bottom"/>
          </w:tcPr>
          <w:p w:rsidR="008071A2" w:rsidRPr="00815D5A" w:rsidRDefault="008071A2" w:rsidP="006B23B4">
            <w:pPr>
              <w:shd w:val="clear" w:color="auto" w:fill="FFFFFF"/>
              <w:spacing w:before="40" w:after="40"/>
              <w:rPr>
                <w:rFonts w:cs="Arial"/>
                <w:b/>
                <w:sz w:val="20"/>
                <w:szCs w:val="23"/>
              </w:rPr>
            </w:pPr>
            <w:r w:rsidRPr="00815D5A">
              <w:rPr>
                <w:rFonts w:cs="Arial"/>
                <w:b/>
                <w:sz w:val="20"/>
                <w:szCs w:val="23"/>
              </w:rPr>
              <w:t>Risparmio di imposta</w:t>
            </w:r>
            <w:r>
              <w:rPr>
                <w:rFonts w:cs="Arial"/>
                <w:b/>
                <w:sz w:val="20"/>
                <w:szCs w:val="23"/>
              </w:rPr>
              <w:t xml:space="preserve"> cantonale + comunale</w:t>
            </w:r>
          </w:p>
        </w:tc>
      </w:tr>
      <w:tr w:rsidR="008071A2" w:rsidTr="00185F1C">
        <w:tc>
          <w:tcPr>
            <w:tcW w:w="4814" w:type="dxa"/>
            <w:vAlign w:val="bottom"/>
          </w:tcPr>
          <w:p w:rsidR="008071A2" w:rsidRPr="007F334E" w:rsidRDefault="008071A2" w:rsidP="006B23B4">
            <w:pPr>
              <w:shd w:val="clear" w:color="auto" w:fill="FFFFFF"/>
              <w:spacing w:before="40" w:after="40"/>
              <w:rPr>
                <w:rFonts w:cs="Arial"/>
                <w:sz w:val="20"/>
                <w:szCs w:val="23"/>
              </w:rPr>
            </w:pPr>
            <w:r w:rsidRPr="007F334E">
              <w:rPr>
                <w:rFonts w:cs="Arial"/>
                <w:sz w:val="20"/>
                <w:szCs w:val="23"/>
              </w:rPr>
              <w:t>Esenti</w:t>
            </w:r>
          </w:p>
        </w:tc>
        <w:tc>
          <w:tcPr>
            <w:tcW w:w="4814" w:type="dxa"/>
            <w:vAlign w:val="bottom"/>
          </w:tcPr>
          <w:p w:rsidR="008071A2" w:rsidRPr="00720F00" w:rsidRDefault="008071A2" w:rsidP="006B23B4">
            <w:pPr>
              <w:shd w:val="clear" w:color="auto" w:fill="FFFFFF"/>
              <w:spacing w:before="40" w:after="40"/>
              <w:rPr>
                <w:rFonts w:cs="Arial"/>
                <w:sz w:val="20"/>
                <w:szCs w:val="23"/>
              </w:rPr>
            </w:pPr>
            <w:r w:rsidRPr="00720F00">
              <w:rPr>
                <w:rFonts w:cs="Arial"/>
                <w:sz w:val="20"/>
                <w:szCs w:val="23"/>
              </w:rPr>
              <w:t>129.8861</w:t>
            </w:r>
          </w:p>
        </w:tc>
      </w:tr>
      <w:tr w:rsidR="008071A2" w:rsidTr="00185F1C">
        <w:tc>
          <w:tcPr>
            <w:tcW w:w="4814" w:type="dxa"/>
            <w:vAlign w:val="bottom"/>
          </w:tcPr>
          <w:p w:rsidR="008071A2" w:rsidRPr="00815D5A" w:rsidRDefault="008071A2" w:rsidP="006B23B4">
            <w:pPr>
              <w:shd w:val="clear" w:color="auto" w:fill="FFFFFF"/>
              <w:spacing w:before="40" w:after="40"/>
              <w:rPr>
                <w:rFonts w:cs="Arial"/>
                <w:sz w:val="20"/>
                <w:szCs w:val="23"/>
              </w:rPr>
            </w:pPr>
            <w:r w:rsidRPr="00815D5A">
              <w:rPr>
                <w:rFonts w:cs="Arial"/>
                <w:sz w:val="20"/>
                <w:szCs w:val="23"/>
              </w:rPr>
              <w:t>0-60</w:t>
            </w:r>
          </w:p>
        </w:tc>
        <w:tc>
          <w:tcPr>
            <w:tcW w:w="4814" w:type="dxa"/>
            <w:vAlign w:val="bottom"/>
          </w:tcPr>
          <w:p w:rsidR="008071A2" w:rsidRPr="00720F00" w:rsidRDefault="008071A2" w:rsidP="006B23B4">
            <w:pPr>
              <w:shd w:val="clear" w:color="auto" w:fill="FFFFFF"/>
              <w:spacing w:before="40" w:after="40"/>
              <w:rPr>
                <w:rFonts w:cs="Arial"/>
                <w:sz w:val="20"/>
                <w:szCs w:val="23"/>
              </w:rPr>
            </w:pPr>
            <w:r w:rsidRPr="00720F00">
              <w:rPr>
                <w:rFonts w:cs="Arial"/>
                <w:sz w:val="20"/>
                <w:szCs w:val="23"/>
              </w:rPr>
              <w:t>1023.03</w:t>
            </w:r>
          </w:p>
        </w:tc>
      </w:tr>
      <w:tr w:rsidR="008071A2" w:rsidTr="00185F1C">
        <w:tc>
          <w:tcPr>
            <w:tcW w:w="4814" w:type="dxa"/>
            <w:vAlign w:val="bottom"/>
          </w:tcPr>
          <w:p w:rsidR="008071A2" w:rsidRPr="007F334E" w:rsidRDefault="008071A2" w:rsidP="006B23B4">
            <w:pPr>
              <w:shd w:val="clear" w:color="auto" w:fill="FFFFFF"/>
              <w:spacing w:before="40" w:after="40"/>
              <w:rPr>
                <w:rFonts w:cs="Arial"/>
                <w:sz w:val="20"/>
                <w:szCs w:val="23"/>
              </w:rPr>
            </w:pPr>
            <w:r w:rsidRPr="007F334E">
              <w:rPr>
                <w:rFonts w:cs="Arial"/>
                <w:sz w:val="20"/>
                <w:szCs w:val="23"/>
              </w:rPr>
              <w:t>60-80</w:t>
            </w:r>
          </w:p>
        </w:tc>
        <w:tc>
          <w:tcPr>
            <w:tcW w:w="4814" w:type="dxa"/>
            <w:vAlign w:val="bottom"/>
          </w:tcPr>
          <w:p w:rsidR="008071A2" w:rsidRPr="00720F00" w:rsidRDefault="008071A2" w:rsidP="006B23B4">
            <w:pPr>
              <w:shd w:val="clear" w:color="auto" w:fill="FFFFFF"/>
              <w:spacing w:before="40" w:after="40"/>
              <w:rPr>
                <w:rFonts w:cs="Arial"/>
                <w:sz w:val="20"/>
                <w:szCs w:val="23"/>
              </w:rPr>
            </w:pPr>
            <w:r w:rsidRPr="00720F00">
              <w:rPr>
                <w:rFonts w:cs="Arial"/>
                <w:sz w:val="20"/>
                <w:szCs w:val="23"/>
              </w:rPr>
              <w:t>1837.091</w:t>
            </w:r>
          </w:p>
        </w:tc>
      </w:tr>
      <w:tr w:rsidR="008071A2" w:rsidTr="00185F1C">
        <w:tc>
          <w:tcPr>
            <w:tcW w:w="4814" w:type="dxa"/>
            <w:vAlign w:val="bottom"/>
          </w:tcPr>
          <w:p w:rsidR="008071A2" w:rsidRPr="007F334E" w:rsidRDefault="008071A2" w:rsidP="006B23B4">
            <w:pPr>
              <w:shd w:val="clear" w:color="auto" w:fill="FFFFFF"/>
              <w:spacing w:before="40" w:after="40"/>
              <w:rPr>
                <w:rFonts w:cs="Arial"/>
                <w:sz w:val="20"/>
                <w:szCs w:val="23"/>
              </w:rPr>
            </w:pPr>
            <w:r w:rsidRPr="007F334E">
              <w:rPr>
                <w:rFonts w:cs="Arial"/>
                <w:sz w:val="20"/>
                <w:szCs w:val="23"/>
              </w:rPr>
              <w:t>80-110</w:t>
            </w:r>
          </w:p>
        </w:tc>
        <w:tc>
          <w:tcPr>
            <w:tcW w:w="4814" w:type="dxa"/>
            <w:vAlign w:val="bottom"/>
          </w:tcPr>
          <w:p w:rsidR="008071A2" w:rsidRPr="00720F00" w:rsidRDefault="008071A2" w:rsidP="006B23B4">
            <w:pPr>
              <w:shd w:val="clear" w:color="auto" w:fill="FFFFFF"/>
              <w:spacing w:before="40" w:after="40"/>
              <w:rPr>
                <w:rFonts w:cs="Arial"/>
                <w:sz w:val="20"/>
                <w:szCs w:val="23"/>
              </w:rPr>
            </w:pPr>
            <w:r w:rsidRPr="00720F00">
              <w:rPr>
                <w:rFonts w:cs="Arial"/>
                <w:sz w:val="20"/>
                <w:szCs w:val="23"/>
              </w:rPr>
              <w:t>2244.192</w:t>
            </w:r>
          </w:p>
        </w:tc>
      </w:tr>
      <w:tr w:rsidR="008071A2" w:rsidTr="00185F1C">
        <w:tc>
          <w:tcPr>
            <w:tcW w:w="4814" w:type="dxa"/>
            <w:vAlign w:val="bottom"/>
          </w:tcPr>
          <w:p w:rsidR="008071A2" w:rsidRPr="007F334E" w:rsidRDefault="008071A2" w:rsidP="006B23B4">
            <w:pPr>
              <w:shd w:val="clear" w:color="auto" w:fill="FFFFFF"/>
              <w:spacing w:before="40" w:after="40"/>
              <w:rPr>
                <w:rFonts w:cs="Arial"/>
                <w:sz w:val="20"/>
                <w:szCs w:val="23"/>
              </w:rPr>
            </w:pPr>
            <w:r w:rsidRPr="007F334E">
              <w:rPr>
                <w:rFonts w:cs="Arial"/>
                <w:sz w:val="20"/>
                <w:szCs w:val="23"/>
              </w:rPr>
              <w:t>110-160</w:t>
            </w:r>
          </w:p>
        </w:tc>
        <w:tc>
          <w:tcPr>
            <w:tcW w:w="4814" w:type="dxa"/>
            <w:vAlign w:val="bottom"/>
          </w:tcPr>
          <w:p w:rsidR="008071A2" w:rsidRPr="00720F00" w:rsidRDefault="008071A2" w:rsidP="006B23B4">
            <w:pPr>
              <w:shd w:val="clear" w:color="auto" w:fill="FFFFFF"/>
              <w:spacing w:before="40" w:after="40"/>
              <w:rPr>
                <w:rFonts w:cs="Arial"/>
                <w:sz w:val="20"/>
                <w:szCs w:val="23"/>
              </w:rPr>
            </w:pPr>
            <w:r w:rsidRPr="00720F00">
              <w:rPr>
                <w:rFonts w:cs="Arial"/>
                <w:sz w:val="20"/>
                <w:szCs w:val="23"/>
              </w:rPr>
              <w:t>2356.068</w:t>
            </w:r>
          </w:p>
        </w:tc>
      </w:tr>
      <w:tr w:rsidR="008071A2" w:rsidTr="00185F1C">
        <w:tc>
          <w:tcPr>
            <w:tcW w:w="4814" w:type="dxa"/>
            <w:vAlign w:val="bottom"/>
          </w:tcPr>
          <w:p w:rsidR="008071A2" w:rsidRPr="007F334E" w:rsidRDefault="008071A2" w:rsidP="006B23B4">
            <w:pPr>
              <w:shd w:val="clear" w:color="auto" w:fill="FFFFFF"/>
              <w:spacing w:before="40" w:after="40"/>
              <w:rPr>
                <w:rFonts w:cs="Arial"/>
                <w:sz w:val="20"/>
                <w:szCs w:val="23"/>
              </w:rPr>
            </w:pPr>
            <w:r w:rsidRPr="007F334E">
              <w:rPr>
                <w:rFonts w:cs="Arial"/>
                <w:sz w:val="20"/>
                <w:szCs w:val="23"/>
              </w:rPr>
              <w:t>160-200</w:t>
            </w:r>
          </w:p>
        </w:tc>
        <w:tc>
          <w:tcPr>
            <w:tcW w:w="4814" w:type="dxa"/>
            <w:vAlign w:val="bottom"/>
          </w:tcPr>
          <w:p w:rsidR="008071A2" w:rsidRPr="00720F00" w:rsidRDefault="008071A2" w:rsidP="006B23B4">
            <w:pPr>
              <w:shd w:val="clear" w:color="auto" w:fill="FFFFFF"/>
              <w:spacing w:before="40" w:after="40"/>
              <w:rPr>
                <w:rFonts w:cs="Arial"/>
                <w:sz w:val="20"/>
                <w:szCs w:val="23"/>
              </w:rPr>
            </w:pPr>
            <w:r w:rsidRPr="00720F00">
              <w:rPr>
                <w:rFonts w:cs="Arial"/>
                <w:sz w:val="20"/>
                <w:szCs w:val="23"/>
              </w:rPr>
              <w:t>2533.695</w:t>
            </w:r>
          </w:p>
        </w:tc>
      </w:tr>
      <w:tr w:rsidR="008071A2" w:rsidTr="00185F1C">
        <w:tc>
          <w:tcPr>
            <w:tcW w:w="4814" w:type="dxa"/>
            <w:vAlign w:val="bottom"/>
          </w:tcPr>
          <w:p w:rsidR="008071A2" w:rsidRPr="007F334E" w:rsidRDefault="008071A2" w:rsidP="006B23B4">
            <w:pPr>
              <w:shd w:val="clear" w:color="auto" w:fill="FFFFFF"/>
              <w:spacing w:before="40" w:after="40"/>
              <w:rPr>
                <w:rFonts w:cs="Arial"/>
                <w:sz w:val="20"/>
                <w:szCs w:val="23"/>
              </w:rPr>
            </w:pPr>
            <w:r w:rsidRPr="007F334E">
              <w:rPr>
                <w:rFonts w:cs="Arial"/>
                <w:sz w:val="20"/>
                <w:szCs w:val="23"/>
              </w:rPr>
              <w:t>200- 250</w:t>
            </w:r>
          </w:p>
        </w:tc>
        <w:tc>
          <w:tcPr>
            <w:tcW w:w="4814" w:type="dxa"/>
            <w:vAlign w:val="bottom"/>
          </w:tcPr>
          <w:p w:rsidR="008071A2" w:rsidRPr="00720F00" w:rsidRDefault="008071A2" w:rsidP="006B23B4">
            <w:pPr>
              <w:shd w:val="clear" w:color="auto" w:fill="FFFFFF"/>
              <w:spacing w:before="40" w:after="40"/>
              <w:rPr>
                <w:rFonts w:cs="Arial"/>
                <w:sz w:val="20"/>
                <w:szCs w:val="23"/>
              </w:rPr>
            </w:pPr>
            <w:r w:rsidRPr="00720F00">
              <w:rPr>
                <w:rFonts w:cs="Arial"/>
                <w:sz w:val="20"/>
                <w:szCs w:val="23"/>
              </w:rPr>
              <w:t>2657.414</w:t>
            </w:r>
          </w:p>
        </w:tc>
      </w:tr>
      <w:tr w:rsidR="008071A2" w:rsidTr="00185F1C">
        <w:tc>
          <w:tcPr>
            <w:tcW w:w="4814" w:type="dxa"/>
            <w:vAlign w:val="bottom"/>
          </w:tcPr>
          <w:p w:rsidR="008071A2" w:rsidRPr="007F334E" w:rsidRDefault="008071A2" w:rsidP="006B23B4">
            <w:pPr>
              <w:shd w:val="clear" w:color="auto" w:fill="FFFFFF"/>
              <w:spacing w:before="40" w:after="40"/>
              <w:rPr>
                <w:rFonts w:cs="Arial"/>
                <w:sz w:val="20"/>
                <w:szCs w:val="23"/>
              </w:rPr>
            </w:pPr>
            <w:r w:rsidRPr="007F334E">
              <w:rPr>
                <w:rFonts w:cs="Arial"/>
                <w:sz w:val="20"/>
                <w:szCs w:val="23"/>
              </w:rPr>
              <w:t>250-500</w:t>
            </w:r>
          </w:p>
        </w:tc>
        <w:tc>
          <w:tcPr>
            <w:tcW w:w="4814" w:type="dxa"/>
            <w:vAlign w:val="bottom"/>
          </w:tcPr>
          <w:p w:rsidR="008071A2" w:rsidRPr="00720F00" w:rsidRDefault="008071A2" w:rsidP="006B23B4">
            <w:pPr>
              <w:shd w:val="clear" w:color="auto" w:fill="FFFFFF"/>
              <w:spacing w:before="40" w:after="40"/>
              <w:rPr>
                <w:rFonts w:cs="Arial"/>
                <w:sz w:val="20"/>
                <w:szCs w:val="23"/>
              </w:rPr>
            </w:pPr>
            <w:r w:rsidRPr="00720F00">
              <w:rPr>
                <w:rFonts w:cs="Arial"/>
                <w:sz w:val="20"/>
                <w:szCs w:val="23"/>
              </w:rPr>
              <w:t>2812.478</w:t>
            </w:r>
          </w:p>
        </w:tc>
      </w:tr>
      <w:tr w:rsidR="008071A2" w:rsidRPr="00CE5297" w:rsidTr="00185F1C">
        <w:tc>
          <w:tcPr>
            <w:tcW w:w="4814" w:type="dxa"/>
            <w:vAlign w:val="bottom"/>
          </w:tcPr>
          <w:p w:rsidR="008071A2" w:rsidRPr="00CE5297" w:rsidRDefault="008071A2" w:rsidP="006B23B4">
            <w:pPr>
              <w:shd w:val="clear" w:color="auto" w:fill="FFFFFF"/>
              <w:spacing w:before="40" w:after="40"/>
              <w:rPr>
                <w:rFonts w:cs="Arial"/>
                <w:szCs w:val="24"/>
              </w:rPr>
            </w:pPr>
            <w:r w:rsidRPr="00CE5297">
              <w:rPr>
                <w:rFonts w:cs="Arial"/>
                <w:szCs w:val="24"/>
              </w:rPr>
              <w:t>oltre 500</w:t>
            </w:r>
          </w:p>
        </w:tc>
        <w:tc>
          <w:tcPr>
            <w:tcW w:w="4814" w:type="dxa"/>
            <w:vAlign w:val="bottom"/>
          </w:tcPr>
          <w:p w:rsidR="008071A2" w:rsidRPr="00CE5297" w:rsidRDefault="008071A2" w:rsidP="006B23B4">
            <w:pPr>
              <w:shd w:val="clear" w:color="auto" w:fill="FFFFFF"/>
              <w:spacing w:before="40" w:after="40"/>
              <w:rPr>
                <w:rFonts w:cs="Arial"/>
                <w:szCs w:val="24"/>
              </w:rPr>
            </w:pPr>
            <w:r w:rsidRPr="00CE5297">
              <w:rPr>
                <w:rFonts w:cs="Arial"/>
                <w:szCs w:val="24"/>
              </w:rPr>
              <w:t>2888.532</w:t>
            </w:r>
          </w:p>
        </w:tc>
      </w:tr>
    </w:tbl>
    <w:p w:rsidR="008071A2" w:rsidRPr="00CE5297" w:rsidRDefault="008071A2" w:rsidP="006B23B4"/>
    <w:p w:rsidR="008071A2" w:rsidRPr="00CE5297" w:rsidRDefault="008071A2" w:rsidP="006B23B4"/>
    <w:p w:rsidR="008071A2" w:rsidRPr="00CE5297" w:rsidRDefault="006B23B4" w:rsidP="006B23B4">
      <w:pPr>
        <w:pStyle w:val="Titolo2"/>
      </w:pPr>
      <w:r>
        <w:t>5.</w:t>
      </w:r>
      <w:r>
        <w:tab/>
      </w:r>
      <w:r w:rsidR="008071A2" w:rsidRPr="00CE5297">
        <w:t>Evoluzione dei premi cassa malati</w:t>
      </w:r>
    </w:p>
    <w:p w:rsidR="008071A2" w:rsidRPr="00CE5297" w:rsidRDefault="008071A2" w:rsidP="006B23B4">
      <w:r w:rsidRPr="00CE5297">
        <w:t>Nel corso degli anni il premio medio (assicurazione malattia di base obbligatoria) incassato dagli assicuratori malattia è costantemente aumentato. Il premio cassa malati per il ceto medio basso è una parte sempre più importante delle spese mensili.</w:t>
      </w:r>
    </w:p>
    <w:p w:rsidR="008071A2" w:rsidRPr="00CE5297" w:rsidRDefault="008071A2" w:rsidP="006B23B4"/>
    <w:p w:rsidR="008071A2" w:rsidRPr="00CE5297" w:rsidRDefault="008071A2" w:rsidP="006B23B4"/>
    <w:p w:rsidR="008071A2" w:rsidRPr="00CE5297" w:rsidRDefault="006B23B4" w:rsidP="006B23B4">
      <w:pPr>
        <w:pStyle w:val="Titolo2"/>
      </w:pPr>
      <w:r>
        <w:t>6.</w:t>
      </w:r>
      <w:r>
        <w:tab/>
      </w:r>
      <w:r w:rsidR="008071A2" w:rsidRPr="00CE5297">
        <w:t>Evoluzione dei sussidi ordinari di cassa malati</w:t>
      </w:r>
    </w:p>
    <w:p w:rsidR="008071A2" w:rsidRPr="00CE5297" w:rsidRDefault="008071A2" w:rsidP="00CE5297">
      <w:pPr>
        <w:shd w:val="clear" w:color="auto" w:fill="FFFFFF"/>
        <w:spacing w:before="120"/>
        <w:rPr>
          <w:rFonts w:cs="Arial"/>
          <w:szCs w:val="24"/>
        </w:rPr>
      </w:pPr>
      <w:r w:rsidRPr="00CE5297">
        <w:rPr>
          <w:rFonts w:cs="Arial"/>
          <w:szCs w:val="24"/>
        </w:rPr>
        <w:t>Nonostante l’aumento dei premi il contributo cantonale alla riduzione dei premi cassa malati ordinari</w:t>
      </w:r>
      <w:r w:rsidRPr="00CE5297">
        <w:rPr>
          <w:rStyle w:val="Rimandonotaapidipagina"/>
          <w:rFonts w:cs="Arial"/>
          <w:szCs w:val="24"/>
        </w:rPr>
        <w:footnoteReference w:id="3"/>
      </w:r>
      <w:r w:rsidRPr="00CE5297">
        <w:rPr>
          <w:rFonts w:cs="Arial"/>
          <w:szCs w:val="24"/>
        </w:rPr>
        <w:t xml:space="preserve"> negli anni ha subito diversi tagli, basti ricordare quelli del 2015 e del 2016.</w:t>
      </w:r>
    </w:p>
    <w:p w:rsidR="008071A2" w:rsidRPr="00CE5297" w:rsidRDefault="008071A2" w:rsidP="00CE5297">
      <w:pPr>
        <w:shd w:val="clear" w:color="auto" w:fill="FFFFFF"/>
        <w:spacing w:before="120"/>
        <w:rPr>
          <w:rFonts w:cs="Arial"/>
          <w:szCs w:val="24"/>
        </w:rPr>
      </w:pPr>
      <w:r w:rsidRPr="00CE5297">
        <w:rPr>
          <w:rFonts w:cs="Arial"/>
          <w:szCs w:val="24"/>
        </w:rPr>
        <w:t>Negli ultimi due anni per fortuna si è cercato di invertire la tendenza consci dei tagli eccessivi effettuati. La strada è però ancora lunga e in questo senso ricordiamo la nostra iniziativa che chiede di mirare i sussidi cassa malati in modo che nessuna economia domestica debba pagare per le spese cassa malati più del 10% del suo reddito.</w:t>
      </w:r>
    </w:p>
    <w:p w:rsidR="008071A2" w:rsidRPr="00CE5297" w:rsidRDefault="008071A2" w:rsidP="00CE5297"/>
    <w:p w:rsidR="008071A2" w:rsidRPr="00CE5297" w:rsidRDefault="008071A2" w:rsidP="00CE5297"/>
    <w:p w:rsidR="008071A2" w:rsidRPr="00CE5297" w:rsidRDefault="006B23B4" w:rsidP="006B23B4">
      <w:pPr>
        <w:pStyle w:val="Titolo2"/>
      </w:pPr>
      <w:r>
        <w:t>7.</w:t>
      </w:r>
      <w:r>
        <w:tab/>
      </w:r>
      <w:r w:rsidR="008071A2" w:rsidRPr="00CE5297">
        <w:t>Inquadramento storico delle deduzioni fiscali con rilevanza sociale</w:t>
      </w:r>
    </w:p>
    <w:p w:rsidR="008071A2" w:rsidRPr="00CE5297" w:rsidRDefault="008071A2" w:rsidP="00CE5297">
      <w:pPr>
        <w:shd w:val="clear" w:color="auto" w:fill="FFFFFF"/>
        <w:spacing w:after="120"/>
        <w:rPr>
          <w:rFonts w:cs="Arial"/>
          <w:szCs w:val="24"/>
        </w:rPr>
      </w:pPr>
      <w:r w:rsidRPr="00CE5297">
        <w:rPr>
          <w:rFonts w:cs="Arial"/>
          <w:szCs w:val="24"/>
        </w:rPr>
        <w:t>Per inquadrare la questione delle deduzioni fiscali con rilevanza sociale è necessario fare un passo indietro nel tempo.</w:t>
      </w:r>
    </w:p>
    <w:p w:rsidR="008071A2" w:rsidRPr="00CE5297" w:rsidRDefault="008071A2" w:rsidP="00CE5297">
      <w:pPr>
        <w:shd w:val="clear" w:color="auto" w:fill="FFFFFF"/>
        <w:spacing w:after="120"/>
        <w:rPr>
          <w:rFonts w:cs="Arial"/>
          <w:szCs w:val="24"/>
        </w:rPr>
      </w:pPr>
      <w:r w:rsidRPr="00CE5297">
        <w:rPr>
          <w:rFonts w:cs="Arial"/>
          <w:szCs w:val="24"/>
        </w:rPr>
        <w:t>In questo Cantone per almeno tre decenni il discorso politico ha puntato il dito contro gli aiuti sociali dello Stato, perché non sarebbero stati mirati ai bisogni delle persone, ma a “innaffiatoio”.</w:t>
      </w:r>
    </w:p>
    <w:p w:rsidR="008071A2" w:rsidRPr="00CE5297" w:rsidRDefault="008071A2" w:rsidP="00CE5297">
      <w:pPr>
        <w:shd w:val="clear" w:color="auto" w:fill="FFFFFF"/>
        <w:spacing w:after="120"/>
        <w:rPr>
          <w:rFonts w:cs="Arial"/>
          <w:szCs w:val="24"/>
        </w:rPr>
      </w:pPr>
      <w:r w:rsidRPr="00CE5297">
        <w:rPr>
          <w:rFonts w:cs="Arial"/>
          <w:szCs w:val="24"/>
        </w:rPr>
        <w:t>Negli anni ’90 a seguito dell’Anno internazionale della famiglia (1993) e della Legge sull’Assicurazione contro le malattie – LAMal (del 1994 su votazione popolare, entrata in vigore nel 1996, che ha introdotto l’obbligo assicurativo per tutte le persone che vivono in Svizzera) le politiche delle famiglie e dell’assicurazione malattia hanno registrato l’avvio di un fermento di iniziative molto vivace.</w:t>
      </w:r>
    </w:p>
    <w:p w:rsidR="008071A2" w:rsidRPr="00CE5297" w:rsidRDefault="008071A2" w:rsidP="00CE5297">
      <w:pPr>
        <w:shd w:val="clear" w:color="auto" w:fill="FFFFFF"/>
        <w:spacing w:after="120"/>
        <w:rPr>
          <w:rFonts w:cs="Arial"/>
          <w:szCs w:val="24"/>
        </w:rPr>
      </w:pPr>
      <w:r w:rsidRPr="00CE5297">
        <w:rPr>
          <w:rFonts w:cs="Arial"/>
          <w:szCs w:val="24"/>
        </w:rPr>
        <w:t xml:space="preserve">Da parte del settore sociale si ricorda la riforma della Legge sugli assegni famigliari dell’11.06.1996 (Messaggio del 18.01.1994), in vigore dal 01.01.1997, che ha introdotto l’Assegno famiglia di prima infanzia – API e l’Assegno famigliare integrativo – AFI. Essi si aggiungevano all’Assegno di base e all’Assegno di formazione. I due nuovi assegni riprendevano i parametri della Legge sulla prestazione complementare AVS/AI. I due nuovi assegni famigliari hanno fatto da precursore alla Legge sull’armonizzazione e il coordinamento delle prestazioni sociali del 5.06.2000 (Messaggio del 01.07.1998) in vigore dal 1.02.2003.  </w:t>
      </w:r>
    </w:p>
    <w:p w:rsidR="008071A2" w:rsidRPr="00CE5297" w:rsidRDefault="008071A2" w:rsidP="00CE5297">
      <w:pPr>
        <w:shd w:val="clear" w:color="auto" w:fill="FFFFFF"/>
        <w:spacing w:after="120"/>
        <w:rPr>
          <w:rFonts w:cs="Arial"/>
          <w:szCs w:val="24"/>
        </w:rPr>
      </w:pPr>
      <w:r w:rsidRPr="00CE5297">
        <w:rPr>
          <w:rFonts w:cs="Arial"/>
          <w:szCs w:val="24"/>
        </w:rPr>
        <w:t>In quest’ambito importante è pure stato il riorientamento dei contributi federali all’assicurazione malattia obbligatoria tramite la LAMal. Prima di questa legge la Confederazione versava, in misura preponderante, i suoi contributi direttamente agli assicuratori malattia in modo che ogni assicurato, indipendentemente dalla sua situazione economica, beneficiava della stessa riduzione. Con la LAMal il Legislatore federale ha deciso di versarli (con l’aggiunta di un importo consistente proveniente dall’IVA) ai Cantoni alla condizione che fossero poi da loro ridistribuiti, in aggiunta a quanto già erogavano, in modo mirato alle persone secondo i loro bisogni. Questa modifica, oltre a mirare l’aiuto al bisogno, ha pertanto aumentato in modo rilevante l’importo disponibile per l’aiuto alla riduzione dei premi assicurazione malattia ordinari.</w:t>
      </w:r>
    </w:p>
    <w:p w:rsidR="008071A2" w:rsidRPr="00CE5297" w:rsidRDefault="008071A2" w:rsidP="00CE5297">
      <w:pPr>
        <w:shd w:val="clear" w:color="auto" w:fill="FFFFFF"/>
        <w:spacing w:after="120"/>
        <w:rPr>
          <w:rFonts w:cs="Arial"/>
          <w:szCs w:val="24"/>
        </w:rPr>
      </w:pPr>
      <w:r w:rsidRPr="00CE5297">
        <w:rPr>
          <w:rFonts w:cs="Arial"/>
          <w:szCs w:val="24"/>
        </w:rPr>
        <w:t>In seguito a questo cambiamento in Ticino è stato introdotto a partire dal 1996 un nuovo modello di sussidi mirati. Esso era basato ancora sul reddito imponibile. A quel tempo le ragioni di mantenere il reddito imponibile erano due. La prima era che la Confederazione per l’erogazione degli aiuti alle persone intendeva imporre dei suoi criteri ai Cantoni, segnatamente non intendeva concedere la possibilità di abbandonare il reddito imponibile. La seconda era che la Riduzione dei premi assicurazione malattia concerneva un numero elevato di beneficiari, per cui l’applicazione pura e semplice del reddito disponibile, con la definizione conosciuta allora, avrebbe comportato un impegno e degli oneri amministrativi considerevoli.</w:t>
      </w:r>
    </w:p>
    <w:p w:rsidR="008071A2" w:rsidRPr="00CE5297" w:rsidRDefault="008071A2" w:rsidP="00CE5297">
      <w:pPr>
        <w:shd w:val="clear" w:color="auto" w:fill="FFFFFF"/>
        <w:spacing w:after="120"/>
        <w:rPr>
          <w:rFonts w:cs="Arial"/>
          <w:szCs w:val="24"/>
        </w:rPr>
      </w:pPr>
      <w:r w:rsidRPr="00CE5297">
        <w:rPr>
          <w:rFonts w:cs="Arial"/>
          <w:szCs w:val="24"/>
        </w:rPr>
        <w:t>Sul fronte della fiscalità, per iniziativa del DFE e dell’allora DOS, è poi stato promosso un primo pacchetto fiscale (1997) che ha ridotto le aliquote delle fasce di reddito medio e medio-inferiore, compensato con una corrispondente diminuzione dell’importo globale a disposizione dei contributi per il contenimento dei premi assicurazione malattia.</w:t>
      </w:r>
    </w:p>
    <w:p w:rsidR="008071A2" w:rsidRPr="00CE5297" w:rsidRDefault="008071A2" w:rsidP="00CE5297">
      <w:pPr>
        <w:shd w:val="clear" w:color="auto" w:fill="FFFFFF"/>
        <w:spacing w:after="120"/>
        <w:rPr>
          <w:rFonts w:cs="Arial"/>
          <w:szCs w:val="24"/>
        </w:rPr>
      </w:pPr>
      <w:r w:rsidRPr="00CE5297">
        <w:rPr>
          <w:rFonts w:cs="Arial"/>
          <w:szCs w:val="24"/>
        </w:rPr>
        <w:t>Successivamente a queste operazioni orientate a migliorare l’intervento mirato ai bisogni delle persone da parte del Cantone, sono tuttavia state promosse delle iniziative fiscali non solo non mirate ai bisogni, ma addirittura inversamente proporzionali ai bisogni. Azioni fiscali sostenute, tra l’altro, proprio da quelle forze politiche che puntavano il dito contro gli aiuti a “innaffiatoio”.</w:t>
      </w:r>
    </w:p>
    <w:p w:rsidR="008071A2" w:rsidRPr="00CE5297" w:rsidRDefault="008071A2" w:rsidP="00CE5297">
      <w:pPr>
        <w:shd w:val="clear" w:color="auto" w:fill="FFFFFF"/>
        <w:spacing w:after="120"/>
        <w:rPr>
          <w:rFonts w:cs="Arial"/>
          <w:szCs w:val="24"/>
        </w:rPr>
      </w:pPr>
      <w:r w:rsidRPr="00CE5297">
        <w:rPr>
          <w:rFonts w:cs="Arial"/>
          <w:szCs w:val="24"/>
        </w:rPr>
        <w:t>Ci riferiamo in particolare ai così detti pacchetti fiscali III e IV del 2000 rispettivamente del 2001che hanno incrementato le deduzioni fiscali. Nelle parole i sostenitori asserivano con insistenza che gli sgravi sociali erano stati mirati ai bisogni.</w:t>
      </w:r>
    </w:p>
    <w:p w:rsidR="008071A2" w:rsidRPr="00CE5297" w:rsidRDefault="008071A2" w:rsidP="00CE5297">
      <w:pPr>
        <w:shd w:val="clear" w:color="auto" w:fill="FFFFFF"/>
        <w:spacing w:after="120"/>
        <w:rPr>
          <w:rFonts w:cs="Arial"/>
          <w:szCs w:val="24"/>
        </w:rPr>
      </w:pPr>
      <w:r w:rsidRPr="00CE5297">
        <w:rPr>
          <w:rFonts w:cs="Arial"/>
          <w:szCs w:val="24"/>
        </w:rPr>
        <w:t>Il pretesto di queste iniziative erano la politica familiare e l’aumento dei premi assicurazione malattia. Evidentemente le etichette di “famiglia” e di “premio assicurazione malattia” se si intende rispondere ai bisogni, prese a sé stanti e utilizzate per la concessione di deduzioni fiscali, non sono delle discriminanti appropriate. Anzi, sono in contrasto con la funzione di ridistribuzione dello Stato, incrementano le disparità sociali e di conseguenza affievoliscono la coesione sociale.</w:t>
      </w:r>
    </w:p>
    <w:p w:rsidR="008071A2" w:rsidRPr="00CE5297" w:rsidRDefault="008071A2" w:rsidP="00CE5297">
      <w:pPr>
        <w:shd w:val="clear" w:color="auto" w:fill="FFFFFF"/>
        <w:spacing w:after="120"/>
        <w:rPr>
          <w:rFonts w:cs="Arial"/>
          <w:szCs w:val="24"/>
        </w:rPr>
      </w:pPr>
      <w:r w:rsidRPr="00CE5297">
        <w:rPr>
          <w:rFonts w:cs="Arial"/>
          <w:szCs w:val="24"/>
        </w:rPr>
        <w:t>Non perché si tratta di una famiglia sussiste necessariamente un bisogno e neppure chi deve pagare il premio dell’assicurazione malattia ha necessariamente bisogno di un aiuto.</w:t>
      </w:r>
    </w:p>
    <w:p w:rsidR="008071A2" w:rsidRPr="00CE5297" w:rsidRDefault="008071A2" w:rsidP="00CE5297">
      <w:r w:rsidRPr="00CE5297">
        <w:t>Di fatto gli sgravi fiscali hanno aumentato la povertà relativa, cioè il divario di reddito disponibile tra i cittadini più sguarniti e quelli benestanti.</w:t>
      </w:r>
    </w:p>
    <w:p w:rsidR="008071A2" w:rsidRPr="00CE5297" w:rsidRDefault="008071A2" w:rsidP="00CE5297"/>
    <w:p w:rsidR="008071A2" w:rsidRPr="00CE5297" w:rsidRDefault="008071A2" w:rsidP="00CE5297"/>
    <w:p w:rsidR="008071A2" w:rsidRPr="00CE5297" w:rsidRDefault="006B23B4" w:rsidP="006B23B4">
      <w:pPr>
        <w:pStyle w:val="Titolo2"/>
      </w:pPr>
      <w:r>
        <w:t>8.</w:t>
      </w:r>
      <w:r>
        <w:tab/>
      </w:r>
      <w:r w:rsidR="008071A2" w:rsidRPr="00CE5297">
        <w:t>Conclusioni</w:t>
      </w:r>
    </w:p>
    <w:p w:rsidR="008071A2" w:rsidRPr="00CE5297" w:rsidRDefault="008071A2" w:rsidP="00CE5297">
      <w:pPr>
        <w:shd w:val="clear" w:color="auto" w:fill="FFFFFF"/>
        <w:spacing w:after="120"/>
        <w:rPr>
          <w:rFonts w:cs="Arial"/>
          <w:szCs w:val="24"/>
        </w:rPr>
      </w:pPr>
      <w:r w:rsidRPr="00CE5297">
        <w:rPr>
          <w:rFonts w:cs="Arial"/>
          <w:szCs w:val="24"/>
        </w:rPr>
        <w:t>Nonostante le cosiddette deduzioni con rilevanza sociale favoriscano le fasce di popolazione che meno ne hanno bisogno non si è invece voluto intervenire in questo ambito durante la manovra di risanamento delle finanze dello Stato del 2016.</w:t>
      </w:r>
    </w:p>
    <w:p w:rsidR="008071A2" w:rsidRPr="00CE5297" w:rsidRDefault="008071A2" w:rsidP="00CE5297">
      <w:pPr>
        <w:shd w:val="clear" w:color="auto" w:fill="FFFFFF"/>
        <w:spacing w:after="120"/>
        <w:rPr>
          <w:rFonts w:cs="Arial"/>
          <w:szCs w:val="24"/>
        </w:rPr>
      </w:pPr>
      <w:r w:rsidRPr="00CE5297">
        <w:rPr>
          <w:rFonts w:cs="Arial"/>
          <w:szCs w:val="24"/>
        </w:rPr>
        <w:t>Si è invece preferito a partire dal 2014 apportare importanti tagli ai sussidi cassa malati e alla politica famigliare penalizzando soprattutto il ceto medio basso. Concretamente, in opposizione a quanto detto nelle Linee direttive, con la manovra finanziaria invece di intaccare il non utile si è intaccato il necessario.</w:t>
      </w:r>
    </w:p>
    <w:p w:rsidR="008071A2" w:rsidRPr="00CE5297" w:rsidRDefault="008071A2" w:rsidP="00CE5297">
      <w:r w:rsidRPr="00CE5297">
        <w:t>Questa iniziativa prosegue nella scia delle deduzioni fiscali che riteniamo poco trasparente, non mirata e costosa.</w:t>
      </w:r>
    </w:p>
    <w:p w:rsidR="006B23B4" w:rsidRPr="00CE5297" w:rsidRDefault="006B23B4" w:rsidP="00CE5297"/>
    <w:p w:rsidR="00CE5297" w:rsidRPr="000B2940" w:rsidRDefault="00CE5297" w:rsidP="00CE5297">
      <w:pPr>
        <w:jc w:val="center"/>
        <w:rPr>
          <w:rFonts w:cs="Arial"/>
          <w:sz w:val="28"/>
          <w:szCs w:val="28"/>
        </w:rPr>
      </w:pP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p>
    <w:p w:rsidR="00CE5297" w:rsidRDefault="00CE5297" w:rsidP="00CE5297">
      <w:pPr>
        <w:rPr>
          <w:rFonts w:cs="Arial"/>
        </w:rPr>
      </w:pPr>
    </w:p>
    <w:p w:rsidR="006B23B4" w:rsidRDefault="006B23B4" w:rsidP="00CE5297">
      <w:pPr>
        <w:rPr>
          <w:rFonts w:cs="Arial"/>
        </w:rPr>
      </w:pPr>
    </w:p>
    <w:p w:rsidR="008071A2" w:rsidRPr="00CE5297" w:rsidRDefault="008071A2" w:rsidP="00CE5297">
      <w:r w:rsidRPr="00CE5297">
        <w:t xml:space="preserve">Per </w:t>
      </w:r>
      <w:r w:rsidR="00CE5297">
        <w:t>questi motivi invitiamo questo P</w:t>
      </w:r>
      <w:r w:rsidRPr="00CE5297">
        <w:t>arlamento a respingerla.</w:t>
      </w:r>
    </w:p>
    <w:p w:rsidR="00CB127C" w:rsidRPr="00CE5297" w:rsidRDefault="00CB127C" w:rsidP="00CB127C">
      <w:pPr>
        <w:rPr>
          <w:szCs w:val="24"/>
        </w:rPr>
      </w:pPr>
    </w:p>
    <w:p w:rsidR="000B2940" w:rsidRDefault="000B2940" w:rsidP="00CB127C">
      <w:pPr>
        <w:rPr>
          <w:rFonts w:cs="Arial"/>
        </w:rPr>
      </w:pPr>
    </w:p>
    <w:p w:rsidR="000B2940" w:rsidRPr="008219F2" w:rsidRDefault="000B2940" w:rsidP="00CB127C">
      <w:pPr>
        <w:rPr>
          <w:rFonts w:cs="Arial"/>
        </w:rPr>
      </w:pPr>
    </w:p>
    <w:p w:rsidR="00CB127C" w:rsidRPr="008219F2" w:rsidRDefault="00CB127C" w:rsidP="00CB127C">
      <w:pPr>
        <w:spacing w:after="120"/>
        <w:rPr>
          <w:rFonts w:cs="Arial"/>
        </w:rPr>
      </w:pPr>
      <w:r w:rsidRPr="008219F2">
        <w:rPr>
          <w:rFonts w:cs="Arial"/>
        </w:rPr>
        <w:t>Per la mi</w:t>
      </w:r>
      <w:r w:rsidR="008071A2">
        <w:rPr>
          <w:rFonts w:cs="Arial"/>
        </w:rPr>
        <w:t>n</w:t>
      </w:r>
      <w:r w:rsidRPr="008219F2">
        <w:rPr>
          <w:rFonts w:cs="Arial"/>
        </w:rPr>
        <w:t>oranza</w:t>
      </w:r>
      <w:r>
        <w:rPr>
          <w:rFonts w:cs="Arial"/>
        </w:rPr>
        <w:t xml:space="preserve"> </w:t>
      </w:r>
      <w:r w:rsidRPr="008219F2">
        <w:rPr>
          <w:rFonts w:cs="Arial"/>
        </w:rPr>
        <w:t xml:space="preserve">della Commissione </w:t>
      </w:r>
      <w:r w:rsidR="008071A2">
        <w:rPr>
          <w:rFonts w:cs="Arial"/>
        </w:rPr>
        <w:t>gestione e finanze</w:t>
      </w:r>
      <w:r w:rsidRPr="008219F2">
        <w:rPr>
          <w:rFonts w:cs="Arial"/>
        </w:rPr>
        <w:t>:</w:t>
      </w:r>
    </w:p>
    <w:p w:rsidR="00CB127C" w:rsidRPr="008219F2" w:rsidRDefault="008071A2" w:rsidP="00CB127C">
      <w:pPr>
        <w:rPr>
          <w:rFonts w:cs="Arial"/>
        </w:rPr>
      </w:pPr>
      <w:r>
        <w:rPr>
          <w:szCs w:val="24"/>
        </w:rPr>
        <w:t>Ivo Durisch</w:t>
      </w:r>
      <w:r w:rsidR="00CB127C">
        <w:rPr>
          <w:rFonts w:cs="Arial"/>
        </w:rPr>
        <w:t>, relat</w:t>
      </w:r>
      <w:r w:rsidR="005F4380">
        <w:rPr>
          <w:rFonts w:cs="Arial"/>
        </w:rPr>
        <w:t>o</w:t>
      </w:r>
      <w:r w:rsidR="00CB127C" w:rsidRPr="008219F2">
        <w:rPr>
          <w:rFonts w:cs="Arial"/>
        </w:rPr>
        <w:t>re</w:t>
      </w:r>
    </w:p>
    <w:p w:rsidR="00CB127C" w:rsidRPr="00076E70" w:rsidRDefault="00D17A34" w:rsidP="00CB127C">
      <w:pPr>
        <w:rPr>
          <w:rFonts w:cs="Arial"/>
          <w:szCs w:val="24"/>
        </w:rPr>
      </w:pPr>
      <w:r>
        <w:rPr>
          <w:rFonts w:cs="Arial"/>
          <w:szCs w:val="24"/>
        </w:rPr>
        <w:t xml:space="preserve">Bang - </w:t>
      </w:r>
      <w:r w:rsidR="006B23B4">
        <w:rPr>
          <w:rFonts w:cs="Arial"/>
          <w:szCs w:val="24"/>
        </w:rPr>
        <w:t>B</w:t>
      </w:r>
      <w:r>
        <w:rPr>
          <w:rFonts w:cs="Arial"/>
          <w:szCs w:val="24"/>
        </w:rPr>
        <w:t>iscossa</w:t>
      </w:r>
    </w:p>
    <w:p w:rsidR="00CB127C" w:rsidRPr="007A285B" w:rsidRDefault="00CB127C" w:rsidP="00CB127C"/>
    <w:sectPr w:rsidR="00CB127C" w:rsidRPr="007A285B" w:rsidSect="00F242E5">
      <w:footerReference w:type="default" r:id="rId8"/>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376590" w:rsidRPr="00376590">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 w:id="1">
    <w:p w:rsidR="008071A2" w:rsidRPr="00890A4F" w:rsidRDefault="008071A2" w:rsidP="008071A2">
      <w:pPr>
        <w:pStyle w:val="Testonotaapidipagina"/>
        <w:rPr>
          <w:lang w:val="it-CH"/>
        </w:rPr>
      </w:pPr>
      <w:r>
        <w:rPr>
          <w:rStyle w:val="Rimandonotaapidipagina"/>
        </w:rPr>
        <w:footnoteRef/>
      </w:r>
      <w:r>
        <w:t xml:space="preserve"> </w:t>
      </w:r>
      <w:r>
        <w:rPr>
          <w:lang w:val="it-CH"/>
        </w:rPr>
        <w:t>Dati forniti dal Consiglio di Stato.</w:t>
      </w:r>
    </w:p>
  </w:footnote>
  <w:footnote w:id="2">
    <w:p w:rsidR="008071A2" w:rsidRPr="00890A4F" w:rsidRDefault="008071A2" w:rsidP="008071A2">
      <w:pPr>
        <w:pStyle w:val="Testonotaapidipagina"/>
        <w:rPr>
          <w:lang w:val="it-CH"/>
        </w:rPr>
      </w:pPr>
      <w:r>
        <w:rPr>
          <w:rStyle w:val="Rimandonotaapidipagina"/>
        </w:rPr>
        <w:footnoteRef/>
      </w:r>
      <w:r>
        <w:t xml:space="preserve"> </w:t>
      </w:r>
      <w:r>
        <w:rPr>
          <w:lang w:val="it-CH"/>
        </w:rPr>
        <w:t>Con questa iniziativa si chiede al Consiglio di Stato di fornire i dati in base al totale dei redditi (vedi cifra 8 p. 2 della dichiarazione d’imposta).</w:t>
      </w:r>
    </w:p>
  </w:footnote>
  <w:footnote w:id="3">
    <w:p w:rsidR="008071A2" w:rsidRPr="00DD4E03" w:rsidRDefault="008071A2" w:rsidP="008071A2">
      <w:pPr>
        <w:pStyle w:val="Testonotaapidipagina"/>
        <w:rPr>
          <w:lang w:val="it-CH"/>
        </w:rPr>
      </w:pPr>
      <w:r>
        <w:rPr>
          <w:rStyle w:val="Rimandonotaapidipagina"/>
        </w:rPr>
        <w:footnoteRef/>
      </w:r>
      <w:r>
        <w:t xml:space="preserve"> </w:t>
      </w:r>
      <w:r>
        <w:rPr>
          <w:lang w:val="it-CH"/>
        </w:rPr>
        <w:t>Al netto cantonale dei sussidi cassa malati ordinari partecipano anche i comuni con una quota attorno al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15:restartNumberingAfterBreak="0">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15:restartNumberingAfterBreak="0">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6" w15:restartNumberingAfterBreak="0">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9" w15:restartNumberingAfterBreak="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0" w15:restartNumberingAfterBreak="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15:restartNumberingAfterBreak="0">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2" w15:restartNumberingAfterBreak="0">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4" w15:restartNumberingAfterBreak="0">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5" w15:restartNumberingAfterBreak="0">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6"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6"/>
  </w:num>
  <w:num w:numId="2">
    <w:abstractNumId w:val="16"/>
  </w:num>
  <w:num w:numId="3">
    <w:abstractNumId w:val="17"/>
  </w:num>
  <w:num w:numId="4">
    <w:abstractNumId w:val="2"/>
  </w:num>
  <w:num w:numId="5">
    <w:abstractNumId w:val="7"/>
  </w:num>
  <w:num w:numId="6">
    <w:abstractNumId w:val="6"/>
  </w:num>
  <w:num w:numId="7">
    <w:abstractNumId w:val="3"/>
  </w:num>
  <w:num w:numId="8">
    <w:abstractNumId w:val="12"/>
  </w:num>
  <w:num w:numId="9">
    <w:abstractNumId w:val="5"/>
  </w:num>
  <w:num w:numId="10">
    <w:abstractNumId w:val="9"/>
  </w:num>
  <w:num w:numId="11">
    <w:abstractNumId w:val="10"/>
  </w:num>
  <w:num w:numId="12">
    <w:abstractNumId w:val="13"/>
  </w:num>
  <w:num w:numId="13">
    <w:abstractNumId w:val="4"/>
  </w:num>
  <w:num w:numId="14">
    <w:abstractNumId w:val="11"/>
  </w:num>
  <w:num w:numId="15">
    <w:abstractNumId w:val="15"/>
  </w:num>
  <w:num w:numId="16">
    <w:abstractNumId w:val="0"/>
  </w:num>
  <w:num w:numId="17">
    <w:abstractNumId w:val="1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0B2940"/>
    <w:rsid w:val="002E5E40"/>
    <w:rsid w:val="00376590"/>
    <w:rsid w:val="003B7935"/>
    <w:rsid w:val="0052425A"/>
    <w:rsid w:val="0057039F"/>
    <w:rsid w:val="00586A8D"/>
    <w:rsid w:val="005F4380"/>
    <w:rsid w:val="006B23B4"/>
    <w:rsid w:val="006D7A3B"/>
    <w:rsid w:val="007B5462"/>
    <w:rsid w:val="008034BD"/>
    <w:rsid w:val="008071A2"/>
    <w:rsid w:val="008173DE"/>
    <w:rsid w:val="00876352"/>
    <w:rsid w:val="008B4137"/>
    <w:rsid w:val="008C767A"/>
    <w:rsid w:val="008E77C6"/>
    <w:rsid w:val="009770BB"/>
    <w:rsid w:val="009E008D"/>
    <w:rsid w:val="00A5465F"/>
    <w:rsid w:val="00A77678"/>
    <w:rsid w:val="00BC4C95"/>
    <w:rsid w:val="00BD5944"/>
    <w:rsid w:val="00CB127C"/>
    <w:rsid w:val="00CE5297"/>
    <w:rsid w:val="00CF6858"/>
    <w:rsid w:val="00D17A34"/>
    <w:rsid w:val="00D377B5"/>
    <w:rsid w:val="00D93B31"/>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DDBE"/>
  <w15:docId w15:val="{70546FCC-087F-4204-AA91-A99207A7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F274-EF84-47E4-A60A-06968A78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2032</Words>
  <Characters>11586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2</cp:revision>
  <cp:lastPrinted>2020-12-02T09:48:00Z</cp:lastPrinted>
  <dcterms:created xsi:type="dcterms:W3CDTF">2020-12-02T09:49:00Z</dcterms:created>
  <dcterms:modified xsi:type="dcterms:W3CDTF">2020-12-02T09:49:00Z</dcterms:modified>
</cp:coreProperties>
</file>