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C2" w:rsidRPr="00D1174F" w:rsidRDefault="00D1174F" w:rsidP="00B860C2">
      <w:pPr>
        <w:rPr>
          <w:rFonts w:ascii="Gill Sans MT" w:hAnsi="Gill Sans MT" w:cs="Calibri Light"/>
          <w:b/>
          <w:sz w:val="56"/>
          <w:szCs w:val="56"/>
        </w:rPr>
      </w:pPr>
      <w:bookmarkStart w:id="0" w:name="_GoBack"/>
      <w:bookmarkEnd w:id="0"/>
      <w:r w:rsidRPr="00D1174F">
        <w:rPr>
          <w:rFonts w:ascii="Gill Sans MT" w:hAnsi="Gill Sans MT" w:cs="Calibri Light"/>
          <w:b/>
          <w:sz w:val="56"/>
          <w:szCs w:val="56"/>
        </w:rPr>
        <w:t>Rapporto</w:t>
      </w:r>
    </w:p>
    <w:p w:rsidR="00B860C2" w:rsidRDefault="00B860C2" w:rsidP="00B860C2"/>
    <w:p w:rsidR="00B860C2" w:rsidRDefault="00B860C2" w:rsidP="00B860C2">
      <w:pPr>
        <w:rPr>
          <w:rFonts w:cs="Arial"/>
          <w:szCs w:val="24"/>
        </w:rPr>
      </w:pPr>
    </w:p>
    <w:p w:rsidR="00B860C2" w:rsidRDefault="00B860C2" w:rsidP="00B860C2">
      <w:pPr>
        <w:rPr>
          <w:rFonts w:cs="Arial"/>
          <w:szCs w:val="24"/>
        </w:rPr>
      </w:pPr>
    </w:p>
    <w:p w:rsidR="00B860C2" w:rsidRDefault="00F071C4" w:rsidP="00B860C2">
      <w:pPr>
        <w:tabs>
          <w:tab w:val="left" w:pos="2098"/>
          <w:tab w:val="left" w:pos="4933"/>
        </w:tabs>
        <w:rPr>
          <w:rFonts w:cs="Arial"/>
          <w:szCs w:val="24"/>
        </w:rPr>
      </w:pPr>
      <w:r>
        <w:rPr>
          <w:rFonts w:cs="Arial"/>
          <w:b/>
          <w:sz w:val="32"/>
          <w:szCs w:val="32"/>
        </w:rPr>
        <w:t>7875</w:t>
      </w:r>
      <w:r w:rsidR="00B860C2" w:rsidRPr="008B4137">
        <w:rPr>
          <w:rFonts w:cs="Arial"/>
          <w:b/>
          <w:sz w:val="32"/>
          <w:szCs w:val="32"/>
        </w:rPr>
        <w:t xml:space="preserve"> R</w:t>
      </w:r>
      <w:r w:rsidR="00B860C2" w:rsidRPr="008B4137">
        <w:rPr>
          <w:rFonts w:cs="Arial"/>
          <w:sz w:val="28"/>
          <w:szCs w:val="28"/>
        </w:rPr>
        <w:tab/>
      </w:r>
      <w:r>
        <w:rPr>
          <w:rFonts w:cs="Arial"/>
          <w:sz w:val="28"/>
          <w:szCs w:val="28"/>
        </w:rPr>
        <w:t>1° dicembre 2020</w:t>
      </w:r>
      <w:r w:rsidR="00B860C2" w:rsidRPr="008B4137">
        <w:rPr>
          <w:rFonts w:cs="Arial"/>
          <w:sz w:val="28"/>
          <w:szCs w:val="28"/>
        </w:rPr>
        <w:tab/>
      </w:r>
      <w:r>
        <w:rPr>
          <w:sz w:val="28"/>
        </w:rPr>
        <w:t>ISTITUZIONI</w:t>
      </w:r>
    </w:p>
    <w:p w:rsidR="00B860C2" w:rsidRPr="00D1174F" w:rsidRDefault="00B860C2" w:rsidP="00B860C2">
      <w:pPr>
        <w:rPr>
          <w:rFonts w:cs="Arial"/>
          <w:sz w:val="22"/>
        </w:rPr>
      </w:pPr>
    </w:p>
    <w:p w:rsidR="00B860C2" w:rsidRPr="00D1174F" w:rsidRDefault="00B860C2" w:rsidP="00B860C2">
      <w:pPr>
        <w:rPr>
          <w:rFonts w:cs="Arial"/>
          <w:sz w:val="22"/>
        </w:rPr>
      </w:pPr>
    </w:p>
    <w:p w:rsidR="00B860C2" w:rsidRPr="00D1174F" w:rsidRDefault="00B860C2" w:rsidP="00B860C2">
      <w:pPr>
        <w:rPr>
          <w:rFonts w:cs="Arial"/>
          <w:sz w:val="22"/>
        </w:rPr>
      </w:pPr>
    </w:p>
    <w:p w:rsidR="00F071C4" w:rsidRPr="00F071C4" w:rsidRDefault="00F071C4" w:rsidP="00F071C4">
      <w:pPr>
        <w:rPr>
          <w:rFonts w:eastAsia="Times New Roman" w:cs="Arial"/>
          <w:b/>
          <w:sz w:val="28"/>
          <w:szCs w:val="28"/>
          <w:lang w:val="it-IT" w:eastAsia="it-IT"/>
        </w:rPr>
      </w:pPr>
      <w:bookmarkStart w:id="1" w:name="_Toc532286235"/>
      <w:r w:rsidRPr="00F071C4">
        <w:rPr>
          <w:rFonts w:eastAsia="Times New Roman" w:cs="Arial"/>
          <w:b/>
          <w:sz w:val="28"/>
          <w:szCs w:val="28"/>
          <w:lang w:val="it-IT" w:eastAsia="it-IT"/>
        </w:rPr>
        <w:t>della Commissione gestione e finanze</w:t>
      </w:r>
    </w:p>
    <w:p w:rsidR="00F071C4" w:rsidRPr="00F071C4" w:rsidRDefault="00F071C4" w:rsidP="00F071C4">
      <w:pPr>
        <w:rPr>
          <w:rFonts w:cs="Arial"/>
          <w:b/>
          <w:sz w:val="28"/>
          <w:szCs w:val="28"/>
        </w:rPr>
      </w:pPr>
      <w:r w:rsidRPr="00F071C4">
        <w:rPr>
          <w:rFonts w:eastAsia="Times New Roman" w:cs="Arial"/>
          <w:b/>
          <w:sz w:val="28"/>
          <w:szCs w:val="28"/>
          <w:lang w:val="it-IT" w:eastAsia="it-IT"/>
        </w:rPr>
        <w:t xml:space="preserve">sul messaggio 26 agosto 2020 concernente la </w:t>
      </w:r>
      <w:r w:rsidR="009F44BE">
        <w:rPr>
          <w:rFonts w:eastAsia="Times New Roman" w:cs="Arial"/>
          <w:b/>
          <w:sz w:val="28"/>
          <w:szCs w:val="28"/>
          <w:lang w:val="it-IT" w:eastAsia="it-IT"/>
        </w:rPr>
        <w:t>r</w:t>
      </w:r>
      <w:r w:rsidRPr="00F071C4">
        <w:rPr>
          <w:rFonts w:eastAsia="Times New Roman" w:cs="Arial"/>
          <w:b/>
          <w:sz w:val="28"/>
          <w:szCs w:val="28"/>
          <w:lang w:val="it-IT" w:eastAsia="it-IT"/>
        </w:rPr>
        <w:t>ichiesta di un credito di franchi 1'489’</w:t>
      </w:r>
      <w:proofErr w:type="gramStart"/>
      <w:r w:rsidRPr="00F071C4">
        <w:rPr>
          <w:rFonts w:eastAsia="Times New Roman" w:cs="Arial"/>
          <w:b/>
          <w:sz w:val="28"/>
          <w:szCs w:val="28"/>
          <w:lang w:val="it-IT" w:eastAsia="it-IT"/>
        </w:rPr>
        <w:t>000.--</w:t>
      </w:r>
      <w:proofErr w:type="gramEnd"/>
      <w:r w:rsidRPr="00F071C4">
        <w:rPr>
          <w:rFonts w:eastAsia="Times New Roman" w:cs="Arial"/>
          <w:b/>
          <w:sz w:val="28"/>
          <w:szCs w:val="28"/>
          <w:lang w:val="it-IT" w:eastAsia="it-IT"/>
        </w:rPr>
        <w:t xml:space="preserve"> per il rinnovo della piattaforma di sistema per la registrazione dei dati biometrici e l’introduzione della carta di soggiorno in formato carta di credito per i cittadini stranieri provenienti da Stati UE/AELS</w:t>
      </w:r>
    </w:p>
    <w:p w:rsidR="00F071C4" w:rsidRPr="00A34603" w:rsidRDefault="00F071C4" w:rsidP="00F071C4">
      <w:pPr>
        <w:tabs>
          <w:tab w:val="left" w:pos="4820"/>
        </w:tabs>
        <w:rPr>
          <w:rFonts w:cs="Arial"/>
          <w:szCs w:val="24"/>
        </w:rPr>
      </w:pPr>
    </w:p>
    <w:p w:rsidR="00F071C4" w:rsidRDefault="00F071C4" w:rsidP="00F071C4">
      <w:pPr>
        <w:tabs>
          <w:tab w:val="left" w:pos="4820"/>
        </w:tabs>
        <w:rPr>
          <w:rFonts w:cs="Arial"/>
          <w:szCs w:val="24"/>
        </w:rPr>
      </w:pPr>
    </w:p>
    <w:p w:rsidR="00F071C4" w:rsidRDefault="00F071C4" w:rsidP="00F071C4">
      <w:pPr>
        <w:tabs>
          <w:tab w:val="left" w:pos="4820"/>
        </w:tabs>
        <w:rPr>
          <w:rFonts w:cs="Arial"/>
          <w:szCs w:val="24"/>
        </w:rPr>
      </w:pPr>
    </w:p>
    <w:p w:rsidR="00F071C4" w:rsidRPr="00A34603" w:rsidRDefault="00F071C4" w:rsidP="00F071C4">
      <w:pPr>
        <w:pStyle w:val="Titolo1"/>
      </w:pPr>
      <w:r w:rsidRPr="00A34603">
        <w:t>Introduzione</w:t>
      </w:r>
    </w:p>
    <w:p w:rsidR="00F071C4" w:rsidRDefault="00F071C4" w:rsidP="00F071C4">
      <w:pPr>
        <w:rPr>
          <w:rFonts w:cs="Arial"/>
          <w:szCs w:val="24"/>
          <w:lang w:eastAsia="it-CH"/>
        </w:rPr>
      </w:pPr>
      <w:r w:rsidRPr="00A34603">
        <w:rPr>
          <w:rFonts w:cs="Arial"/>
          <w:szCs w:val="24"/>
        </w:rPr>
        <w:t xml:space="preserve">Il messaggio oggetto del presente rapporto concerne l’attuazione a livello cantonale di due importanti progetti federali (ESYSP e PA19) la cui realizzazione prevede un credito complessivo di franchi </w:t>
      </w:r>
      <w:r w:rsidRPr="00A34603">
        <w:rPr>
          <w:rFonts w:cs="Arial"/>
          <w:szCs w:val="24"/>
          <w:lang w:eastAsia="it-CH"/>
        </w:rPr>
        <w:t>1'489’000.--. Il credito è destinato al rinnovo della piattaforma di sistema per la registrazione dei dati biometrici e all’organizzazione del Servizio documenti d’identità dell’Ufficio dello stato civile e del Servizio nuove entrate dell’Ufficio della migrazione, Sezione della popolazione.</w:t>
      </w:r>
    </w:p>
    <w:p w:rsidR="00F071C4" w:rsidRPr="00A34603" w:rsidRDefault="00F071C4" w:rsidP="00F071C4">
      <w:pPr>
        <w:rPr>
          <w:rFonts w:cs="Arial"/>
          <w:szCs w:val="24"/>
          <w:lang w:eastAsia="it-CH"/>
        </w:rPr>
      </w:pPr>
    </w:p>
    <w:p w:rsidR="00F071C4" w:rsidRPr="00A34603" w:rsidRDefault="00F071C4" w:rsidP="00F071C4">
      <w:pPr>
        <w:rPr>
          <w:rFonts w:cs="Arial"/>
          <w:szCs w:val="24"/>
          <w:lang w:eastAsia="it-CH"/>
        </w:rPr>
      </w:pPr>
      <w:r w:rsidRPr="00A34603">
        <w:rPr>
          <w:rFonts w:cs="Arial"/>
          <w:szCs w:val="24"/>
          <w:lang w:eastAsia="it-CH"/>
        </w:rPr>
        <w:t>Con il progetto PA19 le autorità federali intendono estendere il formato carta di credito anche ai cittadini stranieri UE/AELS residenti o esercitanti un’attività lucrativa in Svizzera, affinché sia ridotto il rischio di falsificazioni e abusi in questo contesto.</w:t>
      </w:r>
    </w:p>
    <w:p w:rsidR="00F071C4" w:rsidRPr="00A34603" w:rsidRDefault="00F071C4" w:rsidP="00F071C4">
      <w:pPr>
        <w:rPr>
          <w:rFonts w:cs="Arial"/>
          <w:szCs w:val="24"/>
          <w:lang w:eastAsia="it-CH"/>
        </w:rPr>
      </w:pPr>
    </w:p>
    <w:p w:rsidR="00F071C4" w:rsidRPr="00A34603" w:rsidRDefault="00F071C4" w:rsidP="00F071C4">
      <w:pPr>
        <w:rPr>
          <w:szCs w:val="24"/>
        </w:rPr>
      </w:pPr>
      <w:r w:rsidRPr="00A34603">
        <w:rPr>
          <w:rFonts w:cs="Arial"/>
          <w:szCs w:val="24"/>
          <w:lang w:eastAsia="it-CH"/>
        </w:rPr>
        <w:t xml:space="preserve">Il progetto ESYSP è volto a rinnovare la piattaforma di sistema per la registrazione dei dati biometrici, divenuto ormai vetusto. </w:t>
      </w:r>
      <w:r w:rsidRPr="00A34603">
        <w:rPr>
          <w:szCs w:val="24"/>
        </w:rPr>
        <w:t>L’attuale piattaforma di sistema per il rilevamento dei dati biometrici garantisce dal 2010 l’acquisizione delle impronte digitali, della firma e dell’immagine del viso, indispensabili per il rilascio del passaporto e della carta d’identità per cittadini svizzeri, dei visti, delle carte di soggiorno biometriche e dei documenti di viaggio per i cittadini stranieri provenienti da Stati terzi. Le componenti principali della piattaforma hanno una durata massima d’impiego pari a dieci anni e pertanto, per assicurare la loro funzione, devono essere sostituite non appena saranno disponibili quelle nuove.</w:t>
      </w:r>
    </w:p>
    <w:p w:rsidR="00F071C4" w:rsidRPr="00A34603" w:rsidRDefault="00F071C4" w:rsidP="00F071C4">
      <w:pPr>
        <w:rPr>
          <w:szCs w:val="24"/>
        </w:rPr>
      </w:pPr>
    </w:p>
    <w:p w:rsidR="00F071C4" w:rsidRPr="00A34603" w:rsidRDefault="00F071C4" w:rsidP="00F071C4">
      <w:pPr>
        <w:rPr>
          <w:rFonts w:cs="Arial"/>
          <w:szCs w:val="24"/>
          <w:lang w:eastAsia="it-CH"/>
        </w:rPr>
      </w:pPr>
      <w:r w:rsidRPr="00A34603">
        <w:rPr>
          <w:szCs w:val="24"/>
        </w:rPr>
        <w:t xml:space="preserve">Come emerge chiaramente dal messaggio alcuni disguidi susseguitisi a livello federale a seguito di considerevoli ritardi e lacune da parte della ditta che si era aggiudicata la commessa per la fornitura dei nuovi apparecchi necessari per il progetto ESYSP rispettivamente l’incertezza relativa alla quantificazione finanziaria circa le nuove apparecchiature, ha imposto, in un primo tempo la sospensione del </w:t>
      </w:r>
      <w:r w:rsidRPr="00A34603">
        <w:rPr>
          <w:rFonts w:cs="Arial"/>
          <w:szCs w:val="24"/>
          <w:lang w:eastAsia="it-CH"/>
        </w:rPr>
        <w:t>messaggio n. 7676 del 26</w:t>
      </w:r>
      <w:r>
        <w:rPr>
          <w:rFonts w:cs="Arial"/>
          <w:szCs w:val="24"/>
          <w:lang w:eastAsia="it-CH"/>
        </w:rPr>
        <w:t xml:space="preserve"> </w:t>
      </w:r>
      <w:r w:rsidRPr="00A34603">
        <w:rPr>
          <w:rFonts w:cs="Arial"/>
          <w:szCs w:val="24"/>
          <w:lang w:eastAsia="it-CH"/>
        </w:rPr>
        <w:t>giugno</w:t>
      </w:r>
      <w:r>
        <w:rPr>
          <w:rFonts w:cs="Arial"/>
          <w:szCs w:val="24"/>
          <w:lang w:eastAsia="it-CH"/>
        </w:rPr>
        <w:t xml:space="preserve"> </w:t>
      </w:r>
      <w:r w:rsidRPr="00A34603">
        <w:rPr>
          <w:rFonts w:cs="Arial"/>
          <w:szCs w:val="24"/>
          <w:lang w:eastAsia="it-CH"/>
        </w:rPr>
        <w:t>2019 concernente la richiesta di un credito di franchi 991'000.-- per il rinnovo della piattaforma di sistema per la registrazione dei dati biometrici e l’introduzione della carta di soggiorno in formato carta di credito per i cittadini stranieri provenienti da Stati UE/AELS, e poi la sua sostituzione con il messaggio n. 7875 del 26 agosto 2020, ora oggetto del nostro esame.</w:t>
      </w:r>
    </w:p>
    <w:p w:rsidR="00F071C4" w:rsidRPr="00A34603" w:rsidRDefault="00F071C4" w:rsidP="00F071C4">
      <w:pPr>
        <w:rPr>
          <w:szCs w:val="24"/>
        </w:rPr>
      </w:pPr>
    </w:p>
    <w:p w:rsidR="00F071C4" w:rsidRPr="00A34603" w:rsidRDefault="00F071C4" w:rsidP="00F071C4">
      <w:pPr>
        <w:rPr>
          <w:szCs w:val="24"/>
        </w:rPr>
      </w:pPr>
      <w:r w:rsidRPr="00A34603">
        <w:rPr>
          <w:szCs w:val="24"/>
        </w:rPr>
        <w:lastRenderedPageBreak/>
        <w:t>Perciò, se inizialmente l’introduzione dei due progetti era stata prevista in maniera simultanea, ora a causa della realizzazione posticipata del progetto ESYSP, nel corso del 2021 si inizierà con l’implementazione del solo progetto PA19. Il considerevole aumento del numero di rilevamenti presuppone l’acquisizione di due nuovi apparecchi aggiuntivi nonché di un adeguamento della struttura attuale.</w:t>
      </w:r>
    </w:p>
    <w:p w:rsidR="00F071C4" w:rsidRDefault="00F071C4" w:rsidP="00F071C4">
      <w:pPr>
        <w:rPr>
          <w:szCs w:val="24"/>
        </w:rPr>
      </w:pPr>
    </w:p>
    <w:p w:rsidR="00B968D1" w:rsidRPr="00A34603" w:rsidRDefault="00B968D1" w:rsidP="00F071C4">
      <w:pPr>
        <w:rPr>
          <w:szCs w:val="24"/>
        </w:rPr>
      </w:pPr>
    </w:p>
    <w:p w:rsidR="00F071C4" w:rsidRDefault="00F071C4" w:rsidP="00F071C4">
      <w:pPr>
        <w:rPr>
          <w:b/>
          <w:szCs w:val="24"/>
          <w:lang w:eastAsia="it-CH"/>
        </w:rPr>
      </w:pPr>
    </w:p>
    <w:p w:rsidR="00F071C4" w:rsidRPr="00A34603" w:rsidRDefault="00F071C4" w:rsidP="00F071C4">
      <w:pPr>
        <w:pStyle w:val="Titolo1"/>
      </w:pPr>
      <w:r w:rsidRPr="00A34603">
        <w:t>PROGETTO BIOMETRIA 2020</w:t>
      </w:r>
    </w:p>
    <w:p w:rsidR="00F071C4" w:rsidRPr="00A34603" w:rsidRDefault="00F071C4" w:rsidP="00F071C4">
      <w:pPr>
        <w:rPr>
          <w:szCs w:val="24"/>
          <w:lang w:eastAsia="it-CH"/>
        </w:rPr>
      </w:pPr>
      <w:r w:rsidRPr="00A34603">
        <w:rPr>
          <w:szCs w:val="24"/>
          <w:lang w:eastAsia="it-CH"/>
        </w:rPr>
        <w:t>La decisione del Consiglio federale di estendere la nuova carta di soggiorno in formato carta di credito anche ai cittadini stranieri provenienti da Stati UE/AELS comporta un adattamento dell’attuale organizzazione per adempiere il nuovo compito, come pure per rinnovare e aumentare il numero di apparecchi di rilevamento in dotazione al Cantone Ticino affinché l’aumento dell’attività possa essere gestito con efficienza, in particolare nell’ambito del rilevamento della fotografia e della firma per i cittadini stranieri.</w:t>
      </w:r>
    </w:p>
    <w:p w:rsidR="00F071C4" w:rsidRPr="00A34603" w:rsidRDefault="00F071C4" w:rsidP="00F071C4">
      <w:pPr>
        <w:rPr>
          <w:szCs w:val="24"/>
          <w:lang w:eastAsia="it-CH"/>
        </w:rPr>
      </w:pPr>
    </w:p>
    <w:p w:rsidR="00F071C4" w:rsidRDefault="00F071C4" w:rsidP="00F071C4">
      <w:pPr>
        <w:rPr>
          <w:szCs w:val="24"/>
          <w:lang w:eastAsia="it-CH"/>
        </w:rPr>
      </w:pPr>
      <w:r w:rsidRPr="00A34603">
        <w:rPr>
          <w:szCs w:val="24"/>
        </w:rPr>
        <w:t xml:space="preserve">A livello organizzativo appare sensato affiancare </w:t>
      </w:r>
      <w:r w:rsidRPr="00A34603">
        <w:rPr>
          <w:szCs w:val="24"/>
          <w:lang w:eastAsia="it-CH"/>
        </w:rPr>
        <w:t xml:space="preserve">il Servizio nuove entrate dell’Ufficio della migrazione </w:t>
      </w:r>
      <w:r w:rsidRPr="00A34603">
        <w:rPr>
          <w:szCs w:val="24"/>
        </w:rPr>
        <w:t>al</w:t>
      </w:r>
      <w:r w:rsidRPr="00A34603">
        <w:rPr>
          <w:szCs w:val="24"/>
          <w:lang w:eastAsia="it-CH"/>
        </w:rPr>
        <w:t xml:space="preserve"> Servizio documenti d’identità dell’Ufficio dello stato civile nell’attività di rilevamento dei dati degli stranieri e di mantenere l’attuale assetto relativo ai centri comunali per quanto riguarda i documenti d’identità dei cittadini svizzeri.</w:t>
      </w:r>
    </w:p>
    <w:p w:rsidR="00F071C4" w:rsidRDefault="00F071C4" w:rsidP="00F071C4">
      <w:pPr>
        <w:rPr>
          <w:szCs w:val="24"/>
          <w:lang w:eastAsia="it-CH"/>
        </w:rPr>
      </w:pPr>
    </w:p>
    <w:p w:rsidR="00B968D1" w:rsidRDefault="00B968D1" w:rsidP="00F071C4">
      <w:pPr>
        <w:rPr>
          <w:szCs w:val="24"/>
          <w:lang w:eastAsia="it-CH"/>
        </w:rPr>
      </w:pPr>
    </w:p>
    <w:p w:rsidR="00F071C4" w:rsidRDefault="00F071C4" w:rsidP="00F071C4">
      <w:pPr>
        <w:rPr>
          <w:b/>
          <w:szCs w:val="24"/>
          <w:lang w:eastAsia="it-CH"/>
        </w:rPr>
      </w:pPr>
    </w:p>
    <w:p w:rsidR="00F071C4" w:rsidRPr="00A34603" w:rsidRDefault="00F071C4" w:rsidP="00F071C4">
      <w:pPr>
        <w:pStyle w:val="Titolo1"/>
      </w:pPr>
      <w:r>
        <w:t xml:space="preserve">IMPLICAZIONI DEL </w:t>
      </w:r>
      <w:r w:rsidRPr="00A34603">
        <w:t>PROGETTO BIOMETRIA 2020</w:t>
      </w:r>
    </w:p>
    <w:p w:rsidR="00F071C4" w:rsidRPr="00D8483C" w:rsidRDefault="00F071C4" w:rsidP="00F071C4">
      <w:pPr>
        <w:rPr>
          <w:rFonts w:eastAsia="Times New Roman" w:cs="Arial"/>
          <w:szCs w:val="24"/>
          <w:lang w:eastAsia="it-CH"/>
        </w:rPr>
      </w:pPr>
      <w:r w:rsidRPr="00D8483C">
        <w:rPr>
          <w:rFonts w:eastAsia="Times New Roman" w:cs="Arial"/>
          <w:color w:val="000000"/>
          <w:szCs w:val="24"/>
          <w:lang w:eastAsia="it-CH"/>
        </w:rPr>
        <w:t>Di per s</w:t>
      </w:r>
      <w:r>
        <w:rPr>
          <w:rFonts w:eastAsia="Times New Roman" w:cs="Arial"/>
          <w:color w:val="000000"/>
          <w:szCs w:val="24"/>
          <w:lang w:eastAsia="it-CH"/>
        </w:rPr>
        <w:t xml:space="preserve">é l’operazione proposta dal </w:t>
      </w:r>
      <w:r w:rsidRPr="00D8483C">
        <w:rPr>
          <w:rFonts w:eastAsia="Times New Roman" w:cs="Arial"/>
          <w:color w:val="000000"/>
          <w:szCs w:val="24"/>
          <w:lang w:eastAsia="it-CH"/>
        </w:rPr>
        <w:t>Messaggio non attua nessuna ottimizzazione.</w:t>
      </w:r>
    </w:p>
    <w:p w:rsidR="00F071C4" w:rsidRPr="00D8483C" w:rsidRDefault="00F071C4" w:rsidP="00F071C4">
      <w:pPr>
        <w:shd w:val="clear" w:color="auto" w:fill="FFFFFF"/>
        <w:rPr>
          <w:rFonts w:eastAsia="Times New Roman" w:cs="Arial"/>
          <w:color w:val="212121"/>
          <w:szCs w:val="24"/>
          <w:lang w:eastAsia="it-CH"/>
        </w:rPr>
      </w:pPr>
      <w:r w:rsidRPr="00D8483C">
        <w:rPr>
          <w:rFonts w:eastAsia="Times New Roman" w:cs="Arial"/>
          <w:color w:val="000000"/>
          <w:szCs w:val="24"/>
          <w:lang w:eastAsia="it-CH"/>
        </w:rPr>
        <w:t>Il progetto biometria 2020 è un’imprescindibile conseguenza di compiti inderogabili impartiti dalle autorità federali che prevedono l’estensione ai cittadini UE/AELS del formato in carta di credito dei permessi</w:t>
      </w:r>
      <w:r>
        <w:rPr>
          <w:rFonts w:eastAsia="Times New Roman" w:cs="Arial"/>
          <w:color w:val="000000"/>
          <w:szCs w:val="24"/>
          <w:lang w:eastAsia="it-CH"/>
        </w:rPr>
        <w:t xml:space="preserve"> </w:t>
      </w:r>
      <w:r w:rsidRPr="00D8483C">
        <w:rPr>
          <w:rFonts w:eastAsia="Times New Roman" w:cs="Arial"/>
          <w:color w:val="000000"/>
          <w:szCs w:val="24"/>
          <w:lang w:eastAsia="it-CH"/>
        </w:rPr>
        <w:t>(PA19) e il rinnovo del programma informatico per il rilevamento dei dati biometrici (ESYSP). Per la loro attuazione si è deciso di sfruttare già l’organizzazione attuale potenziandola solo puntualmente</w:t>
      </w:r>
      <w:r>
        <w:rPr>
          <w:rFonts w:eastAsia="Times New Roman" w:cs="Arial"/>
          <w:color w:val="000000"/>
          <w:szCs w:val="24"/>
          <w:lang w:eastAsia="it-CH"/>
        </w:rPr>
        <w:t>,</w:t>
      </w:r>
      <w:r w:rsidRPr="00D8483C">
        <w:rPr>
          <w:rFonts w:eastAsia="Times New Roman" w:cs="Arial"/>
          <w:color w:val="000000"/>
          <w:szCs w:val="24"/>
          <w:lang w:eastAsia="it-CH"/>
        </w:rPr>
        <w:t xml:space="preserve"> laddove necessario</w:t>
      </w:r>
      <w:r>
        <w:rPr>
          <w:rFonts w:eastAsia="Times New Roman" w:cs="Arial"/>
          <w:color w:val="000000"/>
          <w:szCs w:val="24"/>
          <w:lang w:eastAsia="it-CH"/>
        </w:rPr>
        <w:t>,</w:t>
      </w:r>
      <w:r w:rsidRPr="00D8483C">
        <w:rPr>
          <w:rFonts w:eastAsia="Times New Roman" w:cs="Arial"/>
          <w:color w:val="000000"/>
          <w:szCs w:val="24"/>
          <w:lang w:eastAsia="it-CH"/>
        </w:rPr>
        <w:t xml:space="preserve"> per far fronte all’aumento dei rilevamenti. Questa impostazione ha il vantaggio di continuare con un’organizzazione collaudata, considerato che vi sono diversi fattori, ad oggi difficilmente prevedibili, suscettibili di influenzare l’andamento del progetto, che quindi devono essere valutati e monitorati in fase d’esecuzione.</w:t>
      </w:r>
      <w:r>
        <w:rPr>
          <w:rFonts w:eastAsia="Times New Roman" w:cs="Arial"/>
          <w:color w:val="000000"/>
          <w:szCs w:val="24"/>
          <w:lang w:eastAsia="it-CH"/>
        </w:rPr>
        <w:t xml:space="preserve"> </w:t>
      </w:r>
      <w:r w:rsidRPr="00D8483C">
        <w:rPr>
          <w:rFonts w:eastAsia="Times New Roman" w:cs="Arial"/>
          <w:color w:val="000000"/>
          <w:szCs w:val="24"/>
          <w:lang w:val="it-IT" w:eastAsia="it-CH"/>
        </w:rPr>
        <w:t>L’aumento dei rilevamenti dei dati biometrici previsto presso il Servizio documenti d’identità e l’introduzione del nuovo compito presso il Servizio nuove entrate renderà necessario un potenziamento dell’organico.</w:t>
      </w:r>
    </w:p>
    <w:p w:rsidR="00F071C4" w:rsidRPr="00D8483C" w:rsidRDefault="00F071C4" w:rsidP="00F071C4">
      <w:pPr>
        <w:shd w:val="clear" w:color="auto" w:fill="FFFFFF"/>
        <w:rPr>
          <w:rFonts w:eastAsia="Times New Roman" w:cs="Arial"/>
          <w:color w:val="212121"/>
          <w:szCs w:val="24"/>
          <w:lang w:eastAsia="it-CH"/>
        </w:rPr>
      </w:pPr>
    </w:p>
    <w:p w:rsidR="00F071C4" w:rsidRPr="00D8483C" w:rsidRDefault="00F071C4" w:rsidP="00F071C4">
      <w:pPr>
        <w:shd w:val="clear" w:color="auto" w:fill="FFFFFF"/>
        <w:rPr>
          <w:rFonts w:eastAsia="Times New Roman" w:cs="Arial"/>
          <w:color w:val="212121"/>
          <w:szCs w:val="24"/>
          <w:lang w:eastAsia="it-CH"/>
        </w:rPr>
      </w:pPr>
      <w:r w:rsidRPr="00D8483C">
        <w:rPr>
          <w:rFonts w:eastAsia="Times New Roman" w:cs="Arial"/>
          <w:color w:val="000000"/>
          <w:szCs w:val="24"/>
          <w:lang w:eastAsia="it-CH"/>
        </w:rPr>
        <w:t xml:space="preserve">In una prima fase è previsto il potenziamento del Servizio documenti d’identità di otto unità a tempo pieno nella funzione di collaboratori amministrativi. Di queste tre ausiliarie in modo da poter far fronte a una mole di lavoro iniziale straordinaria generata dal nuovo formato. Due unità saranno trasferite dalla </w:t>
      </w:r>
      <w:proofErr w:type="spellStart"/>
      <w:r w:rsidRPr="00D8483C">
        <w:rPr>
          <w:rFonts w:eastAsia="Times New Roman" w:cs="Arial"/>
          <w:color w:val="000000"/>
          <w:szCs w:val="24"/>
          <w:lang w:eastAsia="it-CH"/>
        </w:rPr>
        <w:t>confezionatura</w:t>
      </w:r>
      <w:proofErr w:type="spellEnd"/>
      <w:r w:rsidRPr="00D8483C">
        <w:rPr>
          <w:rFonts w:eastAsia="Times New Roman" w:cs="Arial"/>
          <w:color w:val="000000"/>
          <w:szCs w:val="24"/>
          <w:lang w:eastAsia="it-CH"/>
        </w:rPr>
        <w:t xml:space="preserve"> dei permessi cartacei</w:t>
      </w:r>
      <w:r>
        <w:rPr>
          <w:rFonts w:eastAsia="Times New Roman" w:cs="Arial"/>
          <w:color w:val="000000"/>
          <w:szCs w:val="24"/>
          <w:lang w:eastAsia="it-CH"/>
        </w:rPr>
        <w:t>;</w:t>
      </w:r>
      <w:r w:rsidRPr="00D8483C">
        <w:rPr>
          <w:rFonts w:eastAsia="Times New Roman" w:cs="Arial"/>
          <w:color w:val="000000"/>
          <w:szCs w:val="24"/>
          <w:lang w:eastAsia="it-CH"/>
        </w:rPr>
        <w:t xml:space="preserve"> pertanto, al netto della compensazione parziale, l’organico dovrà essere aumentato di sei unità, di cui tre ausiliarie.</w:t>
      </w:r>
    </w:p>
    <w:p w:rsidR="00F071C4" w:rsidRPr="00D8483C" w:rsidRDefault="00F071C4" w:rsidP="00F071C4">
      <w:pPr>
        <w:shd w:val="clear" w:color="auto" w:fill="FFFFFF"/>
        <w:rPr>
          <w:rFonts w:eastAsia="Times New Roman" w:cs="Arial"/>
          <w:color w:val="212121"/>
          <w:szCs w:val="24"/>
          <w:lang w:eastAsia="it-CH"/>
        </w:rPr>
      </w:pPr>
    </w:p>
    <w:p w:rsidR="00F071C4" w:rsidRPr="00D8483C" w:rsidRDefault="00F071C4" w:rsidP="00F071C4">
      <w:pPr>
        <w:shd w:val="clear" w:color="auto" w:fill="FFFFFF"/>
        <w:rPr>
          <w:rFonts w:eastAsia="Times New Roman" w:cs="Arial"/>
          <w:color w:val="212121"/>
          <w:szCs w:val="24"/>
          <w:lang w:eastAsia="it-CH"/>
        </w:rPr>
      </w:pPr>
      <w:r w:rsidRPr="00D8483C">
        <w:rPr>
          <w:rFonts w:eastAsia="Times New Roman" w:cs="Arial"/>
          <w:color w:val="000000"/>
          <w:szCs w:val="24"/>
          <w:lang w:eastAsia="it-CH"/>
        </w:rPr>
        <w:t>Per quanto riguarda il Servizio nuove entrate è previsto un potenziamento dell’organico pari a un’unità a tempo pieno nella funzione di Segretario I. Questo supporto è fondamentale affinché possa essere garantita la gestione del rilevamento dei dati biometrici nel contesto del colloquio previsto nell’ambito del rilascio di un nuovo permesso senza compromettere l’importante lavoro di esame delle relative pratiche secondo una tempistica di evasione confacente.</w:t>
      </w:r>
    </w:p>
    <w:p w:rsidR="00F071C4" w:rsidRPr="00D8483C" w:rsidRDefault="00F071C4" w:rsidP="00F071C4">
      <w:pPr>
        <w:shd w:val="clear" w:color="auto" w:fill="FFFFFF"/>
        <w:rPr>
          <w:rFonts w:eastAsia="Times New Roman" w:cs="Arial"/>
          <w:color w:val="212121"/>
          <w:szCs w:val="24"/>
          <w:lang w:eastAsia="it-CH"/>
        </w:rPr>
      </w:pPr>
    </w:p>
    <w:p w:rsidR="00F071C4" w:rsidRPr="00D8483C" w:rsidRDefault="00F071C4" w:rsidP="00F071C4">
      <w:pPr>
        <w:shd w:val="clear" w:color="auto" w:fill="FFFFFF"/>
        <w:rPr>
          <w:rFonts w:eastAsia="Times New Roman" w:cs="Arial"/>
          <w:color w:val="212121"/>
          <w:szCs w:val="24"/>
          <w:lang w:eastAsia="it-CH"/>
        </w:rPr>
      </w:pPr>
      <w:r w:rsidRPr="00D8483C">
        <w:rPr>
          <w:rFonts w:eastAsia="Times New Roman" w:cs="Arial"/>
          <w:color w:val="000000"/>
          <w:szCs w:val="24"/>
          <w:lang w:eastAsia="it-CH"/>
        </w:rPr>
        <w:lastRenderedPageBreak/>
        <w:t>L’entrata in funzione dei nuovi collaboratori sarà definita in base allo sviluppo delle varie fasi di concretizzazione del progetto e tenuto conto dei necessari periodi di introduzione e formazione.</w:t>
      </w:r>
    </w:p>
    <w:p w:rsidR="00F071C4" w:rsidRPr="00D8483C" w:rsidRDefault="00F071C4" w:rsidP="00F071C4">
      <w:pPr>
        <w:shd w:val="clear" w:color="auto" w:fill="FFFFFF"/>
        <w:rPr>
          <w:rFonts w:eastAsia="Times New Roman" w:cs="Arial"/>
          <w:color w:val="212121"/>
          <w:szCs w:val="24"/>
          <w:lang w:eastAsia="it-CH"/>
        </w:rPr>
      </w:pPr>
    </w:p>
    <w:p w:rsidR="00F071C4" w:rsidRPr="00D8483C" w:rsidRDefault="00F071C4" w:rsidP="00F071C4">
      <w:pPr>
        <w:shd w:val="clear" w:color="auto" w:fill="FFFFFF"/>
        <w:rPr>
          <w:rFonts w:eastAsia="Times New Roman" w:cs="Arial"/>
          <w:color w:val="212121"/>
          <w:szCs w:val="24"/>
          <w:lang w:eastAsia="it-CH"/>
        </w:rPr>
      </w:pPr>
      <w:r w:rsidRPr="00D8483C">
        <w:rPr>
          <w:rFonts w:eastAsia="Times New Roman" w:cs="Arial"/>
          <w:color w:val="000000"/>
          <w:szCs w:val="24"/>
          <w:lang w:eastAsia="it-CH"/>
        </w:rPr>
        <w:t>La futura dotazione di personale</w:t>
      </w:r>
      <w:r>
        <w:rPr>
          <w:rFonts w:eastAsia="Times New Roman" w:cs="Arial"/>
          <w:color w:val="000000"/>
          <w:szCs w:val="24"/>
          <w:lang w:eastAsia="it-CH"/>
        </w:rPr>
        <w:t xml:space="preserve"> </w:t>
      </w:r>
      <w:r w:rsidRPr="00D8483C">
        <w:rPr>
          <w:rFonts w:eastAsia="Times New Roman" w:cs="Arial"/>
          <w:color w:val="000000"/>
          <w:szCs w:val="24"/>
          <w:lang w:val="it-IT" w:eastAsia="it-CH"/>
        </w:rPr>
        <w:t>sarà sottoposta a costante verifica per decidere nelle fasi successive, a dipendenza delle stime aggiornate dei rilevamenti, un</w:t>
      </w:r>
      <w:r>
        <w:rPr>
          <w:rFonts w:eastAsia="Times New Roman" w:cs="Arial"/>
          <w:color w:val="000000"/>
          <w:szCs w:val="24"/>
          <w:lang w:val="it-IT" w:eastAsia="it-CH"/>
        </w:rPr>
        <w:t xml:space="preserve"> </w:t>
      </w:r>
      <w:r w:rsidRPr="00D8483C">
        <w:rPr>
          <w:rFonts w:eastAsia="Times New Roman" w:cs="Arial"/>
          <w:color w:val="000000"/>
          <w:szCs w:val="24"/>
          <w:lang w:val="it-IT" w:eastAsia="it-CH"/>
        </w:rPr>
        <w:t>eventuale adeguamento.</w:t>
      </w:r>
    </w:p>
    <w:p w:rsidR="00F071C4" w:rsidRDefault="00F071C4" w:rsidP="00F071C4">
      <w:pPr>
        <w:rPr>
          <w:szCs w:val="24"/>
          <w:lang w:eastAsia="it-CH"/>
        </w:rPr>
      </w:pPr>
    </w:p>
    <w:p w:rsidR="00B968D1" w:rsidRDefault="00B968D1" w:rsidP="00F071C4">
      <w:pPr>
        <w:rPr>
          <w:szCs w:val="24"/>
          <w:lang w:eastAsia="it-CH"/>
        </w:rPr>
      </w:pPr>
    </w:p>
    <w:p w:rsidR="00F071C4" w:rsidRDefault="00F071C4" w:rsidP="00F071C4">
      <w:pPr>
        <w:rPr>
          <w:szCs w:val="24"/>
          <w:lang w:eastAsia="it-CH"/>
        </w:rPr>
      </w:pPr>
    </w:p>
    <w:p w:rsidR="00F071C4" w:rsidRPr="00A34603" w:rsidRDefault="00F071C4" w:rsidP="00F071C4">
      <w:pPr>
        <w:pStyle w:val="Titolo1"/>
      </w:pPr>
      <w:r>
        <w:t>TASSE PER IL RILASCIO DEI DOCUMENTI</w:t>
      </w:r>
    </w:p>
    <w:p w:rsidR="00F071C4" w:rsidRPr="00E37068" w:rsidRDefault="00F071C4" w:rsidP="00F071C4">
      <w:pPr>
        <w:pStyle w:val="xmsonormal"/>
        <w:shd w:val="clear" w:color="auto" w:fill="FFFFFF"/>
        <w:spacing w:before="0" w:beforeAutospacing="0" w:after="0" w:afterAutospacing="0"/>
        <w:rPr>
          <w:rFonts w:ascii="Arial" w:hAnsi="Arial" w:cs="Arial"/>
          <w:color w:val="212121"/>
        </w:rPr>
      </w:pPr>
      <w:r w:rsidRPr="00E37068">
        <w:rPr>
          <w:rFonts w:ascii="Arial" w:hAnsi="Arial" w:cs="Arial"/>
          <w:color w:val="000000"/>
          <w:lang w:val="it-IT"/>
        </w:rPr>
        <w:t xml:space="preserve">Gli emolumenti per il rilascio dei documenti sono definiti a </w:t>
      </w:r>
      <w:r>
        <w:rPr>
          <w:rFonts w:ascii="Arial" w:hAnsi="Arial" w:cs="Arial"/>
          <w:color w:val="000000"/>
          <w:lang w:val="it-IT"/>
        </w:rPr>
        <w:t>l</w:t>
      </w:r>
      <w:r w:rsidRPr="00E37068">
        <w:rPr>
          <w:rFonts w:ascii="Arial" w:hAnsi="Arial" w:cs="Arial"/>
          <w:color w:val="000000"/>
          <w:lang w:val="it-IT"/>
        </w:rPr>
        <w:t>ivello federale dall’Ordinanza sugli emolumenti della legge federale sugli stranieri e la loro integrazione (</w:t>
      </w:r>
      <w:proofErr w:type="spellStart"/>
      <w:r w:rsidRPr="00E37068">
        <w:rPr>
          <w:rFonts w:ascii="Arial" w:hAnsi="Arial" w:cs="Arial"/>
          <w:color w:val="000000"/>
          <w:lang w:val="it-IT"/>
        </w:rPr>
        <w:t>OEmol-LStrI</w:t>
      </w:r>
      <w:proofErr w:type="spellEnd"/>
      <w:r w:rsidRPr="00E37068">
        <w:rPr>
          <w:rFonts w:ascii="Arial" w:hAnsi="Arial" w:cs="Arial"/>
          <w:color w:val="000000"/>
          <w:lang w:val="it-IT"/>
        </w:rPr>
        <w:t xml:space="preserve">; RL 142.209). I permessi rilasciati a cittadini di uno stato UE/AELS non possono costare di più di quanto costa la carta d’identità svizzera (al momento </w:t>
      </w:r>
      <w:proofErr w:type="spellStart"/>
      <w:r w:rsidRPr="00E37068">
        <w:rPr>
          <w:rFonts w:ascii="Arial" w:hAnsi="Arial" w:cs="Arial"/>
          <w:color w:val="000000"/>
          <w:lang w:val="it-IT"/>
        </w:rPr>
        <w:t>fr</w:t>
      </w:r>
      <w:proofErr w:type="spellEnd"/>
      <w:r w:rsidRPr="00E37068">
        <w:rPr>
          <w:rFonts w:ascii="Arial" w:hAnsi="Arial" w:cs="Arial"/>
          <w:color w:val="000000"/>
          <w:lang w:val="it-IT"/>
        </w:rPr>
        <w:t>. 65.--).</w:t>
      </w:r>
    </w:p>
    <w:p w:rsidR="00F071C4" w:rsidRDefault="00F071C4" w:rsidP="00F071C4">
      <w:pPr>
        <w:rPr>
          <w:szCs w:val="24"/>
          <w:lang w:eastAsia="it-CH"/>
        </w:rPr>
      </w:pPr>
    </w:p>
    <w:p w:rsidR="00B968D1" w:rsidRPr="00A34603" w:rsidRDefault="00B968D1" w:rsidP="00F071C4">
      <w:pPr>
        <w:rPr>
          <w:szCs w:val="24"/>
          <w:lang w:eastAsia="it-CH"/>
        </w:rPr>
      </w:pPr>
    </w:p>
    <w:p w:rsidR="00F071C4" w:rsidRPr="00A34603" w:rsidRDefault="00F071C4" w:rsidP="00F071C4">
      <w:pPr>
        <w:rPr>
          <w:szCs w:val="24"/>
        </w:rPr>
      </w:pPr>
    </w:p>
    <w:p w:rsidR="00F071C4" w:rsidRPr="00A34603" w:rsidRDefault="00F071C4" w:rsidP="00F071C4">
      <w:pPr>
        <w:pStyle w:val="Titolo1"/>
      </w:pPr>
      <w:r w:rsidRPr="00A34603">
        <w:t>COSTI DEL PROGETTO BIOMETRIA 2020</w:t>
      </w:r>
    </w:p>
    <w:p w:rsidR="00F071C4" w:rsidRPr="00A34603" w:rsidRDefault="00F071C4" w:rsidP="00F071C4">
      <w:pPr>
        <w:rPr>
          <w:rFonts w:cs="Arial"/>
          <w:b/>
          <w:i/>
          <w:szCs w:val="24"/>
        </w:rPr>
      </w:pPr>
      <w:r w:rsidRPr="00A34603">
        <w:rPr>
          <w:rFonts w:cs="Arial"/>
          <w:b/>
          <w:i/>
          <w:szCs w:val="24"/>
        </w:rPr>
        <w:t>Costi d’investimento</w:t>
      </w:r>
    </w:p>
    <w:p w:rsidR="00F071C4" w:rsidRPr="00A34603" w:rsidRDefault="00F071C4" w:rsidP="00F071C4">
      <w:pPr>
        <w:rPr>
          <w:rFonts w:cs="Arial"/>
          <w:szCs w:val="24"/>
        </w:rPr>
      </w:pPr>
      <w:r w:rsidRPr="00A34603">
        <w:rPr>
          <w:szCs w:val="24"/>
        </w:rPr>
        <w:t>I costi d’investimento arrotondati per il progetto Biometria 2020 ammontano complessivamente a franchi 1’489’000.--. Essi comprendono gli interventi logistici e informatici che per garantire</w:t>
      </w:r>
      <w:r w:rsidRPr="00A34603">
        <w:rPr>
          <w:rFonts w:cs="Arial"/>
          <w:szCs w:val="24"/>
        </w:rPr>
        <w:t xml:space="preserve"> la continuità dei servizi avverranno a tappe per mezzo di postazioni di lavoro provvisorie.</w:t>
      </w:r>
    </w:p>
    <w:p w:rsidR="00F071C4" w:rsidRPr="00A34603" w:rsidRDefault="00F071C4" w:rsidP="00F071C4">
      <w:pPr>
        <w:rPr>
          <w:rFonts w:cs="Arial"/>
          <w:szCs w:val="24"/>
        </w:rPr>
      </w:pPr>
    </w:p>
    <w:p w:rsidR="00F071C4" w:rsidRPr="00A34603" w:rsidRDefault="00F071C4" w:rsidP="00F071C4">
      <w:pPr>
        <w:rPr>
          <w:b/>
          <w:i/>
          <w:szCs w:val="24"/>
        </w:rPr>
      </w:pPr>
      <w:r w:rsidRPr="00A34603">
        <w:rPr>
          <w:b/>
          <w:i/>
          <w:szCs w:val="24"/>
        </w:rPr>
        <w:t>Costi di gestione corrente</w:t>
      </w:r>
    </w:p>
    <w:p w:rsidR="00F071C4" w:rsidRPr="00A34603" w:rsidRDefault="00F071C4" w:rsidP="00F071C4">
      <w:pPr>
        <w:rPr>
          <w:rFonts w:cs="Arial"/>
          <w:szCs w:val="24"/>
        </w:rPr>
      </w:pPr>
      <w:r w:rsidRPr="00A34603">
        <w:rPr>
          <w:rFonts w:cs="Arial"/>
          <w:szCs w:val="24"/>
        </w:rPr>
        <w:t>Qui di seguito sono esposte in maniera riassuntiva i costi di manutenzione e di supporto degli apparecchi come pure i costi inerenti al personale che con l’aumento del volume lavorativo sarà adeguato di conseguenza.</w:t>
      </w:r>
    </w:p>
    <w:p w:rsidR="00F071C4" w:rsidRPr="00A34603" w:rsidRDefault="00F071C4" w:rsidP="00F071C4">
      <w:pPr>
        <w:rPr>
          <w:rFonts w:cs="Arial"/>
          <w:i/>
          <w:szCs w:val="24"/>
        </w:rPr>
      </w:pPr>
    </w:p>
    <w:p w:rsidR="00F071C4" w:rsidRPr="00A34603" w:rsidRDefault="00F071C4" w:rsidP="00F071C4">
      <w:pPr>
        <w:autoSpaceDE w:val="0"/>
        <w:autoSpaceDN w:val="0"/>
        <w:adjustRightInd w:val="0"/>
        <w:rPr>
          <w:rFonts w:cs="Arial"/>
          <w:bCs/>
          <w:i/>
          <w:szCs w:val="24"/>
          <w:lang w:eastAsia="it-CH"/>
        </w:rPr>
      </w:pPr>
      <w:r w:rsidRPr="00A34603">
        <w:rPr>
          <w:rFonts w:cs="Arial"/>
          <w:bCs/>
          <w:i/>
          <w:szCs w:val="24"/>
          <w:lang w:eastAsia="it-CH"/>
        </w:rPr>
        <w:t>Spese di gestione corrente annue</w:t>
      </w:r>
    </w:p>
    <w:p w:rsidR="00F071C4" w:rsidRPr="00A34603" w:rsidRDefault="00F071C4" w:rsidP="00F071C4">
      <w:pPr>
        <w:pStyle w:val="Paragrafoelenco"/>
        <w:numPr>
          <w:ilvl w:val="0"/>
          <w:numId w:val="12"/>
        </w:numPr>
        <w:tabs>
          <w:tab w:val="left" w:pos="7371"/>
          <w:tab w:val="right" w:pos="8789"/>
        </w:tabs>
        <w:autoSpaceDE w:val="0"/>
        <w:autoSpaceDN w:val="0"/>
        <w:adjustRightInd w:val="0"/>
        <w:spacing w:before="60"/>
        <w:ind w:left="284" w:hanging="284"/>
        <w:rPr>
          <w:rFonts w:cs="Arial"/>
          <w:bCs/>
          <w:szCs w:val="24"/>
          <w:lang w:eastAsia="it-CH"/>
        </w:rPr>
      </w:pPr>
      <w:r w:rsidRPr="00A34603">
        <w:rPr>
          <w:rFonts w:cs="Arial"/>
          <w:bCs/>
          <w:szCs w:val="24"/>
          <w:lang w:eastAsia="it-CH"/>
        </w:rPr>
        <w:t>manutenzione apparecchi Sezione logistica anni 2021-2022</w:t>
      </w:r>
      <w:r w:rsidRPr="00A34603">
        <w:rPr>
          <w:rFonts w:cs="Arial"/>
          <w:bCs/>
          <w:szCs w:val="24"/>
          <w:lang w:eastAsia="it-CH"/>
        </w:rPr>
        <w:tab/>
      </w:r>
      <w:proofErr w:type="spellStart"/>
      <w:r w:rsidRPr="00A34603">
        <w:rPr>
          <w:rFonts w:cs="Arial"/>
          <w:szCs w:val="24"/>
        </w:rPr>
        <w:t>fr</w:t>
      </w:r>
      <w:proofErr w:type="spellEnd"/>
      <w:r w:rsidRPr="00A34603">
        <w:rPr>
          <w:rFonts w:cs="Arial"/>
          <w:szCs w:val="24"/>
        </w:rPr>
        <w:t>.</w:t>
      </w:r>
      <w:r w:rsidRPr="00A34603">
        <w:rPr>
          <w:rFonts w:cs="Arial"/>
          <w:szCs w:val="24"/>
        </w:rPr>
        <w:tab/>
        <w:t>128’000</w:t>
      </w:r>
    </w:p>
    <w:p w:rsidR="00F071C4" w:rsidRPr="00A34603" w:rsidRDefault="00F071C4" w:rsidP="00F071C4">
      <w:pPr>
        <w:pStyle w:val="Paragrafoelenco"/>
        <w:numPr>
          <w:ilvl w:val="0"/>
          <w:numId w:val="12"/>
        </w:numPr>
        <w:tabs>
          <w:tab w:val="left" w:pos="7371"/>
          <w:tab w:val="right" w:pos="8789"/>
        </w:tabs>
        <w:autoSpaceDE w:val="0"/>
        <w:autoSpaceDN w:val="0"/>
        <w:adjustRightInd w:val="0"/>
        <w:spacing w:before="60"/>
        <w:ind w:left="284" w:hanging="284"/>
        <w:rPr>
          <w:rFonts w:cs="Arial"/>
          <w:bCs/>
          <w:szCs w:val="24"/>
          <w:lang w:eastAsia="it-CH"/>
        </w:rPr>
      </w:pPr>
      <w:r w:rsidRPr="00A34603">
        <w:rPr>
          <w:rFonts w:cs="Arial"/>
          <w:szCs w:val="24"/>
        </w:rPr>
        <w:t>manutenzione apparecchi Sezione logistica dal 2023</w:t>
      </w:r>
      <w:r w:rsidRPr="00A34603">
        <w:rPr>
          <w:rFonts w:cs="Arial"/>
          <w:szCs w:val="24"/>
        </w:rPr>
        <w:tab/>
      </w:r>
      <w:proofErr w:type="spellStart"/>
      <w:r w:rsidRPr="00A34603">
        <w:rPr>
          <w:rFonts w:cs="Arial"/>
          <w:szCs w:val="24"/>
        </w:rPr>
        <w:t>fr</w:t>
      </w:r>
      <w:proofErr w:type="spellEnd"/>
      <w:r w:rsidRPr="00A34603">
        <w:rPr>
          <w:rFonts w:cs="Arial"/>
          <w:szCs w:val="24"/>
        </w:rPr>
        <w:t>.</w:t>
      </w:r>
      <w:r w:rsidRPr="00A34603">
        <w:rPr>
          <w:rFonts w:cs="Arial"/>
          <w:szCs w:val="24"/>
        </w:rPr>
        <w:tab/>
        <w:t>118’000</w:t>
      </w:r>
    </w:p>
    <w:p w:rsidR="00F071C4" w:rsidRPr="00A34603" w:rsidRDefault="00F071C4" w:rsidP="00F071C4">
      <w:pPr>
        <w:autoSpaceDE w:val="0"/>
        <w:autoSpaceDN w:val="0"/>
        <w:adjustRightInd w:val="0"/>
        <w:rPr>
          <w:rFonts w:cs="Arial"/>
          <w:bCs/>
          <w:szCs w:val="24"/>
          <w:lang w:eastAsia="it-CH"/>
        </w:rPr>
      </w:pPr>
    </w:p>
    <w:p w:rsidR="00F071C4" w:rsidRPr="00A34603" w:rsidRDefault="00F071C4" w:rsidP="00F071C4">
      <w:pPr>
        <w:autoSpaceDE w:val="0"/>
        <w:autoSpaceDN w:val="0"/>
        <w:adjustRightInd w:val="0"/>
        <w:rPr>
          <w:rFonts w:cs="Arial"/>
          <w:bCs/>
          <w:i/>
          <w:szCs w:val="24"/>
          <w:lang w:eastAsia="it-CH"/>
        </w:rPr>
      </w:pPr>
      <w:r w:rsidRPr="00A34603">
        <w:rPr>
          <w:rFonts w:cs="Arial"/>
          <w:bCs/>
          <w:i/>
          <w:szCs w:val="24"/>
          <w:lang w:eastAsia="it-CH"/>
        </w:rPr>
        <w:t>Spese per il personale</w:t>
      </w:r>
    </w:p>
    <w:p w:rsidR="00F071C4" w:rsidRPr="00A34603" w:rsidRDefault="00F071C4" w:rsidP="00F071C4">
      <w:pPr>
        <w:pStyle w:val="Paragrafoelenco"/>
        <w:numPr>
          <w:ilvl w:val="0"/>
          <w:numId w:val="12"/>
        </w:numPr>
        <w:tabs>
          <w:tab w:val="left" w:pos="7371"/>
          <w:tab w:val="right" w:pos="8789"/>
        </w:tabs>
        <w:autoSpaceDE w:val="0"/>
        <w:autoSpaceDN w:val="0"/>
        <w:adjustRightInd w:val="0"/>
        <w:spacing w:before="60"/>
        <w:ind w:left="284" w:hanging="284"/>
        <w:rPr>
          <w:rFonts w:cs="Arial"/>
          <w:bCs/>
          <w:szCs w:val="24"/>
          <w:lang w:eastAsia="it-CH"/>
        </w:rPr>
      </w:pPr>
      <w:r w:rsidRPr="00A34603">
        <w:rPr>
          <w:rFonts w:cs="Arial"/>
          <w:bCs/>
          <w:szCs w:val="24"/>
          <w:lang w:eastAsia="it-CH"/>
        </w:rPr>
        <w:t>2021</w:t>
      </w:r>
      <w:r w:rsidRPr="00A34603">
        <w:rPr>
          <w:rFonts w:cs="Arial"/>
          <w:bCs/>
          <w:szCs w:val="24"/>
          <w:lang w:eastAsia="it-CH"/>
        </w:rPr>
        <w:tab/>
      </w:r>
      <w:proofErr w:type="spellStart"/>
      <w:r w:rsidRPr="00A34603">
        <w:rPr>
          <w:rFonts w:cs="Arial"/>
          <w:szCs w:val="24"/>
        </w:rPr>
        <w:t>fr</w:t>
      </w:r>
      <w:proofErr w:type="spellEnd"/>
      <w:r w:rsidRPr="00A34603">
        <w:rPr>
          <w:rFonts w:cs="Arial"/>
          <w:szCs w:val="24"/>
        </w:rPr>
        <w:t>.</w:t>
      </w:r>
      <w:r w:rsidRPr="00A34603">
        <w:rPr>
          <w:rFonts w:cs="Arial"/>
          <w:szCs w:val="24"/>
        </w:rPr>
        <w:tab/>
        <w:t>364’000</w:t>
      </w:r>
    </w:p>
    <w:p w:rsidR="00F071C4" w:rsidRPr="00A34603" w:rsidRDefault="00F071C4" w:rsidP="00F071C4">
      <w:pPr>
        <w:pStyle w:val="Paragrafoelenco"/>
        <w:numPr>
          <w:ilvl w:val="0"/>
          <w:numId w:val="12"/>
        </w:numPr>
        <w:tabs>
          <w:tab w:val="left" w:pos="7371"/>
          <w:tab w:val="right" w:pos="8789"/>
        </w:tabs>
        <w:autoSpaceDE w:val="0"/>
        <w:autoSpaceDN w:val="0"/>
        <w:adjustRightInd w:val="0"/>
        <w:spacing w:before="60"/>
        <w:ind w:left="284" w:hanging="284"/>
        <w:rPr>
          <w:rFonts w:cs="Arial"/>
          <w:bCs/>
          <w:szCs w:val="24"/>
          <w:lang w:eastAsia="it-CH"/>
        </w:rPr>
      </w:pPr>
      <w:r w:rsidRPr="00A34603">
        <w:rPr>
          <w:rFonts w:cs="Arial"/>
          <w:szCs w:val="24"/>
        </w:rPr>
        <w:t>dal 2022</w:t>
      </w:r>
      <w:r w:rsidRPr="00A34603">
        <w:rPr>
          <w:rFonts w:cs="Arial"/>
          <w:szCs w:val="24"/>
        </w:rPr>
        <w:tab/>
      </w:r>
      <w:proofErr w:type="spellStart"/>
      <w:r w:rsidRPr="00A34603">
        <w:rPr>
          <w:rFonts w:cs="Arial"/>
          <w:szCs w:val="24"/>
        </w:rPr>
        <w:t>fr</w:t>
      </w:r>
      <w:proofErr w:type="spellEnd"/>
      <w:r w:rsidRPr="00A34603">
        <w:rPr>
          <w:rFonts w:cs="Arial"/>
          <w:szCs w:val="24"/>
        </w:rPr>
        <w:t>.</w:t>
      </w:r>
      <w:r w:rsidRPr="00A34603">
        <w:rPr>
          <w:rFonts w:cs="Arial"/>
          <w:szCs w:val="24"/>
        </w:rPr>
        <w:tab/>
        <w:t>572’000</w:t>
      </w:r>
    </w:p>
    <w:p w:rsidR="00F071C4" w:rsidRPr="00A34603" w:rsidRDefault="00F071C4" w:rsidP="00F071C4">
      <w:pPr>
        <w:autoSpaceDE w:val="0"/>
        <w:autoSpaceDN w:val="0"/>
        <w:adjustRightInd w:val="0"/>
        <w:rPr>
          <w:rFonts w:cs="Arial"/>
          <w:bCs/>
          <w:szCs w:val="24"/>
          <w:lang w:eastAsia="it-CH"/>
        </w:rPr>
      </w:pPr>
    </w:p>
    <w:p w:rsidR="00F071C4" w:rsidRPr="00A34603" w:rsidRDefault="00F071C4" w:rsidP="00F071C4">
      <w:pPr>
        <w:jc w:val="center"/>
        <w:rPr>
          <w:rFonts w:eastAsia="Times New Roman" w:cs="Arial"/>
          <w:szCs w:val="24"/>
          <w:lang w:val="it-IT" w:eastAsia="it-IT"/>
        </w:rPr>
      </w:pPr>
      <w:r w:rsidRPr="00A34603">
        <w:rPr>
          <w:szCs w:val="24"/>
        </w:rPr>
        <w:fldChar w:fldCharType="begin"/>
      </w:r>
      <w:r w:rsidRPr="00A34603">
        <w:rPr>
          <w:rFonts w:eastAsia="Times New Roman" w:cs="Arial"/>
          <w:szCs w:val="24"/>
          <w:lang w:val="it-IT" w:eastAsia="it-IT"/>
        </w:rPr>
        <w:instrText>SYMBOL 175 \f "Wingdings"</w:instrText>
      </w:r>
      <w:r w:rsidRPr="00A34603">
        <w:rPr>
          <w:szCs w:val="24"/>
        </w:rPr>
        <w:fldChar w:fldCharType="end"/>
      </w:r>
      <w:r w:rsidRPr="00A34603">
        <w:rPr>
          <w:rFonts w:eastAsia="Times New Roman" w:cs="Arial"/>
          <w:szCs w:val="24"/>
          <w:lang w:val="it-IT" w:eastAsia="it-IT"/>
        </w:rPr>
        <w:t xml:space="preserve"> </w:t>
      </w:r>
      <w:r w:rsidRPr="00A34603">
        <w:rPr>
          <w:szCs w:val="24"/>
        </w:rPr>
        <w:fldChar w:fldCharType="begin"/>
      </w:r>
      <w:r w:rsidRPr="00A34603">
        <w:rPr>
          <w:rFonts w:eastAsia="Times New Roman" w:cs="Arial"/>
          <w:szCs w:val="24"/>
          <w:lang w:val="it-IT" w:eastAsia="it-IT"/>
        </w:rPr>
        <w:instrText>SYMBOL 175 \f "Wingdings"</w:instrText>
      </w:r>
      <w:r w:rsidRPr="00A34603">
        <w:rPr>
          <w:szCs w:val="24"/>
        </w:rPr>
        <w:fldChar w:fldCharType="end"/>
      </w:r>
      <w:r w:rsidRPr="00A34603">
        <w:rPr>
          <w:rFonts w:eastAsia="Times New Roman" w:cs="Arial"/>
          <w:szCs w:val="24"/>
          <w:lang w:val="it-IT" w:eastAsia="it-IT"/>
        </w:rPr>
        <w:t xml:space="preserve"> </w:t>
      </w:r>
      <w:r w:rsidRPr="00A34603">
        <w:rPr>
          <w:szCs w:val="24"/>
        </w:rPr>
        <w:fldChar w:fldCharType="begin"/>
      </w:r>
      <w:r w:rsidRPr="00A34603">
        <w:rPr>
          <w:rFonts w:eastAsia="Times New Roman" w:cs="Arial"/>
          <w:szCs w:val="24"/>
          <w:lang w:val="it-IT" w:eastAsia="it-IT"/>
        </w:rPr>
        <w:instrText>SYMBOL 175 \f "Wingdings"</w:instrText>
      </w:r>
      <w:r w:rsidRPr="00A34603">
        <w:rPr>
          <w:szCs w:val="24"/>
        </w:rPr>
        <w:fldChar w:fldCharType="end"/>
      </w:r>
      <w:r w:rsidRPr="00A34603">
        <w:rPr>
          <w:rFonts w:eastAsia="Times New Roman" w:cs="Arial"/>
          <w:szCs w:val="24"/>
          <w:lang w:val="it-IT" w:eastAsia="it-IT"/>
        </w:rPr>
        <w:t xml:space="preserve"> </w:t>
      </w:r>
      <w:r w:rsidRPr="00A34603">
        <w:rPr>
          <w:szCs w:val="24"/>
        </w:rPr>
        <w:fldChar w:fldCharType="begin"/>
      </w:r>
      <w:r w:rsidRPr="00A34603">
        <w:rPr>
          <w:rFonts w:eastAsia="Times New Roman" w:cs="Arial"/>
          <w:szCs w:val="24"/>
          <w:lang w:val="it-IT" w:eastAsia="it-IT"/>
        </w:rPr>
        <w:instrText>SYMBOL 175 \f "Wingdings"</w:instrText>
      </w:r>
      <w:r w:rsidRPr="00A34603">
        <w:rPr>
          <w:szCs w:val="24"/>
        </w:rPr>
        <w:fldChar w:fldCharType="end"/>
      </w:r>
      <w:r w:rsidRPr="00A34603">
        <w:rPr>
          <w:rFonts w:eastAsia="Times New Roman" w:cs="Arial"/>
          <w:szCs w:val="24"/>
          <w:lang w:val="it-IT" w:eastAsia="it-IT"/>
        </w:rPr>
        <w:t xml:space="preserve"> </w:t>
      </w:r>
      <w:r w:rsidRPr="00A34603">
        <w:rPr>
          <w:szCs w:val="24"/>
        </w:rPr>
        <w:fldChar w:fldCharType="begin"/>
      </w:r>
      <w:r w:rsidRPr="00A34603">
        <w:rPr>
          <w:rFonts w:eastAsia="Times New Roman" w:cs="Arial"/>
          <w:szCs w:val="24"/>
          <w:lang w:val="it-IT" w:eastAsia="it-IT"/>
        </w:rPr>
        <w:instrText>SYMBOL 175 \f "Wingdings"</w:instrText>
      </w:r>
      <w:r w:rsidRPr="00A34603">
        <w:rPr>
          <w:szCs w:val="24"/>
        </w:rPr>
        <w:fldChar w:fldCharType="end"/>
      </w:r>
    </w:p>
    <w:p w:rsidR="00F071C4" w:rsidRPr="00A34603" w:rsidRDefault="00F071C4" w:rsidP="00F071C4">
      <w:pPr>
        <w:rPr>
          <w:rFonts w:cs="Arial"/>
          <w:szCs w:val="24"/>
        </w:rPr>
      </w:pPr>
    </w:p>
    <w:p w:rsidR="00F071C4" w:rsidRDefault="00F071C4" w:rsidP="00F071C4">
      <w:pPr>
        <w:rPr>
          <w:rFonts w:cs="Arial"/>
          <w:szCs w:val="24"/>
        </w:rPr>
      </w:pPr>
      <w:r w:rsidRPr="00A34603">
        <w:rPr>
          <w:rFonts w:cs="Arial"/>
          <w:szCs w:val="24"/>
        </w:rPr>
        <w:t xml:space="preserve">È bene rilevare che </w:t>
      </w:r>
      <w:r w:rsidRPr="00A34603">
        <w:rPr>
          <w:szCs w:val="24"/>
          <w:lang w:eastAsia="it-CH"/>
        </w:rPr>
        <w:t xml:space="preserve">il rinnovo della piattaforma di sistema per la registrazione dei dati biometrici e l’introduzione della carta di soggiorno in formato carta di credito per i cittadini stranieri provenienti da Stati UE/AELS sono entrambi compiti inderogabili, impartiti dalla Confederazione. </w:t>
      </w:r>
      <w:r w:rsidRPr="00A34603">
        <w:rPr>
          <w:rFonts w:cs="Arial"/>
          <w:szCs w:val="24"/>
        </w:rPr>
        <w:t>La scrivente Commissione si esprime favorevolmente sul messaggio 7875, nella misura in cui i suesposti interventi sono indispensabili affinché possa essere dato seguito, entro le tempistiche definite dal Consiglio federale, ai progetti federali PA19 ed ESYSP e chiede al Gran Consiglio di approvarne il relativo decreto legislativo, per il cui avallo serve la maggioranza qualificata del Parlamento.</w:t>
      </w:r>
    </w:p>
    <w:p w:rsidR="00F071C4" w:rsidRDefault="00F071C4" w:rsidP="00F071C4">
      <w:pPr>
        <w:rPr>
          <w:rFonts w:cs="Arial"/>
          <w:szCs w:val="24"/>
        </w:rPr>
      </w:pPr>
    </w:p>
    <w:p w:rsidR="00F071C4" w:rsidRDefault="00F071C4" w:rsidP="00F071C4">
      <w:pPr>
        <w:rPr>
          <w:rFonts w:cs="Arial"/>
          <w:szCs w:val="24"/>
        </w:rPr>
      </w:pPr>
    </w:p>
    <w:p w:rsidR="00F071C4" w:rsidRPr="00A34603" w:rsidRDefault="00F071C4" w:rsidP="00F071C4">
      <w:pPr>
        <w:pStyle w:val="Titolo1"/>
        <w:rPr>
          <w:rFonts w:eastAsia="Times New Roman"/>
        </w:rPr>
      </w:pPr>
      <w:r w:rsidRPr="00A34603">
        <w:lastRenderedPageBreak/>
        <w:t>Conclusioni</w:t>
      </w:r>
    </w:p>
    <w:p w:rsidR="00F071C4" w:rsidRDefault="00F071C4" w:rsidP="00F071C4">
      <w:pPr>
        <w:rPr>
          <w:szCs w:val="24"/>
        </w:rPr>
      </w:pPr>
      <w:r>
        <w:rPr>
          <w:szCs w:val="24"/>
        </w:rPr>
        <w:t>La Commissione gestione e finanze, preso atto dell’importanza strategica rappresentata dal presente Messaggio governativo, ne propone l’accettazione.</w:t>
      </w:r>
    </w:p>
    <w:bookmarkEnd w:id="1"/>
    <w:p w:rsidR="00B860C2" w:rsidRDefault="00B860C2" w:rsidP="00B860C2">
      <w:pPr>
        <w:rPr>
          <w:rFonts w:cs="Arial"/>
          <w:szCs w:val="24"/>
        </w:rPr>
      </w:pPr>
    </w:p>
    <w:p w:rsidR="00B860C2" w:rsidRDefault="00B860C2" w:rsidP="00B860C2">
      <w:pPr>
        <w:rPr>
          <w:rFonts w:cs="Arial"/>
          <w:szCs w:val="24"/>
        </w:rPr>
      </w:pPr>
    </w:p>
    <w:p w:rsidR="00B860C2" w:rsidRPr="00076E70" w:rsidRDefault="00B860C2" w:rsidP="00B860C2">
      <w:pPr>
        <w:rPr>
          <w:rFonts w:cs="Arial"/>
          <w:szCs w:val="24"/>
        </w:rPr>
      </w:pPr>
    </w:p>
    <w:p w:rsidR="00B860C2" w:rsidRPr="00F071C4" w:rsidRDefault="00B860C2" w:rsidP="00B860C2">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w:t>
      </w:r>
      <w:r w:rsidRPr="00F071C4">
        <w:rPr>
          <w:rFonts w:cs="Arial"/>
          <w:szCs w:val="24"/>
        </w:rPr>
        <w:t>gestione e finanze:</w:t>
      </w:r>
    </w:p>
    <w:p w:rsidR="00B860C2" w:rsidRPr="00076E70" w:rsidRDefault="00F071C4" w:rsidP="00B860C2">
      <w:pPr>
        <w:rPr>
          <w:rFonts w:cs="Arial"/>
          <w:szCs w:val="24"/>
        </w:rPr>
      </w:pPr>
      <w:r>
        <w:rPr>
          <w:rFonts w:cs="Arial"/>
          <w:szCs w:val="24"/>
        </w:rPr>
        <w:t>Michele Guerra</w:t>
      </w:r>
      <w:r w:rsidR="00B860C2" w:rsidRPr="00076E70">
        <w:rPr>
          <w:rFonts w:cs="Arial"/>
          <w:szCs w:val="24"/>
        </w:rPr>
        <w:t>, relatore</w:t>
      </w:r>
    </w:p>
    <w:p w:rsidR="009F44BE" w:rsidRDefault="009F44BE" w:rsidP="009F44BE">
      <w:pPr>
        <w:rPr>
          <w:rFonts w:cs="Arial"/>
        </w:rPr>
      </w:pPr>
      <w:bookmarkStart w:id="2" w:name="OLE_LINK1"/>
      <w:bookmarkStart w:id="3" w:name="OLE_LINK2"/>
      <w:r>
        <w:rPr>
          <w:rFonts w:cs="Arial"/>
        </w:rPr>
        <w:t xml:space="preserve">Agustoni - Bang - Bignasca - Biscossa - </w:t>
      </w:r>
    </w:p>
    <w:p w:rsidR="009F44BE" w:rsidRDefault="009F44BE" w:rsidP="009F44BE">
      <w:pPr>
        <w:rPr>
          <w:rFonts w:cs="Arial"/>
        </w:rPr>
      </w:pPr>
      <w:r>
        <w:rPr>
          <w:rFonts w:cs="Arial"/>
        </w:rPr>
        <w:t xml:space="preserve">Bourgoin - Caprara - Dadò - Durisch - </w:t>
      </w:r>
    </w:p>
    <w:p w:rsidR="009F44BE" w:rsidRDefault="009F44BE" w:rsidP="009F44BE">
      <w:pPr>
        <w:rPr>
          <w:rFonts w:cs="Arial"/>
        </w:rPr>
      </w:pPr>
      <w:r>
        <w:rPr>
          <w:rFonts w:cs="Arial"/>
        </w:rPr>
        <w:t xml:space="preserve">Ferrara - Foletti - Gianella Alessandra - </w:t>
      </w:r>
    </w:p>
    <w:p w:rsidR="009F44BE" w:rsidRDefault="009F44BE" w:rsidP="009F44BE">
      <w:pPr>
        <w:rPr>
          <w:rFonts w:cs="Arial"/>
        </w:rPr>
      </w:pPr>
      <w:r>
        <w:rPr>
          <w:rFonts w:cs="Arial"/>
        </w:rPr>
        <w:t>Jelmini - Pamini - Pini - Quadranti</w:t>
      </w:r>
    </w:p>
    <w:bookmarkEnd w:id="2"/>
    <w:bookmarkEnd w:id="3"/>
    <w:p w:rsidR="006E4AE2" w:rsidRPr="00B860C2" w:rsidRDefault="006E4AE2" w:rsidP="00B860C2"/>
    <w:sectPr w:rsidR="006E4AE2" w:rsidRPr="00B860C2" w:rsidSect="00D1174F">
      <w:footerReference w:type="default" r:id="rId8"/>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C6" w:rsidRDefault="008E77C6" w:rsidP="008E77C6">
      <w:r>
        <w:separator/>
      </w:r>
    </w:p>
  </w:endnote>
  <w:endnote w:type="continuationSeparator" w:id="0">
    <w:p w:rsidR="008E77C6" w:rsidRDefault="008E77C6"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B968D1" w:rsidRPr="00B968D1">
          <w:rPr>
            <w:noProof/>
            <w:sz w:val="20"/>
            <w:szCs w:val="20"/>
            <w:lang w:val="it-IT"/>
          </w:rPr>
          <w:t>4</w:t>
        </w:r>
        <w:r w:rsidRPr="008E77C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C6" w:rsidRDefault="008E77C6" w:rsidP="008E77C6">
      <w:r>
        <w:separator/>
      </w:r>
    </w:p>
  </w:footnote>
  <w:footnote w:type="continuationSeparator" w:id="0">
    <w:p w:rsidR="008E77C6" w:rsidRDefault="008E77C6" w:rsidP="008E7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429F01AE"/>
    <w:multiLevelType w:val="hybridMultilevel"/>
    <w:tmpl w:val="167E2956"/>
    <w:lvl w:ilvl="0" w:tplc="40ECF260">
      <w:start w:val="6"/>
      <w:numFmt w:val="bullet"/>
      <w:lvlText w:val="-"/>
      <w:lvlJc w:val="left"/>
      <w:pPr>
        <w:ind w:left="720" w:hanging="360"/>
      </w:pPr>
      <w:rPr>
        <w:rFonts w:ascii="Helvetica-Bold" w:eastAsia="Times New Roman" w:hAnsi="Helvetica-Bold" w:cs="Helvetica-Bold"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5"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8"/>
  </w:num>
  <w:num w:numId="2">
    <w:abstractNumId w:val="8"/>
  </w:num>
  <w:num w:numId="3">
    <w:abstractNumId w:val="10"/>
  </w:num>
  <w:num w:numId="4">
    <w:abstractNumId w:val="1"/>
  </w:num>
  <w:num w:numId="5">
    <w:abstractNumId w:val="5"/>
  </w:num>
  <w:num w:numId="6">
    <w:abstractNumId w:val="0"/>
  </w:num>
  <w:num w:numId="7">
    <w:abstractNumId w:val="9"/>
  </w:num>
  <w:num w:numId="8">
    <w:abstractNumId w:val="2"/>
  </w:num>
  <w:num w:numId="9">
    <w:abstractNumId w:val="7"/>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37"/>
    <w:rsid w:val="00076E70"/>
    <w:rsid w:val="001574D7"/>
    <w:rsid w:val="00260C8C"/>
    <w:rsid w:val="002677DC"/>
    <w:rsid w:val="002E5E40"/>
    <w:rsid w:val="0052425A"/>
    <w:rsid w:val="00586A8D"/>
    <w:rsid w:val="006C17AA"/>
    <w:rsid w:val="006D7A3B"/>
    <w:rsid w:val="006E4AE2"/>
    <w:rsid w:val="007352D3"/>
    <w:rsid w:val="007B5462"/>
    <w:rsid w:val="008034BD"/>
    <w:rsid w:val="00876352"/>
    <w:rsid w:val="008B2655"/>
    <w:rsid w:val="008B4137"/>
    <w:rsid w:val="008C767A"/>
    <w:rsid w:val="008E77C6"/>
    <w:rsid w:val="009770BB"/>
    <w:rsid w:val="009E008D"/>
    <w:rsid w:val="009F44BE"/>
    <w:rsid w:val="00A5465F"/>
    <w:rsid w:val="00A77678"/>
    <w:rsid w:val="00B860C2"/>
    <w:rsid w:val="00B968D1"/>
    <w:rsid w:val="00BC4C95"/>
    <w:rsid w:val="00BD5944"/>
    <w:rsid w:val="00CF6858"/>
    <w:rsid w:val="00D1174F"/>
    <w:rsid w:val="00D377B5"/>
    <w:rsid w:val="00D93B31"/>
    <w:rsid w:val="00E505DB"/>
    <w:rsid w:val="00E765A9"/>
    <w:rsid w:val="00F071C4"/>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9200DDE"/>
  <w15:docId w15:val="{264ED2B1-B6A4-48E7-969D-9E5DA120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jc w:val="left"/>
    </w:pPr>
    <w:rPr>
      <w:rFonts w:ascii="Arial" w:eastAsia="Times New Roman" w:hAnsi="Arial" w:cs="Arial"/>
      <w:color w:val="000000"/>
      <w:sz w:val="24"/>
      <w:szCs w:val="24"/>
      <w:lang w:eastAsia="it-CH"/>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60C2"/>
    <w:rPr>
      <w:rFonts w:ascii="Tahoma" w:hAnsi="Tahoma" w:cs="Tahoma"/>
      <w:sz w:val="16"/>
      <w:szCs w:val="16"/>
    </w:rPr>
  </w:style>
  <w:style w:type="paragraph" w:customStyle="1" w:styleId="xmsonormal">
    <w:name w:val="x_msonormal"/>
    <w:basedOn w:val="Normale"/>
    <w:rsid w:val="00F071C4"/>
    <w:pPr>
      <w:spacing w:before="100" w:beforeAutospacing="1" w:after="100" w:afterAutospacing="1"/>
      <w:jc w:val="left"/>
    </w:pPr>
    <w:rPr>
      <w:rFonts w:ascii="Times New Roman" w:eastAsia="Times New Roman" w:hAnsi="Times New Roman" w:cs="Times New Roman"/>
      <w:szCs w:val="24"/>
      <w:lang w:eastAsia="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61B38-2242-4312-BDFD-CBC849F8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7551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cp:lastModifiedBy>
  <cp:revision>3</cp:revision>
  <cp:lastPrinted>2020-12-02T11:16:00Z</cp:lastPrinted>
  <dcterms:created xsi:type="dcterms:W3CDTF">2020-12-02T11:19:00Z</dcterms:created>
  <dcterms:modified xsi:type="dcterms:W3CDTF">2020-12-02T11:22:00Z</dcterms:modified>
</cp:coreProperties>
</file>