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DF08DA" w:rsidRDefault="00DF08DA" w:rsidP="00B860C2">
      <w:pPr>
        <w:rPr>
          <w:rFonts w:ascii="Gill Sans MT" w:hAnsi="Gill Sans MT" w:cstheme="majorHAnsi"/>
          <w:b/>
          <w:sz w:val="48"/>
          <w:szCs w:val="20"/>
        </w:rPr>
      </w:pPr>
      <w:r w:rsidRPr="00DF08DA">
        <w:rPr>
          <w:rFonts w:ascii="Gill Sans MT" w:hAnsi="Gill Sans MT" w:cstheme="majorHAnsi"/>
          <w:b/>
          <w:sz w:val="48"/>
          <w:szCs w:val="20"/>
        </w:rPr>
        <w:t>Rappor</w:t>
      </w:r>
      <w:bookmarkStart w:id="0" w:name="_GoBack"/>
      <w:bookmarkEnd w:id="0"/>
      <w:r w:rsidRPr="00DF08DA">
        <w:rPr>
          <w:rFonts w:ascii="Gill Sans MT" w:hAnsi="Gill Sans MT" w:cstheme="majorHAnsi"/>
          <w:b/>
          <w:sz w:val="48"/>
          <w:szCs w:val="20"/>
        </w:rPr>
        <w:t>to</w:t>
      </w:r>
    </w:p>
    <w:p w:rsidR="00B860C2" w:rsidRDefault="00B860C2" w:rsidP="00B860C2"/>
    <w:p w:rsidR="00B860C2" w:rsidRDefault="00B860C2" w:rsidP="00B860C2">
      <w:pPr>
        <w:rPr>
          <w:rFonts w:cs="Arial"/>
          <w:szCs w:val="24"/>
        </w:rPr>
      </w:pPr>
    </w:p>
    <w:p w:rsidR="00B860C2" w:rsidRDefault="00B860C2" w:rsidP="00B860C2">
      <w:pPr>
        <w:rPr>
          <w:rFonts w:cs="Arial"/>
          <w:szCs w:val="24"/>
        </w:rPr>
      </w:pPr>
    </w:p>
    <w:p w:rsidR="00B860C2" w:rsidRDefault="009848D8" w:rsidP="00B860C2">
      <w:pPr>
        <w:tabs>
          <w:tab w:val="left" w:pos="2098"/>
          <w:tab w:val="left" w:pos="4933"/>
        </w:tabs>
        <w:rPr>
          <w:rFonts w:cs="Arial"/>
          <w:szCs w:val="24"/>
        </w:rPr>
      </w:pPr>
      <w:r>
        <w:rPr>
          <w:rFonts w:cs="Arial"/>
          <w:b/>
          <w:sz w:val="32"/>
          <w:szCs w:val="32"/>
        </w:rPr>
        <w:t>7846</w:t>
      </w:r>
      <w:r w:rsidR="00B860C2" w:rsidRPr="008B4137">
        <w:rPr>
          <w:rFonts w:cs="Arial"/>
          <w:b/>
          <w:sz w:val="32"/>
          <w:szCs w:val="32"/>
        </w:rPr>
        <w:t xml:space="preserve"> R</w:t>
      </w:r>
      <w:r w:rsidR="00B860C2" w:rsidRPr="008B4137">
        <w:rPr>
          <w:rFonts w:cs="Arial"/>
          <w:sz w:val="28"/>
          <w:szCs w:val="28"/>
        </w:rPr>
        <w:tab/>
      </w:r>
      <w:r>
        <w:rPr>
          <w:rFonts w:cs="Arial"/>
          <w:sz w:val="28"/>
          <w:szCs w:val="28"/>
        </w:rPr>
        <w:t>2 febbraio 2021</w:t>
      </w:r>
      <w:r w:rsidR="00B860C2" w:rsidRPr="008B4137">
        <w:rPr>
          <w:rFonts w:cs="Arial"/>
          <w:sz w:val="28"/>
          <w:szCs w:val="28"/>
        </w:rPr>
        <w:tab/>
      </w:r>
      <w:r>
        <w:rPr>
          <w:sz w:val="28"/>
        </w:rPr>
        <w:t>TERRITORIO</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B860C2" w:rsidP="00B860C2">
      <w:pPr>
        <w:rPr>
          <w:rFonts w:cs="Arial"/>
          <w:b/>
          <w:sz w:val="28"/>
          <w:szCs w:val="28"/>
        </w:rPr>
      </w:pPr>
      <w:r w:rsidRPr="008B4137">
        <w:rPr>
          <w:rFonts w:cs="Arial"/>
          <w:b/>
          <w:sz w:val="28"/>
          <w:szCs w:val="28"/>
        </w:rPr>
        <w:t xml:space="preserve">della Commissione </w:t>
      </w:r>
      <w:r w:rsidRPr="009848D8">
        <w:rPr>
          <w:rFonts w:cs="Arial"/>
          <w:b/>
          <w:sz w:val="28"/>
          <w:szCs w:val="28"/>
        </w:rPr>
        <w:t>gestione e finanze</w:t>
      </w:r>
    </w:p>
    <w:p w:rsidR="009848D8" w:rsidRPr="009848D8" w:rsidRDefault="00B860C2" w:rsidP="009848D8">
      <w:pPr>
        <w:rPr>
          <w:rFonts w:cs="Arial"/>
          <w:b/>
          <w:sz w:val="26"/>
          <w:szCs w:val="26"/>
        </w:rPr>
      </w:pPr>
      <w:r w:rsidRPr="000D6BD0">
        <w:rPr>
          <w:rFonts w:cs="Arial"/>
          <w:b/>
          <w:sz w:val="28"/>
          <w:szCs w:val="28"/>
        </w:rPr>
        <w:t>sul</w:t>
      </w:r>
      <w:r>
        <w:rPr>
          <w:rFonts w:cs="Arial"/>
          <w:b/>
          <w:sz w:val="28"/>
          <w:szCs w:val="28"/>
        </w:rPr>
        <w:t xml:space="preserve"> messaggio</w:t>
      </w:r>
      <w:r w:rsidR="009848D8">
        <w:rPr>
          <w:rFonts w:cs="Arial"/>
          <w:b/>
          <w:sz w:val="28"/>
          <w:szCs w:val="28"/>
        </w:rPr>
        <w:t xml:space="preserve"> </w:t>
      </w:r>
      <w:r w:rsidR="00FC2A34">
        <w:rPr>
          <w:rFonts w:cs="Arial"/>
          <w:b/>
          <w:sz w:val="28"/>
          <w:szCs w:val="28"/>
        </w:rPr>
        <w:t xml:space="preserve">8 luglio 2020 concernente </w:t>
      </w:r>
      <w:r w:rsidR="009848D8">
        <w:rPr>
          <w:rFonts w:cs="Arial"/>
          <w:b/>
          <w:sz w:val="28"/>
          <w:szCs w:val="28"/>
        </w:rPr>
        <w:t>lo s</w:t>
      </w:r>
      <w:r w:rsidR="009848D8" w:rsidRPr="00A41D27">
        <w:rPr>
          <w:b/>
          <w:sz w:val="28"/>
          <w:szCs w:val="28"/>
        </w:rPr>
        <w:t>tanziamento:</w:t>
      </w:r>
    </w:p>
    <w:p w:rsidR="009848D8" w:rsidRPr="00A41D27" w:rsidRDefault="009848D8" w:rsidP="009848D8">
      <w:pPr>
        <w:pStyle w:val="Paragrafoelenco"/>
        <w:numPr>
          <w:ilvl w:val="0"/>
          <w:numId w:val="12"/>
        </w:numPr>
        <w:spacing w:before="100"/>
        <w:ind w:left="426" w:hanging="426"/>
        <w:rPr>
          <w:b/>
          <w:sz w:val="28"/>
          <w:szCs w:val="28"/>
        </w:rPr>
      </w:pPr>
      <w:r w:rsidRPr="00A41D27">
        <w:rPr>
          <w:b/>
          <w:sz w:val="28"/>
          <w:szCs w:val="28"/>
        </w:rPr>
        <w:t xml:space="preserve">di un credito netto di 3’550’000 franchi e autorizzazione alla spesa di 7’920'000 franchi per la realizzazione di un secondo pacchetto di opere nell’ambito del Programma d’agglomerato del </w:t>
      </w:r>
      <w:proofErr w:type="spellStart"/>
      <w:r w:rsidRPr="00A41D27">
        <w:rPr>
          <w:b/>
          <w:sz w:val="28"/>
          <w:szCs w:val="28"/>
        </w:rPr>
        <w:t>Bellinzonese</w:t>
      </w:r>
      <w:proofErr w:type="spellEnd"/>
      <w:r w:rsidRPr="00A41D27">
        <w:rPr>
          <w:b/>
          <w:sz w:val="28"/>
          <w:szCs w:val="28"/>
        </w:rPr>
        <w:t xml:space="preserve"> di terza generazione (PAB 3), quale aggiornamento del credito quadro di franchi 1'600’000, per un totale di 9'520'000 franchi</w:t>
      </w:r>
    </w:p>
    <w:p w:rsidR="009848D8" w:rsidRPr="00A41D27" w:rsidRDefault="009848D8" w:rsidP="009848D8">
      <w:pPr>
        <w:pStyle w:val="Paragrafoelenco"/>
        <w:numPr>
          <w:ilvl w:val="0"/>
          <w:numId w:val="12"/>
        </w:numPr>
        <w:spacing w:before="100"/>
        <w:ind w:left="426" w:hanging="426"/>
        <w:rPr>
          <w:b/>
          <w:sz w:val="28"/>
          <w:szCs w:val="28"/>
        </w:rPr>
      </w:pPr>
      <w:r w:rsidRPr="00A41D27">
        <w:rPr>
          <w:b/>
          <w:sz w:val="28"/>
          <w:szCs w:val="28"/>
        </w:rPr>
        <w:t xml:space="preserve">di un contributo di CHF 200'000 a favore della Commissione regionale dei trasporti del </w:t>
      </w:r>
      <w:proofErr w:type="spellStart"/>
      <w:r w:rsidRPr="00A41D27">
        <w:rPr>
          <w:b/>
          <w:sz w:val="28"/>
          <w:szCs w:val="28"/>
        </w:rPr>
        <w:t>Bellinzonese</w:t>
      </w:r>
      <w:proofErr w:type="spellEnd"/>
      <w:r w:rsidRPr="00A41D27">
        <w:rPr>
          <w:b/>
          <w:sz w:val="28"/>
          <w:szCs w:val="28"/>
        </w:rPr>
        <w:t xml:space="preserve"> (CRTB) per il supporto tecnico nell’ambito dei Programmi d’agglomerato di seconda e ter</w:t>
      </w:r>
      <w:r>
        <w:rPr>
          <w:b/>
          <w:sz w:val="28"/>
          <w:szCs w:val="28"/>
        </w:rPr>
        <w:t xml:space="preserve">za generazione nel periodo 2020 - </w:t>
      </w:r>
      <w:r w:rsidRPr="00A41D27">
        <w:rPr>
          <w:b/>
          <w:sz w:val="28"/>
          <w:szCs w:val="28"/>
        </w:rPr>
        <w:t>2023</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9A1E98" w:rsidRPr="00971C40" w:rsidRDefault="009A1E98" w:rsidP="009A1E98">
      <w:pPr>
        <w:pStyle w:val="Titolo1"/>
      </w:pPr>
      <w:r>
        <w:t>Introduzione</w:t>
      </w:r>
    </w:p>
    <w:p w:rsidR="009A1E98" w:rsidRPr="00971C40" w:rsidRDefault="009A1E98" w:rsidP="009A1E98">
      <w:pPr>
        <w:tabs>
          <w:tab w:val="left" w:pos="567"/>
        </w:tabs>
      </w:pPr>
      <w:r w:rsidRPr="00971C40">
        <w:t xml:space="preserve">Il messaggio è l’ennesima tappa di un percorso articolato che consentirà il progressivo miglioramento della mobilità del </w:t>
      </w:r>
      <w:proofErr w:type="spellStart"/>
      <w:r w:rsidRPr="00971C40">
        <w:t>Bellinzonese</w:t>
      </w:r>
      <w:proofErr w:type="spellEnd"/>
      <w:r w:rsidRPr="00971C40">
        <w:t>.</w:t>
      </w:r>
      <w:r>
        <w:t xml:space="preserve"> </w:t>
      </w:r>
      <w:r w:rsidRPr="00971C40">
        <w:t>I crediti richiesti dal messaggio sono articolati in diversi interventi secondo alcuni ambiti specifici:</w:t>
      </w:r>
    </w:p>
    <w:p w:rsidR="009A1E98" w:rsidRPr="00971C40" w:rsidRDefault="009A1E98" w:rsidP="009A1E98">
      <w:pPr>
        <w:pStyle w:val="Paragrafoelenco"/>
        <w:numPr>
          <w:ilvl w:val="0"/>
          <w:numId w:val="14"/>
        </w:numPr>
        <w:tabs>
          <w:tab w:val="left" w:pos="567"/>
        </w:tabs>
        <w:spacing w:before="60" w:after="60"/>
        <w:ind w:left="357" w:hanging="357"/>
        <w:contextualSpacing/>
      </w:pPr>
      <w:r w:rsidRPr="00971C40">
        <w:t>Opere di sostegno al trasporto pubblico</w:t>
      </w:r>
      <w:r>
        <w:t xml:space="preserve"> (TP)</w:t>
      </w:r>
    </w:p>
    <w:p w:rsidR="009A1E98" w:rsidRPr="00971C40" w:rsidRDefault="009A1E98" w:rsidP="009A1E98">
      <w:pPr>
        <w:pStyle w:val="Paragrafoelenco"/>
        <w:numPr>
          <w:ilvl w:val="0"/>
          <w:numId w:val="14"/>
        </w:numPr>
        <w:tabs>
          <w:tab w:val="left" w:pos="567"/>
        </w:tabs>
        <w:spacing w:before="60" w:after="60"/>
        <w:ind w:left="357" w:hanging="357"/>
        <w:contextualSpacing/>
      </w:pPr>
      <w:r w:rsidRPr="00971C40">
        <w:t>Opere a favore della mobilità lenta</w:t>
      </w:r>
    </w:p>
    <w:p w:rsidR="009A1E98" w:rsidRDefault="009A1E98" w:rsidP="009A1E98">
      <w:pPr>
        <w:pStyle w:val="Paragrafoelenco"/>
        <w:numPr>
          <w:ilvl w:val="0"/>
          <w:numId w:val="14"/>
        </w:numPr>
        <w:tabs>
          <w:tab w:val="left" w:pos="567"/>
        </w:tabs>
        <w:spacing w:before="60" w:after="60"/>
        <w:ind w:left="357" w:hanging="357"/>
        <w:contextualSpacing/>
      </w:pPr>
      <w:r w:rsidRPr="00971C40">
        <w:t>Supporto tecnico alla CRTB</w:t>
      </w:r>
    </w:p>
    <w:p w:rsidR="009A1E98" w:rsidRPr="00971C40" w:rsidRDefault="009A1E98" w:rsidP="00FC2A34">
      <w:pPr>
        <w:pStyle w:val="Paragrafoelenco"/>
        <w:spacing w:before="60" w:after="60"/>
        <w:contextualSpacing/>
      </w:pPr>
    </w:p>
    <w:p w:rsidR="009A1E98" w:rsidRPr="00971C40" w:rsidRDefault="009A1E98" w:rsidP="009A1E98">
      <w:pPr>
        <w:tabs>
          <w:tab w:val="left" w:pos="567"/>
        </w:tabs>
      </w:pPr>
      <w:r w:rsidRPr="00971C40">
        <w:t>Sempre utile ricordare i messaggi precedentemente approvati che costituiscono le diverse tappe del miglioramento della mobilità nell’agglomerato in particolare per quanto attiene il traporto pubblico e la mobilità lenta. Interventi che danno un contributo concreto al miglioramento qualitativo della qualità di vita nell’agglomerato e una risposta alla crescente sensibilità della popolazione verso la sostenibilità e l’ambiente.</w:t>
      </w:r>
    </w:p>
    <w:p w:rsidR="009A1E98" w:rsidRDefault="009A1E98" w:rsidP="009A1E98">
      <w:pPr>
        <w:tabs>
          <w:tab w:val="left" w:pos="567"/>
        </w:tabs>
      </w:pPr>
    </w:p>
    <w:p w:rsidR="00745DA3" w:rsidRDefault="00745DA3" w:rsidP="009A1E98">
      <w:pPr>
        <w:tabs>
          <w:tab w:val="left" w:pos="567"/>
        </w:tabs>
      </w:pPr>
    </w:p>
    <w:p w:rsidR="00745DA3" w:rsidRDefault="00745DA3" w:rsidP="009A1E98">
      <w:pPr>
        <w:tabs>
          <w:tab w:val="left" w:pos="567"/>
        </w:tabs>
        <w:sectPr w:rsidR="00745DA3" w:rsidSect="00877B79">
          <w:footerReference w:type="default" r:id="rId8"/>
          <w:footnotePr>
            <w:numRestart w:val="eachSect"/>
          </w:footnotePr>
          <w:pgSz w:w="11906" w:h="16838"/>
          <w:pgMar w:top="1417" w:right="1134" w:bottom="1134" w:left="1134" w:header="708" w:footer="720" w:gutter="0"/>
          <w:cols w:space="720"/>
          <w:docGrid w:linePitch="360"/>
        </w:sectPr>
      </w:pPr>
    </w:p>
    <w:p w:rsidR="009A1E98" w:rsidRPr="00971C40" w:rsidRDefault="009A1E98" w:rsidP="00745DA3">
      <w:pPr>
        <w:tabs>
          <w:tab w:val="left" w:pos="567"/>
        </w:tabs>
        <w:spacing w:after="120"/>
      </w:pPr>
      <w:r>
        <w:lastRenderedPageBreak/>
        <w:t xml:space="preserve">Questi i messaggi già approvati: </w:t>
      </w:r>
    </w:p>
    <w:p w:rsidR="009A1E98" w:rsidRPr="009679C9" w:rsidRDefault="009A1E98" w:rsidP="00745DA3">
      <w:pPr>
        <w:jc w:val="left"/>
        <w:rPr>
          <w:b/>
          <w:u w:val="single"/>
        </w:rPr>
      </w:pPr>
      <w:r w:rsidRPr="009679C9">
        <w:rPr>
          <w:b/>
          <w:u w:val="single"/>
        </w:rPr>
        <w:t>PAB 2</w:t>
      </w:r>
    </w:p>
    <w:p w:rsidR="009A1E98" w:rsidRPr="00A41D27" w:rsidRDefault="009A1E98" w:rsidP="009A1E98">
      <w:pPr>
        <w:jc w:val="left"/>
      </w:pPr>
    </w:p>
    <w:tbl>
      <w:tblPr>
        <w:tblStyle w:val="Grigliatabella"/>
        <w:tblW w:w="10084" w:type="dxa"/>
        <w:tblLook w:val="04A0" w:firstRow="1" w:lastRow="0" w:firstColumn="1" w:lastColumn="0" w:noHBand="0" w:noVBand="1"/>
      </w:tblPr>
      <w:tblGrid>
        <w:gridCol w:w="988"/>
        <w:gridCol w:w="5103"/>
        <w:gridCol w:w="1318"/>
        <w:gridCol w:w="1375"/>
        <w:gridCol w:w="1300"/>
      </w:tblGrid>
      <w:tr w:rsidR="009A1E98" w:rsidRPr="00745DA3" w:rsidTr="003B4AAB">
        <w:trPr>
          <w:trHeight w:val="300"/>
        </w:trPr>
        <w:tc>
          <w:tcPr>
            <w:tcW w:w="988" w:type="dxa"/>
            <w:noWrap/>
            <w:hideMark/>
          </w:tcPr>
          <w:p w:rsidR="009A1E98" w:rsidRPr="00745DA3" w:rsidRDefault="009A1E98" w:rsidP="009C0015">
            <w:pPr>
              <w:jc w:val="center"/>
              <w:rPr>
                <w:b/>
                <w:sz w:val="19"/>
                <w:szCs w:val="19"/>
              </w:rPr>
            </w:pPr>
            <w:proofErr w:type="spellStart"/>
            <w:r w:rsidRPr="00745DA3">
              <w:rPr>
                <w:b/>
                <w:sz w:val="19"/>
                <w:szCs w:val="19"/>
              </w:rPr>
              <w:t>Mess</w:t>
            </w:r>
            <w:proofErr w:type="spellEnd"/>
            <w:r w:rsidRPr="00745DA3">
              <w:rPr>
                <w:b/>
                <w:sz w:val="19"/>
                <w:szCs w:val="19"/>
              </w:rPr>
              <w:t>.</w:t>
            </w:r>
            <w:r w:rsidR="009C0015">
              <w:rPr>
                <w:b/>
                <w:sz w:val="19"/>
                <w:szCs w:val="19"/>
              </w:rPr>
              <w:t xml:space="preserve"> </w:t>
            </w:r>
            <w:r w:rsidR="00FC2A34" w:rsidRPr="00745DA3">
              <w:rPr>
                <w:b/>
                <w:sz w:val="19"/>
                <w:szCs w:val="19"/>
              </w:rPr>
              <w:t>n</w:t>
            </w:r>
            <w:r w:rsidRPr="00745DA3">
              <w:rPr>
                <w:b/>
                <w:sz w:val="19"/>
                <w:szCs w:val="19"/>
              </w:rPr>
              <w:t>.</w:t>
            </w:r>
          </w:p>
        </w:tc>
        <w:tc>
          <w:tcPr>
            <w:tcW w:w="5103" w:type="dxa"/>
            <w:noWrap/>
            <w:hideMark/>
          </w:tcPr>
          <w:p w:rsidR="009A1E98" w:rsidRPr="00745DA3" w:rsidRDefault="009A1E98" w:rsidP="00197F94">
            <w:pPr>
              <w:jc w:val="left"/>
              <w:rPr>
                <w:b/>
                <w:sz w:val="19"/>
                <w:szCs w:val="19"/>
              </w:rPr>
            </w:pPr>
            <w:r w:rsidRPr="00745DA3">
              <w:rPr>
                <w:b/>
                <w:sz w:val="19"/>
                <w:szCs w:val="19"/>
              </w:rPr>
              <w:t>Opere</w:t>
            </w:r>
          </w:p>
        </w:tc>
        <w:tc>
          <w:tcPr>
            <w:tcW w:w="1318" w:type="dxa"/>
            <w:noWrap/>
            <w:hideMark/>
          </w:tcPr>
          <w:p w:rsidR="009A1E98" w:rsidRPr="00745DA3" w:rsidRDefault="009A1E98" w:rsidP="003B4AAB">
            <w:pPr>
              <w:jc w:val="center"/>
              <w:rPr>
                <w:b/>
                <w:sz w:val="19"/>
                <w:szCs w:val="19"/>
              </w:rPr>
            </w:pPr>
            <w:r w:rsidRPr="00745DA3">
              <w:rPr>
                <w:b/>
                <w:sz w:val="19"/>
                <w:szCs w:val="19"/>
              </w:rPr>
              <w:t>Data</w:t>
            </w:r>
            <w:r w:rsidR="003B4AAB">
              <w:rPr>
                <w:b/>
                <w:sz w:val="19"/>
                <w:szCs w:val="19"/>
              </w:rPr>
              <w:t xml:space="preserve"> </w:t>
            </w:r>
            <w:r w:rsidRPr="00745DA3">
              <w:rPr>
                <w:b/>
                <w:sz w:val="19"/>
                <w:szCs w:val="19"/>
              </w:rPr>
              <w:t>DL</w:t>
            </w:r>
          </w:p>
        </w:tc>
        <w:tc>
          <w:tcPr>
            <w:tcW w:w="1375" w:type="dxa"/>
            <w:noWrap/>
            <w:hideMark/>
          </w:tcPr>
          <w:p w:rsidR="009A1E98" w:rsidRPr="00745DA3" w:rsidRDefault="009A1E98" w:rsidP="003B4AAB">
            <w:pPr>
              <w:ind w:left="-150"/>
              <w:jc w:val="center"/>
              <w:rPr>
                <w:b/>
                <w:sz w:val="19"/>
                <w:szCs w:val="19"/>
              </w:rPr>
            </w:pPr>
            <w:r w:rsidRPr="00745DA3">
              <w:rPr>
                <w:b/>
                <w:sz w:val="19"/>
                <w:szCs w:val="19"/>
              </w:rPr>
              <w:t xml:space="preserve">Credito </w:t>
            </w:r>
            <w:r w:rsidR="003B4AAB">
              <w:rPr>
                <w:b/>
                <w:sz w:val="19"/>
                <w:szCs w:val="19"/>
              </w:rPr>
              <w:t>n</w:t>
            </w:r>
            <w:r w:rsidRPr="00745DA3">
              <w:rPr>
                <w:b/>
                <w:sz w:val="19"/>
                <w:szCs w:val="19"/>
              </w:rPr>
              <w:t>etto</w:t>
            </w:r>
          </w:p>
          <w:p w:rsidR="009A1E98" w:rsidRPr="00745DA3" w:rsidRDefault="009A1E98" w:rsidP="00197F94">
            <w:pPr>
              <w:jc w:val="center"/>
              <w:rPr>
                <w:b/>
                <w:sz w:val="19"/>
                <w:szCs w:val="19"/>
              </w:rPr>
            </w:pPr>
            <w:r w:rsidRPr="00745DA3">
              <w:rPr>
                <w:b/>
                <w:sz w:val="19"/>
                <w:szCs w:val="19"/>
              </w:rPr>
              <w:t>CHF</w:t>
            </w:r>
          </w:p>
        </w:tc>
        <w:tc>
          <w:tcPr>
            <w:tcW w:w="1300" w:type="dxa"/>
            <w:noWrap/>
            <w:hideMark/>
          </w:tcPr>
          <w:p w:rsidR="009A1E98" w:rsidRPr="00745DA3" w:rsidRDefault="009A1E98" w:rsidP="00197F94">
            <w:pPr>
              <w:jc w:val="center"/>
              <w:rPr>
                <w:b/>
                <w:sz w:val="19"/>
                <w:szCs w:val="19"/>
              </w:rPr>
            </w:pPr>
            <w:r w:rsidRPr="00745DA3">
              <w:rPr>
                <w:b/>
                <w:sz w:val="19"/>
                <w:szCs w:val="19"/>
              </w:rPr>
              <w:t>Aut. spesa</w:t>
            </w:r>
          </w:p>
          <w:p w:rsidR="009A1E98" w:rsidRPr="00745DA3" w:rsidRDefault="009A1E98" w:rsidP="00197F94">
            <w:pPr>
              <w:jc w:val="center"/>
              <w:rPr>
                <w:b/>
                <w:sz w:val="19"/>
                <w:szCs w:val="19"/>
              </w:rPr>
            </w:pPr>
            <w:r w:rsidRPr="00745DA3">
              <w:rPr>
                <w:b/>
                <w:sz w:val="19"/>
                <w:szCs w:val="19"/>
              </w:rPr>
              <w:t>CHF</w:t>
            </w:r>
          </w:p>
        </w:tc>
      </w:tr>
      <w:tr w:rsidR="009A1E98" w:rsidRPr="00745DA3" w:rsidTr="003B4AAB">
        <w:trPr>
          <w:trHeight w:val="795"/>
        </w:trPr>
        <w:tc>
          <w:tcPr>
            <w:tcW w:w="988" w:type="dxa"/>
            <w:noWrap/>
            <w:hideMark/>
          </w:tcPr>
          <w:p w:rsidR="009A1E98" w:rsidRPr="00745DA3" w:rsidRDefault="009A1E98" w:rsidP="003B4AAB">
            <w:pPr>
              <w:spacing w:before="40"/>
              <w:jc w:val="center"/>
              <w:rPr>
                <w:sz w:val="19"/>
                <w:szCs w:val="19"/>
              </w:rPr>
            </w:pPr>
            <w:r w:rsidRPr="00745DA3">
              <w:rPr>
                <w:sz w:val="19"/>
                <w:szCs w:val="19"/>
              </w:rPr>
              <w:t>7169</w:t>
            </w:r>
          </w:p>
        </w:tc>
        <w:tc>
          <w:tcPr>
            <w:tcW w:w="5103" w:type="dxa"/>
            <w:hideMark/>
          </w:tcPr>
          <w:p w:rsidR="009A1E98" w:rsidRPr="00745DA3" w:rsidRDefault="009A1E98" w:rsidP="003B4AAB">
            <w:pPr>
              <w:spacing w:before="40" w:after="40"/>
              <w:rPr>
                <w:sz w:val="19"/>
                <w:szCs w:val="19"/>
              </w:rPr>
            </w:pPr>
            <w:r w:rsidRPr="00745DA3">
              <w:rPr>
                <w:sz w:val="19"/>
                <w:szCs w:val="19"/>
              </w:rPr>
              <w:t xml:space="preserve">Stanziamento di un credito netto di CHF 1'800'000 e autorizzazione alla spesa di CHF 4'600'000 per la realizzazione delle prime opere del Programma d’agglomerato del </w:t>
            </w:r>
            <w:proofErr w:type="spellStart"/>
            <w:r w:rsidRPr="00745DA3">
              <w:rPr>
                <w:sz w:val="19"/>
                <w:szCs w:val="19"/>
              </w:rPr>
              <w:t>Bellinzonese</w:t>
            </w:r>
            <w:proofErr w:type="spellEnd"/>
            <w:r w:rsidRPr="00745DA3">
              <w:rPr>
                <w:sz w:val="19"/>
                <w:szCs w:val="19"/>
              </w:rPr>
              <w:t xml:space="preserve"> (PAB)</w:t>
            </w:r>
          </w:p>
        </w:tc>
        <w:tc>
          <w:tcPr>
            <w:tcW w:w="1318" w:type="dxa"/>
            <w:noWrap/>
            <w:hideMark/>
          </w:tcPr>
          <w:p w:rsidR="009A1E98" w:rsidRPr="00745DA3" w:rsidRDefault="009A1E98" w:rsidP="003B4AAB">
            <w:pPr>
              <w:spacing w:before="40" w:after="40"/>
              <w:ind w:right="-64"/>
              <w:rPr>
                <w:sz w:val="19"/>
                <w:szCs w:val="19"/>
              </w:rPr>
            </w:pPr>
            <w:r w:rsidRPr="00745DA3">
              <w:rPr>
                <w:sz w:val="19"/>
                <w:szCs w:val="19"/>
              </w:rPr>
              <w:t>09.05.2016</w:t>
            </w:r>
          </w:p>
        </w:tc>
        <w:tc>
          <w:tcPr>
            <w:tcW w:w="1375" w:type="dxa"/>
            <w:noWrap/>
            <w:hideMark/>
          </w:tcPr>
          <w:p w:rsidR="009A1E98" w:rsidRPr="00745DA3" w:rsidRDefault="009A1E98" w:rsidP="003B4AAB">
            <w:pPr>
              <w:spacing w:before="40" w:after="40"/>
              <w:rPr>
                <w:sz w:val="19"/>
                <w:szCs w:val="19"/>
              </w:rPr>
            </w:pPr>
            <w:r w:rsidRPr="00745DA3">
              <w:rPr>
                <w:sz w:val="19"/>
                <w:szCs w:val="19"/>
              </w:rPr>
              <w:t>1'800'000</w:t>
            </w:r>
          </w:p>
        </w:tc>
        <w:tc>
          <w:tcPr>
            <w:tcW w:w="1300" w:type="dxa"/>
            <w:noWrap/>
            <w:hideMark/>
          </w:tcPr>
          <w:p w:rsidR="009A1E98" w:rsidRPr="00745DA3" w:rsidRDefault="009A1E98" w:rsidP="003B4AAB">
            <w:pPr>
              <w:spacing w:before="40" w:after="40"/>
              <w:rPr>
                <w:sz w:val="19"/>
                <w:szCs w:val="19"/>
              </w:rPr>
            </w:pPr>
            <w:r w:rsidRPr="00745DA3">
              <w:rPr>
                <w:sz w:val="19"/>
                <w:szCs w:val="19"/>
              </w:rPr>
              <w:t>4'600'000</w:t>
            </w:r>
          </w:p>
        </w:tc>
      </w:tr>
      <w:tr w:rsidR="009A1E98" w:rsidRPr="00745DA3" w:rsidTr="003B4AAB">
        <w:trPr>
          <w:trHeight w:val="1035"/>
        </w:trPr>
        <w:tc>
          <w:tcPr>
            <w:tcW w:w="988" w:type="dxa"/>
            <w:noWrap/>
            <w:hideMark/>
          </w:tcPr>
          <w:p w:rsidR="009A1E98" w:rsidRPr="00745DA3" w:rsidRDefault="009A1E98" w:rsidP="003B4AAB">
            <w:pPr>
              <w:spacing w:before="40"/>
              <w:jc w:val="center"/>
              <w:rPr>
                <w:sz w:val="19"/>
                <w:szCs w:val="19"/>
              </w:rPr>
            </w:pPr>
            <w:r w:rsidRPr="00745DA3">
              <w:rPr>
                <w:sz w:val="19"/>
                <w:szCs w:val="19"/>
              </w:rPr>
              <w:t>7204</w:t>
            </w:r>
          </w:p>
        </w:tc>
        <w:tc>
          <w:tcPr>
            <w:tcW w:w="5103" w:type="dxa"/>
            <w:hideMark/>
          </w:tcPr>
          <w:p w:rsidR="009A1E98" w:rsidRPr="00745DA3" w:rsidRDefault="003B4AAB" w:rsidP="003B4AAB">
            <w:pPr>
              <w:spacing w:before="40" w:after="40"/>
              <w:rPr>
                <w:sz w:val="19"/>
                <w:szCs w:val="19"/>
              </w:rPr>
            </w:pPr>
            <w:r>
              <w:rPr>
                <w:sz w:val="19"/>
                <w:szCs w:val="19"/>
              </w:rPr>
              <w:t>C</w:t>
            </w:r>
            <w:r w:rsidR="009A1E98" w:rsidRPr="00745DA3">
              <w:rPr>
                <w:sz w:val="19"/>
                <w:szCs w:val="19"/>
              </w:rPr>
              <w:t xml:space="preserve">redito di CHF 500'000 per l’allestimento dei progetti stradali di un secondo pacchetto di opere del Programma di agglomerato del </w:t>
            </w:r>
            <w:proofErr w:type="spellStart"/>
            <w:r w:rsidR="009A1E98" w:rsidRPr="00745DA3">
              <w:rPr>
                <w:sz w:val="19"/>
                <w:szCs w:val="19"/>
              </w:rPr>
              <w:t>Bellinzonese</w:t>
            </w:r>
            <w:proofErr w:type="spellEnd"/>
            <w:r w:rsidR="009A1E98" w:rsidRPr="00745DA3">
              <w:rPr>
                <w:sz w:val="19"/>
                <w:szCs w:val="19"/>
              </w:rPr>
              <w:t xml:space="preserve"> di seconda generazione (PAB 2), quale aggiornamento del primo credito di CHF 4'600'000 per un totale di CHF 5'100'000</w:t>
            </w:r>
          </w:p>
        </w:tc>
        <w:tc>
          <w:tcPr>
            <w:tcW w:w="1318" w:type="dxa"/>
            <w:noWrap/>
            <w:hideMark/>
          </w:tcPr>
          <w:p w:rsidR="009A1E98" w:rsidRPr="00745DA3" w:rsidRDefault="009A1E98" w:rsidP="003B4AAB">
            <w:pPr>
              <w:spacing w:before="40" w:after="40"/>
              <w:ind w:right="-64"/>
              <w:rPr>
                <w:sz w:val="19"/>
                <w:szCs w:val="19"/>
              </w:rPr>
            </w:pPr>
            <w:r w:rsidRPr="00745DA3">
              <w:rPr>
                <w:sz w:val="19"/>
                <w:szCs w:val="19"/>
              </w:rPr>
              <w:t>10.10.2016</w:t>
            </w:r>
          </w:p>
        </w:tc>
        <w:tc>
          <w:tcPr>
            <w:tcW w:w="1375" w:type="dxa"/>
            <w:noWrap/>
            <w:hideMark/>
          </w:tcPr>
          <w:p w:rsidR="009A1E98" w:rsidRPr="00745DA3" w:rsidRDefault="009A1E98" w:rsidP="003B4AAB">
            <w:pPr>
              <w:spacing w:before="40" w:after="40"/>
              <w:rPr>
                <w:sz w:val="19"/>
                <w:szCs w:val="19"/>
              </w:rPr>
            </w:pPr>
            <w:r w:rsidRPr="00745DA3">
              <w:rPr>
                <w:sz w:val="19"/>
                <w:szCs w:val="19"/>
              </w:rPr>
              <w:t> </w:t>
            </w:r>
          </w:p>
        </w:tc>
        <w:tc>
          <w:tcPr>
            <w:tcW w:w="1300" w:type="dxa"/>
            <w:noWrap/>
            <w:hideMark/>
          </w:tcPr>
          <w:p w:rsidR="009A1E98" w:rsidRPr="00745DA3" w:rsidRDefault="009A1E98" w:rsidP="003B4AAB">
            <w:pPr>
              <w:spacing w:before="40" w:after="40"/>
              <w:rPr>
                <w:sz w:val="19"/>
                <w:szCs w:val="19"/>
              </w:rPr>
            </w:pPr>
            <w:r w:rsidRPr="00745DA3">
              <w:rPr>
                <w:sz w:val="19"/>
                <w:szCs w:val="19"/>
              </w:rPr>
              <w:t>500'000</w:t>
            </w:r>
          </w:p>
        </w:tc>
      </w:tr>
      <w:tr w:rsidR="009A1E98" w:rsidRPr="00745DA3" w:rsidTr="003B4AAB">
        <w:trPr>
          <w:trHeight w:val="869"/>
        </w:trPr>
        <w:tc>
          <w:tcPr>
            <w:tcW w:w="988" w:type="dxa"/>
            <w:noWrap/>
          </w:tcPr>
          <w:p w:rsidR="009A1E98" w:rsidRPr="00745DA3" w:rsidRDefault="009A1E98" w:rsidP="003B4AAB">
            <w:pPr>
              <w:spacing w:before="40"/>
              <w:jc w:val="center"/>
              <w:rPr>
                <w:sz w:val="19"/>
                <w:szCs w:val="19"/>
              </w:rPr>
            </w:pPr>
            <w:r w:rsidRPr="00745DA3">
              <w:rPr>
                <w:sz w:val="19"/>
                <w:szCs w:val="19"/>
              </w:rPr>
              <w:t>7204</w:t>
            </w:r>
          </w:p>
        </w:tc>
        <w:tc>
          <w:tcPr>
            <w:tcW w:w="5103" w:type="dxa"/>
          </w:tcPr>
          <w:p w:rsidR="009A1E98" w:rsidRPr="00745DA3" w:rsidRDefault="009A1E98" w:rsidP="003B4AAB">
            <w:pPr>
              <w:spacing w:before="40" w:after="40"/>
              <w:rPr>
                <w:sz w:val="19"/>
                <w:szCs w:val="19"/>
              </w:rPr>
            </w:pPr>
            <w:r w:rsidRPr="00745DA3">
              <w:rPr>
                <w:sz w:val="19"/>
                <w:szCs w:val="19"/>
              </w:rPr>
              <w:t>Stanziamento di un credito netto di CHF 10’090'000 e autorizzazione alla spesa di</w:t>
            </w:r>
          </w:p>
          <w:p w:rsidR="009A1E98" w:rsidRPr="00745DA3" w:rsidRDefault="009A1E98" w:rsidP="003B4AAB">
            <w:pPr>
              <w:spacing w:after="40"/>
              <w:rPr>
                <w:sz w:val="19"/>
                <w:szCs w:val="19"/>
              </w:rPr>
            </w:pPr>
            <w:r w:rsidRPr="00745DA3">
              <w:rPr>
                <w:sz w:val="19"/>
                <w:szCs w:val="19"/>
              </w:rPr>
              <w:t>CHF 25'400'000 per la realizzazione della misura TP 3.1 nodo intermodale Stazione FFS Bellinzona</w:t>
            </w:r>
          </w:p>
        </w:tc>
        <w:tc>
          <w:tcPr>
            <w:tcW w:w="1318" w:type="dxa"/>
            <w:noWrap/>
          </w:tcPr>
          <w:p w:rsidR="009A1E98" w:rsidRPr="00745DA3" w:rsidRDefault="009A1E98" w:rsidP="003B4AAB">
            <w:pPr>
              <w:spacing w:before="40" w:after="40"/>
              <w:ind w:right="-64"/>
              <w:rPr>
                <w:sz w:val="19"/>
                <w:szCs w:val="19"/>
              </w:rPr>
            </w:pPr>
            <w:r w:rsidRPr="00745DA3">
              <w:rPr>
                <w:sz w:val="19"/>
                <w:szCs w:val="19"/>
              </w:rPr>
              <w:t>10.10.2016</w:t>
            </w:r>
          </w:p>
        </w:tc>
        <w:tc>
          <w:tcPr>
            <w:tcW w:w="1375" w:type="dxa"/>
            <w:noWrap/>
          </w:tcPr>
          <w:p w:rsidR="009A1E98" w:rsidRPr="00745DA3" w:rsidRDefault="009A1E98" w:rsidP="003B4AAB">
            <w:pPr>
              <w:spacing w:before="40" w:after="40"/>
              <w:rPr>
                <w:sz w:val="19"/>
                <w:szCs w:val="19"/>
              </w:rPr>
            </w:pPr>
            <w:r w:rsidRPr="00745DA3">
              <w:rPr>
                <w:sz w:val="19"/>
                <w:szCs w:val="19"/>
              </w:rPr>
              <w:t>10’090'000</w:t>
            </w:r>
          </w:p>
        </w:tc>
        <w:tc>
          <w:tcPr>
            <w:tcW w:w="1300" w:type="dxa"/>
            <w:noWrap/>
          </w:tcPr>
          <w:p w:rsidR="009A1E98" w:rsidRPr="00745DA3" w:rsidRDefault="009A1E98" w:rsidP="003B4AAB">
            <w:pPr>
              <w:spacing w:before="40" w:after="40"/>
              <w:rPr>
                <w:sz w:val="19"/>
                <w:szCs w:val="19"/>
              </w:rPr>
            </w:pPr>
            <w:r w:rsidRPr="00745DA3">
              <w:rPr>
                <w:sz w:val="19"/>
                <w:szCs w:val="19"/>
              </w:rPr>
              <w:t>25'400'000</w:t>
            </w:r>
          </w:p>
        </w:tc>
      </w:tr>
      <w:tr w:rsidR="009A1E98" w:rsidRPr="00745DA3" w:rsidTr="003B4AAB">
        <w:trPr>
          <w:trHeight w:val="1305"/>
        </w:trPr>
        <w:tc>
          <w:tcPr>
            <w:tcW w:w="988" w:type="dxa"/>
            <w:noWrap/>
            <w:hideMark/>
          </w:tcPr>
          <w:p w:rsidR="009A1E98" w:rsidRPr="00745DA3" w:rsidRDefault="009A1E98" w:rsidP="003B4AAB">
            <w:pPr>
              <w:spacing w:before="40"/>
              <w:jc w:val="center"/>
              <w:rPr>
                <w:sz w:val="19"/>
                <w:szCs w:val="19"/>
              </w:rPr>
            </w:pPr>
            <w:r w:rsidRPr="00745DA3">
              <w:rPr>
                <w:sz w:val="19"/>
                <w:szCs w:val="19"/>
              </w:rPr>
              <w:t>7617</w:t>
            </w:r>
          </w:p>
        </w:tc>
        <w:tc>
          <w:tcPr>
            <w:tcW w:w="5103" w:type="dxa"/>
            <w:hideMark/>
          </w:tcPr>
          <w:p w:rsidR="009A1E98" w:rsidRPr="00745DA3" w:rsidRDefault="009A1E98" w:rsidP="003B4AAB">
            <w:pPr>
              <w:spacing w:before="40" w:after="40"/>
              <w:rPr>
                <w:sz w:val="19"/>
                <w:szCs w:val="19"/>
              </w:rPr>
            </w:pPr>
            <w:r w:rsidRPr="00745DA3">
              <w:rPr>
                <w:sz w:val="19"/>
                <w:szCs w:val="19"/>
              </w:rPr>
              <w:t xml:space="preserve">Stanziamento, nell’ambito del Programma d’agglomerato del </w:t>
            </w:r>
            <w:proofErr w:type="spellStart"/>
            <w:r w:rsidRPr="00745DA3">
              <w:rPr>
                <w:sz w:val="19"/>
                <w:szCs w:val="19"/>
              </w:rPr>
              <w:t>Bellinzonese</w:t>
            </w:r>
            <w:proofErr w:type="spellEnd"/>
            <w:r w:rsidRPr="00745DA3">
              <w:rPr>
                <w:sz w:val="19"/>
                <w:szCs w:val="19"/>
              </w:rPr>
              <w:t xml:space="preserve"> di seconda generazione (PAB 2) di un credito netto di CHF 8’382'000 e autorizzazione alla spesa di CHF 14'850'000, quale aggiornamento del credito quadro di CHF 5'100'000, per la realizzazione di un terzo pacchetto di opere, per un totale di CHF 19'950'000</w:t>
            </w:r>
          </w:p>
        </w:tc>
        <w:tc>
          <w:tcPr>
            <w:tcW w:w="1318" w:type="dxa"/>
            <w:noWrap/>
            <w:hideMark/>
          </w:tcPr>
          <w:p w:rsidR="009A1E98" w:rsidRPr="00745DA3" w:rsidRDefault="009A1E98" w:rsidP="003B4AAB">
            <w:pPr>
              <w:spacing w:before="40" w:after="40"/>
              <w:ind w:right="-64"/>
              <w:rPr>
                <w:sz w:val="19"/>
                <w:szCs w:val="19"/>
              </w:rPr>
            </w:pPr>
            <w:r w:rsidRPr="00745DA3">
              <w:rPr>
                <w:sz w:val="19"/>
                <w:szCs w:val="19"/>
              </w:rPr>
              <w:t>12.03.2019</w:t>
            </w:r>
          </w:p>
        </w:tc>
        <w:tc>
          <w:tcPr>
            <w:tcW w:w="1375" w:type="dxa"/>
            <w:noWrap/>
            <w:hideMark/>
          </w:tcPr>
          <w:p w:rsidR="009A1E98" w:rsidRPr="00745DA3" w:rsidRDefault="009A1E98" w:rsidP="003B4AAB">
            <w:pPr>
              <w:spacing w:before="40" w:after="40"/>
              <w:rPr>
                <w:sz w:val="19"/>
                <w:szCs w:val="19"/>
              </w:rPr>
            </w:pPr>
            <w:r w:rsidRPr="00745DA3">
              <w:rPr>
                <w:sz w:val="19"/>
                <w:szCs w:val="19"/>
              </w:rPr>
              <w:t>8'382'000</w:t>
            </w:r>
          </w:p>
        </w:tc>
        <w:tc>
          <w:tcPr>
            <w:tcW w:w="1300" w:type="dxa"/>
            <w:noWrap/>
            <w:hideMark/>
          </w:tcPr>
          <w:p w:rsidR="009A1E98" w:rsidRPr="00745DA3" w:rsidRDefault="009A1E98" w:rsidP="003B4AAB">
            <w:pPr>
              <w:spacing w:before="40" w:after="40"/>
              <w:rPr>
                <w:sz w:val="19"/>
                <w:szCs w:val="19"/>
              </w:rPr>
            </w:pPr>
            <w:r w:rsidRPr="00745DA3">
              <w:rPr>
                <w:sz w:val="19"/>
                <w:szCs w:val="19"/>
              </w:rPr>
              <w:t>14'850'000</w:t>
            </w:r>
          </w:p>
        </w:tc>
      </w:tr>
      <w:tr w:rsidR="009A1E98" w:rsidRPr="00745DA3" w:rsidTr="003B4AAB">
        <w:trPr>
          <w:trHeight w:val="315"/>
        </w:trPr>
        <w:tc>
          <w:tcPr>
            <w:tcW w:w="8784" w:type="dxa"/>
            <w:gridSpan w:val="4"/>
            <w:noWrap/>
            <w:hideMark/>
          </w:tcPr>
          <w:p w:rsidR="009A1E98" w:rsidRPr="00745DA3" w:rsidRDefault="009A1E98" w:rsidP="00197F94">
            <w:pPr>
              <w:jc w:val="left"/>
              <w:rPr>
                <w:sz w:val="19"/>
                <w:szCs w:val="19"/>
              </w:rPr>
            </w:pPr>
          </w:p>
        </w:tc>
        <w:tc>
          <w:tcPr>
            <w:tcW w:w="1300" w:type="dxa"/>
            <w:noWrap/>
            <w:hideMark/>
          </w:tcPr>
          <w:p w:rsidR="009A1E98" w:rsidRPr="00745DA3" w:rsidRDefault="009A1E98" w:rsidP="003B4AAB">
            <w:pPr>
              <w:ind w:right="61"/>
              <w:jc w:val="right"/>
              <w:rPr>
                <w:b/>
                <w:bCs/>
                <w:sz w:val="19"/>
                <w:szCs w:val="19"/>
              </w:rPr>
            </w:pPr>
            <w:r w:rsidRPr="00745DA3">
              <w:rPr>
                <w:b/>
                <w:bCs/>
                <w:sz w:val="19"/>
                <w:szCs w:val="19"/>
              </w:rPr>
              <w:t>45’350'000</w:t>
            </w:r>
          </w:p>
        </w:tc>
      </w:tr>
    </w:tbl>
    <w:p w:rsidR="009A1E98" w:rsidRPr="00A41D27" w:rsidRDefault="009A1E98" w:rsidP="009A1E98">
      <w:pPr>
        <w:jc w:val="left"/>
        <w:rPr>
          <w:u w:val="single"/>
        </w:rPr>
      </w:pPr>
    </w:p>
    <w:p w:rsidR="009A1E98" w:rsidRPr="00792C6F" w:rsidRDefault="009A1E98" w:rsidP="009A1E98">
      <w:pPr>
        <w:jc w:val="left"/>
        <w:rPr>
          <w:b/>
          <w:u w:val="single"/>
        </w:rPr>
      </w:pPr>
      <w:r w:rsidRPr="00792C6F">
        <w:rPr>
          <w:b/>
          <w:u w:val="single"/>
        </w:rPr>
        <w:t>PAB 3</w:t>
      </w:r>
    </w:p>
    <w:p w:rsidR="009A1E98" w:rsidRPr="00A41D27" w:rsidRDefault="009A1E98" w:rsidP="009A1E98">
      <w:pPr>
        <w:jc w:val="left"/>
      </w:pPr>
    </w:p>
    <w:tbl>
      <w:tblPr>
        <w:tblStyle w:val="Grigliatabella"/>
        <w:tblW w:w="10060" w:type="dxa"/>
        <w:tblLook w:val="04A0" w:firstRow="1" w:lastRow="0" w:firstColumn="1" w:lastColumn="0" w:noHBand="0" w:noVBand="1"/>
      </w:tblPr>
      <w:tblGrid>
        <w:gridCol w:w="988"/>
        <w:gridCol w:w="5074"/>
        <w:gridCol w:w="1318"/>
        <w:gridCol w:w="1404"/>
        <w:gridCol w:w="1276"/>
      </w:tblGrid>
      <w:tr w:rsidR="009A1E98" w:rsidRPr="00A41D27" w:rsidTr="00197F94">
        <w:trPr>
          <w:trHeight w:val="300"/>
        </w:trPr>
        <w:tc>
          <w:tcPr>
            <w:tcW w:w="988" w:type="dxa"/>
            <w:tcBorders>
              <w:bottom w:val="single" w:sz="4" w:space="0" w:color="auto"/>
            </w:tcBorders>
            <w:noWrap/>
            <w:hideMark/>
          </w:tcPr>
          <w:p w:rsidR="009A1E98" w:rsidRPr="00745DA3" w:rsidRDefault="009A1E98" w:rsidP="009C0015">
            <w:pPr>
              <w:jc w:val="center"/>
              <w:rPr>
                <w:b/>
                <w:sz w:val="19"/>
                <w:szCs w:val="19"/>
              </w:rPr>
            </w:pPr>
            <w:proofErr w:type="spellStart"/>
            <w:r w:rsidRPr="00745DA3">
              <w:rPr>
                <w:b/>
                <w:sz w:val="19"/>
                <w:szCs w:val="19"/>
              </w:rPr>
              <w:t>Mess</w:t>
            </w:r>
            <w:proofErr w:type="spellEnd"/>
            <w:r w:rsidRPr="00745DA3">
              <w:rPr>
                <w:b/>
                <w:sz w:val="19"/>
                <w:szCs w:val="19"/>
              </w:rPr>
              <w:t>.</w:t>
            </w:r>
            <w:r w:rsidR="009C0015">
              <w:rPr>
                <w:b/>
                <w:sz w:val="19"/>
                <w:szCs w:val="19"/>
              </w:rPr>
              <w:t xml:space="preserve"> </w:t>
            </w:r>
            <w:r w:rsidR="00FC2A34" w:rsidRPr="00745DA3">
              <w:rPr>
                <w:b/>
                <w:sz w:val="19"/>
                <w:szCs w:val="19"/>
              </w:rPr>
              <w:t>n</w:t>
            </w:r>
            <w:r w:rsidRPr="00745DA3">
              <w:rPr>
                <w:b/>
                <w:sz w:val="19"/>
                <w:szCs w:val="19"/>
              </w:rPr>
              <w:t>.</w:t>
            </w:r>
          </w:p>
        </w:tc>
        <w:tc>
          <w:tcPr>
            <w:tcW w:w="5074" w:type="dxa"/>
            <w:tcBorders>
              <w:bottom w:val="single" w:sz="4" w:space="0" w:color="auto"/>
            </w:tcBorders>
            <w:noWrap/>
            <w:hideMark/>
          </w:tcPr>
          <w:p w:rsidR="009A1E98" w:rsidRPr="00745DA3" w:rsidRDefault="009A1E98" w:rsidP="00197F94">
            <w:pPr>
              <w:jc w:val="left"/>
              <w:rPr>
                <w:b/>
                <w:sz w:val="19"/>
                <w:szCs w:val="19"/>
              </w:rPr>
            </w:pPr>
            <w:r w:rsidRPr="00745DA3">
              <w:rPr>
                <w:b/>
                <w:sz w:val="19"/>
                <w:szCs w:val="19"/>
              </w:rPr>
              <w:t>Opere</w:t>
            </w:r>
          </w:p>
        </w:tc>
        <w:tc>
          <w:tcPr>
            <w:tcW w:w="1318" w:type="dxa"/>
            <w:tcBorders>
              <w:bottom w:val="single" w:sz="4" w:space="0" w:color="auto"/>
            </w:tcBorders>
            <w:noWrap/>
            <w:hideMark/>
          </w:tcPr>
          <w:p w:rsidR="009A1E98" w:rsidRPr="00745DA3" w:rsidRDefault="009A1E98" w:rsidP="003B4AAB">
            <w:pPr>
              <w:jc w:val="center"/>
              <w:rPr>
                <w:b/>
                <w:sz w:val="19"/>
                <w:szCs w:val="19"/>
              </w:rPr>
            </w:pPr>
            <w:r w:rsidRPr="00745DA3">
              <w:rPr>
                <w:b/>
                <w:sz w:val="19"/>
                <w:szCs w:val="19"/>
              </w:rPr>
              <w:t>Data</w:t>
            </w:r>
            <w:r w:rsidR="003B4AAB">
              <w:rPr>
                <w:b/>
                <w:sz w:val="19"/>
                <w:szCs w:val="19"/>
              </w:rPr>
              <w:t xml:space="preserve"> </w:t>
            </w:r>
            <w:r w:rsidRPr="00745DA3">
              <w:rPr>
                <w:b/>
                <w:sz w:val="19"/>
                <w:szCs w:val="19"/>
              </w:rPr>
              <w:t>DL</w:t>
            </w:r>
          </w:p>
        </w:tc>
        <w:tc>
          <w:tcPr>
            <w:tcW w:w="1404" w:type="dxa"/>
            <w:tcBorders>
              <w:bottom w:val="single" w:sz="4" w:space="0" w:color="auto"/>
            </w:tcBorders>
            <w:noWrap/>
            <w:hideMark/>
          </w:tcPr>
          <w:p w:rsidR="009A1E98" w:rsidRPr="00745DA3" w:rsidRDefault="009A1E98" w:rsidP="00197F94">
            <w:pPr>
              <w:jc w:val="center"/>
              <w:rPr>
                <w:b/>
                <w:sz w:val="19"/>
                <w:szCs w:val="19"/>
              </w:rPr>
            </w:pPr>
            <w:r w:rsidRPr="00745DA3">
              <w:rPr>
                <w:b/>
                <w:sz w:val="19"/>
                <w:szCs w:val="19"/>
              </w:rPr>
              <w:t>Credito netto</w:t>
            </w:r>
          </w:p>
          <w:p w:rsidR="009A1E98" w:rsidRPr="00745DA3" w:rsidRDefault="009A1E98" w:rsidP="00197F94">
            <w:pPr>
              <w:jc w:val="center"/>
              <w:rPr>
                <w:b/>
                <w:sz w:val="19"/>
                <w:szCs w:val="19"/>
              </w:rPr>
            </w:pPr>
            <w:r w:rsidRPr="00745DA3">
              <w:rPr>
                <w:b/>
                <w:sz w:val="19"/>
                <w:szCs w:val="19"/>
              </w:rPr>
              <w:t>CHF</w:t>
            </w:r>
          </w:p>
        </w:tc>
        <w:tc>
          <w:tcPr>
            <w:tcW w:w="1276" w:type="dxa"/>
            <w:tcBorders>
              <w:bottom w:val="single" w:sz="4" w:space="0" w:color="auto"/>
            </w:tcBorders>
            <w:noWrap/>
            <w:hideMark/>
          </w:tcPr>
          <w:p w:rsidR="009A1E98" w:rsidRPr="00745DA3" w:rsidRDefault="009A1E98" w:rsidP="00197F94">
            <w:pPr>
              <w:jc w:val="center"/>
              <w:rPr>
                <w:b/>
                <w:sz w:val="19"/>
                <w:szCs w:val="19"/>
              </w:rPr>
            </w:pPr>
            <w:r w:rsidRPr="00745DA3">
              <w:rPr>
                <w:b/>
                <w:sz w:val="19"/>
                <w:szCs w:val="19"/>
              </w:rPr>
              <w:t>Aut. spesa</w:t>
            </w:r>
          </w:p>
          <w:p w:rsidR="009A1E98" w:rsidRPr="00745DA3" w:rsidRDefault="009A1E98" w:rsidP="00197F94">
            <w:pPr>
              <w:jc w:val="center"/>
              <w:rPr>
                <w:b/>
                <w:sz w:val="19"/>
                <w:szCs w:val="19"/>
              </w:rPr>
            </w:pPr>
            <w:r w:rsidRPr="00745DA3">
              <w:rPr>
                <w:b/>
                <w:sz w:val="19"/>
                <w:szCs w:val="19"/>
              </w:rPr>
              <w:t>CHF</w:t>
            </w:r>
          </w:p>
        </w:tc>
      </w:tr>
      <w:tr w:rsidR="009A1E98" w:rsidRPr="00A41D27" w:rsidTr="00197F94">
        <w:tc>
          <w:tcPr>
            <w:tcW w:w="988" w:type="dxa"/>
            <w:tcBorders>
              <w:bottom w:val="nil"/>
            </w:tcBorders>
            <w:noWrap/>
            <w:hideMark/>
          </w:tcPr>
          <w:p w:rsidR="009A1E98" w:rsidRPr="00745DA3" w:rsidRDefault="009A1E98" w:rsidP="003B4AAB">
            <w:pPr>
              <w:spacing w:before="40"/>
              <w:jc w:val="center"/>
              <w:rPr>
                <w:sz w:val="19"/>
                <w:szCs w:val="19"/>
              </w:rPr>
            </w:pPr>
            <w:r w:rsidRPr="00745DA3">
              <w:rPr>
                <w:sz w:val="19"/>
                <w:szCs w:val="19"/>
              </w:rPr>
              <w:t>7617</w:t>
            </w:r>
          </w:p>
        </w:tc>
        <w:tc>
          <w:tcPr>
            <w:tcW w:w="5074" w:type="dxa"/>
            <w:tcBorders>
              <w:bottom w:val="nil"/>
            </w:tcBorders>
            <w:hideMark/>
          </w:tcPr>
          <w:p w:rsidR="009A1E98" w:rsidRPr="00745DA3" w:rsidRDefault="009A1E98" w:rsidP="003B4AAB">
            <w:pPr>
              <w:spacing w:before="40" w:after="40"/>
              <w:rPr>
                <w:sz w:val="19"/>
                <w:szCs w:val="19"/>
              </w:rPr>
            </w:pPr>
            <w:r w:rsidRPr="00745DA3">
              <w:rPr>
                <w:sz w:val="19"/>
                <w:szCs w:val="19"/>
              </w:rPr>
              <w:t xml:space="preserve">Stanziamento, nell’ambito del Programma d’agglomerato del </w:t>
            </w:r>
            <w:proofErr w:type="spellStart"/>
            <w:r w:rsidRPr="00745DA3">
              <w:rPr>
                <w:sz w:val="19"/>
                <w:szCs w:val="19"/>
              </w:rPr>
              <w:t>Bellinzonese</w:t>
            </w:r>
            <w:proofErr w:type="spellEnd"/>
            <w:r w:rsidRPr="00745DA3">
              <w:rPr>
                <w:sz w:val="19"/>
                <w:szCs w:val="19"/>
              </w:rPr>
              <w:t xml:space="preserve"> di terza generazione (PAB 3):</w:t>
            </w:r>
          </w:p>
        </w:tc>
        <w:tc>
          <w:tcPr>
            <w:tcW w:w="1318" w:type="dxa"/>
            <w:tcBorders>
              <w:bottom w:val="nil"/>
            </w:tcBorders>
            <w:noWrap/>
            <w:hideMark/>
          </w:tcPr>
          <w:p w:rsidR="009A1E98" w:rsidRPr="00745DA3" w:rsidRDefault="009A1E98" w:rsidP="00197F94">
            <w:pPr>
              <w:jc w:val="left"/>
              <w:rPr>
                <w:sz w:val="19"/>
                <w:szCs w:val="19"/>
              </w:rPr>
            </w:pPr>
          </w:p>
        </w:tc>
        <w:tc>
          <w:tcPr>
            <w:tcW w:w="1404" w:type="dxa"/>
            <w:tcBorders>
              <w:bottom w:val="nil"/>
            </w:tcBorders>
            <w:noWrap/>
            <w:hideMark/>
          </w:tcPr>
          <w:p w:rsidR="009A1E98" w:rsidRPr="00745DA3" w:rsidRDefault="009A1E98" w:rsidP="003B4AAB">
            <w:pPr>
              <w:ind w:right="178"/>
              <w:jc w:val="right"/>
              <w:rPr>
                <w:sz w:val="19"/>
                <w:szCs w:val="19"/>
              </w:rPr>
            </w:pPr>
          </w:p>
        </w:tc>
        <w:tc>
          <w:tcPr>
            <w:tcW w:w="1276" w:type="dxa"/>
            <w:tcBorders>
              <w:bottom w:val="nil"/>
            </w:tcBorders>
            <w:noWrap/>
          </w:tcPr>
          <w:p w:rsidR="009A1E98" w:rsidRPr="00745DA3" w:rsidRDefault="009A1E98" w:rsidP="003B4AAB">
            <w:pPr>
              <w:ind w:right="39"/>
              <w:jc w:val="right"/>
              <w:rPr>
                <w:sz w:val="19"/>
                <w:szCs w:val="19"/>
              </w:rPr>
            </w:pPr>
          </w:p>
        </w:tc>
      </w:tr>
      <w:tr w:rsidR="009A1E98" w:rsidRPr="00A41D27" w:rsidTr="00197F94">
        <w:tc>
          <w:tcPr>
            <w:tcW w:w="988" w:type="dxa"/>
            <w:tcBorders>
              <w:top w:val="nil"/>
              <w:bottom w:val="nil"/>
            </w:tcBorders>
            <w:noWrap/>
          </w:tcPr>
          <w:p w:rsidR="009A1E98" w:rsidRPr="00745DA3" w:rsidRDefault="009A1E98" w:rsidP="00197F94">
            <w:pPr>
              <w:jc w:val="center"/>
              <w:rPr>
                <w:sz w:val="19"/>
                <w:szCs w:val="19"/>
              </w:rPr>
            </w:pPr>
          </w:p>
        </w:tc>
        <w:tc>
          <w:tcPr>
            <w:tcW w:w="5074" w:type="dxa"/>
            <w:tcBorders>
              <w:top w:val="nil"/>
              <w:bottom w:val="nil"/>
            </w:tcBorders>
          </w:tcPr>
          <w:p w:rsidR="009A1E98" w:rsidRPr="00745DA3" w:rsidRDefault="009A1E98" w:rsidP="003B4AAB">
            <w:pPr>
              <w:pStyle w:val="Paragrafoelenco"/>
              <w:numPr>
                <w:ilvl w:val="0"/>
                <w:numId w:val="5"/>
              </w:numPr>
              <w:tabs>
                <w:tab w:val="left" w:pos="274"/>
              </w:tabs>
              <w:spacing w:after="40"/>
              <w:ind w:left="272" w:hanging="272"/>
              <w:rPr>
                <w:sz w:val="19"/>
                <w:szCs w:val="19"/>
              </w:rPr>
            </w:pPr>
            <w:r w:rsidRPr="00745DA3">
              <w:rPr>
                <w:sz w:val="19"/>
                <w:szCs w:val="19"/>
              </w:rPr>
              <w:t>di un credito netto di CHF 745'000 e autorizzazione alla spesa di CHF 1'600'000 per le prime misure di carattere stradale;</w:t>
            </w:r>
          </w:p>
        </w:tc>
        <w:tc>
          <w:tcPr>
            <w:tcW w:w="1318" w:type="dxa"/>
            <w:tcBorders>
              <w:top w:val="nil"/>
              <w:bottom w:val="nil"/>
            </w:tcBorders>
            <w:noWrap/>
          </w:tcPr>
          <w:p w:rsidR="009A1E98" w:rsidRPr="00745DA3" w:rsidRDefault="009A1E98" w:rsidP="003B4AAB">
            <w:pPr>
              <w:jc w:val="center"/>
              <w:rPr>
                <w:sz w:val="19"/>
                <w:szCs w:val="19"/>
              </w:rPr>
            </w:pPr>
            <w:r w:rsidRPr="00745DA3">
              <w:rPr>
                <w:sz w:val="19"/>
                <w:szCs w:val="19"/>
              </w:rPr>
              <w:t>12.03.2019</w:t>
            </w:r>
          </w:p>
        </w:tc>
        <w:tc>
          <w:tcPr>
            <w:tcW w:w="1404" w:type="dxa"/>
            <w:tcBorders>
              <w:top w:val="nil"/>
              <w:bottom w:val="nil"/>
            </w:tcBorders>
            <w:noWrap/>
          </w:tcPr>
          <w:p w:rsidR="009A1E98" w:rsidRPr="00745DA3" w:rsidRDefault="009A1E98" w:rsidP="003B4AAB">
            <w:pPr>
              <w:ind w:right="178"/>
              <w:jc w:val="right"/>
              <w:rPr>
                <w:sz w:val="19"/>
                <w:szCs w:val="19"/>
              </w:rPr>
            </w:pPr>
            <w:r w:rsidRPr="00745DA3">
              <w:rPr>
                <w:sz w:val="19"/>
                <w:szCs w:val="19"/>
              </w:rPr>
              <w:t>745’000</w:t>
            </w:r>
          </w:p>
        </w:tc>
        <w:tc>
          <w:tcPr>
            <w:tcW w:w="1276" w:type="dxa"/>
            <w:tcBorders>
              <w:top w:val="nil"/>
              <w:bottom w:val="nil"/>
            </w:tcBorders>
            <w:noWrap/>
          </w:tcPr>
          <w:p w:rsidR="009A1E98" w:rsidRPr="00745DA3" w:rsidRDefault="009A1E98" w:rsidP="003B4AAB">
            <w:pPr>
              <w:ind w:right="39"/>
              <w:jc w:val="right"/>
              <w:rPr>
                <w:sz w:val="19"/>
                <w:szCs w:val="19"/>
              </w:rPr>
            </w:pPr>
            <w:r w:rsidRPr="00745DA3">
              <w:rPr>
                <w:sz w:val="19"/>
                <w:szCs w:val="19"/>
              </w:rPr>
              <w:t>1'600’000</w:t>
            </w:r>
          </w:p>
        </w:tc>
      </w:tr>
      <w:tr w:rsidR="009A1E98" w:rsidRPr="00A41D27" w:rsidTr="00197F94">
        <w:tc>
          <w:tcPr>
            <w:tcW w:w="988" w:type="dxa"/>
            <w:tcBorders>
              <w:top w:val="nil"/>
            </w:tcBorders>
            <w:noWrap/>
          </w:tcPr>
          <w:p w:rsidR="009A1E98" w:rsidRPr="00745DA3" w:rsidRDefault="009A1E98" w:rsidP="00197F94">
            <w:pPr>
              <w:jc w:val="center"/>
              <w:rPr>
                <w:sz w:val="19"/>
                <w:szCs w:val="19"/>
              </w:rPr>
            </w:pPr>
          </w:p>
        </w:tc>
        <w:tc>
          <w:tcPr>
            <w:tcW w:w="5074" w:type="dxa"/>
            <w:tcBorders>
              <w:top w:val="nil"/>
            </w:tcBorders>
          </w:tcPr>
          <w:p w:rsidR="009A1E98" w:rsidRPr="00745DA3" w:rsidRDefault="009A1E98" w:rsidP="003B4AAB">
            <w:pPr>
              <w:pStyle w:val="Paragrafoelenco"/>
              <w:numPr>
                <w:ilvl w:val="0"/>
                <w:numId w:val="5"/>
              </w:numPr>
              <w:tabs>
                <w:tab w:val="left" w:pos="274"/>
              </w:tabs>
              <w:spacing w:after="40"/>
              <w:ind w:left="274" w:hanging="274"/>
              <w:rPr>
                <w:sz w:val="19"/>
                <w:szCs w:val="19"/>
              </w:rPr>
            </w:pPr>
            <w:r w:rsidRPr="00745DA3">
              <w:rPr>
                <w:sz w:val="19"/>
                <w:szCs w:val="19"/>
              </w:rPr>
              <w:t>di un credito netto di CHF 520'000 e autorizzazione alla spesa di CHF 1'620'000 per la realizzazione del nodo intermodale della fermata S. Antonino</w:t>
            </w:r>
          </w:p>
        </w:tc>
        <w:tc>
          <w:tcPr>
            <w:tcW w:w="1318" w:type="dxa"/>
            <w:tcBorders>
              <w:top w:val="nil"/>
            </w:tcBorders>
            <w:noWrap/>
          </w:tcPr>
          <w:p w:rsidR="009A1E98" w:rsidRPr="00745DA3" w:rsidRDefault="009A1E98" w:rsidP="003B4AAB">
            <w:pPr>
              <w:jc w:val="center"/>
              <w:rPr>
                <w:sz w:val="19"/>
                <w:szCs w:val="19"/>
              </w:rPr>
            </w:pPr>
            <w:r w:rsidRPr="00745DA3">
              <w:rPr>
                <w:sz w:val="19"/>
                <w:szCs w:val="19"/>
              </w:rPr>
              <w:t>12.03.2019</w:t>
            </w:r>
          </w:p>
        </w:tc>
        <w:tc>
          <w:tcPr>
            <w:tcW w:w="1404" w:type="dxa"/>
            <w:tcBorders>
              <w:top w:val="nil"/>
            </w:tcBorders>
            <w:noWrap/>
          </w:tcPr>
          <w:p w:rsidR="009A1E98" w:rsidRPr="00745DA3" w:rsidRDefault="009A1E98" w:rsidP="003B4AAB">
            <w:pPr>
              <w:ind w:right="178"/>
              <w:jc w:val="right"/>
              <w:rPr>
                <w:sz w:val="19"/>
                <w:szCs w:val="19"/>
              </w:rPr>
            </w:pPr>
            <w:r w:rsidRPr="00745DA3">
              <w:rPr>
                <w:sz w:val="19"/>
                <w:szCs w:val="19"/>
              </w:rPr>
              <w:t>520’000</w:t>
            </w:r>
          </w:p>
        </w:tc>
        <w:tc>
          <w:tcPr>
            <w:tcW w:w="1276" w:type="dxa"/>
            <w:tcBorders>
              <w:top w:val="nil"/>
            </w:tcBorders>
            <w:noWrap/>
          </w:tcPr>
          <w:p w:rsidR="009A1E98" w:rsidRPr="00745DA3" w:rsidRDefault="009A1E98" w:rsidP="003B4AAB">
            <w:pPr>
              <w:ind w:right="39"/>
              <w:jc w:val="right"/>
              <w:rPr>
                <w:sz w:val="19"/>
                <w:szCs w:val="19"/>
              </w:rPr>
            </w:pPr>
            <w:r w:rsidRPr="00745DA3">
              <w:rPr>
                <w:sz w:val="19"/>
                <w:szCs w:val="19"/>
              </w:rPr>
              <w:t>1'620’000</w:t>
            </w:r>
          </w:p>
        </w:tc>
      </w:tr>
      <w:tr w:rsidR="009A1E98" w:rsidRPr="00A41D27" w:rsidTr="00197F94">
        <w:trPr>
          <w:trHeight w:val="315"/>
        </w:trPr>
        <w:tc>
          <w:tcPr>
            <w:tcW w:w="8784" w:type="dxa"/>
            <w:gridSpan w:val="4"/>
            <w:noWrap/>
            <w:hideMark/>
          </w:tcPr>
          <w:p w:rsidR="009A1E98" w:rsidRPr="00745DA3" w:rsidRDefault="009A1E98" w:rsidP="00197F94">
            <w:pPr>
              <w:jc w:val="left"/>
              <w:rPr>
                <w:sz w:val="19"/>
                <w:szCs w:val="19"/>
              </w:rPr>
            </w:pPr>
          </w:p>
        </w:tc>
        <w:tc>
          <w:tcPr>
            <w:tcW w:w="1276" w:type="dxa"/>
            <w:noWrap/>
          </w:tcPr>
          <w:p w:rsidR="009A1E98" w:rsidRPr="00745DA3" w:rsidRDefault="009A1E98" w:rsidP="003B4AAB">
            <w:pPr>
              <w:ind w:right="39"/>
              <w:jc w:val="right"/>
              <w:rPr>
                <w:b/>
                <w:bCs/>
                <w:sz w:val="19"/>
                <w:szCs w:val="19"/>
              </w:rPr>
            </w:pPr>
            <w:r w:rsidRPr="00745DA3">
              <w:rPr>
                <w:b/>
                <w:bCs/>
                <w:sz w:val="19"/>
                <w:szCs w:val="19"/>
              </w:rPr>
              <w:t>3'220’000</w:t>
            </w:r>
          </w:p>
        </w:tc>
      </w:tr>
    </w:tbl>
    <w:p w:rsidR="009A1E98" w:rsidRPr="008E21E5" w:rsidRDefault="009A1E98" w:rsidP="009A1E98">
      <w:pPr>
        <w:tabs>
          <w:tab w:val="left" w:pos="567"/>
        </w:tabs>
      </w:pPr>
    </w:p>
    <w:p w:rsidR="009A1E98" w:rsidRDefault="009A1E98" w:rsidP="009A1E98">
      <w:pPr>
        <w:tabs>
          <w:tab w:val="left" w:pos="567"/>
        </w:tabs>
      </w:pPr>
    </w:p>
    <w:p w:rsidR="00DE7954" w:rsidRPr="008E21E5" w:rsidRDefault="00DE7954" w:rsidP="009A1E98">
      <w:pPr>
        <w:tabs>
          <w:tab w:val="left" w:pos="567"/>
        </w:tabs>
      </w:pPr>
    </w:p>
    <w:p w:rsidR="009A1E98" w:rsidRPr="008E21E5" w:rsidRDefault="009A1E98" w:rsidP="009A1E98">
      <w:pPr>
        <w:pStyle w:val="Titolo1"/>
      </w:pPr>
      <w:r w:rsidRPr="008E21E5">
        <w:t>Opere previste dal messaggio</w:t>
      </w:r>
    </w:p>
    <w:p w:rsidR="009A1E98" w:rsidRDefault="009A1E98" w:rsidP="009A1E98">
      <w:pPr>
        <w:tabs>
          <w:tab w:val="left" w:pos="567"/>
        </w:tabs>
      </w:pPr>
      <w:r w:rsidRPr="008E21E5">
        <w:t xml:space="preserve">Le diverse opere previste partecipano a un disegno complessivo </w:t>
      </w:r>
      <w:r>
        <w:t xml:space="preserve">di cui è fondamentale sempre tenere conto e considerarne l’ampiezza. </w:t>
      </w:r>
      <w:r w:rsidRPr="008E21E5">
        <w:t>Ringraziamo in tale senso lo scambio di vedute e</w:t>
      </w:r>
      <w:r>
        <w:t xml:space="preserve"> </w:t>
      </w:r>
      <w:r w:rsidRPr="008E21E5">
        <w:t xml:space="preserve">le informazioni pervenute dagli Uffici cantonali competenti e dei rispettivi funzionari dirigenti </w:t>
      </w:r>
      <w:r>
        <w:t xml:space="preserve">del Dipartimento del Territorio </w:t>
      </w:r>
      <w:r w:rsidRPr="00792C6F">
        <w:t xml:space="preserve">(Maurizio </w:t>
      </w:r>
      <w:proofErr w:type="spellStart"/>
      <w:r w:rsidRPr="00792C6F">
        <w:t>Giacomazzi</w:t>
      </w:r>
      <w:proofErr w:type="spellEnd"/>
      <w:r w:rsidRPr="00792C6F">
        <w:t xml:space="preserve">, Capo Ufficio della pianificazione della mobilità e Patrick </w:t>
      </w:r>
      <w:proofErr w:type="spellStart"/>
      <w:r w:rsidRPr="00792C6F">
        <w:t>Rivaroli</w:t>
      </w:r>
      <w:proofErr w:type="spellEnd"/>
      <w:r w:rsidRPr="00792C6F">
        <w:t xml:space="preserve">, Capo area operativa del </w:t>
      </w:r>
      <w:proofErr w:type="spellStart"/>
      <w:r w:rsidRPr="00792C6F">
        <w:t>Sopraceneri</w:t>
      </w:r>
      <w:proofErr w:type="spellEnd"/>
      <w:r w:rsidRPr="00792C6F">
        <w:t>).</w:t>
      </w:r>
    </w:p>
    <w:p w:rsidR="009A1E98" w:rsidRDefault="009A1E98" w:rsidP="009A1E98">
      <w:pPr>
        <w:tabs>
          <w:tab w:val="left" w:pos="567"/>
        </w:tabs>
      </w:pPr>
      <w:r>
        <w:t xml:space="preserve">Volutamente il </w:t>
      </w:r>
      <w:r w:rsidR="00745DA3">
        <w:t>r</w:t>
      </w:r>
      <w:r>
        <w:t xml:space="preserve">apporto non riprendere la descrizione dettagliata dei vari interventi previsti, in particolare per il progetto di nuova pista ciclabile verso la </w:t>
      </w:r>
      <w:proofErr w:type="spellStart"/>
      <w:r>
        <w:t>Mesolcina</w:t>
      </w:r>
      <w:proofErr w:type="spellEnd"/>
      <w:r>
        <w:t xml:space="preserve"> e le modifiche proposte alle fermate del trasporto pubblico, in considerazione della completezza delle informazioni inserite nello stesso messaggio.</w:t>
      </w:r>
    </w:p>
    <w:p w:rsidR="009A1E98" w:rsidRPr="00745DA3" w:rsidRDefault="009A1E98" w:rsidP="009A1E98">
      <w:pPr>
        <w:tabs>
          <w:tab w:val="left" w:pos="567"/>
        </w:tabs>
        <w:rPr>
          <w:sz w:val="22"/>
        </w:rPr>
      </w:pPr>
    </w:p>
    <w:p w:rsidR="009A1E98" w:rsidRPr="008E21E5" w:rsidRDefault="009A1E98" w:rsidP="009A1E98">
      <w:pPr>
        <w:pStyle w:val="Titolo2"/>
        <w:rPr>
          <w:rFonts w:ascii="Calibri" w:hAnsi="Calibri"/>
          <w:sz w:val="22"/>
          <w:lang w:val="it-CH" w:eastAsia="en-US"/>
        </w:rPr>
      </w:pPr>
      <w:r>
        <w:lastRenderedPageBreak/>
        <w:t>2.1</w:t>
      </w:r>
      <w:r>
        <w:tab/>
      </w:r>
      <w:r w:rsidRPr="008E21E5">
        <w:t xml:space="preserve">Pista ciclabile vs </w:t>
      </w:r>
      <w:proofErr w:type="spellStart"/>
      <w:r w:rsidRPr="008E21E5">
        <w:t>Mesolcina</w:t>
      </w:r>
      <w:proofErr w:type="spellEnd"/>
    </w:p>
    <w:p w:rsidR="009A1E98" w:rsidRDefault="009A1E98" w:rsidP="009A1E98">
      <w:pPr>
        <w:autoSpaceDE w:val="0"/>
        <w:autoSpaceDN w:val="0"/>
      </w:pPr>
      <w:r w:rsidRPr="008E21E5">
        <w:t xml:space="preserve">La funzione primaria dei percorsi nazionali inseriti nella rete di </w:t>
      </w:r>
      <w:proofErr w:type="spellStart"/>
      <w:r w:rsidRPr="008E21E5">
        <w:t>SvizzeraMobile</w:t>
      </w:r>
      <w:proofErr w:type="spellEnd"/>
      <w:r w:rsidRPr="008E21E5">
        <w:t xml:space="preserve"> è quella escursionistica. Sono quindi destinati principalmente</w:t>
      </w:r>
      <w:r w:rsidRPr="008E21E5">
        <w:rPr>
          <w:rFonts w:ascii="Frutiger-LightCn" w:hAnsi="Frutiger-LightCn"/>
          <w:sz w:val="18"/>
          <w:szCs w:val="18"/>
          <w:lang w:eastAsia="it-CH"/>
        </w:rPr>
        <w:t xml:space="preserve"> </w:t>
      </w:r>
      <w:r w:rsidRPr="008E21E5">
        <w:t>agli spostamenti legati al tempo libero. Sono concepiti per viaggi</w:t>
      </w:r>
      <w:r w:rsidRPr="008E21E5">
        <w:rPr>
          <w:rFonts w:ascii="Frutiger-LightCn" w:hAnsi="Frutiger-LightCn"/>
          <w:sz w:val="18"/>
          <w:szCs w:val="18"/>
          <w:lang w:eastAsia="it-CH"/>
        </w:rPr>
        <w:t xml:space="preserve"> </w:t>
      </w:r>
      <w:proofErr w:type="spellStart"/>
      <w:r w:rsidRPr="008E21E5">
        <w:t>plurigiornalieri</w:t>
      </w:r>
      <w:proofErr w:type="spellEnd"/>
      <w:r w:rsidRPr="008E21E5">
        <w:t>, escursioni di un giorno oppure uscite</w:t>
      </w:r>
      <w:r w:rsidRPr="008E21E5">
        <w:rPr>
          <w:rFonts w:ascii="Frutiger-LightCn" w:hAnsi="Frutiger-LightCn"/>
          <w:sz w:val="18"/>
          <w:szCs w:val="18"/>
          <w:lang w:eastAsia="it-CH"/>
        </w:rPr>
        <w:t xml:space="preserve"> </w:t>
      </w:r>
      <w:r w:rsidRPr="008E21E5">
        <w:t>di allenamento. Tali percorsi sono attrattivi da un</w:t>
      </w:r>
      <w:r w:rsidRPr="008E21E5">
        <w:rPr>
          <w:rFonts w:ascii="Frutiger-LightCn" w:hAnsi="Frutiger-LightCn"/>
          <w:sz w:val="18"/>
          <w:szCs w:val="18"/>
          <w:lang w:eastAsia="it-CH"/>
        </w:rPr>
        <w:t xml:space="preserve"> </w:t>
      </w:r>
      <w:r w:rsidRPr="008E21E5">
        <w:t>punto di vista paesaggistico e possibilmente ubicati in zone tranquille.</w:t>
      </w:r>
    </w:p>
    <w:p w:rsidR="00FC2A34" w:rsidRPr="00745DA3" w:rsidRDefault="00FC2A34" w:rsidP="009A1E98">
      <w:pPr>
        <w:autoSpaceDE w:val="0"/>
        <w:autoSpaceDN w:val="0"/>
        <w:rPr>
          <w:sz w:val="22"/>
        </w:rPr>
      </w:pPr>
    </w:p>
    <w:p w:rsidR="009A1E98" w:rsidRPr="008E21E5" w:rsidRDefault="009A1E98" w:rsidP="009A1E98">
      <w:pPr>
        <w:rPr>
          <w:rFonts w:ascii="Calibri" w:hAnsi="Calibri"/>
          <w:sz w:val="22"/>
        </w:rPr>
      </w:pPr>
      <w:r w:rsidRPr="008E21E5">
        <w:t xml:space="preserve">In questo senso il percorso attuale in sponda sinistra è decisamente più adatto: si sviluppa lungo il fiume, spesso nel bosco e lontano dal traffico veicolare e dalle zone urbane. </w:t>
      </w:r>
    </w:p>
    <w:p w:rsidR="009A1E98" w:rsidRPr="00745DA3" w:rsidRDefault="009A1E98" w:rsidP="009A1E98">
      <w:pPr>
        <w:rPr>
          <w:sz w:val="22"/>
        </w:rPr>
      </w:pPr>
    </w:p>
    <w:p w:rsidR="009A1E98" w:rsidRDefault="009A1E98" w:rsidP="009A1E98">
      <w:r w:rsidRPr="008E21E5">
        <w:t xml:space="preserve">Il percorso nazionale non riceve un finanziamento specifico da parte della Confederazione. Resta di competenza del Cantone, come anche i percorsi regionali. La suddivisione tra Nazionali, Regionali e Locali è legata al marketing turistico nel contesto della piattaforma </w:t>
      </w:r>
      <w:proofErr w:type="spellStart"/>
      <w:r w:rsidRPr="008E21E5">
        <w:t>SvizzeraMobile</w:t>
      </w:r>
      <w:proofErr w:type="spellEnd"/>
      <w:r w:rsidRPr="008E21E5">
        <w:t xml:space="preserve">. Si tratta di offerte diverse </w:t>
      </w:r>
      <w:r>
        <w:t xml:space="preserve">che si integrano in modo sistemico </w:t>
      </w:r>
      <w:r w:rsidRPr="008E21E5">
        <w:t xml:space="preserve">per </w:t>
      </w:r>
      <w:r>
        <w:t xml:space="preserve">favorire la mobilità lenta a sostegno degli </w:t>
      </w:r>
      <w:r w:rsidRPr="008E21E5">
        <w:t>gli amanti delle due ruote.</w:t>
      </w:r>
    </w:p>
    <w:p w:rsidR="009A1E98" w:rsidRPr="00745DA3" w:rsidRDefault="009A1E98" w:rsidP="009A1E98">
      <w:pPr>
        <w:rPr>
          <w:sz w:val="22"/>
        </w:rPr>
      </w:pPr>
    </w:p>
    <w:p w:rsidR="009A1E98" w:rsidRPr="008E21E5" w:rsidRDefault="009A1E98" w:rsidP="009A1E98">
      <w:pPr>
        <w:autoSpaceDE w:val="0"/>
        <w:autoSpaceDN w:val="0"/>
        <w:rPr>
          <w:rFonts w:ascii="Calibri" w:hAnsi="Calibri"/>
          <w:sz w:val="22"/>
        </w:rPr>
      </w:pPr>
      <w:r>
        <w:t>Il percorso previsto l</w:t>
      </w:r>
      <w:r w:rsidRPr="008E21E5">
        <w:t xml:space="preserve">ungo l’ex Retica è </w:t>
      </w:r>
      <w:r>
        <w:t xml:space="preserve">definito quale </w:t>
      </w:r>
      <w:r w:rsidRPr="008E21E5">
        <w:t xml:space="preserve">percorso regionale o locale (verosimilmente locale, vista la lunghezza </w:t>
      </w:r>
      <w:r>
        <w:t xml:space="preserve">inferiore ai </w:t>
      </w:r>
      <w:r w:rsidRPr="008E21E5">
        <w:t xml:space="preserve">50 km), che secondo i principi di </w:t>
      </w:r>
      <w:proofErr w:type="spellStart"/>
      <w:r w:rsidRPr="008E21E5">
        <w:t>SvizzeraMobile</w:t>
      </w:r>
      <w:proofErr w:type="spellEnd"/>
      <w:r w:rsidRPr="008E21E5">
        <w:t xml:space="preserve"> risulta più adatt</w:t>
      </w:r>
      <w:r>
        <w:t>o</w:t>
      </w:r>
      <w:r w:rsidRPr="008E21E5">
        <w:t xml:space="preserve"> alla mobilità quotidiana. La nuova offerta ciclabile può essere concepita attorno al concetto di riqualifica della ferrovia storica. Questo approccio è già stata condiviso preliminarmente con il Canton GR e la Fondazione </w:t>
      </w:r>
      <w:proofErr w:type="spellStart"/>
      <w:r w:rsidRPr="008E21E5">
        <w:t>SvizzeraMobile</w:t>
      </w:r>
      <w:proofErr w:type="spellEnd"/>
      <w:r w:rsidRPr="008E21E5">
        <w:t>.</w:t>
      </w:r>
    </w:p>
    <w:p w:rsidR="009A1E98" w:rsidRPr="00745DA3" w:rsidRDefault="009A1E98" w:rsidP="009A1E98">
      <w:pPr>
        <w:rPr>
          <w:sz w:val="22"/>
        </w:rPr>
      </w:pPr>
    </w:p>
    <w:p w:rsidR="009A1E98" w:rsidRPr="00745DA3" w:rsidRDefault="009A1E98" w:rsidP="009A1E98">
      <w:pPr>
        <w:rPr>
          <w:sz w:val="22"/>
        </w:rPr>
      </w:pPr>
    </w:p>
    <w:p w:rsidR="009A1E98" w:rsidRPr="003C65BA" w:rsidRDefault="009A1E98" w:rsidP="009A1E98">
      <w:pPr>
        <w:pStyle w:val="Titolo2"/>
        <w:rPr>
          <w:rFonts w:ascii="Calibri" w:hAnsi="Calibri"/>
          <w:sz w:val="22"/>
          <w:lang w:val="it-CH" w:eastAsia="en-US"/>
        </w:rPr>
      </w:pPr>
      <w:r>
        <w:t>2.2</w:t>
      </w:r>
      <w:r>
        <w:tab/>
      </w:r>
      <w:r w:rsidRPr="008E21E5">
        <w:t xml:space="preserve">Adattamento fermate </w:t>
      </w:r>
      <w:r>
        <w:t>del Trasporto pubblico (</w:t>
      </w:r>
      <w:r w:rsidRPr="008E21E5">
        <w:t>TP</w:t>
      </w:r>
      <w:r>
        <w:t>)</w:t>
      </w:r>
    </w:p>
    <w:p w:rsidR="009A1E98" w:rsidRPr="008E21E5" w:rsidRDefault="009A1E98" w:rsidP="009A1E98">
      <w:pPr>
        <w:pStyle w:val="Titolo3"/>
        <w:rPr>
          <w:rFonts w:ascii="Calibri" w:hAnsi="Calibri"/>
          <w:sz w:val="22"/>
          <w:lang w:val="it-CH" w:eastAsia="en-US"/>
        </w:rPr>
      </w:pPr>
      <w:r>
        <w:t>2.2.1</w:t>
      </w:r>
      <w:r>
        <w:tab/>
        <w:t>Principi</w:t>
      </w:r>
    </w:p>
    <w:p w:rsidR="009A1E98" w:rsidRDefault="009A1E98" w:rsidP="009A1E98">
      <w:r w:rsidRPr="008E21E5">
        <w:t xml:space="preserve">Si tratta di interventi che rientrano in un pacchetto più ampio di misure del PAB che contribuiscono ad accrescere, tramite accessi confortevoli e sicuri ai veicoli, l’attrattività del TP nel suo complesso e nel contempo migliorarne l’esercizio. Questi interventi sono stati concordati con la CRT e i Comuni interessati e possono usufruire del contributo federale del 40% concesso per il PAB3 (a condizione che i lavori vengano avviati entro il 2025). </w:t>
      </w:r>
    </w:p>
    <w:p w:rsidR="00DE7954" w:rsidRPr="00745DA3" w:rsidRDefault="00DE7954" w:rsidP="009A1E98">
      <w:pPr>
        <w:rPr>
          <w:bCs/>
          <w:sz w:val="22"/>
        </w:rPr>
      </w:pPr>
    </w:p>
    <w:p w:rsidR="009A1E98" w:rsidRDefault="009A1E98" w:rsidP="009A1E98">
      <w:r w:rsidRPr="008E21E5">
        <w:t xml:space="preserve">Tramite questi adeguamenti, che vengono eseguiti secondo le Linee Guida cantonali emanate dal Dipartimento del territorio </w:t>
      </w:r>
      <w:r w:rsidRPr="009C0015">
        <w:rPr>
          <w:i/>
        </w:rPr>
        <w:t>“</w:t>
      </w:r>
      <w:r w:rsidRPr="00886440">
        <w:rPr>
          <w:i/>
        </w:rPr>
        <w:t>Concezione delle fermate del trasporto pubblico su gomma</w:t>
      </w:r>
      <w:r w:rsidRPr="008E21E5">
        <w:t xml:space="preserve">” (dicembre 2017), si provvede pure all’adeguamento delle fermate bus ai sensi della Legge federale sull’eliminazione di svantaggi nei confronti dei disabili (Legge sui disabili, </w:t>
      </w:r>
      <w:proofErr w:type="spellStart"/>
      <w:r w:rsidRPr="008E21E5">
        <w:t>LDis</w:t>
      </w:r>
      <w:proofErr w:type="spellEnd"/>
      <w:r w:rsidRPr="008E21E5">
        <w:t xml:space="preserve">) del 13 dicembre 2002. Questa impone che le costruzioni e gli impianti esistenti come pure i veicoli dei trasporti pubblici siano resi conformi alle esigenze dei disabili entro il </w:t>
      </w:r>
      <w:r w:rsidR="00FC2A34">
        <w:br/>
      </w:r>
      <w:r w:rsidRPr="008E21E5">
        <w:t xml:space="preserve">1° gennaio 2024. Le fermate oggetto delle misure PAB, in base ai potenziali e alla tipologia d’utenza, rientrerebbero in ogni caso nelle fermate prioritarie da risanare ai sensi della </w:t>
      </w:r>
      <w:proofErr w:type="spellStart"/>
      <w:r w:rsidRPr="008E21E5">
        <w:t>LDis</w:t>
      </w:r>
      <w:proofErr w:type="spellEnd"/>
      <w:r w:rsidRPr="008E21E5">
        <w:t xml:space="preserve"> nel </w:t>
      </w:r>
      <w:proofErr w:type="spellStart"/>
      <w:r w:rsidRPr="008E21E5">
        <w:t>Bellinzonese</w:t>
      </w:r>
      <w:proofErr w:type="spellEnd"/>
      <w:r w:rsidRPr="008E21E5">
        <w:t>. Il modo di procedere del Cantone in questo ambito è pure condiviso con Inclusione Andicap.</w:t>
      </w:r>
    </w:p>
    <w:p w:rsidR="009A1E98" w:rsidRPr="00745DA3" w:rsidRDefault="009A1E98" w:rsidP="009A1E98">
      <w:pPr>
        <w:rPr>
          <w:sz w:val="22"/>
        </w:rPr>
      </w:pPr>
    </w:p>
    <w:p w:rsidR="009A1E98" w:rsidRPr="008E21E5" w:rsidRDefault="009A1E98" w:rsidP="009A1E98">
      <w:r w:rsidRPr="008E21E5">
        <w:t xml:space="preserve">In caso di mancata attuazione degli interventi previsti nel PAB3, oltre a perdere i contributi della Confederazione e subire con una penalità nella valutazione del prossimo PAB (che si ripercuote sulla percentuale di contributo della CH), persone che si ritengono discriminate o organizzazioni come la stessa Inclusione Andicap, a partire dal </w:t>
      </w:r>
      <w:r w:rsidR="00FC2A34">
        <w:t>0</w:t>
      </w:r>
      <w:r w:rsidRPr="008E21E5">
        <w:t>1.</w:t>
      </w:r>
      <w:r w:rsidR="00FC2A34">
        <w:t>0</w:t>
      </w:r>
      <w:r w:rsidRPr="008E21E5">
        <w:t xml:space="preserve">1.2024 potrebbero far causa al proprietario della fermata (Cantone o Comune) per mancato adempimento della </w:t>
      </w:r>
      <w:proofErr w:type="spellStart"/>
      <w:r w:rsidRPr="008E21E5">
        <w:t>LDis</w:t>
      </w:r>
      <w:proofErr w:type="spellEnd"/>
      <w:r w:rsidRPr="008E21E5">
        <w:t>.</w:t>
      </w:r>
    </w:p>
    <w:p w:rsidR="009A1E98" w:rsidRDefault="009A1E98" w:rsidP="009A1E98"/>
    <w:p w:rsidR="009A1E98" w:rsidRDefault="009A1E98">
      <w:pPr>
        <w:jc w:val="left"/>
      </w:pPr>
      <w:r>
        <w:br w:type="page"/>
      </w:r>
    </w:p>
    <w:p w:rsidR="009A1E98" w:rsidRPr="008E21E5" w:rsidRDefault="009A1E98" w:rsidP="009A1E98">
      <w:pPr>
        <w:pStyle w:val="Titolo3"/>
        <w:rPr>
          <w:rFonts w:ascii="Calibri" w:hAnsi="Calibri"/>
          <w:bCs/>
          <w:sz w:val="22"/>
          <w:lang w:val="it-CH" w:eastAsia="en-US"/>
        </w:rPr>
      </w:pPr>
      <w:r>
        <w:lastRenderedPageBreak/>
        <w:t>2.2.2</w:t>
      </w:r>
      <w:r>
        <w:tab/>
      </w:r>
      <w:r w:rsidRPr="008E21E5">
        <w:t>Aspetti tecnici</w:t>
      </w:r>
    </w:p>
    <w:p w:rsidR="009A1E98" w:rsidRPr="008E21E5" w:rsidRDefault="009A1E98" w:rsidP="009A1E98">
      <w:r w:rsidRPr="008E21E5">
        <w:t>Ogni fermata del TP richiede la valutazione di vari criteri che portano poi a definire la soluzione ideale dell’intervento. Ad esempio:</w:t>
      </w:r>
    </w:p>
    <w:p w:rsidR="009A1E98" w:rsidRPr="008E21E5" w:rsidRDefault="009A1E98" w:rsidP="009A1E98">
      <w:pPr>
        <w:pStyle w:val="Paragrafoelenco"/>
        <w:numPr>
          <w:ilvl w:val="0"/>
          <w:numId w:val="5"/>
        </w:numPr>
        <w:spacing w:before="60" w:after="60"/>
        <w:ind w:left="284" w:hanging="284"/>
      </w:pPr>
      <w:r w:rsidRPr="008E21E5">
        <w:t>il marciapiede per rispecchiare la Legge federale per i disabili può avere al massimo un’altezza di 22 cm</w:t>
      </w:r>
      <w:r>
        <w:t xml:space="preserve"> (</w:t>
      </w:r>
      <w:proofErr w:type="spellStart"/>
      <w:r>
        <w:t>LDis</w:t>
      </w:r>
      <w:proofErr w:type="spellEnd"/>
      <w:r>
        <w:t>)</w:t>
      </w:r>
      <w:r w:rsidRPr="008E21E5">
        <w:t>;</w:t>
      </w:r>
    </w:p>
    <w:p w:rsidR="009A1E98" w:rsidRPr="008E21E5" w:rsidRDefault="009A1E98" w:rsidP="009A1E98">
      <w:pPr>
        <w:pStyle w:val="Paragrafoelenco"/>
        <w:numPr>
          <w:ilvl w:val="0"/>
          <w:numId w:val="5"/>
        </w:numPr>
        <w:spacing w:before="60" w:after="60"/>
        <w:ind w:left="284" w:hanging="284"/>
      </w:pPr>
      <w:r w:rsidRPr="008E21E5">
        <w:t>la Legge federale sulla circolazione stradale chiede di garantire la visibilità del pedone da parte dell’autista ad almeno 50 m di distanza;</w:t>
      </w:r>
    </w:p>
    <w:p w:rsidR="009A1E98" w:rsidRPr="008E21E5" w:rsidRDefault="009A1E98" w:rsidP="009A1E98">
      <w:pPr>
        <w:pStyle w:val="Paragrafoelenco"/>
        <w:numPr>
          <w:ilvl w:val="0"/>
          <w:numId w:val="5"/>
        </w:numPr>
        <w:spacing w:before="60" w:after="60"/>
        <w:ind w:left="284" w:hanging="284"/>
      </w:pPr>
      <w:r w:rsidRPr="008E21E5">
        <w:t>il dimensionamento e l’impostazione della fermata viene valutata in funzione del potenziale di passeggeri a sua volta da valutare in relazione alle unità insediative presenti, agli utenti effettivi registrati e alle strutture presenti che potrebbero avere un</w:t>
      </w:r>
      <w:r>
        <w:t>’</w:t>
      </w:r>
      <w:r w:rsidRPr="008E21E5">
        <w:t>interessenza particolare con il TP;</w:t>
      </w:r>
    </w:p>
    <w:p w:rsidR="009A1E98" w:rsidRPr="008E21E5" w:rsidRDefault="009A1E98" w:rsidP="009A1E98">
      <w:pPr>
        <w:pStyle w:val="Paragrafoelenco"/>
        <w:numPr>
          <w:ilvl w:val="0"/>
          <w:numId w:val="5"/>
        </w:numPr>
        <w:spacing w:before="60" w:after="60"/>
        <w:ind w:left="284" w:hanging="284"/>
      </w:pPr>
      <w:r w:rsidRPr="008E21E5">
        <w:t xml:space="preserve">la presenza di </w:t>
      </w:r>
      <w:r>
        <w:t xml:space="preserve">passaggi pedonali e di </w:t>
      </w:r>
      <w:r w:rsidRPr="008E21E5">
        <w:t xml:space="preserve">strade di accesso laterali deve essere considerata </w:t>
      </w:r>
      <w:r>
        <w:t>così da</w:t>
      </w:r>
      <w:r w:rsidRPr="008E21E5">
        <w:t xml:space="preserve"> evitare </w:t>
      </w:r>
      <w:r>
        <w:t>l’incremento del</w:t>
      </w:r>
      <w:r w:rsidRPr="008E21E5">
        <w:t xml:space="preserve"> rischio di </w:t>
      </w:r>
      <w:r>
        <w:t>incidente</w:t>
      </w:r>
      <w:r w:rsidRPr="008E21E5">
        <w:t>.</w:t>
      </w:r>
    </w:p>
    <w:p w:rsidR="009A1E98" w:rsidRPr="008E21E5" w:rsidRDefault="009A1E98" w:rsidP="009A1E98"/>
    <w:p w:rsidR="009A1E98" w:rsidRDefault="009A1E98" w:rsidP="009A1E98">
      <w:r w:rsidRPr="008E21E5">
        <w:t>Pur considerando la difficoltà dell’analisi e la necessità di ponderazione di molti criteri per le diverse fermate, rimane il dubbio che le conclusioni a cui si era giunti in passato</w:t>
      </w:r>
      <w:r>
        <w:t xml:space="preserve"> possano meritare una revisione (vedi p</w:t>
      </w:r>
      <w:r w:rsidR="009C0015">
        <w:t>.</w:t>
      </w:r>
      <w:r>
        <w:t>to 2.2.4).</w:t>
      </w:r>
      <w:r w:rsidRPr="008E21E5">
        <w:t xml:space="preserve"> </w:t>
      </w:r>
    </w:p>
    <w:p w:rsidR="009A1E98" w:rsidRDefault="009A1E98" w:rsidP="009A1E98"/>
    <w:p w:rsidR="009A1E98" w:rsidRPr="003C65BA" w:rsidRDefault="009A1E98" w:rsidP="009A1E98">
      <w:pPr>
        <w:pStyle w:val="Titolo3"/>
      </w:pPr>
      <w:r>
        <w:t>2.2.3</w:t>
      </w:r>
      <w:r>
        <w:tab/>
      </w:r>
      <w:r w:rsidRPr="003C65BA">
        <w:t>Fermate da adattare oggetto del messaggio</w:t>
      </w:r>
    </w:p>
    <w:p w:rsidR="009A1E98" w:rsidRPr="003C65BA" w:rsidRDefault="009A1E98" w:rsidP="009A1E98">
      <w:pPr>
        <w:pStyle w:val="Titolo4"/>
      </w:pPr>
      <w:r w:rsidRPr="003C65BA">
        <w:t>Fermate Bellinzona, Posta Semine (2.1 b) e Bellinzona, Ramarro (2.1 c)</w:t>
      </w:r>
    </w:p>
    <w:p w:rsidR="009A1E98" w:rsidRPr="003C65BA" w:rsidRDefault="009A1E98" w:rsidP="009A1E98">
      <w:pPr>
        <w:spacing w:after="120"/>
      </w:pPr>
      <w:r w:rsidRPr="003C65BA">
        <w:t xml:space="preserve">La definizione dell’assetto delle due fermate è stato oggetto di un’attenta ponderazione delle esigenze dei vari utenti (TIM, TP e ML) sin dalle prime fasi progettuali.  Tenendo conto anche dei rigidi vincoli geometrici dettati dalle bordure di 22 cm (soluzione che permette piena autonomia al disabile in carrozzella, come stabilito dalla </w:t>
      </w:r>
      <w:proofErr w:type="spellStart"/>
      <w:r w:rsidRPr="003C65BA">
        <w:t>LDis</w:t>
      </w:r>
      <w:proofErr w:type="spellEnd"/>
      <w:r w:rsidRPr="003C65BA">
        <w:t xml:space="preserve">) e considerando che le fermate in questione sono servite unicamente dalla linea urbana senza vendita biglietti sul veicolo (tempi d’arresto minimi solo per salita/discesa), si è arrivati a definire per entrambe la seguente configurazione: mantenimento della nicchia per il punto fermata posizionato all’uscita dall’incrocio e spostamento su carreggiata del punto fermata all’entrata nell’incrocio. Per la fermata della Posta Semine, allo scopo di avere un secondo parere, è stata pure commissionata un’analisi dettagliata degli effetti dello spostamento dalla nicchia alla carreggiata del punto fermata Posta Semine in direzione </w:t>
      </w:r>
      <w:proofErr w:type="spellStart"/>
      <w:r w:rsidRPr="003C65BA">
        <w:t>Camorino</w:t>
      </w:r>
      <w:proofErr w:type="spellEnd"/>
      <w:r w:rsidRPr="003C65BA">
        <w:t>. Questa ha confermato che:</w:t>
      </w:r>
    </w:p>
    <w:p w:rsidR="009A1E98" w:rsidRPr="003C65BA" w:rsidRDefault="009A1E98" w:rsidP="009A1E98">
      <w:pPr>
        <w:pStyle w:val="Paragrafoelenco"/>
        <w:numPr>
          <w:ilvl w:val="0"/>
          <w:numId w:val="17"/>
        </w:numPr>
        <w:spacing w:after="120"/>
        <w:ind w:left="357" w:hanging="357"/>
      </w:pPr>
      <w:r w:rsidRPr="003C65BA">
        <w:t>gli svantaggi per il traffico individuale motorizzato (TIM) sono minimi e sopportabili. La presenza dell’impianto semaforico mitiga gli effetti sul TIM (la programmazione semaforica può essere ulteriormente ottimizzata).</w:t>
      </w:r>
    </w:p>
    <w:p w:rsidR="009A1E98" w:rsidRPr="003C65BA" w:rsidRDefault="009A1E98" w:rsidP="009A1E98">
      <w:pPr>
        <w:pStyle w:val="Paragrafoelenco"/>
        <w:numPr>
          <w:ilvl w:val="0"/>
          <w:numId w:val="17"/>
        </w:numPr>
        <w:spacing w:before="120" w:after="120"/>
        <w:ind w:left="357" w:hanging="357"/>
        <w:contextualSpacing/>
      </w:pPr>
      <w:r w:rsidRPr="003C65BA">
        <w:t>i vantaggi per il trasporto pubblico (TP), segnatamente la possibilità di velocizzare tutte le corse dei bus ed in particolare fino ad oltre 1 minuto quelle in ora di punta, giustificano pienamente lo spostamento del punto fermata Posta Semine dir. S dalla nicchia alla carreggiata.</w:t>
      </w:r>
    </w:p>
    <w:p w:rsidR="009A1E98" w:rsidRPr="003C65BA" w:rsidRDefault="009A1E98" w:rsidP="009A1E98">
      <w:r w:rsidRPr="003C65BA">
        <w:t>Per analogia le stesse considerazioni valgono anche per la fermata Ramarro in direzione Castione.</w:t>
      </w:r>
    </w:p>
    <w:p w:rsidR="009A1E98" w:rsidRPr="003C65BA" w:rsidRDefault="009A1E98" w:rsidP="009A1E98"/>
    <w:p w:rsidR="009A1E98" w:rsidRPr="003C65BA" w:rsidRDefault="009A1E98" w:rsidP="009A1E98">
      <w:r w:rsidRPr="003C65BA">
        <w:t xml:space="preserve">Per quanto riguarda i riferimenti alla situazione che si riscontra presso la fermata in Piazza </w:t>
      </w:r>
      <w:proofErr w:type="spellStart"/>
      <w:r w:rsidRPr="003C65BA">
        <w:t>Orico</w:t>
      </w:r>
      <w:proofErr w:type="spellEnd"/>
      <w:r w:rsidRPr="003C65BA">
        <w:t xml:space="preserve">, si precisa che si tratta di una soluzione adottata d’urgenza per scongiurare il pericolo d’investimento dei pedoni che attraversano le strisce pedonali (mancanza di visibilità in caso di sorpasso dei bus fermi). </w:t>
      </w:r>
    </w:p>
    <w:p w:rsidR="009A1E98" w:rsidRPr="003C65BA" w:rsidRDefault="009A1E98" w:rsidP="009A1E98"/>
    <w:p w:rsidR="009A1E98" w:rsidRPr="003C65BA" w:rsidRDefault="009A1E98" w:rsidP="009A1E98">
      <w:pPr>
        <w:pStyle w:val="Titolo4"/>
      </w:pPr>
      <w:r w:rsidRPr="003C65BA">
        <w:lastRenderedPageBreak/>
        <w:t xml:space="preserve">Fermate </w:t>
      </w:r>
      <w:proofErr w:type="spellStart"/>
      <w:r w:rsidRPr="003C65BA">
        <w:t>Carrale</w:t>
      </w:r>
      <w:proofErr w:type="spellEnd"/>
      <w:r w:rsidRPr="003C65BA">
        <w:t xml:space="preserve"> </w:t>
      </w:r>
      <w:proofErr w:type="spellStart"/>
      <w:r w:rsidRPr="003C65BA">
        <w:t>Bacilieri</w:t>
      </w:r>
      <w:proofErr w:type="spellEnd"/>
      <w:r w:rsidRPr="003C65BA">
        <w:t xml:space="preserve"> e Madonna della Neve</w:t>
      </w:r>
    </w:p>
    <w:p w:rsidR="009A1E98" w:rsidRPr="003C65BA" w:rsidRDefault="009A1E98" w:rsidP="009A1E98">
      <w:r w:rsidRPr="003C65BA">
        <w:t>L’attuale situazione pone grossi problemi sia per quanto concerne le manovre bus che per quel che riguarda l’accesso pedonale alla struttura ospedaliera. Ciò ha portato all’inserimento di una misura specifica nel PAB3. La manovra di retromarcia effettuata attualmente dai bus di linea è pericolosa e non è conforme alla legge (vedi art. 17 dell’Ordinanza sulle norme della circolazione stradale). Al momento essa è tollerata in attesa di una valida alternativa. La polizia volendo potrebbe già sanzionare gli autisti (ad es. a Sagno è stato dato un ultimatum). Il percorso pedonale tra la fermata e la struttura ospedaliera è assolutamente inadeguato ai disabili, alle persone con mobilità ridotta (anziani, malati) e ai passeggini (presenza di scale lungo sul percorso con marciapiede, assenza di marciapiede in corrispondenza delle scale e pendenza longitudinale eccessiva).</w:t>
      </w:r>
    </w:p>
    <w:p w:rsidR="009A1E98" w:rsidRPr="003C65BA" w:rsidRDefault="009A1E98" w:rsidP="009A1E98"/>
    <w:p w:rsidR="009A1E98" w:rsidRDefault="009A1E98" w:rsidP="009A1E98">
      <w:r w:rsidRPr="003C65BA">
        <w:t>Dopo aver esaminato parecchie varianti coinvolgendo anche l’EOC, in particolare per quanto riguarda i percorsi interni, si è arrivati a individuare la configurazione delle fermate e della piazza di giro previste nel progetto. Questa prevede anche un nuovo camminamento con lift all’interno del sedime EOC: seppur più lungo dell’attuale percorso – l’aumento è tuttavia da relativizzare se si considera l’estensione in superficie dell’intera struttura e non solo la distanza dalla ricezione - esso è nettamente più agevole e percorribile da tutti gli utenti. Si tratta di fatto dell’unica soluzione che permette di rimediare alla situazione attuale. Evidentemente la soluzione per il TP non può sopperire alle evidenti lacune della struttura ospedaliera stessa.</w:t>
      </w:r>
    </w:p>
    <w:p w:rsidR="009A1E98" w:rsidRPr="003C65BA" w:rsidRDefault="009A1E98" w:rsidP="009A1E98"/>
    <w:p w:rsidR="009A1E98" w:rsidRPr="003C65BA" w:rsidRDefault="009A1E98" w:rsidP="009A1E98">
      <w:pPr>
        <w:pStyle w:val="Titolo3"/>
      </w:pPr>
      <w:r>
        <w:t>2.2.4</w:t>
      </w:r>
      <w:r>
        <w:tab/>
      </w:r>
      <w:r w:rsidRPr="003C65BA">
        <w:t xml:space="preserve">Fermate </w:t>
      </w:r>
      <w:r>
        <w:t xml:space="preserve">problematiche </w:t>
      </w:r>
    </w:p>
    <w:p w:rsidR="009A1E98" w:rsidRPr="00466307" w:rsidRDefault="009A1E98" w:rsidP="009A1E98">
      <w:r w:rsidRPr="00466307">
        <w:t xml:space="preserve">La Commissione si permette di evidenziare alcune situazioni di fermate esistenti che presentano delle criticità evidenti. Senza volersi sovrapporre agli specialisti, ci permettiamo di evidenziare alcuni </w:t>
      </w:r>
      <w:r>
        <w:t xml:space="preserve">fermate che sembrano essere problematiche </w:t>
      </w:r>
      <w:r w:rsidRPr="00466307">
        <w:t xml:space="preserve">che chiediamo di valutare con attenzione se non già </w:t>
      </w:r>
      <w:r>
        <w:t>considerate in</w:t>
      </w:r>
      <w:r w:rsidRPr="00466307">
        <w:t xml:space="preserve"> futuri interventi. </w:t>
      </w:r>
    </w:p>
    <w:p w:rsidR="009A1E98" w:rsidRPr="00466307" w:rsidRDefault="009A1E98" w:rsidP="009A1E98"/>
    <w:p w:rsidR="009A1E98" w:rsidRPr="00466307" w:rsidRDefault="009A1E98" w:rsidP="00877BF9">
      <w:pPr>
        <w:spacing w:after="240"/>
        <w:rPr>
          <w:b/>
        </w:rPr>
      </w:pPr>
      <w:r w:rsidRPr="00466307">
        <w:t xml:space="preserve">Ad esempio la </w:t>
      </w:r>
      <w:r w:rsidRPr="00886440">
        <w:rPr>
          <w:u w:val="single"/>
        </w:rPr>
        <w:t>Fermata in Viale Portone (direzione sud)</w:t>
      </w:r>
    </w:p>
    <w:p w:rsidR="009A1E98" w:rsidRDefault="009A1E98" w:rsidP="009A1E98">
      <w:pPr>
        <w:sectPr w:rsidR="009A1E98" w:rsidSect="00877B79">
          <w:footnotePr>
            <w:numRestart w:val="eachSect"/>
          </w:footnotePr>
          <w:pgSz w:w="11906" w:h="16838"/>
          <w:pgMar w:top="1417" w:right="1134" w:bottom="1134" w:left="1134" w:header="708" w:footer="720" w:gutter="0"/>
          <w:cols w:space="720"/>
          <w:docGrid w:linePitch="360"/>
        </w:sectPr>
      </w:pPr>
    </w:p>
    <w:p w:rsidR="009A1E98" w:rsidRDefault="009A1E98" w:rsidP="009A1E98">
      <w:r w:rsidRPr="00466307">
        <w:t>In viale Portone (vs sud) il bus si arresta all’inizio della sua corsia preferenziale immediatamente dopo l’isola pedonale e blocca il traffico inutilmente (gli utenti scendono in quel posto normalmente per andare sul lato destro e non tornano vs il centro di Bellinzona)</w:t>
      </w:r>
      <w:r>
        <w:t>.</w:t>
      </w:r>
    </w:p>
    <w:p w:rsidR="009A1E98" w:rsidRDefault="009A1E98" w:rsidP="009A1E98">
      <w:r>
        <w:t>In pratica il beneficio al traffico privato creato dalla corsia preferenziale viene negato da questa fermata.</w:t>
      </w:r>
    </w:p>
    <w:p w:rsidR="009A1E98" w:rsidRPr="00466307" w:rsidRDefault="009A1E98" w:rsidP="009A1E98"/>
    <w:p w:rsidR="009A1E98" w:rsidRDefault="009A1E98" w:rsidP="009A1E98">
      <w:pPr>
        <w:tabs>
          <w:tab w:val="left" w:pos="567"/>
        </w:tabs>
      </w:pPr>
      <w:r w:rsidRPr="00466307">
        <w:rPr>
          <w:noProof/>
          <w:lang w:eastAsia="it-CH"/>
        </w:rPr>
        <w:drawing>
          <wp:inline distT="0" distB="0" distL="0" distR="0" wp14:anchorId="0766B1C8" wp14:editId="09BEE9C6">
            <wp:extent cx="2819400" cy="2114550"/>
            <wp:effectExtent l="0" t="0" r="0" b="0"/>
            <wp:docPr id="18" name="Immagine 18" descr="cid:b981635a-02ba-42ca-a422-c7c7f17a9571@intra.adm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b981635a-02ba-42ca-a422-c7c7f17a9571@intra.admin.ch"/>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828663" cy="2121497"/>
                    </a:xfrm>
                    <a:prstGeom prst="rect">
                      <a:avLst/>
                    </a:prstGeom>
                    <a:noFill/>
                    <a:ln>
                      <a:noFill/>
                    </a:ln>
                  </pic:spPr>
                </pic:pic>
              </a:graphicData>
            </a:graphic>
          </wp:inline>
        </w:drawing>
      </w:r>
      <w:r w:rsidRPr="00466307">
        <w:t xml:space="preserve"> </w:t>
      </w:r>
      <w:r w:rsidRPr="009A1E98">
        <w:rPr>
          <w:sz w:val="20"/>
          <w:szCs w:val="20"/>
        </w:rPr>
        <w:t>Viale Portone</w:t>
      </w:r>
    </w:p>
    <w:p w:rsidR="009A1E98" w:rsidRDefault="009A1E98" w:rsidP="009A1E98">
      <w:pPr>
        <w:tabs>
          <w:tab w:val="left" w:pos="567"/>
        </w:tabs>
      </w:pPr>
    </w:p>
    <w:p w:rsidR="00DE7954" w:rsidRDefault="00DE7954" w:rsidP="009A1E98">
      <w:pPr>
        <w:tabs>
          <w:tab w:val="left" w:pos="567"/>
        </w:tabs>
        <w:sectPr w:rsidR="00DE7954" w:rsidSect="00146F1F">
          <w:footnotePr>
            <w:numRestart w:val="eachSect"/>
          </w:footnotePr>
          <w:type w:val="continuous"/>
          <w:pgSz w:w="11906" w:h="16838"/>
          <w:pgMar w:top="1417" w:right="1134" w:bottom="1134" w:left="1134" w:header="708" w:footer="720" w:gutter="0"/>
          <w:cols w:num="2" w:space="720"/>
          <w:docGrid w:linePitch="360"/>
        </w:sectPr>
      </w:pPr>
    </w:p>
    <w:p w:rsidR="009A1E98" w:rsidRDefault="009A1E98" w:rsidP="009A1E98">
      <w:pPr>
        <w:tabs>
          <w:tab w:val="left" w:pos="567"/>
        </w:tabs>
      </w:pPr>
    </w:p>
    <w:p w:rsidR="009A1E98" w:rsidRDefault="009A1E98" w:rsidP="009A1E98">
      <w:pPr>
        <w:tabs>
          <w:tab w:val="left" w:pos="567"/>
        </w:tabs>
      </w:pPr>
    </w:p>
    <w:p w:rsidR="009A1E98" w:rsidRDefault="009A1E98">
      <w:pPr>
        <w:jc w:val="left"/>
      </w:pPr>
      <w:r>
        <w:br w:type="page"/>
      </w:r>
    </w:p>
    <w:p w:rsidR="009A1E98" w:rsidRPr="003C65BA" w:rsidRDefault="009A1E98" w:rsidP="00877BF9">
      <w:pPr>
        <w:tabs>
          <w:tab w:val="left" w:pos="567"/>
        </w:tabs>
        <w:spacing w:after="240"/>
        <w:rPr>
          <w:b/>
        </w:rPr>
      </w:pPr>
      <w:r>
        <w:lastRenderedPageBreak/>
        <w:t xml:space="preserve">Discorso simile per la </w:t>
      </w:r>
      <w:r w:rsidRPr="00886440">
        <w:rPr>
          <w:u w:val="single"/>
        </w:rPr>
        <w:t>Fermata a Villa Bonetti</w:t>
      </w:r>
    </w:p>
    <w:p w:rsidR="009A1E98" w:rsidRDefault="009A1E98" w:rsidP="009A1E98">
      <w:pPr>
        <w:sectPr w:rsidR="009A1E98" w:rsidSect="00146F1F">
          <w:footnotePr>
            <w:numRestart w:val="eachSect"/>
          </w:footnotePr>
          <w:type w:val="continuous"/>
          <w:pgSz w:w="11906" w:h="16838"/>
          <w:pgMar w:top="1417" w:right="1134" w:bottom="1134" w:left="1134" w:header="708" w:footer="720" w:gutter="0"/>
          <w:cols w:space="720"/>
          <w:docGrid w:linePitch="360"/>
        </w:sectPr>
      </w:pPr>
    </w:p>
    <w:p w:rsidR="009A1E98" w:rsidRDefault="009A1E98" w:rsidP="009A1E98">
      <w:r>
        <w:t>All’altezza di Villa Bonetti e</w:t>
      </w:r>
      <w:r w:rsidRPr="003C65BA">
        <w:t xml:space="preserve">siste una nicchia di sosta che non sempre viene utilizzata dal TP. </w:t>
      </w:r>
    </w:p>
    <w:p w:rsidR="009A1E98" w:rsidRDefault="009A1E98" w:rsidP="009A1E98">
      <w:pPr>
        <w:rPr>
          <w:noProof/>
          <w:lang w:eastAsia="it-CH"/>
        </w:rPr>
      </w:pPr>
      <w:r w:rsidRPr="003C65BA">
        <w:t>Se ciò sembra corretto in relazione alla necessità di garantire la visibilità sul pedone, ciò sembra stridere con la necessità di rendere fluido il traffico in una zona di incrocio già di per sé piuttosto complicata.</w:t>
      </w:r>
      <w:r w:rsidRPr="001504AD">
        <w:rPr>
          <w:noProof/>
          <w:lang w:eastAsia="it-CH"/>
        </w:rPr>
        <w:t xml:space="preserve"> </w:t>
      </w:r>
    </w:p>
    <w:p w:rsidR="009A1E98" w:rsidRPr="003C65BA" w:rsidRDefault="009A1E98" w:rsidP="009A1E98">
      <w:r w:rsidRPr="003C65BA">
        <w:rPr>
          <w:noProof/>
          <w:lang w:eastAsia="it-CH"/>
        </w:rPr>
        <w:drawing>
          <wp:inline distT="0" distB="0" distL="0" distR="0" wp14:anchorId="7C1B1988" wp14:editId="36AF76FC">
            <wp:extent cx="3028982" cy="2271272"/>
            <wp:effectExtent l="0" t="1905" r="0" b="0"/>
            <wp:docPr id="21" name="Immagine 21" descr="cid:61eee80c-90ef-4729-be5b-34d8c7df4b06@intra.adm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1eee80c-90ef-4729-be5b-34d8c7df4b06@intra.admin.ch"/>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rot="5400000">
                      <a:off x="0" y="0"/>
                      <a:ext cx="3086701" cy="2314553"/>
                    </a:xfrm>
                    <a:prstGeom prst="rect">
                      <a:avLst/>
                    </a:prstGeom>
                    <a:noFill/>
                    <a:ln>
                      <a:noFill/>
                    </a:ln>
                  </pic:spPr>
                </pic:pic>
              </a:graphicData>
            </a:graphic>
          </wp:inline>
        </w:drawing>
      </w:r>
    </w:p>
    <w:p w:rsidR="009A1E98" w:rsidRDefault="009A1E98" w:rsidP="009A1E98"/>
    <w:p w:rsidR="009A1E98" w:rsidRDefault="009A1E98" w:rsidP="009A1E98">
      <w:pPr>
        <w:sectPr w:rsidR="009A1E98" w:rsidSect="001504AD">
          <w:footnotePr>
            <w:numRestart w:val="eachSect"/>
          </w:footnotePr>
          <w:type w:val="continuous"/>
          <w:pgSz w:w="11906" w:h="16838"/>
          <w:pgMar w:top="1417" w:right="1134" w:bottom="1134" w:left="1134" w:header="708" w:footer="720" w:gutter="0"/>
          <w:cols w:num="2" w:space="720"/>
          <w:docGrid w:linePitch="360"/>
        </w:sectPr>
      </w:pPr>
    </w:p>
    <w:p w:rsidR="009A1E98" w:rsidRDefault="009A1E98" w:rsidP="009A1E98">
      <w:pPr>
        <w:tabs>
          <w:tab w:val="left" w:pos="567"/>
        </w:tabs>
      </w:pPr>
    </w:p>
    <w:p w:rsidR="009A1E98" w:rsidRDefault="009A1E98" w:rsidP="009A1E98">
      <w:pPr>
        <w:tabs>
          <w:tab w:val="left" w:pos="567"/>
        </w:tabs>
      </w:pPr>
    </w:p>
    <w:p w:rsidR="009A1E98" w:rsidRDefault="009A1E98" w:rsidP="009A1E98">
      <w:r w:rsidRPr="003C65BA">
        <w:t xml:space="preserve">Giusto sottolineare che nella sistemazione futura si prevede di eliminare l’attuale nicchia bus (all’altezza villa Bonetti) e realizzare la fermata “Piazza </w:t>
      </w:r>
      <w:proofErr w:type="spellStart"/>
      <w:r w:rsidRPr="003C65BA">
        <w:t>Orico</w:t>
      </w:r>
      <w:proofErr w:type="spellEnd"/>
      <w:r w:rsidRPr="003C65BA">
        <w:t xml:space="preserve">” in carreggiata circa 50 m prima e di abbinarla a un nuovo passaggio pedonale con l’isola centrale (cfr. </w:t>
      </w:r>
      <w:proofErr w:type="spellStart"/>
      <w:r w:rsidRPr="003C65BA">
        <w:t>Pdef</w:t>
      </w:r>
      <w:proofErr w:type="spellEnd"/>
      <w:r w:rsidRPr="003C65BA">
        <w:t xml:space="preserve"> PAB2 “Regolazione del traffico e velocizzazione del trasporto pubblico, Via Zorzi-via Motta, TP1, TIM1 e TIM 3.1”, piano 601.133.D/043 del 30.04.2020).</w:t>
      </w:r>
    </w:p>
    <w:p w:rsidR="009A1E98" w:rsidRDefault="009A1E98" w:rsidP="009A1E98">
      <w:pPr>
        <w:tabs>
          <w:tab w:val="left" w:pos="567"/>
        </w:tabs>
      </w:pPr>
    </w:p>
    <w:p w:rsidR="009A1E98" w:rsidRDefault="009A1E98" w:rsidP="009A1E98">
      <w:pPr>
        <w:tabs>
          <w:tab w:val="left" w:pos="567"/>
        </w:tabs>
      </w:pPr>
    </w:p>
    <w:p w:rsidR="009A1E98" w:rsidRDefault="009A1E98" w:rsidP="009A1E98">
      <w:pPr>
        <w:tabs>
          <w:tab w:val="left" w:pos="567"/>
        </w:tabs>
      </w:pPr>
    </w:p>
    <w:p w:rsidR="009A1E98" w:rsidRDefault="009A1E98" w:rsidP="009A1E98">
      <w:pPr>
        <w:pStyle w:val="Titolo1"/>
      </w:pPr>
      <w:r>
        <w:t>Progettazione stradale per prossime opere del PAB 3</w:t>
      </w:r>
    </w:p>
    <w:p w:rsidR="009A1E98" w:rsidRDefault="009A1E98" w:rsidP="009A1E98">
      <w:pPr>
        <w:tabs>
          <w:tab w:val="left" w:pos="567"/>
        </w:tabs>
      </w:pPr>
      <w:r>
        <w:t>Il messaggio propone anche di stanziare CHF 500'</w:t>
      </w:r>
      <w:proofErr w:type="gramStart"/>
      <w:r>
        <w:t>000.-</w:t>
      </w:r>
      <w:proofErr w:type="gramEnd"/>
      <w:r>
        <w:t xml:space="preserve"> per avviare la progettazione delle misure ritenute indispensabili in relazione al PAB 3 per realizzare un ulteriore miglioramento della mobilità nell’agglomerato </w:t>
      </w:r>
      <w:proofErr w:type="spellStart"/>
      <w:r w:rsidR="00FC2A34">
        <w:t>B</w:t>
      </w:r>
      <w:r>
        <w:t>ellinzonse</w:t>
      </w:r>
      <w:proofErr w:type="spellEnd"/>
      <w:r>
        <w:t>:</w:t>
      </w:r>
    </w:p>
    <w:p w:rsidR="009A1E98" w:rsidRPr="00886440" w:rsidRDefault="009A1E98" w:rsidP="009A1E98">
      <w:pPr>
        <w:pStyle w:val="Paragrafoelenco"/>
        <w:numPr>
          <w:ilvl w:val="0"/>
          <w:numId w:val="17"/>
        </w:numPr>
        <w:tabs>
          <w:tab w:val="left" w:pos="567"/>
        </w:tabs>
        <w:spacing w:before="120" w:after="120"/>
        <w:contextualSpacing/>
        <w:rPr>
          <w:u w:val="single"/>
        </w:rPr>
      </w:pPr>
      <w:r w:rsidRPr="00886440">
        <w:rPr>
          <w:u w:val="single"/>
        </w:rPr>
        <w:t xml:space="preserve">Riorganizzazione del nodo intermodale alla fermata ferroviaria di </w:t>
      </w:r>
      <w:proofErr w:type="spellStart"/>
      <w:r w:rsidRPr="00886440">
        <w:rPr>
          <w:u w:val="single"/>
        </w:rPr>
        <w:t>Giubiasco</w:t>
      </w:r>
      <w:proofErr w:type="spellEnd"/>
    </w:p>
    <w:p w:rsidR="009A1E98" w:rsidRDefault="009A1E98" w:rsidP="009A1E98">
      <w:pPr>
        <w:pStyle w:val="Paragrafoelenco"/>
        <w:tabs>
          <w:tab w:val="left" w:pos="567"/>
        </w:tabs>
        <w:spacing w:before="120" w:after="120"/>
        <w:ind w:left="360"/>
      </w:pPr>
      <w:r>
        <w:t xml:space="preserve">L’apertura della galleria di base del Ceneri e il relativo rafforzamento dell’offerta di trasporto pubblico ha reso evidente i limiti dell’attuale impostazione del nodo intermodale di </w:t>
      </w:r>
      <w:proofErr w:type="spellStart"/>
      <w:r>
        <w:t>Giubiasco</w:t>
      </w:r>
      <w:proofErr w:type="spellEnd"/>
      <w:r>
        <w:t xml:space="preserve"> che non riesce ad assorbire in modo adeguato il nuovo volume di trasporto pubblico.</w:t>
      </w:r>
    </w:p>
    <w:p w:rsidR="009A1E98" w:rsidRPr="00886440" w:rsidRDefault="009A1E98" w:rsidP="009A1E98">
      <w:pPr>
        <w:pStyle w:val="Paragrafoelenco"/>
        <w:numPr>
          <w:ilvl w:val="0"/>
          <w:numId w:val="17"/>
        </w:numPr>
        <w:tabs>
          <w:tab w:val="left" w:pos="567"/>
        </w:tabs>
        <w:spacing w:before="120" w:after="120"/>
        <w:contextualSpacing/>
        <w:rPr>
          <w:u w:val="single"/>
        </w:rPr>
      </w:pPr>
      <w:r w:rsidRPr="00886440">
        <w:rPr>
          <w:u w:val="single"/>
        </w:rPr>
        <w:t xml:space="preserve">Riqualifica multimodale dell’asse urbano principale (Monte </w:t>
      </w:r>
      <w:proofErr w:type="spellStart"/>
      <w:r w:rsidRPr="00886440">
        <w:rPr>
          <w:u w:val="single"/>
        </w:rPr>
        <w:t>Carasso</w:t>
      </w:r>
      <w:proofErr w:type="spellEnd"/>
      <w:r w:rsidRPr="00886440">
        <w:rPr>
          <w:u w:val="single"/>
        </w:rPr>
        <w:t xml:space="preserve"> – Sementina) </w:t>
      </w:r>
    </w:p>
    <w:p w:rsidR="009A1E98" w:rsidRDefault="009A1E98" w:rsidP="009C0015">
      <w:pPr>
        <w:pStyle w:val="Paragrafoelenco"/>
        <w:tabs>
          <w:tab w:val="left" w:pos="567"/>
        </w:tabs>
        <w:spacing w:before="120"/>
        <w:ind w:left="357"/>
      </w:pPr>
      <w:r>
        <w:t xml:space="preserve">L’incremento dell’offerta di trasporto pubblico e il traffico veicolare particolarmente intenso negli orari di punta portano frequentemente al collasso il traffico sulla sponda destra del piano di </w:t>
      </w:r>
      <w:proofErr w:type="spellStart"/>
      <w:r>
        <w:t>Magadino</w:t>
      </w:r>
      <w:proofErr w:type="spellEnd"/>
      <w:r>
        <w:t xml:space="preserve"> provocando una cesura invalicabile del tessuto urbano. La progettazione proporrà soluzioni mirate per una riqualifica di questo importante asse stradale.</w:t>
      </w:r>
    </w:p>
    <w:p w:rsidR="009A1E98" w:rsidRDefault="009A1E98" w:rsidP="009A1E98">
      <w:pPr>
        <w:pStyle w:val="Paragrafoelenco"/>
        <w:tabs>
          <w:tab w:val="left" w:pos="567"/>
        </w:tabs>
        <w:ind w:left="360"/>
      </w:pPr>
    </w:p>
    <w:p w:rsidR="009A1E98" w:rsidRDefault="009A1E98" w:rsidP="009A1E98">
      <w:pPr>
        <w:tabs>
          <w:tab w:val="left" w:pos="567"/>
        </w:tabs>
      </w:pPr>
    </w:p>
    <w:p w:rsidR="009A1E98" w:rsidRDefault="009A1E98" w:rsidP="009A1E98">
      <w:pPr>
        <w:tabs>
          <w:tab w:val="left" w:pos="567"/>
        </w:tabs>
        <w:sectPr w:rsidR="009A1E98" w:rsidSect="001504AD">
          <w:footnotePr>
            <w:numRestart w:val="eachSect"/>
          </w:footnotePr>
          <w:type w:val="continuous"/>
          <w:pgSz w:w="11906" w:h="16838"/>
          <w:pgMar w:top="1417" w:right="1134" w:bottom="1134" w:left="1134" w:header="708" w:footer="720" w:gutter="0"/>
          <w:cols w:space="720"/>
          <w:docGrid w:linePitch="360"/>
        </w:sectPr>
      </w:pPr>
    </w:p>
    <w:p w:rsidR="009A1E98" w:rsidRPr="00EE59FA" w:rsidRDefault="009A1E98" w:rsidP="009A1E98">
      <w:pPr>
        <w:pStyle w:val="Titolo1"/>
      </w:pPr>
      <w:r w:rsidRPr="00EE59FA">
        <w:lastRenderedPageBreak/>
        <w:t>Finanze</w:t>
      </w:r>
    </w:p>
    <w:p w:rsidR="009A1E98" w:rsidRPr="00A41D27" w:rsidRDefault="009A1E98" w:rsidP="009A1E98">
      <w:pPr>
        <w:spacing w:after="120"/>
      </w:pPr>
      <w:r>
        <w:t>Il p</w:t>
      </w:r>
      <w:r w:rsidRPr="00A41D27">
        <w:t xml:space="preserve">rogramma d’agglomerato del </w:t>
      </w:r>
      <w:proofErr w:type="spellStart"/>
      <w:r w:rsidRPr="00A41D27">
        <w:t>Bellinzonese</w:t>
      </w:r>
      <w:proofErr w:type="spellEnd"/>
      <w:r w:rsidRPr="00A41D27">
        <w:t xml:space="preserve"> di terza generazione (PAB 3), </w:t>
      </w:r>
      <w:r>
        <w:t xml:space="preserve">richiede un </w:t>
      </w:r>
      <w:r w:rsidRPr="00A41D27">
        <w:t xml:space="preserve">credito netto di CHF 3’550'000 e </w:t>
      </w:r>
      <w:r>
        <w:t>l’</w:t>
      </w:r>
      <w:r w:rsidRPr="00A41D27">
        <w:t>autorizzazione alla spesa di CHF 7'920’000, quale aggiornamento del credito quadro di CHF 1'600'000 (per un totale di CHF 9’520’000) per la realizzazione di un secondo pacchetto di opere e più precisamente:</w:t>
      </w:r>
    </w:p>
    <w:p w:rsidR="009A1E98" w:rsidRPr="00A41D27" w:rsidRDefault="009A1E98" w:rsidP="009A1E98">
      <w:pPr>
        <w:pStyle w:val="Paragrafoelenco"/>
        <w:widowControl w:val="0"/>
        <w:numPr>
          <w:ilvl w:val="0"/>
          <w:numId w:val="13"/>
        </w:numPr>
        <w:spacing w:after="60"/>
        <w:ind w:left="425" w:hanging="425"/>
      </w:pPr>
      <w:r w:rsidRPr="00A41D27">
        <w:t>un credito netto di CHF 3’550'000 e un’autorizzazione alla spesa di CHF 7'920’000, quale aggiornamento del credito quadro di CHF 1'600'000 (per un totale di CHF 9’520’000) per la realizzazione di un secondo pacchetto di opere e più precisamente:</w:t>
      </w:r>
    </w:p>
    <w:p w:rsidR="009A1E98" w:rsidRPr="00A41D27" w:rsidRDefault="009A1E98" w:rsidP="009A1E98">
      <w:pPr>
        <w:widowControl w:val="0"/>
        <w:numPr>
          <w:ilvl w:val="0"/>
          <w:numId w:val="5"/>
        </w:numPr>
        <w:tabs>
          <w:tab w:val="left" w:pos="709"/>
        </w:tabs>
        <w:spacing w:after="60"/>
        <w:ind w:left="709" w:hanging="283"/>
        <w:rPr>
          <w:i/>
          <w:sz w:val="22"/>
        </w:rPr>
      </w:pPr>
      <w:r w:rsidRPr="00A41D27">
        <w:rPr>
          <w:i/>
          <w:sz w:val="22"/>
        </w:rPr>
        <w:t>adattamento, riqualifica e riorganizzazione delle fermate del trasporto pubblico a Bellinzona (</w:t>
      </w:r>
      <w:proofErr w:type="spellStart"/>
      <w:r w:rsidRPr="00A41D27">
        <w:rPr>
          <w:i/>
          <w:sz w:val="22"/>
        </w:rPr>
        <w:t>Pellandini</w:t>
      </w:r>
      <w:proofErr w:type="spellEnd"/>
      <w:r w:rsidRPr="00A41D27">
        <w:rPr>
          <w:i/>
          <w:sz w:val="22"/>
        </w:rPr>
        <w:t xml:space="preserve">, Posta Semine, Ramarro, Saleggi), a </w:t>
      </w:r>
      <w:proofErr w:type="spellStart"/>
      <w:r w:rsidRPr="00A41D27">
        <w:rPr>
          <w:i/>
          <w:sz w:val="22"/>
        </w:rPr>
        <w:t>Giubiasco</w:t>
      </w:r>
      <w:proofErr w:type="spellEnd"/>
      <w:r w:rsidRPr="00A41D27">
        <w:rPr>
          <w:i/>
          <w:sz w:val="22"/>
        </w:rPr>
        <w:t xml:space="preserve">-Piazza e </w:t>
      </w:r>
      <w:proofErr w:type="spellStart"/>
      <w:r w:rsidRPr="00A41D27">
        <w:rPr>
          <w:i/>
          <w:sz w:val="22"/>
        </w:rPr>
        <w:t>Cadenazzo</w:t>
      </w:r>
      <w:proofErr w:type="spellEnd"/>
      <w:r w:rsidRPr="00A41D27">
        <w:rPr>
          <w:i/>
          <w:sz w:val="22"/>
        </w:rPr>
        <w:t>-Stazione FFS, misura PAB 3-TP 2.1;</w:t>
      </w:r>
    </w:p>
    <w:p w:rsidR="009A1E98" w:rsidRPr="00A41D27" w:rsidRDefault="009A1E98" w:rsidP="009A1E98">
      <w:pPr>
        <w:widowControl w:val="0"/>
        <w:numPr>
          <w:ilvl w:val="0"/>
          <w:numId w:val="5"/>
        </w:numPr>
        <w:tabs>
          <w:tab w:val="left" w:pos="709"/>
        </w:tabs>
        <w:spacing w:after="60"/>
        <w:ind w:left="709" w:hanging="283"/>
        <w:rPr>
          <w:i/>
          <w:sz w:val="22"/>
        </w:rPr>
      </w:pPr>
      <w:r w:rsidRPr="00A41D27">
        <w:rPr>
          <w:i/>
          <w:sz w:val="22"/>
        </w:rPr>
        <w:t>adattamento, riqualifica e riorganizzazione delle fermate della linea urbana a Bellinzona: Ospedale-</w:t>
      </w:r>
      <w:proofErr w:type="spellStart"/>
      <w:r w:rsidRPr="00A41D27">
        <w:rPr>
          <w:i/>
          <w:sz w:val="22"/>
        </w:rPr>
        <w:t>Carrale</w:t>
      </w:r>
      <w:proofErr w:type="spellEnd"/>
      <w:r w:rsidRPr="00A41D27">
        <w:rPr>
          <w:i/>
          <w:sz w:val="22"/>
        </w:rPr>
        <w:t xml:space="preserve"> </w:t>
      </w:r>
      <w:proofErr w:type="spellStart"/>
      <w:r w:rsidRPr="00A41D27">
        <w:rPr>
          <w:i/>
          <w:sz w:val="22"/>
        </w:rPr>
        <w:t>Bacilieri</w:t>
      </w:r>
      <w:proofErr w:type="spellEnd"/>
      <w:r w:rsidRPr="00A41D27">
        <w:rPr>
          <w:i/>
          <w:sz w:val="22"/>
        </w:rPr>
        <w:t xml:space="preserve"> e </w:t>
      </w:r>
      <w:proofErr w:type="spellStart"/>
      <w:r w:rsidRPr="00A41D27">
        <w:rPr>
          <w:i/>
          <w:sz w:val="22"/>
        </w:rPr>
        <w:t>Madonnna</w:t>
      </w:r>
      <w:proofErr w:type="spellEnd"/>
      <w:r w:rsidRPr="00A41D27">
        <w:rPr>
          <w:i/>
          <w:sz w:val="22"/>
        </w:rPr>
        <w:t xml:space="preserve"> della Neve-via Sasso </w:t>
      </w:r>
      <w:proofErr w:type="spellStart"/>
      <w:r w:rsidRPr="00A41D27">
        <w:rPr>
          <w:i/>
          <w:sz w:val="22"/>
        </w:rPr>
        <w:t>Corbaro</w:t>
      </w:r>
      <w:proofErr w:type="spellEnd"/>
      <w:r w:rsidRPr="00A41D27">
        <w:rPr>
          <w:i/>
          <w:sz w:val="22"/>
        </w:rPr>
        <w:t>, misura PAB 3-TP 6.1;</w:t>
      </w:r>
    </w:p>
    <w:p w:rsidR="009A1E98" w:rsidRPr="00A41D27" w:rsidRDefault="009A1E98" w:rsidP="009A1E98">
      <w:pPr>
        <w:widowControl w:val="0"/>
        <w:numPr>
          <w:ilvl w:val="0"/>
          <w:numId w:val="5"/>
        </w:numPr>
        <w:tabs>
          <w:tab w:val="left" w:pos="709"/>
        </w:tabs>
        <w:spacing w:after="60"/>
        <w:ind w:left="709" w:hanging="283"/>
        <w:rPr>
          <w:i/>
          <w:sz w:val="22"/>
        </w:rPr>
      </w:pPr>
      <w:r w:rsidRPr="00A41D27">
        <w:rPr>
          <w:i/>
          <w:sz w:val="22"/>
        </w:rPr>
        <w:t>collegamento ciclo-pedonale tratta fermata TILO Castione/</w:t>
      </w:r>
      <w:proofErr w:type="spellStart"/>
      <w:r w:rsidRPr="00A41D27">
        <w:rPr>
          <w:i/>
          <w:sz w:val="22"/>
        </w:rPr>
        <w:t>Arbedo</w:t>
      </w:r>
      <w:proofErr w:type="spellEnd"/>
      <w:r w:rsidRPr="00A41D27">
        <w:rPr>
          <w:i/>
          <w:sz w:val="22"/>
        </w:rPr>
        <w:t xml:space="preserve"> - Lumino/</w:t>
      </w:r>
      <w:proofErr w:type="spellStart"/>
      <w:r w:rsidRPr="00A41D27">
        <w:rPr>
          <w:i/>
          <w:sz w:val="22"/>
        </w:rPr>
        <w:t>Ecocentro</w:t>
      </w:r>
      <w:proofErr w:type="spellEnd"/>
      <w:r w:rsidRPr="00A41D27">
        <w:rPr>
          <w:i/>
          <w:sz w:val="22"/>
        </w:rPr>
        <w:t xml:space="preserve"> </w:t>
      </w:r>
      <w:r w:rsidR="009C0015">
        <w:rPr>
          <w:i/>
          <w:sz w:val="22"/>
        </w:rPr>
        <w:t>-</w:t>
      </w:r>
      <w:r w:rsidRPr="00A41D27">
        <w:rPr>
          <w:i/>
          <w:sz w:val="22"/>
        </w:rPr>
        <w:t xml:space="preserve"> Confine Ticino/Grigioni, misura PAB 3-ML 2.4.1.1;</w:t>
      </w:r>
    </w:p>
    <w:p w:rsidR="009A1E98" w:rsidRPr="00A41D27" w:rsidRDefault="009A1E98" w:rsidP="009A1E98">
      <w:pPr>
        <w:widowControl w:val="0"/>
        <w:numPr>
          <w:ilvl w:val="0"/>
          <w:numId w:val="5"/>
        </w:numPr>
        <w:tabs>
          <w:tab w:val="left" w:pos="709"/>
        </w:tabs>
        <w:spacing w:after="60"/>
        <w:ind w:left="709" w:hanging="283"/>
        <w:rPr>
          <w:i/>
          <w:sz w:val="22"/>
        </w:rPr>
      </w:pPr>
      <w:proofErr w:type="spellStart"/>
      <w:r w:rsidRPr="00A41D27">
        <w:rPr>
          <w:i/>
          <w:sz w:val="22"/>
        </w:rPr>
        <w:t>bike&amp;ride</w:t>
      </w:r>
      <w:proofErr w:type="spellEnd"/>
      <w:r w:rsidRPr="00A41D27">
        <w:rPr>
          <w:i/>
          <w:sz w:val="22"/>
        </w:rPr>
        <w:t>(B+R) presso le principali fermate TP su gomma, misura PAB 3-ML 3.1.1.1;</w:t>
      </w:r>
    </w:p>
    <w:p w:rsidR="009A1E98" w:rsidRPr="00A41D27" w:rsidRDefault="009A1E98" w:rsidP="009A1E98">
      <w:pPr>
        <w:widowControl w:val="0"/>
        <w:numPr>
          <w:ilvl w:val="0"/>
          <w:numId w:val="5"/>
        </w:numPr>
        <w:tabs>
          <w:tab w:val="left" w:pos="709"/>
        </w:tabs>
        <w:spacing w:after="60"/>
        <w:ind w:left="709" w:hanging="283"/>
        <w:rPr>
          <w:i/>
          <w:sz w:val="22"/>
        </w:rPr>
      </w:pPr>
      <w:proofErr w:type="spellStart"/>
      <w:r w:rsidRPr="00A41D27">
        <w:rPr>
          <w:i/>
          <w:sz w:val="22"/>
        </w:rPr>
        <w:t>bike&amp;ride</w:t>
      </w:r>
      <w:proofErr w:type="spellEnd"/>
      <w:r w:rsidRPr="00A41D27">
        <w:rPr>
          <w:i/>
          <w:sz w:val="22"/>
        </w:rPr>
        <w:t>(B+R) presso le fermate ferroviarie, misura PAB 3-ML 3.1.1.2;</w:t>
      </w:r>
    </w:p>
    <w:p w:rsidR="009A1E98" w:rsidRPr="00A41D27" w:rsidRDefault="009A1E98" w:rsidP="009A1E98">
      <w:pPr>
        <w:numPr>
          <w:ilvl w:val="0"/>
          <w:numId w:val="5"/>
        </w:numPr>
        <w:tabs>
          <w:tab w:val="left" w:pos="709"/>
        </w:tabs>
        <w:ind w:left="709" w:hanging="283"/>
        <w:rPr>
          <w:i/>
          <w:sz w:val="22"/>
        </w:rPr>
      </w:pPr>
      <w:r w:rsidRPr="00A41D27">
        <w:rPr>
          <w:i/>
          <w:sz w:val="22"/>
        </w:rPr>
        <w:t>progettazione stradale delle prossime opere previste nell’ambito del PAB 3.</w:t>
      </w:r>
    </w:p>
    <w:p w:rsidR="009A1E98" w:rsidRPr="00A41D27" w:rsidRDefault="009A1E98" w:rsidP="009A1E98">
      <w:pPr>
        <w:tabs>
          <w:tab w:val="left" w:pos="426"/>
        </w:tabs>
        <w:rPr>
          <w:i/>
          <w:sz w:val="22"/>
        </w:rPr>
      </w:pPr>
    </w:p>
    <w:p w:rsidR="009A1E98" w:rsidRDefault="009A1E98" w:rsidP="009A1E98">
      <w:pPr>
        <w:tabs>
          <w:tab w:val="left" w:pos="426"/>
        </w:tabs>
      </w:pPr>
      <w:r>
        <w:t>Il messaggio chiede</w:t>
      </w:r>
      <w:r w:rsidRPr="00A41D27">
        <w:t xml:space="preserve"> inoltre un credito per il contributo di CHF 200'000.00 a favore della CRTB per il supporto tecnico nell’ambito dei Programmi d’agglomerato del </w:t>
      </w:r>
      <w:proofErr w:type="spellStart"/>
      <w:r w:rsidRPr="00A41D27">
        <w:t>Bellinzonese</w:t>
      </w:r>
      <w:proofErr w:type="spellEnd"/>
      <w:r w:rsidRPr="00A41D27">
        <w:t xml:space="preserve"> di seconda (PAB 2) e terza generazione (PAB 3) nel periodo 2020-2023</w:t>
      </w:r>
      <w:r>
        <w:t>.</w:t>
      </w:r>
    </w:p>
    <w:p w:rsidR="009A1E98" w:rsidRDefault="009A1E98" w:rsidP="009A1E98">
      <w:pPr>
        <w:tabs>
          <w:tab w:val="left" w:pos="426"/>
        </w:tabs>
      </w:pPr>
    </w:p>
    <w:p w:rsidR="009A1E98" w:rsidRDefault="009A1E98" w:rsidP="009A1E98">
      <w:pPr>
        <w:tabs>
          <w:tab w:val="left" w:pos="426"/>
        </w:tabs>
      </w:pPr>
    </w:p>
    <w:p w:rsidR="009A1E98" w:rsidRDefault="009A1E98" w:rsidP="009A1E98">
      <w:pPr>
        <w:tabs>
          <w:tab w:val="left" w:pos="426"/>
        </w:tabs>
      </w:pPr>
    </w:p>
    <w:p w:rsidR="009A1E98" w:rsidRPr="00EE59FA" w:rsidRDefault="009A1E98" w:rsidP="009A1E98">
      <w:pPr>
        <w:pStyle w:val="Titolo1"/>
      </w:pPr>
      <w:r w:rsidRPr="00EE59FA">
        <w:t>Richiesta di credito</w:t>
      </w:r>
    </w:p>
    <w:p w:rsidR="009A1E98" w:rsidRPr="00A41D27" w:rsidRDefault="009A1E98" w:rsidP="009A1E98">
      <w:r w:rsidRPr="00A41D27">
        <w:t>Riassumendo, la richiesta di credito del presente messaggio relativa alle misure del PAB 3, è la seguente:</w:t>
      </w:r>
    </w:p>
    <w:p w:rsidR="009A1E98" w:rsidRPr="00A41D27" w:rsidRDefault="009A1E98" w:rsidP="009A1E98"/>
    <w:tbl>
      <w:tblPr>
        <w:tblStyle w:val="Grigliatabella"/>
        <w:tblW w:w="9039" w:type="dxa"/>
        <w:tblLayout w:type="fixed"/>
        <w:tblLook w:val="04A0" w:firstRow="1" w:lastRow="0" w:firstColumn="1" w:lastColumn="0" w:noHBand="0" w:noVBand="1"/>
      </w:tblPr>
      <w:tblGrid>
        <w:gridCol w:w="2518"/>
        <w:gridCol w:w="1559"/>
        <w:gridCol w:w="1843"/>
        <w:gridCol w:w="1559"/>
        <w:gridCol w:w="1560"/>
      </w:tblGrid>
      <w:tr w:rsidR="009A1E98" w:rsidRPr="00A41D27" w:rsidTr="00197F94">
        <w:tc>
          <w:tcPr>
            <w:tcW w:w="2518" w:type="dxa"/>
            <w:vAlign w:val="center"/>
          </w:tcPr>
          <w:p w:rsidR="009A1E98" w:rsidRPr="00A41D27" w:rsidRDefault="009A1E98" w:rsidP="00FC2A34">
            <w:pPr>
              <w:spacing w:before="60" w:after="60"/>
              <w:jc w:val="center"/>
              <w:rPr>
                <w:b/>
                <w:sz w:val="20"/>
              </w:rPr>
            </w:pPr>
            <w:r w:rsidRPr="00A41D27">
              <w:rPr>
                <w:b/>
                <w:sz w:val="20"/>
              </w:rPr>
              <w:t>Misura</w:t>
            </w:r>
          </w:p>
        </w:tc>
        <w:tc>
          <w:tcPr>
            <w:tcW w:w="1559" w:type="dxa"/>
          </w:tcPr>
          <w:p w:rsidR="009A1E98" w:rsidRPr="00A41D27" w:rsidRDefault="009A1E98" w:rsidP="00FC2A34">
            <w:pPr>
              <w:spacing w:before="60" w:after="60"/>
              <w:jc w:val="center"/>
              <w:rPr>
                <w:b/>
                <w:sz w:val="20"/>
              </w:rPr>
            </w:pPr>
            <w:r w:rsidRPr="00A41D27">
              <w:rPr>
                <w:b/>
                <w:sz w:val="20"/>
              </w:rPr>
              <w:t>Spesa lorda</w:t>
            </w:r>
          </w:p>
          <w:p w:rsidR="009A1E98" w:rsidRPr="00A41D27" w:rsidRDefault="009A1E98" w:rsidP="00FC2A34">
            <w:pPr>
              <w:spacing w:before="60" w:after="60"/>
              <w:jc w:val="center"/>
              <w:rPr>
                <w:b/>
                <w:sz w:val="20"/>
              </w:rPr>
            </w:pPr>
            <w:r w:rsidRPr="00A41D27">
              <w:rPr>
                <w:b/>
                <w:sz w:val="20"/>
              </w:rPr>
              <w:t>CHF mio</w:t>
            </w:r>
          </w:p>
        </w:tc>
        <w:tc>
          <w:tcPr>
            <w:tcW w:w="1843" w:type="dxa"/>
          </w:tcPr>
          <w:p w:rsidR="009A1E98" w:rsidRPr="00A41D27" w:rsidRDefault="009A1E98" w:rsidP="00FC2A34">
            <w:pPr>
              <w:spacing w:before="60" w:after="60"/>
              <w:jc w:val="center"/>
              <w:rPr>
                <w:b/>
                <w:sz w:val="20"/>
              </w:rPr>
            </w:pPr>
            <w:r w:rsidRPr="00A41D27">
              <w:rPr>
                <w:b/>
                <w:sz w:val="20"/>
              </w:rPr>
              <w:t>Confederazione</w:t>
            </w:r>
          </w:p>
          <w:p w:rsidR="009A1E98" w:rsidRPr="00A41D27" w:rsidRDefault="009A1E98" w:rsidP="00FC2A34">
            <w:pPr>
              <w:spacing w:before="60" w:after="60"/>
              <w:jc w:val="center"/>
              <w:rPr>
                <w:b/>
                <w:sz w:val="20"/>
              </w:rPr>
            </w:pPr>
            <w:r w:rsidRPr="00A41D27">
              <w:rPr>
                <w:b/>
                <w:sz w:val="20"/>
              </w:rPr>
              <w:t>CHF mio</w:t>
            </w:r>
          </w:p>
        </w:tc>
        <w:tc>
          <w:tcPr>
            <w:tcW w:w="1559" w:type="dxa"/>
          </w:tcPr>
          <w:p w:rsidR="009A1E98" w:rsidRPr="00A41D27" w:rsidRDefault="009A1E98" w:rsidP="00FC2A34">
            <w:pPr>
              <w:spacing w:before="60" w:after="60"/>
              <w:jc w:val="center"/>
              <w:rPr>
                <w:b/>
                <w:sz w:val="20"/>
              </w:rPr>
            </w:pPr>
            <w:r w:rsidRPr="00A41D27">
              <w:rPr>
                <w:b/>
                <w:sz w:val="20"/>
              </w:rPr>
              <w:t>CRTB</w:t>
            </w:r>
          </w:p>
          <w:p w:rsidR="009A1E98" w:rsidRPr="00A41D27" w:rsidRDefault="009A1E98" w:rsidP="00FC2A34">
            <w:pPr>
              <w:spacing w:before="60" w:after="60"/>
              <w:jc w:val="center"/>
              <w:rPr>
                <w:b/>
                <w:sz w:val="20"/>
              </w:rPr>
            </w:pPr>
            <w:r w:rsidRPr="00A41D27">
              <w:rPr>
                <w:b/>
                <w:sz w:val="20"/>
              </w:rPr>
              <w:t>CHF mio</w:t>
            </w:r>
          </w:p>
        </w:tc>
        <w:tc>
          <w:tcPr>
            <w:tcW w:w="1560" w:type="dxa"/>
          </w:tcPr>
          <w:p w:rsidR="009A1E98" w:rsidRPr="00A41D27" w:rsidRDefault="009A1E98" w:rsidP="00FC2A34">
            <w:pPr>
              <w:spacing w:before="60" w:after="60"/>
              <w:jc w:val="center"/>
              <w:rPr>
                <w:b/>
                <w:sz w:val="20"/>
              </w:rPr>
            </w:pPr>
            <w:r w:rsidRPr="00A41D27">
              <w:rPr>
                <w:b/>
                <w:sz w:val="20"/>
              </w:rPr>
              <w:t>Cantone</w:t>
            </w:r>
          </w:p>
          <w:p w:rsidR="009A1E98" w:rsidRPr="00A41D27" w:rsidRDefault="009A1E98" w:rsidP="00FC2A34">
            <w:pPr>
              <w:spacing w:before="60" w:after="60"/>
              <w:jc w:val="center"/>
              <w:rPr>
                <w:b/>
                <w:sz w:val="20"/>
              </w:rPr>
            </w:pPr>
            <w:r w:rsidRPr="00A41D27">
              <w:rPr>
                <w:b/>
                <w:sz w:val="20"/>
              </w:rPr>
              <w:t>CHF mio</w:t>
            </w:r>
          </w:p>
        </w:tc>
      </w:tr>
      <w:tr w:rsidR="009A1E98" w:rsidRPr="00A41D27" w:rsidTr="00197F94">
        <w:tc>
          <w:tcPr>
            <w:tcW w:w="2518" w:type="dxa"/>
          </w:tcPr>
          <w:p w:rsidR="009A1E98" w:rsidRPr="00A41D27" w:rsidRDefault="009A1E98" w:rsidP="00FC2A34">
            <w:pPr>
              <w:spacing w:before="60" w:after="60"/>
              <w:rPr>
                <w:sz w:val="20"/>
              </w:rPr>
            </w:pPr>
            <w:r w:rsidRPr="00A41D27">
              <w:rPr>
                <w:sz w:val="20"/>
              </w:rPr>
              <w:t>PAB 3 – TP 2.1</w:t>
            </w:r>
          </w:p>
        </w:tc>
        <w:tc>
          <w:tcPr>
            <w:tcW w:w="1559" w:type="dxa"/>
          </w:tcPr>
          <w:p w:rsidR="009A1E98" w:rsidRPr="00A41D27" w:rsidRDefault="009A1E98" w:rsidP="00FC2A34">
            <w:pPr>
              <w:tabs>
                <w:tab w:val="right" w:pos="1026"/>
              </w:tabs>
              <w:spacing w:before="60" w:after="60"/>
              <w:jc w:val="left"/>
              <w:rPr>
                <w:sz w:val="20"/>
              </w:rPr>
            </w:pPr>
            <w:r w:rsidRPr="00A41D27">
              <w:rPr>
                <w:sz w:val="20"/>
              </w:rPr>
              <w:tab/>
              <w:t>1.60</w:t>
            </w:r>
          </w:p>
        </w:tc>
        <w:tc>
          <w:tcPr>
            <w:tcW w:w="1843" w:type="dxa"/>
          </w:tcPr>
          <w:p w:rsidR="009A1E98" w:rsidRPr="00A41D27" w:rsidRDefault="009A1E98" w:rsidP="00FC2A34">
            <w:pPr>
              <w:tabs>
                <w:tab w:val="right" w:pos="1168"/>
              </w:tabs>
              <w:spacing w:before="60" w:after="60"/>
              <w:jc w:val="left"/>
              <w:rPr>
                <w:sz w:val="20"/>
              </w:rPr>
            </w:pPr>
            <w:r w:rsidRPr="00A41D27">
              <w:rPr>
                <w:sz w:val="20"/>
              </w:rPr>
              <w:tab/>
              <w:t>0.25</w:t>
            </w:r>
          </w:p>
        </w:tc>
        <w:tc>
          <w:tcPr>
            <w:tcW w:w="1559" w:type="dxa"/>
          </w:tcPr>
          <w:p w:rsidR="009A1E98" w:rsidRPr="00A41D27" w:rsidRDefault="009A1E98" w:rsidP="00FC2A34">
            <w:pPr>
              <w:tabs>
                <w:tab w:val="right" w:pos="1049"/>
              </w:tabs>
              <w:spacing w:before="60" w:after="60"/>
              <w:jc w:val="left"/>
              <w:rPr>
                <w:sz w:val="20"/>
              </w:rPr>
            </w:pPr>
            <w:r w:rsidRPr="00A41D27">
              <w:rPr>
                <w:sz w:val="20"/>
              </w:rPr>
              <w:tab/>
              <w:t>0.47</w:t>
            </w:r>
          </w:p>
        </w:tc>
        <w:tc>
          <w:tcPr>
            <w:tcW w:w="1560" w:type="dxa"/>
          </w:tcPr>
          <w:p w:rsidR="009A1E98" w:rsidRPr="00A41D27" w:rsidRDefault="009A1E98" w:rsidP="00FC2A34">
            <w:pPr>
              <w:tabs>
                <w:tab w:val="right" w:pos="1026"/>
              </w:tabs>
              <w:spacing w:before="60" w:after="60"/>
              <w:jc w:val="left"/>
              <w:rPr>
                <w:sz w:val="20"/>
              </w:rPr>
            </w:pPr>
            <w:r w:rsidRPr="00A41D27">
              <w:rPr>
                <w:sz w:val="20"/>
              </w:rPr>
              <w:tab/>
              <w:t>0.88</w:t>
            </w:r>
          </w:p>
        </w:tc>
      </w:tr>
      <w:tr w:rsidR="009A1E98" w:rsidRPr="00A41D27" w:rsidTr="00197F94">
        <w:tc>
          <w:tcPr>
            <w:tcW w:w="2518" w:type="dxa"/>
          </w:tcPr>
          <w:p w:rsidR="009A1E98" w:rsidRPr="00A41D27" w:rsidRDefault="009A1E98" w:rsidP="00FC2A34">
            <w:pPr>
              <w:spacing w:before="60" w:after="60"/>
              <w:rPr>
                <w:sz w:val="20"/>
              </w:rPr>
            </w:pPr>
            <w:r w:rsidRPr="00A41D27">
              <w:rPr>
                <w:sz w:val="20"/>
              </w:rPr>
              <w:t>PAB 3 – TP 6.1</w:t>
            </w:r>
          </w:p>
        </w:tc>
        <w:tc>
          <w:tcPr>
            <w:tcW w:w="1559" w:type="dxa"/>
          </w:tcPr>
          <w:p w:rsidR="009A1E98" w:rsidRPr="00A41D27" w:rsidRDefault="009A1E98" w:rsidP="00FC2A34">
            <w:pPr>
              <w:tabs>
                <w:tab w:val="right" w:pos="1026"/>
              </w:tabs>
              <w:spacing w:before="60" w:after="60"/>
              <w:jc w:val="left"/>
              <w:rPr>
                <w:sz w:val="20"/>
              </w:rPr>
            </w:pPr>
            <w:r w:rsidRPr="00A41D27">
              <w:rPr>
                <w:sz w:val="20"/>
              </w:rPr>
              <w:tab/>
              <w:t>0.67</w:t>
            </w:r>
          </w:p>
        </w:tc>
        <w:tc>
          <w:tcPr>
            <w:tcW w:w="1843" w:type="dxa"/>
          </w:tcPr>
          <w:p w:rsidR="009A1E98" w:rsidRPr="00A41D27" w:rsidRDefault="009A1E98" w:rsidP="00FC2A34">
            <w:pPr>
              <w:tabs>
                <w:tab w:val="right" w:pos="1168"/>
              </w:tabs>
              <w:spacing w:before="60" w:after="60"/>
              <w:jc w:val="left"/>
              <w:rPr>
                <w:sz w:val="20"/>
              </w:rPr>
            </w:pPr>
            <w:r w:rsidRPr="00A41D27">
              <w:rPr>
                <w:sz w:val="20"/>
              </w:rPr>
              <w:tab/>
              <w:t>0.29</w:t>
            </w:r>
          </w:p>
        </w:tc>
        <w:tc>
          <w:tcPr>
            <w:tcW w:w="1559" w:type="dxa"/>
          </w:tcPr>
          <w:p w:rsidR="009A1E98" w:rsidRPr="00A41D27" w:rsidRDefault="009A1E98" w:rsidP="00FC2A34">
            <w:pPr>
              <w:tabs>
                <w:tab w:val="right" w:pos="1059"/>
              </w:tabs>
              <w:spacing w:before="60" w:after="60"/>
              <w:jc w:val="left"/>
              <w:rPr>
                <w:sz w:val="20"/>
              </w:rPr>
            </w:pPr>
            <w:r w:rsidRPr="00A41D27">
              <w:rPr>
                <w:sz w:val="20"/>
              </w:rPr>
              <w:tab/>
              <w:t>0.13</w:t>
            </w:r>
          </w:p>
        </w:tc>
        <w:tc>
          <w:tcPr>
            <w:tcW w:w="1560" w:type="dxa"/>
          </w:tcPr>
          <w:p w:rsidR="009A1E98" w:rsidRPr="00A41D27" w:rsidRDefault="009A1E98" w:rsidP="00FC2A34">
            <w:pPr>
              <w:tabs>
                <w:tab w:val="right" w:pos="1026"/>
              </w:tabs>
              <w:spacing w:before="60" w:after="60"/>
              <w:jc w:val="left"/>
              <w:rPr>
                <w:sz w:val="20"/>
              </w:rPr>
            </w:pPr>
            <w:r w:rsidRPr="00A41D27">
              <w:rPr>
                <w:sz w:val="20"/>
              </w:rPr>
              <w:tab/>
              <w:t>0.25</w:t>
            </w:r>
          </w:p>
        </w:tc>
      </w:tr>
      <w:tr w:rsidR="009A1E98" w:rsidRPr="00A41D27" w:rsidTr="00197F94">
        <w:tc>
          <w:tcPr>
            <w:tcW w:w="2518" w:type="dxa"/>
          </w:tcPr>
          <w:p w:rsidR="009A1E98" w:rsidRPr="00A41D27" w:rsidRDefault="009A1E98" w:rsidP="00FC2A34">
            <w:pPr>
              <w:spacing w:before="60" w:after="60"/>
              <w:rPr>
                <w:sz w:val="20"/>
                <w:lang w:val="fr-FR"/>
              </w:rPr>
            </w:pPr>
            <w:r w:rsidRPr="00A41D27">
              <w:rPr>
                <w:sz w:val="20"/>
                <w:lang w:val="fr-FR"/>
              </w:rPr>
              <w:t>PAB 3 – ML 2.4.1.1*</w:t>
            </w:r>
          </w:p>
          <w:p w:rsidR="009A1E98" w:rsidRPr="00A41D27" w:rsidRDefault="009A1E98" w:rsidP="00197F94">
            <w:pPr>
              <w:rPr>
                <w:sz w:val="20"/>
                <w:lang w:val="fr-FR"/>
              </w:rPr>
            </w:pPr>
            <w:r w:rsidRPr="00A41D27">
              <w:rPr>
                <w:sz w:val="20"/>
                <w:lang w:val="fr-FR"/>
              </w:rPr>
              <w:t>PAB 3 -  ML 3.1.1.1*</w:t>
            </w:r>
          </w:p>
          <w:p w:rsidR="009A1E98" w:rsidRPr="00A41D27" w:rsidRDefault="009A1E98" w:rsidP="00197F94">
            <w:pPr>
              <w:rPr>
                <w:sz w:val="20"/>
                <w:lang w:val="fr-FR"/>
              </w:rPr>
            </w:pPr>
            <w:r w:rsidRPr="00A41D27">
              <w:rPr>
                <w:sz w:val="20"/>
                <w:lang w:val="fr-FR"/>
              </w:rPr>
              <w:t>PAB 3 -  ML 3.1.1.2*</w:t>
            </w:r>
          </w:p>
        </w:tc>
        <w:tc>
          <w:tcPr>
            <w:tcW w:w="1559" w:type="dxa"/>
          </w:tcPr>
          <w:p w:rsidR="009A1E98" w:rsidRPr="00A41D27" w:rsidRDefault="009A1E98" w:rsidP="00FC2A34">
            <w:pPr>
              <w:tabs>
                <w:tab w:val="right" w:pos="1026"/>
              </w:tabs>
              <w:spacing w:before="60" w:after="60"/>
              <w:jc w:val="left"/>
              <w:rPr>
                <w:sz w:val="20"/>
              </w:rPr>
            </w:pPr>
            <w:r w:rsidRPr="00A41D27">
              <w:rPr>
                <w:sz w:val="20"/>
                <w:lang w:val="fr-FR"/>
              </w:rPr>
              <w:tab/>
            </w:r>
            <w:r w:rsidRPr="00A41D27">
              <w:rPr>
                <w:sz w:val="20"/>
              </w:rPr>
              <w:t>4.80</w:t>
            </w:r>
          </w:p>
          <w:p w:rsidR="009A1E98" w:rsidRPr="00A41D27" w:rsidRDefault="009A1E98" w:rsidP="00197F94">
            <w:pPr>
              <w:tabs>
                <w:tab w:val="right" w:pos="1026"/>
              </w:tabs>
              <w:jc w:val="left"/>
              <w:rPr>
                <w:sz w:val="20"/>
              </w:rPr>
            </w:pPr>
            <w:r w:rsidRPr="00A41D27">
              <w:rPr>
                <w:sz w:val="20"/>
              </w:rPr>
              <w:tab/>
              <w:t>0.23</w:t>
            </w:r>
          </w:p>
          <w:p w:rsidR="009A1E98" w:rsidRPr="00A41D27" w:rsidRDefault="009A1E98" w:rsidP="00197F94">
            <w:pPr>
              <w:tabs>
                <w:tab w:val="right" w:pos="1026"/>
              </w:tabs>
              <w:jc w:val="left"/>
              <w:rPr>
                <w:sz w:val="20"/>
              </w:rPr>
            </w:pPr>
            <w:r w:rsidRPr="00A41D27">
              <w:rPr>
                <w:sz w:val="20"/>
              </w:rPr>
              <w:tab/>
              <w:t>0.12</w:t>
            </w:r>
          </w:p>
        </w:tc>
        <w:tc>
          <w:tcPr>
            <w:tcW w:w="1843" w:type="dxa"/>
          </w:tcPr>
          <w:p w:rsidR="009A1E98" w:rsidRPr="00A41D27" w:rsidRDefault="009A1E98" w:rsidP="00FC2A34">
            <w:pPr>
              <w:tabs>
                <w:tab w:val="right" w:pos="1168"/>
              </w:tabs>
              <w:spacing w:before="60" w:after="60"/>
              <w:jc w:val="left"/>
              <w:rPr>
                <w:sz w:val="20"/>
              </w:rPr>
            </w:pPr>
            <w:r w:rsidRPr="00A41D27">
              <w:rPr>
                <w:sz w:val="20"/>
              </w:rPr>
              <w:tab/>
              <w:t>1.56</w:t>
            </w:r>
          </w:p>
          <w:p w:rsidR="009A1E98" w:rsidRPr="00A41D27" w:rsidRDefault="009A1E98" w:rsidP="00197F94">
            <w:pPr>
              <w:tabs>
                <w:tab w:val="right" w:pos="1168"/>
              </w:tabs>
              <w:jc w:val="left"/>
              <w:rPr>
                <w:sz w:val="20"/>
              </w:rPr>
            </w:pPr>
            <w:r w:rsidRPr="00A41D27">
              <w:rPr>
                <w:sz w:val="20"/>
              </w:rPr>
              <w:tab/>
              <w:t>0.12</w:t>
            </w:r>
          </w:p>
          <w:p w:rsidR="009A1E98" w:rsidRPr="00A41D27" w:rsidRDefault="009A1E98" w:rsidP="00197F94">
            <w:pPr>
              <w:tabs>
                <w:tab w:val="right" w:pos="1168"/>
              </w:tabs>
              <w:jc w:val="left"/>
              <w:rPr>
                <w:sz w:val="20"/>
              </w:rPr>
            </w:pPr>
            <w:r w:rsidRPr="00A41D27">
              <w:rPr>
                <w:sz w:val="20"/>
              </w:rPr>
              <w:tab/>
              <w:t>0.06</w:t>
            </w:r>
          </w:p>
        </w:tc>
        <w:tc>
          <w:tcPr>
            <w:tcW w:w="1559" w:type="dxa"/>
          </w:tcPr>
          <w:p w:rsidR="009A1E98" w:rsidRPr="00A41D27" w:rsidRDefault="009A1E98" w:rsidP="00FC2A34">
            <w:pPr>
              <w:tabs>
                <w:tab w:val="right" w:pos="1059"/>
              </w:tabs>
              <w:spacing w:before="60" w:after="60"/>
              <w:jc w:val="left"/>
              <w:rPr>
                <w:sz w:val="20"/>
              </w:rPr>
            </w:pPr>
            <w:r w:rsidRPr="00A41D27">
              <w:rPr>
                <w:sz w:val="20"/>
              </w:rPr>
              <w:tab/>
              <w:t>1.13</w:t>
            </w:r>
          </w:p>
          <w:p w:rsidR="009A1E98" w:rsidRPr="00A41D27" w:rsidRDefault="009A1E98" w:rsidP="00197F94">
            <w:pPr>
              <w:tabs>
                <w:tab w:val="right" w:pos="1059"/>
              </w:tabs>
              <w:jc w:val="left"/>
              <w:rPr>
                <w:sz w:val="20"/>
              </w:rPr>
            </w:pPr>
            <w:r w:rsidRPr="00A41D27">
              <w:rPr>
                <w:sz w:val="20"/>
              </w:rPr>
              <w:tab/>
              <w:t>0.04</w:t>
            </w:r>
          </w:p>
          <w:p w:rsidR="009A1E98" w:rsidRPr="00A41D27" w:rsidRDefault="009A1E98" w:rsidP="00197F94">
            <w:pPr>
              <w:tabs>
                <w:tab w:val="right" w:pos="1059"/>
              </w:tabs>
              <w:jc w:val="left"/>
              <w:rPr>
                <w:sz w:val="20"/>
              </w:rPr>
            </w:pPr>
            <w:r w:rsidRPr="00A41D27">
              <w:rPr>
                <w:sz w:val="20"/>
              </w:rPr>
              <w:tab/>
              <w:t>0.02</w:t>
            </w:r>
          </w:p>
          <w:p w:rsidR="009A1E98" w:rsidRPr="00A41D27" w:rsidRDefault="009A1E98" w:rsidP="00197F94">
            <w:pPr>
              <w:tabs>
                <w:tab w:val="right" w:pos="1059"/>
              </w:tabs>
              <w:jc w:val="left"/>
              <w:rPr>
                <w:sz w:val="20"/>
              </w:rPr>
            </w:pPr>
          </w:p>
        </w:tc>
        <w:tc>
          <w:tcPr>
            <w:tcW w:w="1560" w:type="dxa"/>
          </w:tcPr>
          <w:p w:rsidR="009A1E98" w:rsidRPr="00A41D27" w:rsidRDefault="009A1E98" w:rsidP="00FC2A34">
            <w:pPr>
              <w:tabs>
                <w:tab w:val="right" w:pos="1026"/>
              </w:tabs>
              <w:spacing w:before="60" w:after="60"/>
              <w:jc w:val="left"/>
              <w:rPr>
                <w:sz w:val="20"/>
              </w:rPr>
            </w:pPr>
            <w:r w:rsidRPr="00A41D27">
              <w:rPr>
                <w:sz w:val="20"/>
              </w:rPr>
              <w:tab/>
              <w:t>2.11</w:t>
            </w:r>
          </w:p>
          <w:p w:rsidR="009A1E98" w:rsidRPr="00A41D27" w:rsidRDefault="009A1E98" w:rsidP="00197F94">
            <w:pPr>
              <w:tabs>
                <w:tab w:val="right" w:pos="1026"/>
              </w:tabs>
              <w:jc w:val="left"/>
              <w:rPr>
                <w:sz w:val="20"/>
              </w:rPr>
            </w:pPr>
            <w:r w:rsidRPr="00A41D27">
              <w:rPr>
                <w:sz w:val="20"/>
              </w:rPr>
              <w:tab/>
              <w:t>0.07</w:t>
            </w:r>
          </w:p>
          <w:p w:rsidR="009A1E98" w:rsidRPr="00A41D27" w:rsidRDefault="009A1E98" w:rsidP="00197F94">
            <w:pPr>
              <w:tabs>
                <w:tab w:val="right" w:pos="1026"/>
              </w:tabs>
              <w:jc w:val="left"/>
              <w:rPr>
                <w:sz w:val="20"/>
              </w:rPr>
            </w:pPr>
            <w:r w:rsidRPr="00A41D27">
              <w:rPr>
                <w:sz w:val="20"/>
              </w:rPr>
              <w:tab/>
              <w:t>0.04</w:t>
            </w:r>
          </w:p>
        </w:tc>
      </w:tr>
      <w:tr w:rsidR="009A1E98" w:rsidRPr="00A41D27" w:rsidTr="00197F94">
        <w:tc>
          <w:tcPr>
            <w:tcW w:w="2518" w:type="dxa"/>
          </w:tcPr>
          <w:p w:rsidR="009A1E98" w:rsidRPr="00A41D27" w:rsidRDefault="009A1E98" w:rsidP="00FC2A34">
            <w:pPr>
              <w:spacing w:before="60" w:after="60"/>
              <w:rPr>
                <w:sz w:val="20"/>
              </w:rPr>
            </w:pPr>
            <w:r w:rsidRPr="00A41D27">
              <w:rPr>
                <w:sz w:val="20"/>
              </w:rPr>
              <w:t>Progettazione stradale</w:t>
            </w:r>
          </w:p>
        </w:tc>
        <w:tc>
          <w:tcPr>
            <w:tcW w:w="1559" w:type="dxa"/>
          </w:tcPr>
          <w:p w:rsidR="009A1E98" w:rsidRPr="00A41D27" w:rsidRDefault="009A1E98" w:rsidP="00FC2A34">
            <w:pPr>
              <w:tabs>
                <w:tab w:val="right" w:pos="1026"/>
              </w:tabs>
              <w:spacing w:before="60" w:after="60"/>
              <w:jc w:val="left"/>
              <w:rPr>
                <w:sz w:val="20"/>
              </w:rPr>
            </w:pPr>
            <w:r w:rsidRPr="00A41D27">
              <w:rPr>
                <w:sz w:val="20"/>
              </w:rPr>
              <w:tab/>
              <w:t>0.50</w:t>
            </w:r>
          </w:p>
        </w:tc>
        <w:tc>
          <w:tcPr>
            <w:tcW w:w="1843" w:type="dxa"/>
          </w:tcPr>
          <w:p w:rsidR="009A1E98" w:rsidRPr="00A41D27" w:rsidRDefault="009A1E98" w:rsidP="00FC2A34">
            <w:pPr>
              <w:tabs>
                <w:tab w:val="right" w:pos="1168"/>
              </w:tabs>
              <w:spacing w:before="60" w:after="60"/>
              <w:jc w:val="left"/>
              <w:rPr>
                <w:sz w:val="20"/>
              </w:rPr>
            </w:pPr>
            <w:r w:rsidRPr="00A41D27">
              <w:rPr>
                <w:sz w:val="20"/>
              </w:rPr>
              <w:tab/>
              <w:t xml:space="preserve">0.20 </w:t>
            </w:r>
          </w:p>
        </w:tc>
        <w:tc>
          <w:tcPr>
            <w:tcW w:w="1559" w:type="dxa"/>
          </w:tcPr>
          <w:p w:rsidR="009A1E98" w:rsidRPr="00A41D27" w:rsidRDefault="009A1E98" w:rsidP="00FC2A34">
            <w:pPr>
              <w:tabs>
                <w:tab w:val="right" w:pos="1059"/>
              </w:tabs>
              <w:spacing w:before="60" w:after="60"/>
              <w:jc w:val="left"/>
              <w:rPr>
                <w:sz w:val="20"/>
              </w:rPr>
            </w:pPr>
            <w:r w:rsidRPr="00A41D27">
              <w:rPr>
                <w:sz w:val="20"/>
              </w:rPr>
              <w:tab/>
              <w:t>0.10</w:t>
            </w:r>
          </w:p>
        </w:tc>
        <w:tc>
          <w:tcPr>
            <w:tcW w:w="1560" w:type="dxa"/>
          </w:tcPr>
          <w:p w:rsidR="009A1E98" w:rsidRPr="00A41D27" w:rsidRDefault="009A1E98" w:rsidP="00FC2A34">
            <w:pPr>
              <w:tabs>
                <w:tab w:val="right" w:pos="1026"/>
              </w:tabs>
              <w:spacing w:before="60" w:after="60"/>
              <w:jc w:val="left"/>
              <w:rPr>
                <w:sz w:val="20"/>
              </w:rPr>
            </w:pPr>
            <w:r w:rsidRPr="00A41D27">
              <w:rPr>
                <w:sz w:val="20"/>
              </w:rPr>
              <w:tab/>
              <w:t>0.20</w:t>
            </w:r>
          </w:p>
        </w:tc>
      </w:tr>
      <w:tr w:rsidR="009A1E98" w:rsidRPr="00A41D27" w:rsidTr="00197F94">
        <w:tc>
          <w:tcPr>
            <w:tcW w:w="2518" w:type="dxa"/>
          </w:tcPr>
          <w:p w:rsidR="009A1E98" w:rsidRPr="00A41D27" w:rsidRDefault="009A1E98" w:rsidP="00FC2A34">
            <w:pPr>
              <w:spacing w:before="60" w:after="60"/>
              <w:rPr>
                <w:sz w:val="20"/>
              </w:rPr>
            </w:pPr>
            <w:r w:rsidRPr="00A41D27">
              <w:rPr>
                <w:sz w:val="20"/>
              </w:rPr>
              <w:t>Contributo per supporto tecnico CRTB</w:t>
            </w:r>
          </w:p>
        </w:tc>
        <w:tc>
          <w:tcPr>
            <w:tcW w:w="1559" w:type="dxa"/>
          </w:tcPr>
          <w:p w:rsidR="009A1E98" w:rsidRPr="00A41D27" w:rsidRDefault="009A1E98" w:rsidP="00FC2A34">
            <w:pPr>
              <w:tabs>
                <w:tab w:val="right" w:pos="1026"/>
              </w:tabs>
              <w:spacing w:before="60" w:after="60"/>
              <w:jc w:val="left"/>
              <w:rPr>
                <w:sz w:val="20"/>
              </w:rPr>
            </w:pPr>
            <w:r w:rsidRPr="00A41D27">
              <w:rPr>
                <w:sz w:val="20"/>
              </w:rPr>
              <w:tab/>
              <w:t>0.20</w:t>
            </w:r>
          </w:p>
        </w:tc>
        <w:tc>
          <w:tcPr>
            <w:tcW w:w="1843" w:type="dxa"/>
          </w:tcPr>
          <w:p w:rsidR="009A1E98" w:rsidRPr="00A41D27" w:rsidRDefault="009A1E98" w:rsidP="00FC2A34">
            <w:pPr>
              <w:tabs>
                <w:tab w:val="right" w:pos="1168"/>
              </w:tabs>
              <w:spacing w:before="60" w:after="60"/>
              <w:jc w:val="left"/>
              <w:rPr>
                <w:sz w:val="20"/>
              </w:rPr>
            </w:pPr>
          </w:p>
        </w:tc>
        <w:tc>
          <w:tcPr>
            <w:tcW w:w="1559" w:type="dxa"/>
          </w:tcPr>
          <w:p w:rsidR="009A1E98" w:rsidRPr="00A41D27" w:rsidRDefault="009A1E98" w:rsidP="00FC2A34">
            <w:pPr>
              <w:tabs>
                <w:tab w:val="right" w:pos="1059"/>
              </w:tabs>
              <w:spacing w:before="60" w:after="60"/>
              <w:jc w:val="left"/>
              <w:rPr>
                <w:sz w:val="20"/>
              </w:rPr>
            </w:pPr>
          </w:p>
        </w:tc>
        <w:tc>
          <w:tcPr>
            <w:tcW w:w="1560" w:type="dxa"/>
          </w:tcPr>
          <w:p w:rsidR="009A1E98" w:rsidRPr="00A41D27" w:rsidRDefault="009A1E98" w:rsidP="00FC2A34">
            <w:pPr>
              <w:tabs>
                <w:tab w:val="right" w:pos="1026"/>
              </w:tabs>
              <w:spacing w:before="60" w:after="60"/>
              <w:jc w:val="left"/>
              <w:rPr>
                <w:sz w:val="20"/>
              </w:rPr>
            </w:pPr>
            <w:r w:rsidRPr="00A41D27">
              <w:rPr>
                <w:sz w:val="20"/>
              </w:rPr>
              <w:tab/>
              <w:t>0.20</w:t>
            </w:r>
          </w:p>
        </w:tc>
      </w:tr>
      <w:tr w:rsidR="009A1E98" w:rsidRPr="00A41D27" w:rsidTr="00197F94">
        <w:tc>
          <w:tcPr>
            <w:tcW w:w="2518" w:type="dxa"/>
            <w:shd w:val="clear" w:color="auto" w:fill="D9D9D9" w:themeFill="background1" w:themeFillShade="D9"/>
          </w:tcPr>
          <w:p w:rsidR="009A1E98" w:rsidRPr="00A41D27" w:rsidRDefault="009A1E98" w:rsidP="00FC2A34">
            <w:pPr>
              <w:spacing w:before="60" w:after="60"/>
              <w:rPr>
                <w:b/>
                <w:sz w:val="20"/>
              </w:rPr>
            </w:pPr>
            <w:r w:rsidRPr="00A41D27">
              <w:rPr>
                <w:b/>
                <w:sz w:val="20"/>
              </w:rPr>
              <w:t xml:space="preserve">Totale </w:t>
            </w:r>
          </w:p>
        </w:tc>
        <w:tc>
          <w:tcPr>
            <w:tcW w:w="1559" w:type="dxa"/>
            <w:shd w:val="clear" w:color="auto" w:fill="D9D9D9" w:themeFill="background1" w:themeFillShade="D9"/>
          </w:tcPr>
          <w:p w:rsidR="009A1E98" w:rsidRPr="00A41D27" w:rsidRDefault="009A1E98" w:rsidP="00FC2A34">
            <w:pPr>
              <w:tabs>
                <w:tab w:val="right" w:pos="1026"/>
              </w:tabs>
              <w:spacing w:before="60" w:after="60"/>
              <w:jc w:val="left"/>
              <w:rPr>
                <w:b/>
                <w:strike/>
                <w:sz w:val="20"/>
              </w:rPr>
            </w:pPr>
            <w:r w:rsidRPr="00A41D27">
              <w:rPr>
                <w:b/>
                <w:sz w:val="20"/>
              </w:rPr>
              <w:tab/>
              <w:t>8.12</w:t>
            </w:r>
          </w:p>
        </w:tc>
        <w:tc>
          <w:tcPr>
            <w:tcW w:w="1843" w:type="dxa"/>
            <w:shd w:val="clear" w:color="auto" w:fill="D9D9D9" w:themeFill="background1" w:themeFillShade="D9"/>
          </w:tcPr>
          <w:p w:rsidR="009A1E98" w:rsidRPr="00A41D27" w:rsidRDefault="009A1E98" w:rsidP="00FC2A34">
            <w:pPr>
              <w:tabs>
                <w:tab w:val="right" w:pos="1168"/>
              </w:tabs>
              <w:spacing w:before="60" w:after="60"/>
              <w:jc w:val="left"/>
              <w:rPr>
                <w:b/>
                <w:sz w:val="20"/>
              </w:rPr>
            </w:pPr>
            <w:r w:rsidRPr="00A41D27">
              <w:rPr>
                <w:b/>
                <w:sz w:val="20"/>
              </w:rPr>
              <w:tab/>
              <w:t>2.48</w:t>
            </w:r>
          </w:p>
        </w:tc>
        <w:tc>
          <w:tcPr>
            <w:tcW w:w="1559" w:type="dxa"/>
            <w:shd w:val="clear" w:color="auto" w:fill="D9D9D9" w:themeFill="background1" w:themeFillShade="D9"/>
          </w:tcPr>
          <w:p w:rsidR="009A1E98" w:rsidRPr="00A41D27" w:rsidRDefault="009A1E98" w:rsidP="00FC2A34">
            <w:pPr>
              <w:tabs>
                <w:tab w:val="right" w:pos="1059"/>
              </w:tabs>
              <w:spacing w:before="60" w:after="60"/>
              <w:jc w:val="left"/>
              <w:rPr>
                <w:b/>
                <w:sz w:val="20"/>
              </w:rPr>
            </w:pPr>
            <w:r w:rsidRPr="00A41D27">
              <w:rPr>
                <w:b/>
                <w:sz w:val="20"/>
              </w:rPr>
              <w:tab/>
              <w:t>1.89</w:t>
            </w:r>
          </w:p>
        </w:tc>
        <w:tc>
          <w:tcPr>
            <w:tcW w:w="1560" w:type="dxa"/>
            <w:shd w:val="clear" w:color="auto" w:fill="D9D9D9" w:themeFill="background1" w:themeFillShade="D9"/>
          </w:tcPr>
          <w:p w:rsidR="009A1E98" w:rsidRPr="00A41D27" w:rsidRDefault="009A1E98" w:rsidP="00FC2A34">
            <w:pPr>
              <w:tabs>
                <w:tab w:val="right" w:pos="1026"/>
              </w:tabs>
              <w:spacing w:before="60" w:after="60"/>
              <w:jc w:val="left"/>
              <w:rPr>
                <w:b/>
                <w:sz w:val="20"/>
              </w:rPr>
            </w:pPr>
            <w:r w:rsidRPr="00A41D27">
              <w:rPr>
                <w:b/>
                <w:sz w:val="20"/>
              </w:rPr>
              <w:tab/>
              <w:t>3.75</w:t>
            </w:r>
          </w:p>
        </w:tc>
      </w:tr>
    </w:tbl>
    <w:p w:rsidR="009A1E98" w:rsidRPr="00A41D27" w:rsidRDefault="009A1E98" w:rsidP="009A1E98"/>
    <w:p w:rsidR="009A1E98" w:rsidRPr="00FC2A34" w:rsidRDefault="009A1E98" w:rsidP="00FC2A34">
      <w:pPr>
        <w:rPr>
          <w:sz w:val="20"/>
          <w:szCs w:val="20"/>
        </w:rPr>
      </w:pPr>
      <w:r w:rsidRPr="00FC2A34">
        <w:rPr>
          <w:sz w:val="20"/>
          <w:szCs w:val="20"/>
        </w:rPr>
        <w:t>*La spesa lorda non corrisponde al costo totale dell’opera perché non comprende la quota a carico dei singoli Comuni.</w:t>
      </w:r>
    </w:p>
    <w:p w:rsidR="009A1E98" w:rsidRDefault="009A1E98" w:rsidP="009A1E98"/>
    <w:p w:rsidR="009A1E98" w:rsidRPr="00A41D27" w:rsidRDefault="009A1E98" w:rsidP="009A1E98">
      <w:r w:rsidRPr="00A41D27">
        <w:lastRenderedPageBreak/>
        <w:t xml:space="preserve">Il credito lordo aggiornato per il PAB 3 (opere stradali), tenuto conto di quanto già richiesto (CHF 1'600'000) con il </w:t>
      </w:r>
      <w:r w:rsidR="00FC2A34">
        <w:t>m</w:t>
      </w:r>
      <w:r w:rsidRPr="00A41D27">
        <w:t xml:space="preserve">essaggio n. 7617 del 19 dicembre 2018, è pertanto di </w:t>
      </w:r>
      <w:r w:rsidRPr="00A41D27">
        <w:br/>
        <w:t>CHF 9'520’000.</w:t>
      </w:r>
    </w:p>
    <w:p w:rsidR="009A1E98" w:rsidRDefault="009A1E98" w:rsidP="009A1E98">
      <w:pPr>
        <w:jc w:val="left"/>
      </w:pPr>
    </w:p>
    <w:p w:rsidR="009A1E98" w:rsidRDefault="009A1E98" w:rsidP="009A1E98">
      <w:pPr>
        <w:pStyle w:val="PE-MessNormale"/>
        <w:rPr>
          <w:bCs/>
        </w:rPr>
      </w:pPr>
      <w:r>
        <w:rPr>
          <w:bCs/>
        </w:rPr>
        <w:t>Il messaggio propone due distinti DL:</w:t>
      </w:r>
    </w:p>
    <w:p w:rsidR="009A1E98" w:rsidRPr="009A1E98" w:rsidRDefault="009A1E98" w:rsidP="009A1E98">
      <w:pPr>
        <w:pStyle w:val="PE-MessNormale"/>
        <w:numPr>
          <w:ilvl w:val="0"/>
          <w:numId w:val="18"/>
        </w:numPr>
        <w:rPr>
          <w:bCs/>
        </w:rPr>
      </w:pPr>
      <w:r w:rsidRPr="009A1E98">
        <w:t xml:space="preserve">credito netto di 3'550’000 franchi e di un’autorizzazione alla spesa di 7'920’000 franchi quale aggiornamento del credito quadro attuale di 1'600’000 franchi per la realizzazione di un secondo pacchetto di opere nell’ambito del Programma di agglomerato del </w:t>
      </w:r>
      <w:proofErr w:type="spellStart"/>
      <w:r w:rsidRPr="009A1E98">
        <w:t>Bellinzonese</w:t>
      </w:r>
      <w:proofErr w:type="spellEnd"/>
      <w:r w:rsidRPr="009A1E98">
        <w:t xml:space="preserve"> di terza generazione per un totale di 9'520’000 franchi</w:t>
      </w:r>
      <w:r w:rsidR="00FC2A34">
        <w:t>;</w:t>
      </w:r>
    </w:p>
    <w:p w:rsidR="009A1E98" w:rsidRPr="009A1E98" w:rsidRDefault="009A1E98" w:rsidP="009C0015">
      <w:pPr>
        <w:pStyle w:val="PE-MessNormale"/>
        <w:numPr>
          <w:ilvl w:val="0"/>
          <w:numId w:val="18"/>
        </w:numPr>
        <w:spacing w:after="0"/>
        <w:ind w:left="357" w:hanging="357"/>
        <w:rPr>
          <w:bCs/>
        </w:rPr>
      </w:pPr>
      <w:r w:rsidRPr="009A1E98">
        <w:t xml:space="preserve">stanziamento di un credito di 200’000 franchi per il supporto tecnico svolto da parte della Commissione regionale dei trasporti del </w:t>
      </w:r>
      <w:proofErr w:type="spellStart"/>
      <w:r w:rsidRPr="009A1E98">
        <w:t>Bellinzonese</w:t>
      </w:r>
      <w:proofErr w:type="spellEnd"/>
      <w:r w:rsidRPr="009A1E98">
        <w:t xml:space="preserve"> nel periodo 2020-2023</w:t>
      </w:r>
      <w:r w:rsidR="00FC2A34">
        <w:t>.</w:t>
      </w:r>
    </w:p>
    <w:p w:rsidR="009A1E98" w:rsidRDefault="009A1E98" w:rsidP="009A1E98">
      <w:pPr>
        <w:jc w:val="left"/>
      </w:pPr>
    </w:p>
    <w:p w:rsidR="009A1E98" w:rsidRDefault="009A1E98" w:rsidP="009A1E98">
      <w:pPr>
        <w:jc w:val="left"/>
      </w:pPr>
    </w:p>
    <w:p w:rsidR="009A1E98" w:rsidRDefault="009A1E98" w:rsidP="009A1E98">
      <w:pPr>
        <w:jc w:val="left"/>
      </w:pPr>
    </w:p>
    <w:p w:rsidR="009A1E98" w:rsidRPr="001504AD" w:rsidRDefault="009A1E98" w:rsidP="009A1E98">
      <w:pPr>
        <w:pStyle w:val="Titolo1"/>
      </w:pPr>
      <w:r w:rsidRPr="001504AD">
        <w:t>Rapporto con PD, LD e PF</w:t>
      </w:r>
    </w:p>
    <w:p w:rsidR="009A1E98" w:rsidRDefault="009A1E98" w:rsidP="009A1E98">
      <w:r w:rsidRPr="00A41D27">
        <w:t>Le proposte sono in linea con gli obiettivi pianificatori del Piano direttore, segnatamente con la promozione di una rete integrata moderna, funzionale e sicura di collegamenti viari e di trasporto pubblico (obiettivo Mobilità/17) e con il sostegno alla mobilità combinata e al traffico lento (obiettivo Mobilità/18).</w:t>
      </w:r>
    </w:p>
    <w:p w:rsidR="009A1E98" w:rsidRPr="00A41D27" w:rsidRDefault="009A1E98" w:rsidP="009A1E98"/>
    <w:p w:rsidR="009A1E98" w:rsidRDefault="009A1E98" w:rsidP="009A1E98">
      <w:r w:rsidRPr="00A41D27">
        <w:t xml:space="preserve">Esse sono coerenti con gli indirizzi e le misure illustrate nella scheda di PD R/M4 Agglomerato del </w:t>
      </w:r>
      <w:proofErr w:type="spellStart"/>
      <w:r w:rsidRPr="00A41D27">
        <w:t>Bellinzonese</w:t>
      </w:r>
      <w:proofErr w:type="spellEnd"/>
      <w:r w:rsidRPr="00A41D27">
        <w:t>/Rete urbana e mobilità.</w:t>
      </w:r>
    </w:p>
    <w:p w:rsidR="009A1E98" w:rsidRPr="00A41D27" w:rsidRDefault="009A1E98" w:rsidP="009A1E98"/>
    <w:p w:rsidR="009A1E98" w:rsidRDefault="009A1E98" w:rsidP="00DE7954">
      <w:pPr>
        <w:pStyle w:val="PE-MessNormale"/>
        <w:spacing w:after="0"/>
        <w:rPr>
          <w:bCs/>
        </w:rPr>
      </w:pPr>
      <w:r w:rsidRPr="00A41D27">
        <w:t>Gli investimenti sono in sintonia con il Programma di legislatura 2019-2023 Obiettivo 11 Sviluppare le reti di trasporto, con priorità al trasporto pubblico, e garantire buone condizioni di mobilità</w:t>
      </w:r>
      <w:r w:rsidRPr="00A41D27">
        <w:rPr>
          <w:bCs/>
        </w:rPr>
        <w:t xml:space="preserve"> – Azione 11.3 </w:t>
      </w:r>
      <w:r w:rsidRPr="00A41D27">
        <w:rPr>
          <w:bCs/>
          <w:i/>
        </w:rPr>
        <w:t xml:space="preserve">Attuare le misure prioritarie delle prime tre generazioni dei Programmi di agglomerato del </w:t>
      </w:r>
      <w:proofErr w:type="spellStart"/>
      <w:r w:rsidRPr="00A41D27">
        <w:rPr>
          <w:bCs/>
          <w:i/>
        </w:rPr>
        <w:t>Bellinzonese</w:t>
      </w:r>
      <w:proofErr w:type="spellEnd"/>
      <w:r w:rsidRPr="00A41D27">
        <w:rPr>
          <w:bCs/>
          <w:i/>
        </w:rPr>
        <w:t xml:space="preserve"> (PAB), del Locarnese (</w:t>
      </w:r>
      <w:proofErr w:type="spellStart"/>
      <w:r w:rsidRPr="00A41D27">
        <w:rPr>
          <w:bCs/>
          <w:i/>
        </w:rPr>
        <w:t>PALoc</w:t>
      </w:r>
      <w:proofErr w:type="spellEnd"/>
      <w:r w:rsidRPr="00A41D27">
        <w:rPr>
          <w:bCs/>
          <w:i/>
        </w:rPr>
        <w:t>), del Luganese (PAL) e del Mendrisiotto (PAM) quali strumenti di pianificazione della mobilità in modo coordinato con lo sviluppo degli insediamenti e del paesaggio</w:t>
      </w:r>
      <w:r w:rsidRPr="00A41D27">
        <w:rPr>
          <w:bCs/>
        </w:rPr>
        <w:t>.</w:t>
      </w:r>
    </w:p>
    <w:p w:rsidR="009A1E98" w:rsidRDefault="009A1E98" w:rsidP="00DE7954">
      <w:pPr>
        <w:pStyle w:val="PE-MessNormale"/>
        <w:spacing w:after="0"/>
        <w:rPr>
          <w:bCs/>
        </w:rPr>
      </w:pPr>
    </w:p>
    <w:p w:rsidR="00DE7954" w:rsidRDefault="00DE7954" w:rsidP="00DE7954">
      <w:pPr>
        <w:pStyle w:val="PE-MessNormale"/>
        <w:spacing w:after="0"/>
        <w:rPr>
          <w:bCs/>
        </w:rPr>
      </w:pPr>
    </w:p>
    <w:p w:rsidR="009A1E98" w:rsidRDefault="009A1E98" w:rsidP="00DE7954">
      <w:pPr>
        <w:pStyle w:val="Titolo2"/>
      </w:pPr>
      <w:r w:rsidRPr="00A41D27">
        <w:t>Piano finanziario</w:t>
      </w:r>
    </w:p>
    <w:p w:rsidR="009A1E98" w:rsidRDefault="009A1E98" w:rsidP="009A1E98">
      <w:r w:rsidRPr="00A41D27">
        <w:t>Per il PAB 3 la spesa lorda, pari a CHF 7'920’000 è prevista nel PFI del settore 62 “Strade cantonali” e collegata all’elemento WBS 781 59 5035, CRB 781 della Divisione delle costruzioni (PFI 622 04 02).</w:t>
      </w:r>
    </w:p>
    <w:p w:rsidR="00DE7954" w:rsidRPr="009C0015" w:rsidRDefault="00DE7954" w:rsidP="009A1E98"/>
    <w:p w:rsidR="009A1E98" w:rsidRDefault="009A1E98" w:rsidP="009A1E98">
      <w:pPr>
        <w:autoSpaceDE w:val="0"/>
        <w:autoSpaceDN w:val="0"/>
        <w:adjustRightInd w:val="0"/>
      </w:pPr>
      <w:r w:rsidRPr="00A41D27">
        <w:t>Le entrate, pari a CHF 1'890’000, corrispondenti ai contributi comunali (CRTB), sono previste nel PFI del settore 62 “Strade cantonali” alla posizione 622 04 02 e collegate all’elemento WBS 781 68 1113.</w:t>
      </w:r>
    </w:p>
    <w:p w:rsidR="00DE7954" w:rsidRPr="00A41D27" w:rsidRDefault="00DE7954" w:rsidP="009A1E98">
      <w:pPr>
        <w:autoSpaceDE w:val="0"/>
        <w:autoSpaceDN w:val="0"/>
        <w:adjustRightInd w:val="0"/>
      </w:pPr>
    </w:p>
    <w:p w:rsidR="009A1E98" w:rsidRDefault="009A1E98" w:rsidP="009A1E98">
      <w:pPr>
        <w:tabs>
          <w:tab w:val="left" w:pos="284"/>
        </w:tabs>
        <w:autoSpaceDE w:val="0"/>
        <w:autoSpaceDN w:val="0"/>
        <w:adjustRightInd w:val="0"/>
      </w:pPr>
      <w:r w:rsidRPr="00A41D27">
        <w:t xml:space="preserve">Le entrate dei sussidi PA della Confederazione, pari a CHF 2'480’000, sono previste alla </w:t>
      </w:r>
      <w:proofErr w:type="spellStart"/>
      <w:r w:rsidRPr="00A41D27">
        <w:t>pos</w:t>
      </w:r>
      <w:proofErr w:type="spellEnd"/>
      <w:r w:rsidRPr="00A41D27">
        <w:t>. 622 04 02 e collegate all’elemento WBS 781 69 1101, CRB 781 della Divisione delle costruzioni.</w:t>
      </w:r>
    </w:p>
    <w:p w:rsidR="00DE7954" w:rsidRPr="00A41D27" w:rsidRDefault="00DE7954" w:rsidP="009A1E98">
      <w:pPr>
        <w:tabs>
          <w:tab w:val="left" w:pos="284"/>
        </w:tabs>
        <w:autoSpaceDE w:val="0"/>
        <w:autoSpaceDN w:val="0"/>
        <w:adjustRightInd w:val="0"/>
      </w:pPr>
    </w:p>
    <w:p w:rsidR="009A1E98" w:rsidRPr="00A41D27" w:rsidRDefault="009A1E98" w:rsidP="009A1E98">
      <w:r w:rsidRPr="00A41D27">
        <w:t>Per</w:t>
      </w:r>
      <w:r>
        <w:t xml:space="preserve"> </w:t>
      </w:r>
      <w:r w:rsidRPr="00A41D27">
        <w:t>il supporto tecnico della CRTB, la spesa pari a CHF 200'000.00 è prevista a PFI 2021-2024 del settore 63 “Trasporti” e va a carico del conto 50100006 “Investimenti e studi piani regionali trasporti”, WBS 767 50 1616, CRB 767 della Sezione della mobilità (PFI 631 70).</w:t>
      </w:r>
    </w:p>
    <w:p w:rsidR="009C0015" w:rsidRDefault="009A1E98" w:rsidP="00FC2A34">
      <w:r w:rsidRPr="00A41D27">
        <w:t>La realizzazione dei progetti del presente messaggio non ha conseguenze particolari sui conti di gestione corrente dello Stato né sul personale.</w:t>
      </w:r>
    </w:p>
    <w:p w:rsidR="00DE7954" w:rsidRDefault="00DE7954" w:rsidP="00FC2A34">
      <w:r>
        <w:br w:type="page"/>
      </w:r>
    </w:p>
    <w:p w:rsidR="009A1E98" w:rsidRPr="001504AD" w:rsidRDefault="009A1E98" w:rsidP="00DE7954">
      <w:pPr>
        <w:pStyle w:val="Titolo1"/>
      </w:pPr>
      <w:r w:rsidRPr="001504AD">
        <w:lastRenderedPageBreak/>
        <w:t>Conclusioni</w:t>
      </w:r>
    </w:p>
    <w:p w:rsidR="009A1E98" w:rsidRDefault="009A1E98" w:rsidP="009A1E98">
      <w:r>
        <w:t>Il</w:t>
      </w:r>
      <w:r w:rsidR="00DE7954">
        <w:t xml:space="preserve"> m</w:t>
      </w:r>
      <w:r w:rsidRPr="00A41D27">
        <w:t xml:space="preserve">essaggio </w:t>
      </w:r>
      <w:r>
        <w:t xml:space="preserve">in oggetto </w:t>
      </w:r>
      <w:r w:rsidRPr="00A41D27">
        <w:t xml:space="preserve">dà seguito e continuità alla progressiva realizzazione del PAB 3. </w:t>
      </w:r>
      <w:r w:rsidR="00FC2A34">
        <w:br/>
      </w:r>
      <w:r w:rsidRPr="00A41D27">
        <w:t>Si tratta di un secondo pacchetto di misure, dopo i crediti stanziati dal Gran Consiglio i</w:t>
      </w:r>
      <w:r w:rsidR="00FC2A34">
        <w:t>l</w:t>
      </w:r>
      <w:r w:rsidRPr="00A41D27">
        <w:t xml:space="preserve"> </w:t>
      </w:r>
      <w:r w:rsidR="00FC2A34">
        <w:br/>
      </w:r>
      <w:r w:rsidRPr="00A41D27">
        <w:t xml:space="preserve">12 marzo 2019. </w:t>
      </w:r>
    </w:p>
    <w:p w:rsidR="00DE7954" w:rsidRPr="00A41D27" w:rsidRDefault="00DE7954" w:rsidP="009A1E98"/>
    <w:p w:rsidR="009A1E98" w:rsidRPr="00A41D27" w:rsidRDefault="009A1E98" w:rsidP="009A1E98">
      <w:r>
        <w:t xml:space="preserve">Sarà in particolare </w:t>
      </w:r>
      <w:r w:rsidRPr="00A41D27">
        <w:t xml:space="preserve">possibile ampliare la rete dei percorsi ciclopedonali nonché migliorare la qualità e l’accessibilità al trasporto pubblico nel </w:t>
      </w:r>
      <w:proofErr w:type="spellStart"/>
      <w:r w:rsidRPr="00A41D27">
        <w:t>Bellinzonese</w:t>
      </w:r>
      <w:proofErr w:type="spellEnd"/>
      <w:r w:rsidRPr="00A41D27">
        <w:t xml:space="preserve"> e predisporre ulteriori opere per accompagnare il potenziamento della rete dei trasporti pubblici in vista dell’apertura della Galleria di base del Monte Ceneri nel dicembre 2020. Parimenti si </w:t>
      </w:r>
      <w:r>
        <w:t xml:space="preserve">informerà </w:t>
      </w:r>
      <w:r w:rsidRPr="00A41D27">
        <w:t>la Confederazione dell’avanzamento del programma realizzativo del PAB 2 e del PAB 3</w:t>
      </w:r>
      <w:r>
        <w:t xml:space="preserve"> con la richiesta dei relativi sussidi federali</w:t>
      </w:r>
      <w:r w:rsidRPr="00A41D27">
        <w:t>.</w:t>
      </w:r>
    </w:p>
    <w:p w:rsidR="009A1E98" w:rsidRPr="00A41D27" w:rsidRDefault="009A1E98" w:rsidP="009A1E98"/>
    <w:p w:rsidR="009A1E98" w:rsidRPr="00A41D27" w:rsidRDefault="009A1E98" w:rsidP="009A1E98">
      <w:r w:rsidRPr="00A41D27">
        <w:t>Lo stanziamento dei crediti proposti con gli allegati decreti legislativi richiede l’approvazione da parte della maggioranza assoluta di membri del Gran Consiglio (cfr. art. 5 cpv. 3 LGF).</w:t>
      </w:r>
    </w:p>
    <w:p w:rsidR="009A1E98" w:rsidRDefault="009A1E98" w:rsidP="009A1E98"/>
    <w:p w:rsidR="00DE7954" w:rsidRDefault="00DE7954" w:rsidP="009A1E98"/>
    <w:p w:rsidR="009A1E98" w:rsidRPr="00A41D27" w:rsidRDefault="009A1E98" w:rsidP="009A1E98">
      <w:r>
        <w:t>A seguito delle considerazioni espresse la Commissione invita il Parlamento a voler approvare il messaggio in esame.</w:t>
      </w:r>
    </w:p>
    <w:p w:rsidR="009A1E98" w:rsidRPr="00A41D27" w:rsidRDefault="009A1E98" w:rsidP="00DE7954">
      <w:pPr>
        <w:tabs>
          <w:tab w:val="left" w:pos="284"/>
        </w:tabs>
      </w:pPr>
    </w:p>
    <w:p w:rsidR="009A1E98" w:rsidRDefault="009A1E98" w:rsidP="00DE7954"/>
    <w:p w:rsidR="009A1E98" w:rsidRDefault="009A1E98" w:rsidP="00DE7954"/>
    <w:p w:rsidR="00DE7954" w:rsidRPr="00076E70" w:rsidRDefault="00DE7954" w:rsidP="00DE7954">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Pr="009848D8">
        <w:rPr>
          <w:rFonts w:cs="Arial"/>
          <w:szCs w:val="24"/>
        </w:rPr>
        <w:t>gestione e finanze</w:t>
      </w:r>
      <w:r w:rsidRPr="00076E70">
        <w:rPr>
          <w:rFonts w:cs="Arial"/>
          <w:szCs w:val="24"/>
        </w:rPr>
        <w:t>:</w:t>
      </w:r>
    </w:p>
    <w:p w:rsidR="00DE7954" w:rsidRPr="00076E70" w:rsidRDefault="00DE7954" w:rsidP="00DE7954">
      <w:pPr>
        <w:rPr>
          <w:rFonts w:cs="Arial"/>
          <w:szCs w:val="24"/>
        </w:rPr>
      </w:pPr>
      <w:r>
        <w:rPr>
          <w:rFonts w:cs="Arial"/>
          <w:szCs w:val="24"/>
        </w:rPr>
        <w:t>Bixio Caprara</w:t>
      </w:r>
      <w:r w:rsidRPr="00076E70">
        <w:rPr>
          <w:rFonts w:cs="Arial"/>
          <w:szCs w:val="24"/>
        </w:rPr>
        <w:t>, relatore</w:t>
      </w:r>
    </w:p>
    <w:p w:rsidR="00FC2A34" w:rsidRDefault="00DE7954" w:rsidP="00DE7954">
      <w:pPr>
        <w:rPr>
          <w:rFonts w:cs="Arial"/>
        </w:rPr>
      </w:pPr>
      <w:bookmarkStart w:id="1" w:name="OLE_LINK1"/>
      <w:bookmarkStart w:id="2" w:name="OLE_LINK2"/>
      <w:r>
        <w:rPr>
          <w:rFonts w:cs="Arial"/>
        </w:rPr>
        <w:t xml:space="preserve">Agustoni - Bang - Bignasca - Biscossa - Bourgoin </w:t>
      </w:r>
      <w:r w:rsidR="00FC2A34">
        <w:rPr>
          <w:rFonts w:cs="Arial"/>
        </w:rPr>
        <w:t>-</w:t>
      </w:r>
      <w:r>
        <w:rPr>
          <w:rFonts w:cs="Arial"/>
        </w:rPr>
        <w:t xml:space="preserve"> </w:t>
      </w:r>
    </w:p>
    <w:p w:rsidR="00FC2A34" w:rsidRDefault="00DE7954" w:rsidP="00DE7954">
      <w:pPr>
        <w:rPr>
          <w:rFonts w:cs="Arial"/>
        </w:rPr>
      </w:pPr>
      <w:r>
        <w:rPr>
          <w:rFonts w:cs="Arial"/>
        </w:rPr>
        <w:t xml:space="preserve">Dadò - Durisch - Gianella Alessandra - Guerra </w:t>
      </w:r>
      <w:r w:rsidR="00FC2A34">
        <w:rPr>
          <w:rFonts w:cs="Arial"/>
        </w:rPr>
        <w:t>-</w:t>
      </w:r>
      <w:r>
        <w:rPr>
          <w:rFonts w:cs="Arial"/>
        </w:rPr>
        <w:t xml:space="preserve"> </w:t>
      </w:r>
    </w:p>
    <w:p w:rsidR="00DE7954" w:rsidRDefault="00DE7954" w:rsidP="00DE7954">
      <w:pPr>
        <w:rPr>
          <w:rFonts w:cs="Arial"/>
        </w:rPr>
      </w:pPr>
      <w:r>
        <w:rPr>
          <w:rFonts w:cs="Arial"/>
        </w:rPr>
        <w:t>Jelmini - Pamini - Pini</w:t>
      </w:r>
    </w:p>
    <w:bookmarkEnd w:id="1"/>
    <w:bookmarkEnd w:id="2"/>
    <w:sectPr w:rsidR="00DE7954" w:rsidSect="008B4137">
      <w:footerReference w:type="default" r:id="rId13"/>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8D8" w:rsidRDefault="009848D8" w:rsidP="008E77C6">
      <w:r>
        <w:separator/>
      </w:r>
    </w:p>
  </w:endnote>
  <w:endnote w:type="continuationSeparator" w:id="0">
    <w:p w:rsidR="009848D8" w:rsidRDefault="009848D8"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Frutiger-LightC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014288"/>
      <w:docPartObj>
        <w:docPartGallery w:val="Page Numbers (Bottom of Page)"/>
        <w:docPartUnique/>
      </w:docPartObj>
    </w:sdtPr>
    <w:sdtEndPr/>
    <w:sdtContent>
      <w:p w:rsidR="009A1E98" w:rsidRDefault="009A1E98">
        <w:pPr>
          <w:pStyle w:val="Pidipagina"/>
          <w:jc w:val="center"/>
        </w:pPr>
        <w:r w:rsidRPr="0022573B">
          <w:rPr>
            <w:sz w:val="20"/>
          </w:rPr>
          <w:fldChar w:fldCharType="begin"/>
        </w:r>
        <w:r w:rsidRPr="0022573B">
          <w:rPr>
            <w:sz w:val="20"/>
          </w:rPr>
          <w:instrText>PAGE   \* MERGEFORMAT</w:instrText>
        </w:r>
        <w:r w:rsidRPr="0022573B">
          <w:rPr>
            <w:sz w:val="20"/>
          </w:rPr>
          <w:fldChar w:fldCharType="separate"/>
        </w:r>
        <w:r w:rsidR="00DF08DA">
          <w:rPr>
            <w:noProof/>
            <w:sz w:val="20"/>
          </w:rPr>
          <w:t>6</w:t>
        </w:r>
        <w:r w:rsidRPr="0022573B">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DF08DA" w:rsidRPr="00DF08DA">
      <w:rPr>
        <w:noProof/>
        <w:sz w:val="20"/>
        <w:szCs w:val="20"/>
        <w:lang w:val="it-IT"/>
      </w:rPr>
      <w:t>9</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8D8" w:rsidRDefault="009848D8" w:rsidP="008E77C6">
      <w:r>
        <w:separator/>
      </w:r>
    </w:p>
  </w:footnote>
  <w:footnote w:type="continuationSeparator" w:id="0">
    <w:p w:rsidR="009848D8" w:rsidRDefault="009848D8"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4211500"/>
    <w:multiLevelType w:val="multilevel"/>
    <w:tmpl w:val="84B6C5FC"/>
    <w:lvl w:ilvl="0">
      <w:start w:val="2"/>
      <w:numFmt w:val="decimal"/>
      <w:lvlText w:val="%1"/>
      <w:lvlJc w:val="left"/>
      <w:pPr>
        <w:ind w:left="360" w:hanging="360"/>
      </w:pPr>
      <w:rPr>
        <w:rFonts w:ascii="Arial" w:hAnsi="Arial" w:hint="default"/>
        <w:sz w:val="24"/>
      </w:rPr>
    </w:lvl>
    <w:lvl w:ilvl="1">
      <w:start w:val="1"/>
      <w:numFmt w:val="decimal"/>
      <w:lvlText w:val="%1.%2"/>
      <w:lvlJc w:val="left"/>
      <w:pPr>
        <w:ind w:left="360" w:hanging="360"/>
      </w:pPr>
      <w:rPr>
        <w:rFonts w:ascii="Arial" w:hAnsi="Arial" w:hint="default"/>
        <w:sz w:val="24"/>
      </w:rPr>
    </w:lvl>
    <w:lvl w:ilvl="2">
      <w:start w:val="1"/>
      <w:numFmt w:val="decimal"/>
      <w:lvlText w:val="%1.%2.%3"/>
      <w:lvlJc w:val="left"/>
      <w:pPr>
        <w:ind w:left="720" w:hanging="720"/>
      </w:pPr>
      <w:rPr>
        <w:rFonts w:ascii="Arial" w:hAnsi="Arial" w:hint="default"/>
        <w:sz w:val="24"/>
      </w:rPr>
    </w:lvl>
    <w:lvl w:ilvl="3">
      <w:start w:val="1"/>
      <w:numFmt w:val="decimal"/>
      <w:lvlText w:val="%1.%2.%3.%4"/>
      <w:lvlJc w:val="left"/>
      <w:pPr>
        <w:ind w:left="720" w:hanging="720"/>
      </w:pPr>
      <w:rPr>
        <w:rFonts w:ascii="Arial" w:hAnsi="Arial" w:hint="default"/>
        <w:sz w:val="24"/>
      </w:rPr>
    </w:lvl>
    <w:lvl w:ilvl="4">
      <w:start w:val="1"/>
      <w:numFmt w:val="decimal"/>
      <w:lvlText w:val="%1.%2.%3.%4.%5"/>
      <w:lvlJc w:val="left"/>
      <w:pPr>
        <w:ind w:left="1080" w:hanging="1080"/>
      </w:pPr>
      <w:rPr>
        <w:rFonts w:ascii="Arial" w:hAnsi="Arial" w:hint="default"/>
        <w:sz w:val="24"/>
      </w:rPr>
    </w:lvl>
    <w:lvl w:ilvl="5">
      <w:start w:val="1"/>
      <w:numFmt w:val="decimal"/>
      <w:lvlText w:val="%1.%2.%3.%4.%5.%6"/>
      <w:lvlJc w:val="left"/>
      <w:pPr>
        <w:ind w:left="1080" w:hanging="1080"/>
      </w:pPr>
      <w:rPr>
        <w:rFonts w:ascii="Arial" w:hAnsi="Arial" w:hint="default"/>
        <w:sz w:val="24"/>
      </w:rPr>
    </w:lvl>
    <w:lvl w:ilvl="6">
      <w:start w:val="1"/>
      <w:numFmt w:val="decimal"/>
      <w:lvlText w:val="%1.%2.%3.%4.%5.%6.%7"/>
      <w:lvlJc w:val="left"/>
      <w:pPr>
        <w:ind w:left="1440" w:hanging="1440"/>
      </w:pPr>
      <w:rPr>
        <w:rFonts w:ascii="Arial" w:hAnsi="Arial" w:hint="default"/>
        <w:sz w:val="24"/>
      </w:rPr>
    </w:lvl>
    <w:lvl w:ilvl="7">
      <w:start w:val="1"/>
      <w:numFmt w:val="decimal"/>
      <w:lvlText w:val="%1.%2.%3.%4.%5.%6.%7.%8"/>
      <w:lvlJc w:val="left"/>
      <w:pPr>
        <w:ind w:left="1440" w:hanging="1440"/>
      </w:pPr>
      <w:rPr>
        <w:rFonts w:ascii="Arial" w:hAnsi="Arial" w:hint="default"/>
        <w:sz w:val="24"/>
      </w:rPr>
    </w:lvl>
    <w:lvl w:ilvl="8">
      <w:start w:val="1"/>
      <w:numFmt w:val="decimal"/>
      <w:lvlText w:val="%1.%2.%3.%4.%5.%6.%7.%8.%9"/>
      <w:lvlJc w:val="left"/>
      <w:pPr>
        <w:ind w:left="1800" w:hanging="1800"/>
      </w:pPr>
      <w:rPr>
        <w:rFonts w:ascii="Arial" w:hAnsi="Arial" w:hint="default"/>
        <w:sz w:val="24"/>
      </w:rPr>
    </w:lvl>
  </w:abstractNum>
  <w:abstractNum w:abstractNumId="2" w15:restartNumberingAfterBreak="0">
    <w:nsid w:val="0B59058A"/>
    <w:multiLevelType w:val="hybridMultilevel"/>
    <w:tmpl w:val="59629988"/>
    <w:lvl w:ilvl="0" w:tplc="8988AA4C">
      <w:start w:val="1"/>
      <w:numFmt w:val="decimal"/>
      <w:lvlText w:val="%1."/>
      <w:lvlJc w:val="left"/>
      <w:pPr>
        <w:ind w:left="360" w:hanging="360"/>
      </w:pPr>
      <w:rPr>
        <w:rFonts w:hint="default"/>
        <w:b w:val="0"/>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3"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4"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35DC64C4"/>
    <w:multiLevelType w:val="hybridMultilevel"/>
    <w:tmpl w:val="EBB2C08A"/>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7" w15:restartNumberingAfterBreak="0">
    <w:nsid w:val="38B402E0"/>
    <w:multiLevelType w:val="hybridMultilevel"/>
    <w:tmpl w:val="681C5626"/>
    <w:lvl w:ilvl="0" w:tplc="FF04C2DE">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46C41200"/>
    <w:multiLevelType w:val="hybridMultilevel"/>
    <w:tmpl w:val="243C94D4"/>
    <w:lvl w:ilvl="0" w:tplc="3996A1A0">
      <w:numFmt w:val="bullet"/>
      <w:lvlText w:val="-"/>
      <w:lvlJc w:val="left"/>
      <w:pPr>
        <w:ind w:left="360" w:hanging="360"/>
      </w:pPr>
      <w:rPr>
        <w:rFonts w:ascii="Arial" w:eastAsia="Times New Roman" w:hAnsi="Arial" w:cs="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0"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510ED2"/>
    <w:multiLevelType w:val="multilevel"/>
    <w:tmpl w:val="08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BED6211"/>
    <w:multiLevelType w:val="hybridMultilevel"/>
    <w:tmpl w:val="D0FCF476"/>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4"/>
  </w:num>
  <w:num w:numId="2">
    <w:abstractNumId w:val="14"/>
  </w:num>
  <w:num w:numId="3">
    <w:abstractNumId w:val="16"/>
  </w:num>
  <w:num w:numId="4">
    <w:abstractNumId w:val="3"/>
  </w:num>
  <w:num w:numId="5">
    <w:abstractNumId w:val="8"/>
  </w:num>
  <w:num w:numId="6">
    <w:abstractNumId w:val="0"/>
  </w:num>
  <w:num w:numId="7">
    <w:abstractNumId w:val="15"/>
  </w:num>
  <w:num w:numId="8">
    <w:abstractNumId w:val="4"/>
  </w:num>
  <w:num w:numId="9">
    <w:abstractNumId w:val="13"/>
  </w:num>
  <w:num w:numId="10">
    <w:abstractNumId w:val="10"/>
  </w:num>
  <w:num w:numId="11">
    <w:abstractNumId w:val="5"/>
  </w:num>
  <w:num w:numId="12">
    <w:abstractNumId w:val="12"/>
  </w:num>
  <w:num w:numId="13">
    <w:abstractNumId w:val="7"/>
  </w:num>
  <w:num w:numId="14">
    <w:abstractNumId w:val="6"/>
  </w:num>
  <w:num w:numId="15">
    <w:abstractNumId w:val="11"/>
  </w:num>
  <w:num w:numId="16">
    <w:abstractNumId w:val="1"/>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D8"/>
    <w:rsid w:val="00076E70"/>
    <w:rsid w:val="001574D7"/>
    <w:rsid w:val="00260C8C"/>
    <w:rsid w:val="002677DC"/>
    <w:rsid w:val="002E5E40"/>
    <w:rsid w:val="003B4AAB"/>
    <w:rsid w:val="004B701A"/>
    <w:rsid w:val="0052425A"/>
    <w:rsid w:val="00586A8D"/>
    <w:rsid w:val="006C17AA"/>
    <w:rsid w:val="006D7A3B"/>
    <w:rsid w:val="006E4AE2"/>
    <w:rsid w:val="007352D3"/>
    <w:rsid w:val="00745DA3"/>
    <w:rsid w:val="007B5462"/>
    <w:rsid w:val="008034BD"/>
    <w:rsid w:val="00856BD3"/>
    <w:rsid w:val="00876352"/>
    <w:rsid w:val="00877BF9"/>
    <w:rsid w:val="008B2655"/>
    <w:rsid w:val="008B4137"/>
    <w:rsid w:val="008C767A"/>
    <w:rsid w:val="008E77C6"/>
    <w:rsid w:val="0092720D"/>
    <w:rsid w:val="009770BB"/>
    <w:rsid w:val="009848D8"/>
    <w:rsid w:val="009A1E98"/>
    <w:rsid w:val="009C0015"/>
    <w:rsid w:val="009E008D"/>
    <w:rsid w:val="00A5465F"/>
    <w:rsid w:val="00A77678"/>
    <w:rsid w:val="00B860C2"/>
    <w:rsid w:val="00BC4C95"/>
    <w:rsid w:val="00BD5944"/>
    <w:rsid w:val="00CC59CF"/>
    <w:rsid w:val="00CF6858"/>
    <w:rsid w:val="00D377B5"/>
    <w:rsid w:val="00D93B31"/>
    <w:rsid w:val="00DE5307"/>
    <w:rsid w:val="00DE7954"/>
    <w:rsid w:val="00DF08DA"/>
    <w:rsid w:val="00E505DB"/>
    <w:rsid w:val="00E765A9"/>
    <w:rsid w:val="00FC2A34"/>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D44F6E1"/>
  <w15:docId w15:val="{E7F7DA57-8975-4F7A-95AB-06320111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7954"/>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9A1E98"/>
    <w:pPr>
      <w:keepNext/>
      <w:tabs>
        <w:tab w:val="left" w:pos="709"/>
        <w:tab w:val="left" w:pos="851"/>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9A1E98"/>
    <w:rPr>
      <w:rFonts w:ascii="Arial" w:hAnsi="Arial"/>
      <w:b/>
      <w:sz w:val="24"/>
      <w:szCs w:val="22"/>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uiPriority w:val="59"/>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 w:type="paragraph" w:customStyle="1" w:styleId="PE-MessNormale">
    <w:name w:val="PE-MessNormale"/>
    <w:basedOn w:val="Normale"/>
    <w:link w:val="PE-MessNormaleCarattere"/>
    <w:rsid w:val="009A1E98"/>
    <w:pPr>
      <w:spacing w:after="120"/>
    </w:pPr>
    <w:rPr>
      <w:rFonts w:eastAsia="Times New Roman"/>
      <w:szCs w:val="20"/>
      <w:lang w:eastAsia="it-IT"/>
    </w:rPr>
  </w:style>
  <w:style w:type="character" w:customStyle="1" w:styleId="PE-MessNormaleCarattere">
    <w:name w:val="PE-MessNormale Carattere"/>
    <w:link w:val="PE-MessNormale"/>
    <w:locked/>
    <w:rsid w:val="009A1E98"/>
    <w:rPr>
      <w:rFonts w:ascii="Arial" w:eastAsia="Times New Roman" w:hAnsi="Arial"/>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61eee80c-90ef-4729-be5b-34d8c7df4b06@intra.admin.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b981635a-02ba-42ca-a422-c7c7f17a9571@intra.admin.ch"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3BDDF-FABA-4E15-8899-B0D174EB7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3144</Words>
  <Characters>17926</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Righetti Paolo</cp:lastModifiedBy>
  <cp:revision>11</cp:revision>
  <cp:lastPrinted>2021-02-08T09:32:00Z</cp:lastPrinted>
  <dcterms:created xsi:type="dcterms:W3CDTF">2021-02-02T15:11:00Z</dcterms:created>
  <dcterms:modified xsi:type="dcterms:W3CDTF">2021-02-21T08:31:00Z</dcterms:modified>
</cp:coreProperties>
</file>