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D48" w:rsidRPr="006D7A3B" w:rsidRDefault="00B54D48" w:rsidP="00B54D48">
      <w:pPr>
        <w:rPr>
          <w:rFonts w:cs="Arial"/>
          <w:sz w:val="20"/>
          <w:szCs w:val="20"/>
        </w:rPr>
      </w:pPr>
      <w:bookmarkStart w:id="0" w:name="_GoBack"/>
      <w:bookmarkEnd w:id="0"/>
      <w:r w:rsidRPr="00F04588">
        <w:rPr>
          <w:rFonts w:ascii="Gill Sans MT" w:hAnsi="Gill Sans MT"/>
          <w:b/>
          <w:sz w:val="56"/>
          <w:szCs w:val="56"/>
        </w:rPr>
        <w:t>Rapporto</w:t>
      </w:r>
    </w:p>
    <w:p w:rsidR="00B860C2" w:rsidRPr="00B54D48" w:rsidRDefault="00B860C2" w:rsidP="00B860C2">
      <w:pPr>
        <w:rPr>
          <w:rFonts w:cs="Arial"/>
          <w:sz w:val="22"/>
        </w:rPr>
      </w:pPr>
    </w:p>
    <w:p w:rsidR="00B860C2" w:rsidRPr="00B54D48" w:rsidRDefault="00B860C2" w:rsidP="00B860C2">
      <w:pPr>
        <w:rPr>
          <w:rFonts w:cs="Arial"/>
          <w:sz w:val="22"/>
        </w:rPr>
      </w:pPr>
    </w:p>
    <w:p w:rsidR="00B860C2" w:rsidRDefault="00227AE2" w:rsidP="00B860C2">
      <w:pPr>
        <w:tabs>
          <w:tab w:val="left" w:pos="2098"/>
          <w:tab w:val="left" w:pos="4933"/>
        </w:tabs>
        <w:rPr>
          <w:rFonts w:cs="Arial"/>
          <w:szCs w:val="24"/>
        </w:rPr>
      </w:pPr>
      <w:r w:rsidRPr="00B91D22">
        <w:rPr>
          <w:rFonts w:cs="Arial"/>
          <w:b/>
          <w:sz w:val="32"/>
          <w:szCs w:val="32"/>
        </w:rPr>
        <w:t>7438</w:t>
      </w:r>
      <w:r w:rsidR="00B860C2" w:rsidRPr="00B91D22">
        <w:rPr>
          <w:rFonts w:cs="Arial"/>
          <w:b/>
          <w:sz w:val="32"/>
          <w:szCs w:val="32"/>
        </w:rPr>
        <w:t xml:space="preserve"> R</w:t>
      </w:r>
      <w:r w:rsidR="00B860C2" w:rsidRPr="00B91D22">
        <w:rPr>
          <w:rFonts w:cs="Arial"/>
          <w:sz w:val="28"/>
          <w:szCs w:val="28"/>
        </w:rPr>
        <w:tab/>
      </w:r>
      <w:r w:rsidR="00B91D22" w:rsidRPr="00B91D22">
        <w:rPr>
          <w:rFonts w:cs="Arial"/>
          <w:sz w:val="28"/>
          <w:szCs w:val="28"/>
        </w:rPr>
        <w:t>9 febbraio 2021</w:t>
      </w:r>
      <w:r w:rsidR="00B860C2" w:rsidRPr="00B91D22">
        <w:rPr>
          <w:rFonts w:cs="Arial"/>
          <w:sz w:val="28"/>
          <w:szCs w:val="28"/>
        </w:rPr>
        <w:tab/>
      </w:r>
      <w:r w:rsidRPr="00B91D22">
        <w:rPr>
          <w:sz w:val="28"/>
        </w:rPr>
        <w:t>SANITÀ E SOCIALITÀ</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75036C" w:rsidRDefault="00B860C2" w:rsidP="00B860C2">
      <w:pPr>
        <w:rPr>
          <w:rFonts w:cs="Arial"/>
          <w:b/>
          <w:sz w:val="28"/>
          <w:szCs w:val="28"/>
        </w:rPr>
      </w:pPr>
      <w:r w:rsidRPr="008B4137">
        <w:rPr>
          <w:rFonts w:cs="Arial"/>
          <w:b/>
          <w:sz w:val="28"/>
          <w:szCs w:val="28"/>
        </w:rPr>
        <w:t xml:space="preserve">della Commissione </w:t>
      </w:r>
      <w:r w:rsidRPr="0075036C">
        <w:rPr>
          <w:rFonts w:cs="Arial"/>
          <w:b/>
          <w:sz w:val="28"/>
          <w:szCs w:val="28"/>
        </w:rPr>
        <w:t>gestione e finanze</w:t>
      </w:r>
    </w:p>
    <w:p w:rsidR="00B860C2" w:rsidRPr="008B2655" w:rsidRDefault="00B860C2" w:rsidP="00B860C2">
      <w:pPr>
        <w:rPr>
          <w:rFonts w:cs="Arial"/>
          <w:b/>
          <w:sz w:val="26"/>
          <w:szCs w:val="26"/>
        </w:rPr>
      </w:pPr>
      <w:r w:rsidRPr="000D6BD0">
        <w:rPr>
          <w:rFonts w:cs="Arial"/>
          <w:b/>
          <w:sz w:val="28"/>
          <w:szCs w:val="28"/>
        </w:rPr>
        <w:t>sul</w:t>
      </w:r>
      <w:r w:rsidR="0075036C">
        <w:rPr>
          <w:rFonts w:cs="Arial"/>
          <w:b/>
          <w:sz w:val="28"/>
          <w:szCs w:val="28"/>
        </w:rPr>
        <w:t>la mozione 8 maggio 2017 presentata da Massimiliano Robbiani “Che a</w:t>
      </w:r>
      <w:r w:rsidR="0075036C" w:rsidRPr="001E1C7E">
        <w:rPr>
          <w:rFonts w:cs="Arial"/>
          <w:b/>
          <w:sz w:val="28"/>
          <w:szCs w:val="28"/>
        </w:rPr>
        <w:t>ll’OSC (Mendrisio/</w:t>
      </w:r>
      <w:proofErr w:type="spellStart"/>
      <w:r w:rsidR="0075036C" w:rsidRPr="001E1C7E">
        <w:rPr>
          <w:rFonts w:cs="Arial"/>
          <w:b/>
          <w:sz w:val="28"/>
          <w:szCs w:val="28"/>
        </w:rPr>
        <w:t>Casvegno</w:t>
      </w:r>
      <w:proofErr w:type="spellEnd"/>
      <w:r w:rsidR="0075036C" w:rsidRPr="001E1C7E">
        <w:rPr>
          <w:rFonts w:cs="Arial"/>
          <w:b/>
          <w:sz w:val="28"/>
          <w:szCs w:val="28"/>
        </w:rPr>
        <w:t xml:space="preserve">) </w:t>
      </w:r>
      <w:r w:rsidR="0075036C">
        <w:rPr>
          <w:rFonts w:cs="Arial"/>
          <w:b/>
          <w:sz w:val="28"/>
          <w:szCs w:val="28"/>
        </w:rPr>
        <w:t>il sistema di timbratura per il personale sia identico a quello dell’EOC”</w:t>
      </w:r>
    </w:p>
    <w:p w:rsidR="00B860C2" w:rsidRPr="00046B4A" w:rsidRDefault="00046B4A" w:rsidP="00046B4A">
      <w:pPr>
        <w:spacing w:before="100"/>
        <w:rPr>
          <w:rFonts w:cs="Arial"/>
          <w:b/>
          <w:sz w:val="26"/>
          <w:szCs w:val="26"/>
        </w:rPr>
      </w:pPr>
      <w:r w:rsidRPr="00046B4A">
        <w:rPr>
          <w:rFonts w:cs="Arial"/>
          <w:b/>
          <w:sz w:val="26"/>
          <w:szCs w:val="26"/>
        </w:rPr>
        <w:t xml:space="preserve">(v. messaggio </w:t>
      </w:r>
      <w:r>
        <w:rPr>
          <w:rFonts w:cs="Arial"/>
          <w:b/>
          <w:sz w:val="26"/>
          <w:szCs w:val="26"/>
        </w:rPr>
        <w:t>11 ottobre 2017 n. 7438)</w:t>
      </w:r>
    </w:p>
    <w:p w:rsidR="00B860C2" w:rsidRDefault="00B860C2" w:rsidP="00B860C2">
      <w:pPr>
        <w:rPr>
          <w:rFonts w:cs="Arial"/>
          <w:szCs w:val="24"/>
        </w:rPr>
      </w:pPr>
    </w:p>
    <w:p w:rsidR="00B860C2" w:rsidRDefault="00B860C2" w:rsidP="00B860C2">
      <w:pPr>
        <w:rPr>
          <w:rFonts w:cs="Arial"/>
          <w:szCs w:val="24"/>
        </w:rPr>
      </w:pPr>
    </w:p>
    <w:p w:rsidR="00046B4A" w:rsidRDefault="00046B4A" w:rsidP="00B860C2">
      <w:pPr>
        <w:rPr>
          <w:rFonts w:cs="Arial"/>
          <w:szCs w:val="24"/>
        </w:rPr>
      </w:pPr>
    </w:p>
    <w:p w:rsidR="00B91D22" w:rsidRPr="001E1C7E" w:rsidRDefault="00B91D22" w:rsidP="00B91D22">
      <w:pPr>
        <w:keepNext/>
        <w:tabs>
          <w:tab w:val="left" w:pos="567"/>
        </w:tabs>
        <w:spacing w:after="120"/>
        <w:outlineLvl w:val="0"/>
        <w:rPr>
          <w:rFonts w:cs="Arial"/>
          <w:b/>
          <w:caps/>
        </w:rPr>
      </w:pPr>
      <w:r w:rsidRPr="001E1C7E">
        <w:rPr>
          <w:rFonts w:cs="Arial"/>
          <w:b/>
          <w:caps/>
        </w:rPr>
        <w:t>1.</w:t>
      </w:r>
      <w:r w:rsidRPr="001E1C7E">
        <w:rPr>
          <w:rFonts w:cs="Arial"/>
          <w:b/>
          <w:caps/>
        </w:rPr>
        <w:tab/>
      </w:r>
      <w:r>
        <w:rPr>
          <w:rFonts w:cs="Arial"/>
          <w:b/>
          <w:caps/>
        </w:rPr>
        <w:t>La mozione</w:t>
      </w:r>
    </w:p>
    <w:p w:rsidR="00B91D22" w:rsidRPr="001E1C7E" w:rsidRDefault="00B91D22" w:rsidP="00B91D22">
      <w:pPr>
        <w:rPr>
          <w:rFonts w:cs="Arial"/>
        </w:rPr>
      </w:pPr>
      <w:r>
        <w:rPr>
          <w:rFonts w:cs="Arial"/>
        </w:rPr>
        <w:t>I</w:t>
      </w:r>
      <w:r w:rsidRPr="001E1C7E">
        <w:rPr>
          <w:rFonts w:cs="Arial"/>
        </w:rPr>
        <w:t>l deputato Robbiani chiede</w:t>
      </w:r>
      <w:r>
        <w:rPr>
          <w:rFonts w:cs="Arial"/>
        </w:rPr>
        <w:t>va</w:t>
      </w:r>
      <w:r w:rsidRPr="001E1C7E">
        <w:rPr>
          <w:rFonts w:cs="Arial"/>
        </w:rPr>
        <w:t xml:space="preserve"> che all’OSC (Mendrisio/</w:t>
      </w:r>
      <w:proofErr w:type="spellStart"/>
      <w:r w:rsidRPr="001E1C7E">
        <w:rPr>
          <w:rFonts w:cs="Arial"/>
        </w:rPr>
        <w:t>Casvegno</w:t>
      </w:r>
      <w:proofErr w:type="spellEnd"/>
      <w:r w:rsidRPr="001E1C7E">
        <w:rPr>
          <w:rFonts w:cs="Arial"/>
        </w:rPr>
        <w:t>) ve</w:t>
      </w:r>
      <w:r>
        <w:rPr>
          <w:rFonts w:cs="Arial"/>
        </w:rPr>
        <w:t>nisse</w:t>
      </w:r>
      <w:r w:rsidRPr="001E1C7E">
        <w:rPr>
          <w:rFonts w:cs="Arial"/>
        </w:rPr>
        <w:t xml:space="preserve"> introdotto il sistema di timbratura </w:t>
      </w:r>
      <w:r>
        <w:rPr>
          <w:rFonts w:cs="Arial"/>
        </w:rPr>
        <w:t>utilizzato</w:t>
      </w:r>
      <w:r w:rsidRPr="001E1C7E">
        <w:rPr>
          <w:rFonts w:cs="Arial"/>
        </w:rPr>
        <w:t xml:space="preserve"> già per tutti i dipendenti dell’EOC. </w:t>
      </w:r>
    </w:p>
    <w:p w:rsidR="00B91D22" w:rsidRPr="001E1C7E" w:rsidRDefault="00B91D22" w:rsidP="00B91D22">
      <w:pPr>
        <w:rPr>
          <w:rFonts w:cs="Arial"/>
        </w:rPr>
      </w:pPr>
    </w:p>
    <w:p w:rsidR="00B91D22" w:rsidRDefault="00B91D22" w:rsidP="00B91D22">
      <w:pPr>
        <w:rPr>
          <w:rFonts w:cs="Arial"/>
        </w:rPr>
      </w:pPr>
    </w:p>
    <w:p w:rsidR="00B91D22" w:rsidRPr="001E1C7E" w:rsidRDefault="00B91D22" w:rsidP="00B91D22">
      <w:pPr>
        <w:rPr>
          <w:rFonts w:cs="Arial"/>
        </w:rPr>
      </w:pPr>
    </w:p>
    <w:p w:rsidR="00B91D22" w:rsidRDefault="00B91D22" w:rsidP="00B91D22">
      <w:pPr>
        <w:keepNext/>
        <w:tabs>
          <w:tab w:val="left" w:pos="567"/>
        </w:tabs>
        <w:spacing w:after="120"/>
        <w:outlineLvl w:val="0"/>
        <w:rPr>
          <w:rFonts w:cs="Arial"/>
          <w:b/>
          <w:caps/>
        </w:rPr>
      </w:pPr>
      <w:r w:rsidRPr="001E1C7E">
        <w:rPr>
          <w:rFonts w:cs="Arial"/>
          <w:b/>
          <w:caps/>
        </w:rPr>
        <w:t>2.</w:t>
      </w:r>
      <w:r w:rsidRPr="001E1C7E">
        <w:rPr>
          <w:rFonts w:cs="Arial"/>
          <w:b/>
          <w:caps/>
        </w:rPr>
        <w:tab/>
      </w:r>
      <w:r>
        <w:rPr>
          <w:rFonts w:cs="Arial"/>
          <w:b/>
          <w:caps/>
        </w:rPr>
        <w:t xml:space="preserve">il messaggio </w:t>
      </w:r>
    </w:p>
    <w:p w:rsidR="00B91D22" w:rsidRPr="001E1C7E" w:rsidRDefault="006C54BF" w:rsidP="00B91D22">
      <w:pPr>
        <w:keepNext/>
        <w:tabs>
          <w:tab w:val="left" w:pos="567"/>
        </w:tabs>
        <w:spacing w:after="120"/>
        <w:outlineLvl w:val="0"/>
        <w:rPr>
          <w:rFonts w:cs="Arial"/>
          <w:b/>
          <w:caps/>
        </w:rPr>
      </w:pPr>
      <w:r>
        <w:rPr>
          <w:rFonts w:cs="Arial"/>
          <w:b/>
        </w:rPr>
        <w:t xml:space="preserve">2.1 </w:t>
      </w:r>
      <w:r>
        <w:rPr>
          <w:rFonts w:cs="Arial"/>
          <w:b/>
        </w:rPr>
        <w:tab/>
        <w:t>M</w:t>
      </w:r>
      <w:r w:rsidRPr="001E1C7E">
        <w:rPr>
          <w:rFonts w:cs="Arial"/>
          <w:b/>
        </w:rPr>
        <w:t>olteplicità e diffusi</w:t>
      </w:r>
      <w:r>
        <w:rPr>
          <w:rFonts w:cs="Arial"/>
          <w:b/>
        </w:rPr>
        <w:t>one territoriale dei servizi OSC</w:t>
      </w:r>
    </w:p>
    <w:p w:rsidR="00B91D22" w:rsidRDefault="00B91D22" w:rsidP="00B91D22">
      <w:pPr>
        <w:rPr>
          <w:rFonts w:cs="Arial"/>
        </w:rPr>
      </w:pPr>
      <w:r w:rsidRPr="00781DAE">
        <w:rPr>
          <w:rFonts w:cs="Arial"/>
        </w:rPr>
        <w:t xml:space="preserve">Il Consiglio di Stato </w:t>
      </w:r>
      <w:r>
        <w:rPr>
          <w:rFonts w:cs="Arial"/>
        </w:rPr>
        <w:t>ha fornito alcune informazioni e precisazioni per meglio inquadrare il contesto invitando di seguito a considerare evasa la mozione.</w:t>
      </w:r>
    </w:p>
    <w:p w:rsidR="00B91D22" w:rsidRDefault="00B91D22" w:rsidP="00F5531A">
      <w:pPr>
        <w:spacing w:after="120"/>
        <w:rPr>
          <w:rFonts w:cs="Arial"/>
        </w:rPr>
      </w:pPr>
    </w:p>
    <w:p w:rsidR="00F5531A" w:rsidRPr="00F5531A" w:rsidRDefault="00F5531A" w:rsidP="00F5531A">
      <w:pPr>
        <w:spacing w:after="60"/>
        <w:ind w:left="709" w:hanging="709"/>
        <w:rPr>
          <w:rFonts w:cs="Arial"/>
          <w:b/>
          <w:bCs/>
          <w:i/>
        </w:rPr>
      </w:pPr>
      <w:r w:rsidRPr="00F5531A">
        <w:rPr>
          <w:rFonts w:cs="Arial"/>
          <w:b/>
          <w:bCs/>
          <w:i/>
        </w:rPr>
        <w:t>2.1.1</w:t>
      </w:r>
    </w:p>
    <w:p w:rsidR="00B91D22" w:rsidRPr="001E1C7E" w:rsidRDefault="00B91D22" w:rsidP="00F5531A">
      <w:pPr>
        <w:rPr>
          <w:rFonts w:cs="Arial"/>
        </w:rPr>
      </w:pPr>
      <w:r w:rsidRPr="001E1C7E">
        <w:rPr>
          <w:rFonts w:cs="Arial"/>
        </w:rPr>
        <w:t xml:space="preserve">L’OSC è composta da 7 </w:t>
      </w:r>
      <w:r>
        <w:rPr>
          <w:rFonts w:cs="Arial"/>
        </w:rPr>
        <w:t xml:space="preserve">diverse tipologie di offerta di presa a carico </w:t>
      </w:r>
      <w:r w:rsidRPr="001E1C7E">
        <w:rPr>
          <w:rFonts w:cs="Arial"/>
        </w:rPr>
        <w:t>sociosanitari</w:t>
      </w:r>
      <w:r>
        <w:rPr>
          <w:rFonts w:cs="Arial"/>
        </w:rPr>
        <w:t>a</w:t>
      </w:r>
      <w:r w:rsidRPr="001E1C7E">
        <w:rPr>
          <w:rFonts w:cs="Arial"/>
        </w:rPr>
        <w:t xml:space="preserve"> o socioeducativ</w:t>
      </w:r>
      <w:r>
        <w:rPr>
          <w:rFonts w:cs="Arial"/>
        </w:rPr>
        <w:t>a</w:t>
      </w:r>
      <w:r w:rsidRPr="001E1C7E">
        <w:rPr>
          <w:rFonts w:cs="Arial"/>
        </w:rPr>
        <w:t>:</w:t>
      </w:r>
    </w:p>
    <w:p w:rsidR="00B91D22" w:rsidRPr="001E1C7E" w:rsidRDefault="00B91D22" w:rsidP="001417AA">
      <w:pPr>
        <w:numPr>
          <w:ilvl w:val="0"/>
          <w:numId w:val="12"/>
        </w:numPr>
        <w:spacing w:before="120" w:after="120"/>
        <w:ind w:left="284" w:hanging="284"/>
        <w:rPr>
          <w:rFonts w:cs="Arial"/>
        </w:rPr>
      </w:pPr>
      <w:r w:rsidRPr="001E1C7E">
        <w:rPr>
          <w:rFonts w:cs="Arial"/>
        </w:rPr>
        <w:t>Clinica psichiatrica cantonale (CPC) a Mendrisio/</w:t>
      </w:r>
      <w:proofErr w:type="spellStart"/>
      <w:r w:rsidRPr="001E1C7E">
        <w:rPr>
          <w:rFonts w:cs="Arial"/>
        </w:rPr>
        <w:t>Casvegno</w:t>
      </w:r>
      <w:proofErr w:type="spellEnd"/>
    </w:p>
    <w:p w:rsidR="00B91D22" w:rsidRPr="001E1C7E" w:rsidRDefault="00B91D22" w:rsidP="001417AA">
      <w:pPr>
        <w:numPr>
          <w:ilvl w:val="0"/>
          <w:numId w:val="12"/>
        </w:numPr>
        <w:spacing w:before="120" w:after="120"/>
        <w:ind w:left="284" w:hanging="284"/>
        <w:rPr>
          <w:rFonts w:cs="Arial"/>
        </w:rPr>
      </w:pPr>
      <w:r w:rsidRPr="001E1C7E">
        <w:rPr>
          <w:rFonts w:cs="Arial"/>
        </w:rPr>
        <w:t>Centro abitativo, ricreativo e di lavoro (CARL) a Mendrisio/</w:t>
      </w:r>
      <w:proofErr w:type="spellStart"/>
      <w:r w:rsidRPr="001E1C7E">
        <w:rPr>
          <w:rFonts w:cs="Arial"/>
        </w:rPr>
        <w:t>Casvegno</w:t>
      </w:r>
      <w:proofErr w:type="spellEnd"/>
    </w:p>
    <w:p w:rsidR="00B91D22" w:rsidRPr="001E1C7E" w:rsidRDefault="00B91D22" w:rsidP="001417AA">
      <w:pPr>
        <w:numPr>
          <w:ilvl w:val="0"/>
          <w:numId w:val="12"/>
        </w:numPr>
        <w:spacing w:before="120" w:after="120"/>
        <w:ind w:left="284" w:hanging="284"/>
        <w:rPr>
          <w:rFonts w:cs="Arial"/>
        </w:rPr>
      </w:pPr>
      <w:r w:rsidRPr="001E1C7E">
        <w:rPr>
          <w:rFonts w:cs="Arial"/>
        </w:rPr>
        <w:t xml:space="preserve">Servizi </w:t>
      </w:r>
      <w:proofErr w:type="spellStart"/>
      <w:r w:rsidRPr="001E1C7E">
        <w:rPr>
          <w:rFonts w:cs="Arial"/>
        </w:rPr>
        <w:t>psico</w:t>
      </w:r>
      <w:proofErr w:type="spellEnd"/>
      <w:r w:rsidRPr="001E1C7E">
        <w:rPr>
          <w:rFonts w:cs="Arial"/>
        </w:rPr>
        <w:t xml:space="preserve">-sociali (SPS) a Mendrisio, Lugano/Viganello, Bellinzona, Locarno, </w:t>
      </w:r>
      <w:proofErr w:type="spellStart"/>
      <w:r w:rsidRPr="001E1C7E">
        <w:rPr>
          <w:rFonts w:cs="Arial"/>
        </w:rPr>
        <w:t>Biasca</w:t>
      </w:r>
      <w:proofErr w:type="spellEnd"/>
    </w:p>
    <w:p w:rsidR="00B91D22" w:rsidRPr="001E1C7E" w:rsidRDefault="00B91D22" w:rsidP="001417AA">
      <w:pPr>
        <w:numPr>
          <w:ilvl w:val="0"/>
          <w:numId w:val="12"/>
        </w:numPr>
        <w:spacing w:before="120" w:after="120"/>
        <w:ind w:left="284" w:hanging="284"/>
        <w:rPr>
          <w:rFonts w:cs="Arial"/>
        </w:rPr>
      </w:pPr>
      <w:r w:rsidRPr="001E1C7E">
        <w:rPr>
          <w:rFonts w:cs="Arial"/>
        </w:rPr>
        <w:t>Centri diurni (CD) a Mendrisio, Lugano/Viganello, Bellinzona e Locarno</w:t>
      </w:r>
    </w:p>
    <w:p w:rsidR="00B91D22" w:rsidRPr="001E1C7E" w:rsidRDefault="00B91D22" w:rsidP="001417AA">
      <w:pPr>
        <w:numPr>
          <w:ilvl w:val="0"/>
          <w:numId w:val="12"/>
        </w:numPr>
        <w:spacing w:before="120" w:after="120"/>
        <w:ind w:left="284" w:hanging="284"/>
        <w:rPr>
          <w:rFonts w:cs="Arial"/>
        </w:rPr>
      </w:pPr>
      <w:r w:rsidRPr="001E1C7E">
        <w:rPr>
          <w:rFonts w:cs="Arial"/>
        </w:rPr>
        <w:t>Servizio di psichiatria e di psicologia medica (SPPM) a Lugano/</w:t>
      </w:r>
      <w:proofErr w:type="spellStart"/>
      <w:r w:rsidRPr="001E1C7E">
        <w:rPr>
          <w:rFonts w:cs="Arial"/>
        </w:rPr>
        <w:t>Savosa</w:t>
      </w:r>
      <w:proofErr w:type="spellEnd"/>
    </w:p>
    <w:p w:rsidR="00B91D22" w:rsidRPr="001E1C7E" w:rsidRDefault="00B91D22" w:rsidP="001417AA">
      <w:pPr>
        <w:numPr>
          <w:ilvl w:val="0"/>
          <w:numId w:val="12"/>
        </w:numPr>
        <w:spacing w:before="120" w:after="120"/>
        <w:ind w:left="284" w:hanging="284"/>
        <w:rPr>
          <w:rFonts w:cs="Arial"/>
        </w:rPr>
      </w:pPr>
      <w:r w:rsidRPr="001E1C7E">
        <w:rPr>
          <w:rFonts w:cs="Arial"/>
        </w:rPr>
        <w:t xml:space="preserve">Servizi medico-psicologici (SMP) a </w:t>
      </w:r>
      <w:proofErr w:type="spellStart"/>
      <w:r w:rsidRPr="001E1C7E">
        <w:rPr>
          <w:rFonts w:cs="Arial"/>
        </w:rPr>
        <w:t>Coldrerio</w:t>
      </w:r>
      <w:proofErr w:type="spellEnd"/>
      <w:r w:rsidRPr="001E1C7E">
        <w:rPr>
          <w:rFonts w:cs="Arial"/>
        </w:rPr>
        <w:t xml:space="preserve">, Lugano/Viganello, Bellinzona, Locarno, </w:t>
      </w:r>
      <w:proofErr w:type="spellStart"/>
      <w:r w:rsidRPr="001E1C7E">
        <w:rPr>
          <w:rFonts w:cs="Arial"/>
        </w:rPr>
        <w:t>Biasca</w:t>
      </w:r>
      <w:proofErr w:type="spellEnd"/>
    </w:p>
    <w:p w:rsidR="00B91D22" w:rsidRPr="001E1C7E" w:rsidRDefault="00B91D22" w:rsidP="00F5531A">
      <w:pPr>
        <w:numPr>
          <w:ilvl w:val="0"/>
          <w:numId w:val="12"/>
        </w:numPr>
        <w:spacing w:before="120"/>
        <w:ind w:left="284" w:hanging="284"/>
        <w:rPr>
          <w:rFonts w:cs="Arial"/>
        </w:rPr>
      </w:pPr>
      <w:r w:rsidRPr="001E1C7E">
        <w:rPr>
          <w:rFonts w:cs="Arial"/>
        </w:rPr>
        <w:t xml:space="preserve">Centri </w:t>
      </w:r>
      <w:proofErr w:type="spellStart"/>
      <w:r w:rsidRPr="001E1C7E">
        <w:rPr>
          <w:rFonts w:cs="Arial"/>
        </w:rPr>
        <w:t>psico</w:t>
      </w:r>
      <w:proofErr w:type="spellEnd"/>
      <w:r w:rsidRPr="001E1C7E">
        <w:rPr>
          <w:rFonts w:cs="Arial"/>
        </w:rPr>
        <w:t xml:space="preserve">-educativi (CPE) a </w:t>
      </w:r>
      <w:proofErr w:type="spellStart"/>
      <w:r w:rsidRPr="001E1C7E">
        <w:rPr>
          <w:rFonts w:cs="Arial"/>
        </w:rPr>
        <w:t>Stabio</w:t>
      </w:r>
      <w:proofErr w:type="spellEnd"/>
      <w:r w:rsidRPr="001E1C7E">
        <w:rPr>
          <w:rFonts w:cs="Arial"/>
        </w:rPr>
        <w:t xml:space="preserve">, Lugano e </w:t>
      </w:r>
      <w:proofErr w:type="spellStart"/>
      <w:r w:rsidRPr="001E1C7E">
        <w:rPr>
          <w:rFonts w:cs="Arial"/>
        </w:rPr>
        <w:t>Gerra</w:t>
      </w:r>
      <w:proofErr w:type="spellEnd"/>
      <w:r w:rsidRPr="001E1C7E">
        <w:rPr>
          <w:rFonts w:cs="Arial"/>
        </w:rPr>
        <w:t xml:space="preserve"> Piano</w:t>
      </w:r>
    </w:p>
    <w:p w:rsidR="00B91D22" w:rsidRPr="006C54BF" w:rsidRDefault="00B91D22" w:rsidP="00B91D22">
      <w:pPr>
        <w:ind w:left="284" w:hanging="284"/>
        <w:rPr>
          <w:rFonts w:cs="Arial"/>
          <w:szCs w:val="24"/>
        </w:rPr>
      </w:pPr>
    </w:p>
    <w:p w:rsidR="00B91D22" w:rsidRDefault="00B91D22" w:rsidP="00B91D22">
      <w:pPr>
        <w:rPr>
          <w:rFonts w:cs="Arial"/>
        </w:rPr>
      </w:pPr>
      <w:r w:rsidRPr="001E1C7E">
        <w:rPr>
          <w:rFonts w:cs="Arial"/>
        </w:rPr>
        <w:t>I Servizi sopra elencati</w:t>
      </w:r>
      <w:r>
        <w:rPr>
          <w:rFonts w:cs="Arial"/>
        </w:rPr>
        <w:t xml:space="preserve">, suddivisi in due settori (Sopra e </w:t>
      </w:r>
      <w:proofErr w:type="spellStart"/>
      <w:r>
        <w:rPr>
          <w:rFonts w:cs="Arial"/>
        </w:rPr>
        <w:t>Sottoceneri</w:t>
      </w:r>
      <w:proofErr w:type="spellEnd"/>
      <w:r>
        <w:rPr>
          <w:rFonts w:cs="Arial"/>
        </w:rPr>
        <w:t xml:space="preserve">) </w:t>
      </w:r>
      <w:r w:rsidRPr="001E1C7E">
        <w:rPr>
          <w:rFonts w:cs="Arial"/>
        </w:rPr>
        <w:t>sono situati in 1</w:t>
      </w:r>
      <w:r>
        <w:rPr>
          <w:rFonts w:cs="Arial"/>
        </w:rPr>
        <w:t>7</w:t>
      </w:r>
      <w:r w:rsidRPr="001E1C7E">
        <w:rPr>
          <w:rFonts w:cs="Arial"/>
        </w:rPr>
        <w:t xml:space="preserve"> sedi </w:t>
      </w:r>
      <w:r>
        <w:rPr>
          <w:rFonts w:cs="Arial"/>
        </w:rPr>
        <w:t>d</w:t>
      </w:r>
      <w:r w:rsidRPr="001E1C7E">
        <w:rPr>
          <w:rFonts w:cs="Arial"/>
        </w:rPr>
        <w:t>istribuit</w:t>
      </w:r>
      <w:r>
        <w:rPr>
          <w:rFonts w:cs="Arial"/>
        </w:rPr>
        <w:t>e</w:t>
      </w:r>
      <w:r w:rsidRPr="001E1C7E">
        <w:rPr>
          <w:rFonts w:cs="Arial"/>
        </w:rPr>
        <w:t xml:space="preserve"> sul territorio cantonale</w:t>
      </w:r>
      <w:r>
        <w:rPr>
          <w:rFonts w:cs="Arial"/>
        </w:rPr>
        <w:t xml:space="preserve"> </w:t>
      </w:r>
      <w:r w:rsidRPr="00EC6BD1">
        <w:rPr>
          <w:rFonts w:cs="Arial"/>
        </w:rPr>
        <w:t>come previsto dalla Legge sull’assistenza sociopsichiatrica (LASP).</w:t>
      </w:r>
    </w:p>
    <w:p w:rsidR="006C54BF" w:rsidRPr="001E1C7E" w:rsidRDefault="006C54BF" w:rsidP="00B91D22">
      <w:pPr>
        <w:rPr>
          <w:rFonts w:cs="Arial"/>
        </w:rPr>
      </w:pPr>
    </w:p>
    <w:p w:rsidR="00B91D22" w:rsidRDefault="00B91D22" w:rsidP="001417AA">
      <w:pPr>
        <w:spacing w:after="120"/>
        <w:rPr>
          <w:rFonts w:cs="Arial"/>
        </w:rPr>
      </w:pPr>
      <w:r>
        <w:rPr>
          <w:rFonts w:cs="Arial"/>
        </w:rPr>
        <w:t>A</w:t>
      </w:r>
      <w:r w:rsidRPr="001E1C7E">
        <w:rPr>
          <w:rFonts w:cs="Arial"/>
        </w:rPr>
        <w:t xml:space="preserve"> seguito della Pianificazione sociopsichiatrica cantonale 2015-2018, sono </w:t>
      </w:r>
      <w:r>
        <w:rPr>
          <w:rFonts w:cs="Arial"/>
        </w:rPr>
        <w:t xml:space="preserve">poi </w:t>
      </w:r>
      <w:r w:rsidRPr="001E1C7E">
        <w:rPr>
          <w:rFonts w:cs="Arial"/>
        </w:rPr>
        <w:t>stati istituiti in particolare i progetti</w:t>
      </w:r>
      <w:r>
        <w:rPr>
          <w:rFonts w:cs="Arial"/>
        </w:rPr>
        <w:t xml:space="preserve"> seguenti</w:t>
      </w:r>
      <w:r w:rsidRPr="001E1C7E">
        <w:rPr>
          <w:rFonts w:cs="Arial"/>
        </w:rPr>
        <w:t>:</w:t>
      </w:r>
    </w:p>
    <w:p w:rsidR="00B91D22" w:rsidRPr="001E1C7E" w:rsidRDefault="00B91D22" w:rsidP="001417AA">
      <w:pPr>
        <w:numPr>
          <w:ilvl w:val="0"/>
          <w:numId w:val="12"/>
        </w:numPr>
        <w:spacing w:before="120"/>
        <w:ind w:left="284" w:hanging="284"/>
        <w:rPr>
          <w:rFonts w:cs="Arial"/>
        </w:rPr>
      </w:pPr>
      <w:r w:rsidRPr="00942CA3">
        <w:rPr>
          <w:rFonts w:cs="Arial"/>
        </w:rPr>
        <w:lastRenderedPageBreak/>
        <w:t>Servizio di psichiatria geriatrica territoriale (SPG)</w:t>
      </w:r>
    </w:p>
    <w:p w:rsidR="00B91D22" w:rsidRPr="001E1C7E" w:rsidRDefault="00B91D22" w:rsidP="001417AA">
      <w:pPr>
        <w:numPr>
          <w:ilvl w:val="0"/>
          <w:numId w:val="12"/>
        </w:numPr>
        <w:spacing w:before="120"/>
        <w:ind w:left="284" w:hanging="284"/>
        <w:rPr>
          <w:rFonts w:cs="Arial"/>
        </w:rPr>
      </w:pPr>
      <w:r w:rsidRPr="001E1C7E">
        <w:rPr>
          <w:rFonts w:cs="Arial"/>
        </w:rPr>
        <w:t>Equipe Progetti complessi</w:t>
      </w:r>
    </w:p>
    <w:p w:rsidR="00B91D22" w:rsidRPr="001E1C7E" w:rsidRDefault="00B91D22" w:rsidP="001417AA">
      <w:pPr>
        <w:numPr>
          <w:ilvl w:val="0"/>
          <w:numId w:val="12"/>
        </w:numPr>
        <w:spacing w:before="120"/>
        <w:ind w:left="284" w:hanging="284"/>
        <w:rPr>
          <w:rFonts w:cs="Arial"/>
        </w:rPr>
      </w:pPr>
      <w:r w:rsidRPr="001E1C7E">
        <w:rPr>
          <w:rFonts w:cs="Arial"/>
        </w:rPr>
        <w:t>Equipe terapeutica Unità di sviluppo (UNIS)</w:t>
      </w:r>
    </w:p>
    <w:p w:rsidR="001417AA" w:rsidRDefault="001417AA" w:rsidP="00B91D22">
      <w:pPr>
        <w:rPr>
          <w:rFonts w:cs="Arial"/>
        </w:rPr>
      </w:pPr>
    </w:p>
    <w:p w:rsidR="00B91D22" w:rsidRDefault="00B91D22" w:rsidP="00B91D22">
      <w:pPr>
        <w:rPr>
          <w:rFonts w:cs="Arial"/>
        </w:rPr>
      </w:pPr>
      <w:r w:rsidRPr="001E1C7E">
        <w:rPr>
          <w:rFonts w:cs="Arial"/>
        </w:rPr>
        <w:t xml:space="preserve">Infine, in seno alla CPC, vi </w:t>
      </w:r>
      <w:r>
        <w:rPr>
          <w:rFonts w:cs="Arial"/>
        </w:rPr>
        <w:t xml:space="preserve">sono: </w:t>
      </w:r>
    </w:p>
    <w:p w:rsidR="00B91D22" w:rsidRDefault="00B91D22" w:rsidP="001417AA">
      <w:pPr>
        <w:pStyle w:val="Paragrafoelenco"/>
        <w:numPr>
          <w:ilvl w:val="0"/>
          <w:numId w:val="12"/>
        </w:numPr>
        <w:spacing w:before="120" w:after="120"/>
        <w:ind w:left="284" w:hanging="284"/>
        <w:rPr>
          <w:rFonts w:cs="Arial"/>
        </w:rPr>
      </w:pPr>
      <w:r w:rsidRPr="000708B2">
        <w:rPr>
          <w:rFonts w:cs="Arial"/>
        </w:rPr>
        <w:t>un reparto specializzato per la cura dei disturbi del comportamento alimentare (DCA) con sede presso l’Ospedale della Beata Vergine (OBV) a Mendrisio e</w:t>
      </w:r>
    </w:p>
    <w:p w:rsidR="00B91D22" w:rsidRPr="000708B2" w:rsidRDefault="00B91D22" w:rsidP="001417AA">
      <w:pPr>
        <w:pStyle w:val="Paragrafoelenco"/>
        <w:numPr>
          <w:ilvl w:val="0"/>
          <w:numId w:val="12"/>
        </w:numPr>
        <w:spacing w:before="120" w:after="120"/>
        <w:ind w:left="284" w:hanging="284"/>
        <w:rPr>
          <w:rFonts w:cs="Arial"/>
        </w:rPr>
      </w:pPr>
      <w:r>
        <w:rPr>
          <w:rFonts w:cs="Arial"/>
        </w:rPr>
        <w:t>un</w:t>
      </w:r>
      <w:r w:rsidRPr="000708B2">
        <w:rPr>
          <w:rFonts w:cs="Arial"/>
        </w:rPr>
        <w:t xml:space="preserve"> progetto pilota Home treatment (HT) per la presa a carico a domicilio di pazienti adulti in fase acuta c</w:t>
      </w:r>
      <w:r>
        <w:rPr>
          <w:rFonts w:cs="Arial"/>
        </w:rPr>
        <w:t>on</w:t>
      </w:r>
      <w:r w:rsidRPr="000708B2">
        <w:rPr>
          <w:rFonts w:cs="Arial"/>
        </w:rPr>
        <w:t xml:space="preserve"> sede a Bellinzona.</w:t>
      </w:r>
    </w:p>
    <w:p w:rsidR="00B91D22" w:rsidRPr="001E1C7E" w:rsidRDefault="00B91D22" w:rsidP="00B91D22">
      <w:pPr>
        <w:rPr>
          <w:rFonts w:cs="Arial"/>
        </w:rPr>
      </w:pPr>
      <w:r w:rsidRPr="001E1C7E">
        <w:rPr>
          <w:rFonts w:cs="Arial"/>
        </w:rPr>
        <w:t>In totale quindi le sedi dei Servizi OSC sono 19.</w:t>
      </w:r>
    </w:p>
    <w:p w:rsidR="00DD7977" w:rsidRPr="001E1C7E" w:rsidRDefault="00DD7977" w:rsidP="00B91D22">
      <w:pPr>
        <w:rPr>
          <w:rFonts w:cs="Arial"/>
        </w:rPr>
      </w:pPr>
    </w:p>
    <w:p w:rsidR="00F5531A" w:rsidRPr="00F5531A" w:rsidRDefault="00B91D22" w:rsidP="00F5531A">
      <w:pPr>
        <w:spacing w:before="120" w:after="60"/>
        <w:ind w:left="709" w:hanging="709"/>
        <w:rPr>
          <w:rFonts w:cs="Arial"/>
          <w:i/>
        </w:rPr>
      </w:pPr>
      <w:r w:rsidRPr="00F5531A">
        <w:rPr>
          <w:rFonts w:cs="Arial"/>
          <w:b/>
          <w:bCs/>
          <w:i/>
        </w:rPr>
        <w:t>2.1.2</w:t>
      </w:r>
      <w:r w:rsidRPr="00F5531A">
        <w:rPr>
          <w:rFonts w:cs="Arial"/>
          <w:i/>
        </w:rPr>
        <w:t xml:space="preserve"> </w:t>
      </w:r>
    </w:p>
    <w:p w:rsidR="00B91D22" w:rsidRDefault="00B91D22" w:rsidP="00B91D22">
      <w:pPr>
        <w:rPr>
          <w:rFonts w:cs="Arial"/>
        </w:rPr>
      </w:pPr>
      <w:r>
        <w:rPr>
          <w:rFonts w:cs="Arial"/>
        </w:rPr>
        <w:t>L</w:t>
      </w:r>
      <w:r w:rsidRPr="001E1C7E">
        <w:rPr>
          <w:rFonts w:cs="Arial"/>
        </w:rPr>
        <w:t>’OSC è parte integrante dell’Amministrazione cantonale che dispone di un proprio sistema di controllo presenze/assenze del personale</w:t>
      </w:r>
      <w:r>
        <w:rPr>
          <w:rFonts w:cs="Arial"/>
        </w:rPr>
        <w:t>. I</w:t>
      </w:r>
      <w:r w:rsidRPr="001E1C7E">
        <w:rPr>
          <w:rFonts w:cs="Arial"/>
        </w:rPr>
        <w:t xml:space="preserve">l Consiglio di Stato ritiene </w:t>
      </w:r>
      <w:r>
        <w:rPr>
          <w:rFonts w:cs="Arial"/>
        </w:rPr>
        <w:t>semmai che l</w:t>
      </w:r>
      <w:r w:rsidRPr="001E1C7E">
        <w:rPr>
          <w:rFonts w:cs="Arial"/>
        </w:rPr>
        <w:t xml:space="preserve">a timbratura </w:t>
      </w:r>
      <w:r>
        <w:rPr>
          <w:rFonts w:cs="Arial"/>
        </w:rPr>
        <w:t xml:space="preserve">per </w:t>
      </w:r>
      <w:r w:rsidRPr="001E1C7E">
        <w:rPr>
          <w:rFonts w:cs="Arial"/>
        </w:rPr>
        <w:t xml:space="preserve">il personale dell’OSC </w:t>
      </w:r>
      <w:r>
        <w:rPr>
          <w:rFonts w:cs="Arial"/>
        </w:rPr>
        <w:t>avvenga col</w:t>
      </w:r>
      <w:r w:rsidRPr="001E1C7E">
        <w:rPr>
          <w:rFonts w:cs="Arial"/>
        </w:rPr>
        <w:t xml:space="preserve"> sistema adottato dal Cantone piuttosto che</w:t>
      </w:r>
      <w:r>
        <w:rPr>
          <w:rFonts w:cs="Arial"/>
        </w:rPr>
        <w:t xml:space="preserve"> </w:t>
      </w:r>
      <w:r w:rsidRPr="001E1C7E">
        <w:rPr>
          <w:rFonts w:cs="Arial"/>
        </w:rPr>
        <w:t xml:space="preserve">quello dell’EOC. </w:t>
      </w:r>
      <w:r>
        <w:rPr>
          <w:rFonts w:cs="Arial"/>
        </w:rPr>
        <w:t>Ciò per ragioni di costo (progetti già avviati come da cap</w:t>
      </w:r>
      <w:r w:rsidR="00F5531A">
        <w:rPr>
          <w:rFonts w:cs="Arial"/>
        </w:rPr>
        <w:t>.</w:t>
      </w:r>
      <w:r>
        <w:rPr>
          <w:rFonts w:cs="Arial"/>
        </w:rPr>
        <w:t xml:space="preserve"> 2.3).</w:t>
      </w:r>
    </w:p>
    <w:p w:rsidR="006C54BF" w:rsidRDefault="006C54BF" w:rsidP="00B91D22">
      <w:pPr>
        <w:rPr>
          <w:rFonts w:cs="Arial"/>
        </w:rPr>
      </w:pPr>
    </w:p>
    <w:p w:rsidR="00B91D22" w:rsidRDefault="00B91D22" w:rsidP="00B91D22">
      <w:pPr>
        <w:rPr>
          <w:rFonts w:cs="Arial"/>
        </w:rPr>
      </w:pPr>
      <w:r w:rsidRPr="001E1C7E">
        <w:rPr>
          <w:rFonts w:cs="Arial"/>
        </w:rPr>
        <w:t xml:space="preserve">In alcune sedi dell’OSC sul territorio è già prevista la timbratura che coinvolge potenziali 152 collaboratori che però nel tempo in parte sono stati esonerati da questo obbligo a causa dei problemi legati alla registrazione delle presenze irregolari nelle sedi visto che l’attività si svolge spesso sul territorio ed al di fuori degli usuali orari amministrativi. </w:t>
      </w:r>
      <w:r>
        <w:rPr>
          <w:rFonts w:cs="Arial"/>
        </w:rPr>
        <w:t xml:space="preserve">Nel 2017 (data del </w:t>
      </w:r>
      <w:r w:rsidR="00F5531A">
        <w:rPr>
          <w:rFonts w:cs="Arial"/>
        </w:rPr>
        <w:t>m</w:t>
      </w:r>
      <w:r>
        <w:rPr>
          <w:rFonts w:cs="Arial"/>
        </w:rPr>
        <w:t>essaggio)</w:t>
      </w:r>
      <w:r w:rsidRPr="001E1C7E">
        <w:rPr>
          <w:rFonts w:cs="Arial"/>
        </w:rPr>
        <w:t xml:space="preserve"> 53 persone </w:t>
      </w:r>
      <w:r>
        <w:rPr>
          <w:rFonts w:cs="Arial"/>
        </w:rPr>
        <w:t>utilizzavano</w:t>
      </w:r>
      <w:r w:rsidRPr="001E1C7E">
        <w:rPr>
          <w:rFonts w:cs="Arial"/>
        </w:rPr>
        <w:t xml:space="preserve"> la timbratura per registrare le presenze/assenze</w:t>
      </w:r>
      <w:r>
        <w:rPr>
          <w:rFonts w:cs="Arial"/>
        </w:rPr>
        <w:t>.</w:t>
      </w:r>
    </w:p>
    <w:p w:rsidR="006C54BF" w:rsidRPr="0035527B" w:rsidRDefault="006C54BF" w:rsidP="00B91D22">
      <w:pPr>
        <w:rPr>
          <w:rFonts w:cs="Arial"/>
        </w:rPr>
      </w:pPr>
    </w:p>
    <w:p w:rsidR="00B91D22" w:rsidRPr="001E1C7E" w:rsidRDefault="00B91D22" w:rsidP="00B91D22">
      <w:pPr>
        <w:rPr>
          <w:rFonts w:cs="Arial"/>
        </w:rPr>
      </w:pPr>
      <w:r>
        <w:rPr>
          <w:rFonts w:cs="Arial"/>
        </w:rPr>
        <w:t>L</w:t>
      </w:r>
      <w:r w:rsidRPr="001E1C7E">
        <w:rPr>
          <w:rFonts w:cs="Arial"/>
        </w:rPr>
        <w:t>’introduzione della timbratura nell’Amministrazione cantonale è stata adottata, oltre che per il controllo delle presenze/assenze</w:t>
      </w:r>
      <w:r>
        <w:rPr>
          <w:rFonts w:cs="Arial"/>
        </w:rPr>
        <w:t xml:space="preserve"> e la riduzione del carico amministrativo legato alla gestione manuale</w:t>
      </w:r>
      <w:r w:rsidRPr="001E1C7E">
        <w:rPr>
          <w:rFonts w:cs="Arial"/>
        </w:rPr>
        <w:t>, anche per garantire ampia flessibilità degli orari di lavoro</w:t>
      </w:r>
      <w:r>
        <w:rPr>
          <w:rFonts w:cs="Arial"/>
        </w:rPr>
        <w:t xml:space="preserve"> per una nutrita serie di funzioni. I</w:t>
      </w:r>
      <w:r w:rsidRPr="001E1C7E">
        <w:rPr>
          <w:rFonts w:cs="Arial"/>
        </w:rPr>
        <w:t>l personale impiegato a turni</w:t>
      </w:r>
      <w:r>
        <w:rPr>
          <w:rFonts w:cs="Arial"/>
        </w:rPr>
        <w:t xml:space="preserve"> non può però beneficiare di questa opportunità</w:t>
      </w:r>
      <w:r w:rsidRPr="001E1C7E">
        <w:rPr>
          <w:rFonts w:cs="Arial"/>
        </w:rPr>
        <w:t>.</w:t>
      </w:r>
    </w:p>
    <w:p w:rsidR="00B91D22" w:rsidRDefault="00B91D22" w:rsidP="00B91D22">
      <w:pPr>
        <w:rPr>
          <w:rFonts w:cs="Arial"/>
        </w:rPr>
      </w:pPr>
    </w:p>
    <w:p w:rsidR="00DD7977" w:rsidRDefault="00DD7977" w:rsidP="00B91D22">
      <w:pPr>
        <w:rPr>
          <w:rFonts w:cs="Arial"/>
        </w:rPr>
      </w:pPr>
    </w:p>
    <w:p w:rsidR="00B91D22" w:rsidRPr="0035527B" w:rsidRDefault="00B91D22" w:rsidP="00B91D22">
      <w:pPr>
        <w:keepNext/>
        <w:tabs>
          <w:tab w:val="left" w:pos="567"/>
        </w:tabs>
        <w:spacing w:after="120"/>
        <w:outlineLvl w:val="0"/>
        <w:rPr>
          <w:rFonts w:cs="Arial"/>
          <w:b/>
          <w:caps/>
        </w:rPr>
      </w:pPr>
      <w:r>
        <w:rPr>
          <w:rFonts w:cs="Arial"/>
          <w:b/>
          <w:caps/>
        </w:rPr>
        <w:t>2.2.</w:t>
      </w:r>
      <w:r w:rsidRPr="0035527B">
        <w:rPr>
          <w:rFonts w:cs="Arial"/>
          <w:b/>
          <w:caps/>
        </w:rPr>
        <w:tab/>
      </w:r>
      <w:r>
        <w:rPr>
          <w:rFonts w:cs="Arial"/>
          <w:b/>
          <w:caps/>
        </w:rPr>
        <w:t xml:space="preserve"> </w:t>
      </w:r>
      <w:r w:rsidRPr="00DD7977">
        <w:rPr>
          <w:rStyle w:val="Titolo2Carattere"/>
        </w:rPr>
        <w:t>Compiti di controllo dei funzionari dirigenti</w:t>
      </w:r>
    </w:p>
    <w:p w:rsidR="00B91D22" w:rsidRPr="001E1C7E" w:rsidRDefault="00B91D22" w:rsidP="00B91D22">
      <w:pPr>
        <w:rPr>
          <w:rFonts w:cs="Arial"/>
        </w:rPr>
      </w:pPr>
      <w:r w:rsidRPr="001E1C7E">
        <w:rPr>
          <w:rFonts w:cs="Arial"/>
        </w:rPr>
        <w:t>La verifica del lavoro svolto dai propri collaboratori è parte integrante dei compiti attribuiti ai responsabili dei Servizi</w:t>
      </w:r>
      <w:r>
        <w:rPr>
          <w:rFonts w:cs="Arial"/>
        </w:rPr>
        <w:t>. L</w:t>
      </w:r>
      <w:r w:rsidRPr="001E1C7E">
        <w:rPr>
          <w:rFonts w:cs="Arial"/>
        </w:rPr>
        <w:t>a registrazione elettronica è solo uno strumento che nulla toglie al dovere di controllo che ogni dirigente, ad ogni livello gerarchico, deve mettere in atto. Questo controllo esiste all’OSC come pure in altri Servizi dello Stato che non sono sottoposti alla timbratura</w:t>
      </w:r>
      <w:r>
        <w:rPr>
          <w:rFonts w:cs="Arial"/>
        </w:rPr>
        <w:t xml:space="preserve"> (cfr. </w:t>
      </w:r>
      <w:r w:rsidRPr="001E1C7E">
        <w:rPr>
          <w:rFonts w:cs="Arial"/>
        </w:rPr>
        <w:t>Servizi del Dipartimento del territorio o la Polizia</w:t>
      </w:r>
      <w:r>
        <w:rPr>
          <w:rFonts w:cs="Arial"/>
        </w:rPr>
        <w:t>).</w:t>
      </w:r>
    </w:p>
    <w:p w:rsidR="00B91D22" w:rsidRDefault="00B91D22" w:rsidP="00B91D22">
      <w:pPr>
        <w:rPr>
          <w:rFonts w:cs="Arial"/>
        </w:rPr>
      </w:pPr>
    </w:p>
    <w:p w:rsidR="00B91D22" w:rsidRPr="001E1C7E" w:rsidRDefault="00B91D22" w:rsidP="00B91D22">
      <w:pPr>
        <w:rPr>
          <w:rFonts w:cs="Arial"/>
        </w:rPr>
      </w:pPr>
    </w:p>
    <w:p w:rsidR="00B91D22" w:rsidRDefault="00B91D22" w:rsidP="00B91D22">
      <w:pPr>
        <w:keepNext/>
        <w:tabs>
          <w:tab w:val="left" w:pos="567"/>
        </w:tabs>
        <w:spacing w:after="120"/>
        <w:ind w:left="567" w:hanging="567"/>
        <w:outlineLvl w:val="0"/>
        <w:rPr>
          <w:rFonts w:cs="Arial"/>
          <w:b/>
          <w:caps/>
        </w:rPr>
      </w:pPr>
      <w:r>
        <w:rPr>
          <w:rFonts w:cs="Arial"/>
          <w:b/>
          <w:caps/>
        </w:rPr>
        <w:t>2.3</w:t>
      </w:r>
      <w:r w:rsidRPr="0035527B">
        <w:rPr>
          <w:rFonts w:cs="Arial"/>
          <w:b/>
          <w:caps/>
        </w:rPr>
        <w:t>.</w:t>
      </w:r>
      <w:r>
        <w:rPr>
          <w:rFonts w:cs="Arial"/>
          <w:b/>
          <w:caps/>
        </w:rPr>
        <w:tab/>
      </w:r>
      <w:r w:rsidRPr="00DD7977">
        <w:rPr>
          <w:rStyle w:val="Titolo2Carattere"/>
        </w:rPr>
        <w:t>Progetti in corso</w:t>
      </w:r>
    </w:p>
    <w:p w:rsidR="00B91D22" w:rsidRPr="001E1C7E" w:rsidRDefault="00B91D22" w:rsidP="00B91D22">
      <w:pPr>
        <w:rPr>
          <w:rFonts w:cs="Arial"/>
        </w:rPr>
      </w:pPr>
      <w:r w:rsidRPr="001E1C7E">
        <w:rPr>
          <w:rFonts w:cs="Arial"/>
        </w:rPr>
        <w:t xml:space="preserve">All’OSC da tempo si lavora per una gestione elettronica dei turni di lavoro. Dopo un primo progetto che non è andato a buon fine si è optato nel 2015 per un nuovo prodotto che ha fornito risultati soddisfacenti. Lo stesso prodotto è stato adottato pure dalla Polizia. Si è iniziato con la parametrizzazione ed i test sulla </w:t>
      </w:r>
      <w:proofErr w:type="spellStart"/>
      <w:r w:rsidRPr="001E1C7E">
        <w:rPr>
          <w:rFonts w:cs="Arial"/>
        </w:rPr>
        <w:t>turnistica</w:t>
      </w:r>
      <w:proofErr w:type="spellEnd"/>
      <w:r w:rsidRPr="001E1C7E">
        <w:rPr>
          <w:rFonts w:cs="Arial"/>
        </w:rPr>
        <w:t xml:space="preserve"> del personale del Servizio delle cure OSC che attualmente utilizza questo strumento per la gestione dei turni. Si </w:t>
      </w:r>
      <w:r>
        <w:rPr>
          <w:rFonts w:cs="Arial"/>
        </w:rPr>
        <w:t xml:space="preserve">è </w:t>
      </w:r>
      <w:r w:rsidRPr="001E1C7E">
        <w:rPr>
          <w:rFonts w:cs="Arial"/>
        </w:rPr>
        <w:t>prev</w:t>
      </w:r>
      <w:r>
        <w:rPr>
          <w:rFonts w:cs="Arial"/>
        </w:rPr>
        <w:t>isto</w:t>
      </w:r>
      <w:r w:rsidRPr="001E1C7E">
        <w:rPr>
          <w:rFonts w:cs="Arial"/>
        </w:rPr>
        <w:t xml:space="preserve"> di estendere l’utilizzo di questo programma anche al personale dei servizi generali OSC (Servizi alberghiero, ristorazione ed economato, logistica e sicurezza) e successivamente al personale del CARL. Vista la varietà dei turni con cui opera il personale e le differenze esistenti fra i turni del Servizio delle cure e quelli dei Servizi che verranno implicati in futuro, </w:t>
      </w:r>
      <w:r w:rsidRPr="001E1C7E">
        <w:rPr>
          <w:rFonts w:cs="Arial"/>
        </w:rPr>
        <w:lastRenderedPageBreak/>
        <w:t xml:space="preserve">è presumibile che bisognerà impiegare ancora parecchio tempo prima che </w:t>
      </w:r>
      <w:r>
        <w:rPr>
          <w:rFonts w:cs="Arial"/>
        </w:rPr>
        <w:t xml:space="preserve">sia completata </w:t>
      </w:r>
      <w:r w:rsidRPr="001E1C7E">
        <w:rPr>
          <w:rFonts w:cs="Arial"/>
        </w:rPr>
        <w:t xml:space="preserve">la gestione delle presenze e delle assenze di tutti i Servizi dell’OSC che operano con personale a turni </w:t>
      </w:r>
      <w:r>
        <w:rPr>
          <w:rFonts w:cs="Arial"/>
        </w:rPr>
        <w:t xml:space="preserve">secondo </w:t>
      </w:r>
      <w:r w:rsidRPr="001E1C7E">
        <w:rPr>
          <w:rFonts w:cs="Arial"/>
        </w:rPr>
        <w:t>il nuovo programma informatico.</w:t>
      </w:r>
    </w:p>
    <w:p w:rsidR="00B91D22" w:rsidRDefault="00B91D22" w:rsidP="00B91D22">
      <w:pPr>
        <w:rPr>
          <w:rFonts w:cs="Arial"/>
        </w:rPr>
      </w:pPr>
    </w:p>
    <w:p w:rsidR="00CB3EC2" w:rsidRPr="001A49D6" w:rsidRDefault="00CB3EC2" w:rsidP="00B91D22">
      <w:pPr>
        <w:rPr>
          <w:rFonts w:cs="Arial"/>
        </w:rPr>
      </w:pPr>
    </w:p>
    <w:p w:rsidR="00B91D22" w:rsidRPr="001A49D6" w:rsidRDefault="00B91D22" w:rsidP="00DD7977">
      <w:pPr>
        <w:pStyle w:val="Titolo2"/>
      </w:pPr>
      <w:r w:rsidRPr="001A49D6">
        <w:t>2.4.</w:t>
      </w:r>
      <w:r w:rsidRPr="001A49D6">
        <w:tab/>
        <w:t>Oneri di investimento e risorse supplementari per la gestione delle timbrature</w:t>
      </w:r>
    </w:p>
    <w:p w:rsidR="00B91D22" w:rsidRDefault="00B91D22" w:rsidP="00B91D22">
      <w:pPr>
        <w:rPr>
          <w:rFonts w:cs="Arial"/>
        </w:rPr>
      </w:pPr>
      <w:r w:rsidRPr="001A49D6">
        <w:rPr>
          <w:rFonts w:cs="Arial"/>
        </w:rPr>
        <w:t>Una volta introdotta la gestione informatica delle presenze e assenze per tutto il personale a turni, il Consiglio di Stato valuterà se estendere a tutto il personale dell’OSC l’obbligo di timbrare. Un fattore da considerare sono senz’altro anche i costi che una simile decisione implicherebbe. Infatti, a Mendrisio/</w:t>
      </w:r>
      <w:proofErr w:type="spellStart"/>
      <w:r w:rsidRPr="001A49D6">
        <w:rPr>
          <w:rFonts w:cs="Arial"/>
        </w:rPr>
        <w:t>Casvegno</w:t>
      </w:r>
      <w:proofErr w:type="spellEnd"/>
      <w:r w:rsidRPr="001A49D6">
        <w:rPr>
          <w:rFonts w:cs="Arial"/>
        </w:rPr>
        <w:t>, viste la superficie del Parco e le distanze fra gli accessi e le Case, per garantire che la registrazione dell’inizio e del termine dell’attività lavorativa avvenga sull’effettivo luogo di lavoro, sarebbe necessaria l’istallazione di almeno 13 apparecchi ed il relativo cablaggio. Questa è una previsione al ribasso, perché se si volesse adottare la stessa filosofia messa in atto dall’EOC, a Mendrisio/</w:t>
      </w:r>
      <w:proofErr w:type="spellStart"/>
      <w:r w:rsidRPr="001A49D6">
        <w:rPr>
          <w:rFonts w:cs="Arial"/>
        </w:rPr>
        <w:t>Casvegno</w:t>
      </w:r>
      <w:proofErr w:type="spellEnd"/>
      <w:r w:rsidRPr="001A49D6">
        <w:rPr>
          <w:rFonts w:cs="Arial"/>
        </w:rPr>
        <w:t xml:space="preserve"> le timbratrici necessarie potrebbero essere più di 20 che dovrebbero essere posizionate in luoghi protetti per scongiurare il rischio che l’utenza le possa danneggiare.</w:t>
      </w:r>
    </w:p>
    <w:p w:rsidR="00DD7977" w:rsidRPr="001A49D6" w:rsidRDefault="00DD7977" w:rsidP="00B91D22">
      <w:pPr>
        <w:rPr>
          <w:rFonts w:cs="Arial"/>
        </w:rPr>
      </w:pPr>
    </w:p>
    <w:p w:rsidR="00B91D22" w:rsidRDefault="00B91D22" w:rsidP="00B91D22">
      <w:pPr>
        <w:rPr>
          <w:rFonts w:cs="Arial"/>
        </w:rPr>
      </w:pPr>
      <w:r w:rsidRPr="001A49D6">
        <w:rPr>
          <w:rFonts w:cs="Arial"/>
        </w:rPr>
        <w:t>Altre 7 timbratrici sarebbero necessarie per i 3 CPE ed i 4 Centri diurni che attualmente non ne sono dotati.</w:t>
      </w:r>
    </w:p>
    <w:p w:rsidR="00DD7977" w:rsidRPr="001A49D6" w:rsidRDefault="00DD7977" w:rsidP="00B91D22">
      <w:pPr>
        <w:rPr>
          <w:rFonts w:cs="Arial"/>
        </w:rPr>
      </w:pPr>
    </w:p>
    <w:p w:rsidR="00B91D22" w:rsidRPr="001A49D6" w:rsidRDefault="00B91D22" w:rsidP="00B91D22">
      <w:pPr>
        <w:rPr>
          <w:rFonts w:cs="Arial"/>
        </w:rPr>
      </w:pPr>
      <w:r w:rsidRPr="001A49D6">
        <w:rPr>
          <w:rFonts w:cs="Arial"/>
        </w:rPr>
        <w:t>A questo costo iniziale, vanno aggiunte le spese per la gestione del sistema ma anche quelle delle risorse umane chiamate a controllare e a correggere le timbrature delle 500 unità a tempo pieno attribuite all’OSC per le quali è necessario prevedere almeno mezza unità di lavoro a tempo pieno supplementare che dovrebbe essere attribuita al Servizio amministrativo del personale OSC che oggi consta di 1.9 unità.</w:t>
      </w:r>
    </w:p>
    <w:p w:rsidR="00B91D22" w:rsidRPr="001A49D6" w:rsidRDefault="00B91D22" w:rsidP="00B91D22">
      <w:pPr>
        <w:rPr>
          <w:rFonts w:cs="Arial"/>
          <w:caps/>
        </w:rPr>
      </w:pPr>
    </w:p>
    <w:p w:rsidR="00B91D22" w:rsidRDefault="00B91D22" w:rsidP="00B91D22">
      <w:pPr>
        <w:rPr>
          <w:rFonts w:cs="Arial"/>
          <w:caps/>
        </w:rPr>
      </w:pPr>
    </w:p>
    <w:p w:rsidR="00DD7977" w:rsidRPr="001A49D6" w:rsidRDefault="00DD7977" w:rsidP="00B91D22">
      <w:pPr>
        <w:rPr>
          <w:rFonts w:cs="Arial"/>
          <w:caps/>
        </w:rPr>
      </w:pPr>
    </w:p>
    <w:p w:rsidR="00B91D22" w:rsidRPr="001A49D6" w:rsidRDefault="00B91D22" w:rsidP="00B91D22">
      <w:pPr>
        <w:keepNext/>
        <w:tabs>
          <w:tab w:val="left" w:pos="567"/>
        </w:tabs>
        <w:spacing w:after="120"/>
        <w:ind w:left="567" w:hanging="567"/>
        <w:outlineLvl w:val="0"/>
        <w:rPr>
          <w:rFonts w:cs="Arial"/>
          <w:b/>
          <w:caps/>
        </w:rPr>
      </w:pPr>
      <w:r w:rsidRPr="001A49D6">
        <w:rPr>
          <w:rFonts w:cs="Arial"/>
          <w:b/>
          <w:caps/>
        </w:rPr>
        <w:t>3.</w:t>
      </w:r>
      <w:r w:rsidRPr="001A49D6">
        <w:rPr>
          <w:rFonts w:cs="Arial"/>
          <w:b/>
          <w:caps/>
        </w:rPr>
        <w:tab/>
        <w:t>lavori commissionali e CONCLUSIONi</w:t>
      </w:r>
    </w:p>
    <w:p w:rsidR="00B91D22" w:rsidRPr="00DD7977" w:rsidRDefault="00B91D22" w:rsidP="00B91D22">
      <w:pPr>
        <w:rPr>
          <w:rFonts w:cs="Arial"/>
        </w:rPr>
      </w:pPr>
      <w:r w:rsidRPr="00DD7977">
        <w:rPr>
          <w:rFonts w:cs="Arial"/>
        </w:rPr>
        <w:t xml:space="preserve">Concordando con il Consiglio di Stato, questa Commissione è dell’avviso che le attuali modalità di gestione delle presenze e delle assenze, così come il nuovo programma informatico in fase di implementazione, soddisfino le necessità legate alla gestione del personale. Gestione che comunque va ad accertare la quantità di lavoro, mentre non vanno e non andranno dimenticate anche misure relative alla qualità del lavoro che viene svolto tanto in un luogo fisso, dislocato o come prevedibile in futuro tramite </w:t>
      </w:r>
      <w:proofErr w:type="spellStart"/>
      <w:r w:rsidRPr="00DD7977">
        <w:rPr>
          <w:rFonts w:cs="Arial"/>
        </w:rPr>
        <w:t>homework</w:t>
      </w:r>
      <w:proofErr w:type="spellEnd"/>
      <w:r w:rsidRPr="00DD7977">
        <w:rPr>
          <w:rFonts w:cs="Arial"/>
        </w:rPr>
        <w:t>.</w:t>
      </w:r>
    </w:p>
    <w:p w:rsidR="00B91D22" w:rsidRPr="00DD7977" w:rsidRDefault="00B91D22" w:rsidP="00B91D22">
      <w:pPr>
        <w:rPr>
          <w:rFonts w:cs="Arial"/>
        </w:rPr>
      </w:pPr>
    </w:p>
    <w:p w:rsidR="00B91D22" w:rsidRDefault="00B91D22" w:rsidP="00F5531A">
      <w:pPr>
        <w:spacing w:after="240"/>
        <w:rPr>
          <w:rFonts w:cs="Arial"/>
          <w:i/>
          <w:iCs/>
        </w:rPr>
      </w:pPr>
      <w:r>
        <w:rPr>
          <w:rFonts w:cs="Arial"/>
        </w:rPr>
        <w:t xml:space="preserve">La Commissione invita il Governo a implementare l’attuale sistema di controllo delle presenze e assenze secondo il programma informatico sviluppato per l’Amministrazione cantonale, estendendolo per quanto possibile e compatibile con la situazione logistica sopradescritta, e a dipendenza delle peculiarità delle attività svolte da determinate categorie di personale addetto. Laddove non sarà possibile un sistema di timbratura, la Commissione raccomanda che una registrazione manuale ed un controllo effettivo ed efficace da parte dei superiori avvenga alfine di garantire il rispetto degli oneri lavorativi, l’efficienza dei servizi, e l’applicazione di sanzioni in casi di abusi. Tenendo conto delle finanze cantonali e dei costi (risorse finanziarie e umane) che un sistema di timbratura completo del personale implicherebbe (cfr. cap. 2.4), la Commissione condivide quanto asserito dal Governo ovvero che </w:t>
      </w:r>
      <w:r w:rsidRPr="00671E75">
        <w:rPr>
          <w:rFonts w:cs="Arial"/>
          <w:i/>
          <w:iCs/>
        </w:rPr>
        <w:t>“la timbratura implicherebbe l’introduzione di regolamenti specifici per il personale a turni per garantire che non vi siano eccessivi accumuli di recuperi, oggi limitati a situazioni particolari e straordinarie”.</w:t>
      </w:r>
    </w:p>
    <w:p w:rsidR="00B91D22" w:rsidRPr="00DD7977" w:rsidRDefault="00B91D22" w:rsidP="00B91D22">
      <w:pPr>
        <w:rPr>
          <w:rFonts w:cs="Arial"/>
        </w:rPr>
      </w:pPr>
      <w:r w:rsidRPr="00DD7977">
        <w:rPr>
          <w:rFonts w:cs="Arial"/>
        </w:rPr>
        <w:lastRenderedPageBreak/>
        <w:t xml:space="preserve">Tutto ciò premesso, si invita l’Amministrazione e il Governo, tenuto conto dell’alto numero di dipendenti e del futuro incremento del lavoro da casa, ad affrontare una più approfondita valutazione di vari sistemi e programmi informatici esistenti anche sotto forma di </w:t>
      </w:r>
      <w:proofErr w:type="spellStart"/>
      <w:r w:rsidRPr="00DD7977">
        <w:rPr>
          <w:rFonts w:cs="Arial"/>
        </w:rPr>
        <w:t>App</w:t>
      </w:r>
      <w:proofErr w:type="spellEnd"/>
      <w:r w:rsidRPr="00DD7977">
        <w:rPr>
          <w:rFonts w:cs="Arial"/>
        </w:rPr>
        <w:t xml:space="preserve"> per il controllo delle presenze, ad esempio tramite </w:t>
      </w:r>
      <w:proofErr w:type="spellStart"/>
      <w:r w:rsidRPr="00DD7977">
        <w:rPr>
          <w:rFonts w:cs="Arial"/>
        </w:rPr>
        <w:t>Timesheets</w:t>
      </w:r>
      <w:proofErr w:type="spellEnd"/>
      <w:r w:rsidRPr="00DD7977">
        <w:rPr>
          <w:rFonts w:cs="Arial"/>
        </w:rPr>
        <w:t xml:space="preserve"> esistenti nel settore privato.</w:t>
      </w:r>
    </w:p>
    <w:p w:rsidR="00B91D22" w:rsidRDefault="00B91D22" w:rsidP="00B91D22">
      <w:pPr>
        <w:autoSpaceDE w:val="0"/>
        <w:autoSpaceDN w:val="0"/>
        <w:adjustRightInd w:val="0"/>
        <w:rPr>
          <w:rFonts w:cs="Arial"/>
        </w:rPr>
      </w:pPr>
    </w:p>
    <w:p w:rsidR="00CB3EC2" w:rsidRPr="00DD7977" w:rsidRDefault="00CB3EC2" w:rsidP="00B91D22">
      <w:pPr>
        <w:autoSpaceDE w:val="0"/>
        <w:autoSpaceDN w:val="0"/>
        <w:adjustRightInd w:val="0"/>
        <w:rPr>
          <w:rFonts w:cs="Arial"/>
        </w:rPr>
      </w:pPr>
    </w:p>
    <w:p w:rsidR="00B91D22" w:rsidRPr="001A49D6" w:rsidRDefault="00B91D22" w:rsidP="00B91D22">
      <w:pPr>
        <w:autoSpaceDE w:val="0"/>
        <w:autoSpaceDN w:val="0"/>
        <w:adjustRightInd w:val="0"/>
        <w:rPr>
          <w:rFonts w:cs="Arial"/>
        </w:rPr>
      </w:pPr>
      <w:r w:rsidRPr="001A49D6">
        <w:rPr>
          <w:rFonts w:cs="Arial"/>
        </w:rPr>
        <w:t>La Commissione invita il Parlamento a considerare evasa la mozione.</w:t>
      </w:r>
    </w:p>
    <w:p w:rsidR="00B91D22" w:rsidRPr="001A49D6" w:rsidRDefault="00B91D22" w:rsidP="00B91D22">
      <w:pPr>
        <w:tabs>
          <w:tab w:val="left" w:pos="284"/>
          <w:tab w:val="left" w:pos="426"/>
          <w:tab w:val="left" w:pos="4962"/>
        </w:tabs>
        <w:rPr>
          <w:rFonts w:cs="Arial"/>
        </w:rPr>
      </w:pPr>
    </w:p>
    <w:p w:rsidR="00B860C2" w:rsidRDefault="00B860C2" w:rsidP="00B860C2">
      <w:pPr>
        <w:rPr>
          <w:rFonts w:cs="Arial"/>
          <w:szCs w:val="24"/>
        </w:rPr>
      </w:pPr>
    </w:p>
    <w:p w:rsidR="00B860C2" w:rsidRPr="00076E70"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Pr="00527784">
        <w:rPr>
          <w:rFonts w:cs="Arial"/>
          <w:szCs w:val="24"/>
        </w:rPr>
        <w:t>gestione e finanze</w:t>
      </w:r>
      <w:r w:rsidRPr="00076E70">
        <w:rPr>
          <w:rFonts w:cs="Arial"/>
          <w:szCs w:val="24"/>
        </w:rPr>
        <w:t>:</w:t>
      </w:r>
    </w:p>
    <w:p w:rsidR="00B860C2" w:rsidRPr="00076E70" w:rsidRDefault="00227AE2" w:rsidP="00B860C2">
      <w:pPr>
        <w:rPr>
          <w:rFonts w:cs="Arial"/>
          <w:szCs w:val="24"/>
        </w:rPr>
      </w:pPr>
      <w:r>
        <w:rPr>
          <w:rFonts w:cs="Arial"/>
          <w:szCs w:val="24"/>
        </w:rPr>
        <w:t>Matteo Quadranti</w:t>
      </w:r>
      <w:r w:rsidR="00B860C2" w:rsidRPr="00076E70">
        <w:rPr>
          <w:rFonts w:cs="Arial"/>
          <w:szCs w:val="24"/>
        </w:rPr>
        <w:t>, relatore</w:t>
      </w:r>
    </w:p>
    <w:p w:rsidR="0075036C" w:rsidRDefault="0075036C" w:rsidP="0075036C">
      <w:pPr>
        <w:rPr>
          <w:rFonts w:cs="Arial"/>
        </w:rPr>
      </w:pPr>
      <w:bookmarkStart w:id="1" w:name="OLE_LINK1"/>
      <w:bookmarkStart w:id="2" w:name="OLE_LINK2"/>
      <w:r>
        <w:rPr>
          <w:rFonts w:cs="Arial"/>
        </w:rPr>
        <w:t xml:space="preserve">Agustoni - Bang - Bignasca - Biscossa - Bourgoin - </w:t>
      </w:r>
    </w:p>
    <w:p w:rsidR="00DD7977" w:rsidRDefault="0075036C" w:rsidP="0075036C">
      <w:pPr>
        <w:rPr>
          <w:rFonts w:cs="Arial"/>
        </w:rPr>
      </w:pPr>
      <w:r>
        <w:rPr>
          <w:rFonts w:cs="Arial"/>
        </w:rPr>
        <w:t xml:space="preserve">Caprara - Dadò - Durisch - </w:t>
      </w:r>
      <w:r w:rsidRPr="0075036C">
        <w:rPr>
          <w:rFonts w:cs="Arial"/>
        </w:rPr>
        <w:t xml:space="preserve">Foletti </w:t>
      </w:r>
      <w:r>
        <w:rPr>
          <w:rFonts w:cs="Arial"/>
        </w:rPr>
        <w:t xml:space="preserve">- Gianella Alessandra </w:t>
      </w:r>
      <w:r w:rsidR="00DD7977">
        <w:rPr>
          <w:rFonts w:cs="Arial"/>
        </w:rPr>
        <w:t>-</w:t>
      </w:r>
      <w:r>
        <w:rPr>
          <w:rFonts w:cs="Arial"/>
        </w:rPr>
        <w:t xml:space="preserve"> </w:t>
      </w:r>
    </w:p>
    <w:p w:rsidR="006E4AE2" w:rsidRPr="00CB3EC2" w:rsidRDefault="0075036C" w:rsidP="00B860C2">
      <w:pPr>
        <w:rPr>
          <w:rFonts w:cs="Arial"/>
        </w:rPr>
      </w:pPr>
      <w:r>
        <w:rPr>
          <w:rFonts w:cs="Arial"/>
        </w:rPr>
        <w:t xml:space="preserve">Guerra - Jelmini - Pamini - Pini </w:t>
      </w:r>
      <w:bookmarkEnd w:id="1"/>
      <w:bookmarkEnd w:id="2"/>
    </w:p>
    <w:sectPr w:rsidR="006E4AE2" w:rsidRPr="00CB3EC2"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AE2" w:rsidRDefault="00227AE2" w:rsidP="008E77C6">
      <w:r>
        <w:separator/>
      </w:r>
    </w:p>
  </w:endnote>
  <w:endnote w:type="continuationSeparator" w:id="0">
    <w:p w:rsidR="00227AE2" w:rsidRDefault="00227AE2"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B54D48" w:rsidRPr="00B54D48">
      <w:rPr>
        <w:noProof/>
        <w:sz w:val="20"/>
        <w:szCs w:val="20"/>
        <w:lang w:val="it-IT"/>
      </w:rPr>
      <w:t>4</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AE2" w:rsidRDefault="00227AE2" w:rsidP="008E77C6">
      <w:r>
        <w:separator/>
      </w:r>
    </w:p>
  </w:footnote>
  <w:footnote w:type="continuationSeparator" w:id="0">
    <w:p w:rsidR="00227AE2" w:rsidRDefault="00227AE2"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78855282"/>
    <w:multiLevelType w:val="hybridMultilevel"/>
    <w:tmpl w:val="43E64D66"/>
    <w:lvl w:ilvl="0" w:tplc="13CE26A8">
      <w:start w:val="2"/>
      <w:numFmt w:val="bullet"/>
      <w:lvlText w:val="-"/>
      <w:lvlJc w:val="left"/>
      <w:pPr>
        <w:ind w:left="720" w:hanging="360"/>
      </w:pPr>
      <w:rPr>
        <w:rFonts w:ascii="Arial" w:eastAsia="Times New Roman"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9"/>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E2"/>
    <w:rsid w:val="00046B4A"/>
    <w:rsid w:val="00076E70"/>
    <w:rsid w:val="001417AA"/>
    <w:rsid w:val="001574D7"/>
    <w:rsid w:val="00227AE2"/>
    <w:rsid w:val="00260C8C"/>
    <w:rsid w:val="002677DC"/>
    <w:rsid w:val="002E5E40"/>
    <w:rsid w:val="0052425A"/>
    <w:rsid w:val="00527784"/>
    <w:rsid w:val="00586A8D"/>
    <w:rsid w:val="005C117F"/>
    <w:rsid w:val="006C17AA"/>
    <w:rsid w:val="006C54BF"/>
    <w:rsid w:val="006D7A3B"/>
    <w:rsid w:val="006E4AE2"/>
    <w:rsid w:val="007352D3"/>
    <w:rsid w:val="0075036C"/>
    <w:rsid w:val="007B5462"/>
    <w:rsid w:val="008034BD"/>
    <w:rsid w:val="00876352"/>
    <w:rsid w:val="008B2655"/>
    <w:rsid w:val="008B4137"/>
    <w:rsid w:val="008C767A"/>
    <w:rsid w:val="008E77C6"/>
    <w:rsid w:val="009770BB"/>
    <w:rsid w:val="009E008D"/>
    <w:rsid w:val="00A5465F"/>
    <w:rsid w:val="00A77678"/>
    <w:rsid w:val="00B54D48"/>
    <w:rsid w:val="00B860C2"/>
    <w:rsid w:val="00B91D22"/>
    <w:rsid w:val="00BC4C95"/>
    <w:rsid w:val="00BD5944"/>
    <w:rsid w:val="00CB3EC2"/>
    <w:rsid w:val="00CC59CF"/>
    <w:rsid w:val="00CF6858"/>
    <w:rsid w:val="00D377B5"/>
    <w:rsid w:val="00D93B31"/>
    <w:rsid w:val="00DD7977"/>
    <w:rsid w:val="00DE5307"/>
    <w:rsid w:val="00E505DB"/>
    <w:rsid w:val="00E765A9"/>
    <w:rsid w:val="00F5531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57BF010-365A-4C1A-B9FE-D805F7B0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62102-C221-4167-9308-CEBF40B96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1201</Words>
  <Characters>7616</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2</cp:revision>
  <cp:lastPrinted>2021-02-09T14:19:00Z</cp:lastPrinted>
  <dcterms:created xsi:type="dcterms:W3CDTF">2021-02-09T15:05:00Z</dcterms:created>
  <dcterms:modified xsi:type="dcterms:W3CDTF">2021-02-09T15:05:00Z</dcterms:modified>
</cp:coreProperties>
</file>