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E5" w:rsidRPr="005C669B" w:rsidRDefault="005C58EB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5C58EB">
        <w:rPr>
          <w:rFonts w:ascii="Gill Sans MT" w:hAnsi="Gill Sans MT"/>
          <w:b/>
          <w:sz w:val="56"/>
          <w:szCs w:val="56"/>
        </w:rPr>
        <w:t>Rapporto</w:t>
      </w:r>
      <w:r>
        <w:rPr>
          <w:rFonts w:ascii="Gill Sans MT" w:hAnsi="Gill Sans MT"/>
          <w:b/>
          <w:sz w:val="56"/>
          <w:szCs w:val="56"/>
        </w:rPr>
        <w:t xml:space="preserve"> </w:t>
      </w:r>
      <w:bookmarkStart w:id="0" w:name="_GoBack"/>
      <w:bookmarkEnd w:id="0"/>
      <w:r w:rsidR="00F242E5" w:rsidRPr="005C669B">
        <w:rPr>
          <w:rFonts w:ascii="Gill Sans MT" w:hAnsi="Gill Sans MT"/>
          <w:b/>
          <w:sz w:val="56"/>
          <w:szCs w:val="56"/>
        </w:rPr>
        <w:t>di 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642FC9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b/>
          <w:position w:val="4"/>
          <w:sz w:val="32"/>
          <w:szCs w:val="32"/>
        </w:rPr>
        <w:t>7917</w:t>
      </w:r>
      <w:r w:rsidR="00F242E5" w:rsidRPr="002D7BF1">
        <w:rPr>
          <w:b/>
          <w:position w:val="4"/>
          <w:sz w:val="32"/>
          <w:szCs w:val="32"/>
        </w:rPr>
        <w:t xml:space="preserve"> R</w:t>
      </w:r>
      <w:r w:rsidR="00F242E5">
        <w:rPr>
          <w:b/>
          <w:position w:val="4"/>
          <w:sz w:val="32"/>
          <w:szCs w:val="32"/>
        </w:rPr>
        <w:t>1</w:t>
      </w:r>
      <w:r w:rsidR="00F242E5">
        <w:rPr>
          <w:position w:val="4"/>
          <w:sz w:val="28"/>
        </w:rPr>
        <w:tab/>
      </w:r>
      <w:r w:rsidR="00AE6125" w:rsidRPr="00642FC9">
        <w:rPr>
          <w:position w:val="4"/>
          <w:sz w:val="28"/>
        </w:rPr>
        <w:t>8 febbraio 2021</w:t>
      </w:r>
      <w:r w:rsidR="00F242E5">
        <w:rPr>
          <w:position w:val="4"/>
          <w:sz w:val="28"/>
        </w:rPr>
        <w:tab/>
      </w:r>
      <w:r w:rsidR="008346C8">
        <w:rPr>
          <w:position w:val="4"/>
          <w:sz w:val="28"/>
        </w:rPr>
        <w:t>ISTITUZIONI</w:t>
      </w:r>
    </w:p>
    <w:p w:rsidR="00F242E5" w:rsidRDefault="00F242E5" w:rsidP="00F242E5"/>
    <w:p w:rsidR="00F242E5" w:rsidRDefault="00F242E5" w:rsidP="00F242E5"/>
    <w:p w:rsidR="00F242E5" w:rsidRDefault="00F242E5" w:rsidP="00F242E5"/>
    <w:p w:rsidR="00CB127C" w:rsidRPr="007A285B" w:rsidRDefault="00AE6125" w:rsidP="00CB127C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della Commissione </w:t>
      </w:r>
      <w:r w:rsidR="00642FC9">
        <w:rPr>
          <w:rFonts w:cs="Arial"/>
          <w:b/>
          <w:sz w:val="28"/>
        </w:rPr>
        <w:t>giustizia e diritti</w:t>
      </w:r>
    </w:p>
    <w:p w:rsidR="00642FC9" w:rsidRDefault="00642FC9" w:rsidP="00CB127C">
      <w:pPr>
        <w:rPr>
          <w:rFonts w:cs="Arial"/>
          <w:b/>
          <w:sz w:val="28"/>
          <w:lang w:val="it-IT"/>
        </w:rPr>
      </w:pPr>
      <w:r>
        <w:rPr>
          <w:rFonts w:cs="Arial"/>
          <w:b/>
          <w:sz w:val="28"/>
          <w:lang w:val="it-IT"/>
        </w:rPr>
        <w:t>sul messaggio 28 ottobre 2020 concernente la m</w:t>
      </w:r>
      <w:r w:rsidRPr="00642FC9">
        <w:rPr>
          <w:rFonts w:cs="Arial"/>
          <w:b/>
          <w:sz w:val="28"/>
          <w:lang w:val="it-IT"/>
        </w:rPr>
        <w:t xml:space="preserve">odifica puntuale della </w:t>
      </w:r>
      <w:r w:rsidR="00625D32">
        <w:rPr>
          <w:rFonts w:cs="Arial"/>
          <w:b/>
          <w:sz w:val="28"/>
          <w:lang w:val="it-IT"/>
        </w:rPr>
        <w:t>L</w:t>
      </w:r>
      <w:r w:rsidRPr="00642FC9">
        <w:rPr>
          <w:rFonts w:cs="Arial"/>
          <w:b/>
          <w:sz w:val="28"/>
          <w:lang w:val="it-IT"/>
        </w:rPr>
        <w:t>egge sulla cittadinanza ticinese e sull’attinenza comunale (</w:t>
      </w:r>
      <w:proofErr w:type="spellStart"/>
      <w:r w:rsidRPr="00642FC9">
        <w:rPr>
          <w:rFonts w:cs="Arial"/>
          <w:b/>
          <w:sz w:val="28"/>
          <w:lang w:val="it-IT"/>
        </w:rPr>
        <w:t>LCCit</w:t>
      </w:r>
      <w:proofErr w:type="spellEnd"/>
      <w:r w:rsidRPr="00642FC9">
        <w:rPr>
          <w:rFonts w:cs="Arial"/>
          <w:b/>
          <w:sz w:val="28"/>
          <w:lang w:val="it-IT"/>
        </w:rPr>
        <w:t xml:space="preserve">) </w:t>
      </w:r>
      <w:r w:rsidR="00625D32">
        <w:rPr>
          <w:rFonts w:cs="Arial"/>
          <w:b/>
          <w:sz w:val="28"/>
          <w:lang w:val="it-IT"/>
        </w:rPr>
        <w:br/>
      </w:r>
      <w:r w:rsidRPr="00642FC9">
        <w:rPr>
          <w:rFonts w:cs="Arial"/>
          <w:b/>
          <w:sz w:val="28"/>
          <w:lang w:val="it-IT"/>
        </w:rPr>
        <w:t>dell’8 novembre 1994 - Inserimento del criterio di rimborso delle prestazioni assistenziali percepite negli ultimi dieci anni</w:t>
      </w:r>
    </w:p>
    <w:p w:rsidR="00CB127C" w:rsidRPr="007A285B" w:rsidRDefault="00CB127C" w:rsidP="00CB127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CB127C" w:rsidRPr="007A285B" w:rsidRDefault="00CB127C" w:rsidP="00CB127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CB127C" w:rsidRPr="007A285B" w:rsidRDefault="00CB127C" w:rsidP="00CB127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8F2B43" w:rsidRPr="008F2B43" w:rsidRDefault="008F2B43" w:rsidP="00B76A89">
      <w:pPr>
        <w:pStyle w:val="Titolo1"/>
      </w:pPr>
      <w:r w:rsidRPr="008F2B43">
        <w:t>PREMESSA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8F2B43">
        <w:rPr>
          <w:rFonts w:cs="Arial"/>
          <w:szCs w:val="24"/>
        </w:rPr>
        <w:t xml:space="preserve">l 18 febbraio 2020 il Gran Consiglio ha approvato con 38 voti favorevoli, 32 contrari e </w:t>
      </w:r>
      <w:r w:rsidR="00625D32">
        <w:rPr>
          <w:rFonts w:cs="Arial"/>
          <w:szCs w:val="24"/>
        </w:rPr>
        <w:br/>
      </w:r>
      <w:r w:rsidRPr="008F2B43">
        <w:rPr>
          <w:rFonts w:cs="Arial"/>
          <w:szCs w:val="24"/>
        </w:rPr>
        <w:t xml:space="preserve">3 astenuti il rapporto che sosteneva l'iniziativa parlamentare del 21 gennaio 2019 presentata nella forma generica da Nicolas Marioli (ripresa da Omar Balli e Sem Genini) per il </w:t>
      </w:r>
      <w:r w:rsidR="00E9760A">
        <w:rPr>
          <w:rFonts w:cs="Arial"/>
          <w:szCs w:val="24"/>
        </w:rPr>
        <w:t>G</w:t>
      </w:r>
      <w:r w:rsidRPr="008F2B43">
        <w:rPr>
          <w:rFonts w:cs="Arial"/>
          <w:szCs w:val="24"/>
        </w:rPr>
        <w:t>ruppo della Lega dei ticinesi. L'atto parlamentare chiedeva la modifica della Legge sulla cittadinanza ticinese e sull'attinenza comunale e, in particolare, l'inserimento del criterio di rimborso delle prestazioni assistenziali percepite negli ultimi dieci anni.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B76A89">
      <w:pPr>
        <w:pStyle w:val="Titolo1"/>
      </w:pPr>
      <w:r w:rsidRPr="008F2B43">
        <w:t>IL MESSAGGIO GOVERNATIVO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  <w:r w:rsidRPr="008F2B43">
        <w:rPr>
          <w:rFonts w:cs="Arial"/>
          <w:szCs w:val="24"/>
        </w:rPr>
        <w:t>Il Consiglio di Stato propone, con il messaggio n. 7917, la modifica puntuale della Legge sulla cittadinanza ticinese e sull'attinenza comunale precisando che il tema riguarda l'introduzione a livello cantonale di misure più restrittive rispetto a quelle previste dalle disposizioni federali sulla cittadinanza, per quanto riguarda i criteri d'integrazione per la naturalizzazione, in particolare in merito al termine di indipendenza dal percepimento di prestazioni dell'aiuto sociale.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  <w:r w:rsidRPr="008F2B43">
        <w:rPr>
          <w:rFonts w:cs="Arial"/>
          <w:szCs w:val="24"/>
        </w:rPr>
        <w:t>L’introduzione di tale inasprimento a livello cantonale per la naturalizzazione di cittadini stranieri si ripercuote anche sulle naturalizzazioni di cittadini confederati, rispettivamente sulle procedure di naturalizzazione agevolata a livello cantonale.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B76A89">
      <w:pPr>
        <w:pStyle w:val="Titolo1"/>
      </w:pPr>
      <w:r w:rsidRPr="008F2B43">
        <w:t>CONSIDERAZIONI COMMISSIONALI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  <w:r w:rsidRPr="008F2B43">
        <w:rPr>
          <w:rFonts w:cs="Arial"/>
          <w:szCs w:val="24"/>
        </w:rPr>
        <w:t>Come già precisato nel rapporto della Commissione giustizia e diritti del 3 febbraio 2020, il 15 febbraio 2018 sono entrate in vigore le modifiche previste nell'Ordinanza sulla cittadinanza svizzera (</w:t>
      </w:r>
      <w:proofErr w:type="spellStart"/>
      <w:r w:rsidRPr="008F2B43">
        <w:rPr>
          <w:rFonts w:cs="Arial"/>
          <w:szCs w:val="24"/>
        </w:rPr>
        <w:t>OCit</w:t>
      </w:r>
      <w:proofErr w:type="spellEnd"/>
      <w:r w:rsidRPr="008F2B43">
        <w:rPr>
          <w:rFonts w:cs="Arial"/>
          <w:szCs w:val="24"/>
        </w:rPr>
        <w:t>), a seguito delle nuove disposizioni della Legge federale in materia di naturalizzazione.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625D32">
      <w:pPr>
        <w:pStyle w:val="Titolo3"/>
      </w:pPr>
      <w:r w:rsidRPr="008F2B43">
        <w:t>L'art. 7 cpv. 3 recita:</w:t>
      </w:r>
    </w:p>
    <w:p w:rsidR="008F2B43" w:rsidRPr="008F2B43" w:rsidRDefault="00625D32" w:rsidP="00625D32">
      <w:pPr>
        <w:pStyle w:val="Paragrafoelenco"/>
        <w:tabs>
          <w:tab w:val="left" w:pos="426"/>
          <w:tab w:val="left" w:pos="4962"/>
        </w:tabs>
        <w:rPr>
          <w:rFonts w:cs="Arial"/>
          <w:i/>
          <w:sz w:val="22"/>
        </w:rPr>
      </w:pPr>
      <w:r w:rsidRPr="00625D32">
        <w:rPr>
          <w:rFonts w:cs="Arial"/>
          <w:i/>
          <w:sz w:val="22"/>
          <w:vertAlign w:val="superscript"/>
        </w:rPr>
        <w:t>3</w:t>
      </w:r>
      <w:r>
        <w:rPr>
          <w:rFonts w:cs="Arial"/>
          <w:i/>
          <w:sz w:val="22"/>
        </w:rPr>
        <w:t>C</w:t>
      </w:r>
      <w:r w:rsidR="008F2B43" w:rsidRPr="008F2B43">
        <w:rPr>
          <w:rFonts w:cs="Arial"/>
          <w:i/>
          <w:sz w:val="22"/>
        </w:rPr>
        <w:t xml:space="preserve">hi nei tre anni immediatamente precedenti la domanda o durante la procedura di naturalizzazione percepisce prestazioni dell'aiuto sociale non soddisfa l'esigenza della partecipazione alla vita </w:t>
      </w:r>
      <w:r w:rsidR="008F2B43" w:rsidRPr="008F2B43">
        <w:rPr>
          <w:rFonts w:cs="Arial"/>
          <w:i/>
          <w:sz w:val="22"/>
        </w:rPr>
        <w:lastRenderedPageBreak/>
        <w:t>economica o dell'acquisizione di una formazione, salvo che le prestazioni dell'aiuto sociale percepite siano interamente restituite.</w:t>
      </w:r>
    </w:p>
    <w:p w:rsidR="008F2B43" w:rsidRPr="008F2B43" w:rsidRDefault="008F2B43" w:rsidP="00625D32">
      <w:pPr>
        <w:pStyle w:val="Paragrafoelenco"/>
        <w:tabs>
          <w:tab w:val="left" w:pos="426"/>
          <w:tab w:val="left" w:pos="4962"/>
        </w:tabs>
        <w:rPr>
          <w:rFonts w:cs="Arial"/>
          <w:i/>
          <w:sz w:val="22"/>
        </w:rPr>
      </w:pPr>
      <w:r w:rsidRPr="008F2B43">
        <w:rPr>
          <w:rFonts w:cs="Arial"/>
          <w:i/>
          <w:sz w:val="22"/>
        </w:rPr>
        <w:t>I Cantoni hanno possibilità di prevedere nella propria legge cantonale misure più restrittive.</w:t>
      </w:r>
    </w:p>
    <w:p w:rsid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Default="008F2B43" w:rsidP="00625D32">
      <w:pPr>
        <w:pStyle w:val="Titolo2"/>
      </w:pPr>
      <w:r w:rsidRPr="008F2B43">
        <w:t>Commento alle modifiche previste nel disegno di legge allegato</w:t>
      </w:r>
    </w:p>
    <w:p w:rsidR="008F2B43" w:rsidRPr="008F2B43" w:rsidRDefault="008F2B43" w:rsidP="00625D32">
      <w:pPr>
        <w:pStyle w:val="Titolo3"/>
      </w:pPr>
      <w:r w:rsidRPr="008F2B43">
        <w:t>Art. 7 cpv. 2 lett. e) (nuova)</w:t>
      </w:r>
    </w:p>
    <w:p w:rsidR="008F2B43" w:rsidRPr="008F2B43" w:rsidRDefault="00625D32" w:rsidP="00625D32">
      <w:pPr>
        <w:pStyle w:val="Paragrafoelenco"/>
        <w:tabs>
          <w:tab w:val="left" w:pos="284"/>
          <w:tab w:val="left" w:pos="4962"/>
        </w:tabs>
        <w:spacing w:after="120"/>
        <w:ind w:left="284" w:hanging="284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e)</w:t>
      </w:r>
      <w:r>
        <w:rPr>
          <w:rFonts w:cs="Arial"/>
          <w:b/>
          <w:i/>
          <w:sz w:val="22"/>
        </w:rPr>
        <w:tab/>
      </w:r>
      <w:r w:rsidR="008F2B43" w:rsidRPr="008F2B43">
        <w:rPr>
          <w:rFonts w:cs="Arial"/>
          <w:b/>
          <w:i/>
          <w:sz w:val="22"/>
        </w:rPr>
        <w:t>dall’indipendenza da aiuti sociali negli ultimi dieci anni, a meno che tali aiuti siano interamente restituiti.</w:t>
      </w:r>
    </w:p>
    <w:p w:rsidR="008F2B43" w:rsidRPr="008F2B43" w:rsidRDefault="008F2B43" w:rsidP="00625D32">
      <w:pPr>
        <w:pStyle w:val="Paragrafoelenco"/>
        <w:tabs>
          <w:tab w:val="left" w:pos="4962"/>
        </w:tabs>
        <w:spacing w:after="120"/>
        <w:rPr>
          <w:rFonts w:cs="Arial"/>
          <w:szCs w:val="24"/>
        </w:rPr>
      </w:pPr>
      <w:r w:rsidRPr="008F2B43">
        <w:rPr>
          <w:rFonts w:cs="Arial"/>
          <w:szCs w:val="24"/>
        </w:rPr>
        <w:t>Tale disposizione concretizza la volontà del Parlamento di introdurre a livello cantonale misure più restrittive rispetto a quelle previste dall'Ordinanza federale sulla cittadinanza.</w:t>
      </w:r>
    </w:p>
    <w:p w:rsidR="008F2B43" w:rsidRPr="008F2B43" w:rsidRDefault="008F2B43" w:rsidP="00625D32">
      <w:pPr>
        <w:pStyle w:val="Paragrafoelenco"/>
        <w:tabs>
          <w:tab w:val="left" w:pos="4962"/>
        </w:tabs>
        <w:spacing w:after="120"/>
        <w:rPr>
          <w:rFonts w:cs="Arial"/>
          <w:szCs w:val="24"/>
        </w:rPr>
      </w:pPr>
      <w:r w:rsidRPr="008F2B43">
        <w:rPr>
          <w:rFonts w:cs="Arial"/>
          <w:szCs w:val="24"/>
        </w:rPr>
        <w:t>Per rispettare i principi di parità di trattamento e parallelismo, l'inasprimento delle condizioni applicate a cittadini stranieri che si vogliono naturalizzare deve esser esteso anche alle naturalizzazioni di cittadini confederati che vogliono acquisire la cittadinanza cantonale ticinese e un'attinenza comunale nel nostro Cantone.</w:t>
      </w:r>
    </w:p>
    <w:p w:rsidR="008F2B43" w:rsidRPr="008F2B43" w:rsidRDefault="008F2B43" w:rsidP="00625D32">
      <w:pPr>
        <w:pStyle w:val="Paragrafoelenco"/>
        <w:tabs>
          <w:tab w:val="left" w:pos="4962"/>
        </w:tabs>
        <w:spacing w:after="60"/>
        <w:rPr>
          <w:rFonts w:cs="Arial"/>
          <w:szCs w:val="24"/>
        </w:rPr>
      </w:pPr>
      <w:r w:rsidRPr="008F2B43">
        <w:rPr>
          <w:rFonts w:cs="Arial"/>
          <w:szCs w:val="24"/>
        </w:rPr>
        <w:t xml:space="preserve">La precisazione in una disposizione specifica rende più trasparente l'interpretazione, altrimenti rilevabile per estensione dal concetto di partecipazione alla vita economica di cui alla lettera d dell'art. 7 cpv. 2 </w:t>
      </w:r>
      <w:proofErr w:type="spellStart"/>
      <w:r w:rsidRPr="008F2B43">
        <w:rPr>
          <w:rFonts w:cs="Arial"/>
          <w:szCs w:val="24"/>
        </w:rPr>
        <w:t>LCCit</w:t>
      </w:r>
      <w:proofErr w:type="spellEnd"/>
      <w:r w:rsidRPr="008F2B43">
        <w:rPr>
          <w:rFonts w:cs="Arial"/>
          <w:szCs w:val="24"/>
        </w:rPr>
        <w:t>.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625D32">
      <w:pPr>
        <w:pStyle w:val="Titolo3"/>
      </w:pPr>
      <w:r w:rsidRPr="008F2B43">
        <w:t>Art. 12 cpv. lett</w:t>
      </w:r>
      <w:r w:rsidR="00625D32">
        <w:t>.</w:t>
      </w:r>
      <w:r w:rsidRPr="008F2B43">
        <w:t xml:space="preserve"> d) (nuova)</w:t>
      </w:r>
    </w:p>
    <w:p w:rsidR="008F2B43" w:rsidRPr="008F2B43" w:rsidRDefault="00625D32" w:rsidP="00625D32">
      <w:pPr>
        <w:pStyle w:val="Paragrafoelenco"/>
        <w:tabs>
          <w:tab w:val="left" w:pos="284"/>
          <w:tab w:val="left" w:pos="4962"/>
        </w:tabs>
        <w:spacing w:after="120"/>
        <w:ind w:left="284" w:hanging="284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d)</w:t>
      </w:r>
      <w:r>
        <w:rPr>
          <w:rFonts w:cs="Arial"/>
          <w:b/>
          <w:i/>
          <w:sz w:val="22"/>
        </w:rPr>
        <w:tab/>
      </w:r>
      <w:r w:rsidR="008F2B43" w:rsidRPr="008F2B43">
        <w:rPr>
          <w:rFonts w:cs="Arial"/>
          <w:b/>
          <w:i/>
          <w:sz w:val="22"/>
        </w:rPr>
        <w:t>se è indipendente da aiuti sociali da almeno dieci anni, a meno che tali aiuti siano interamente restituiti.</w:t>
      </w:r>
    </w:p>
    <w:p w:rsidR="008F2B43" w:rsidRPr="008F2B43" w:rsidRDefault="008F2B43" w:rsidP="00625D32">
      <w:pPr>
        <w:pStyle w:val="Paragrafoelenco"/>
        <w:tabs>
          <w:tab w:val="left" w:pos="4962"/>
        </w:tabs>
        <w:spacing w:after="120"/>
        <w:rPr>
          <w:rFonts w:cs="Arial"/>
          <w:szCs w:val="24"/>
        </w:rPr>
      </w:pPr>
      <w:r w:rsidRPr="008F2B43">
        <w:rPr>
          <w:rFonts w:cs="Arial"/>
          <w:szCs w:val="24"/>
        </w:rPr>
        <w:t>Questa disposizione concretizza la volontà del Parlamento di introdurre a livello cantonale misure più restrittive rispetto a quelle previste dall'Ordinanza federale.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625D32">
      <w:pPr>
        <w:pStyle w:val="Titolo3"/>
        <w:rPr>
          <w:rFonts w:cs="Arial"/>
          <w:szCs w:val="24"/>
        </w:rPr>
      </w:pPr>
      <w:r w:rsidRPr="008F2B43">
        <w:t>Art. 22 cpv. 4 (modifica)</w:t>
      </w:r>
    </w:p>
    <w:p w:rsidR="008F2B43" w:rsidRPr="008F2B43" w:rsidRDefault="00625D32" w:rsidP="00625D32">
      <w:pPr>
        <w:pStyle w:val="Paragrafoelenco"/>
        <w:tabs>
          <w:tab w:val="left" w:pos="4962"/>
        </w:tabs>
        <w:spacing w:after="120"/>
        <w:rPr>
          <w:rFonts w:cs="Arial"/>
          <w:b/>
          <w:i/>
          <w:sz w:val="22"/>
        </w:rPr>
      </w:pPr>
      <w:r w:rsidRPr="00625D32">
        <w:rPr>
          <w:rFonts w:cs="Arial"/>
          <w:b/>
          <w:i/>
          <w:sz w:val="22"/>
          <w:vertAlign w:val="superscript"/>
        </w:rPr>
        <w:t>4</w:t>
      </w:r>
      <w:r>
        <w:rPr>
          <w:rFonts w:cs="Arial"/>
          <w:b/>
          <w:i/>
          <w:sz w:val="22"/>
        </w:rPr>
        <w:t>I</w:t>
      </w:r>
      <w:r w:rsidR="008F2B43" w:rsidRPr="008F2B43">
        <w:rPr>
          <w:rFonts w:cs="Arial"/>
          <w:b/>
          <w:i/>
          <w:sz w:val="22"/>
        </w:rPr>
        <w:t>l comune di attinenza, che è quello in cui il richiedente ha risieduto ininterrottamente durante gli ultimi due anni precedenti la domanda, deve essere sentito in via consultiva; esso svolge l'accertamento previsto dall'art. 9.</w:t>
      </w:r>
    </w:p>
    <w:p w:rsidR="008F2B43" w:rsidRPr="008F2B43" w:rsidRDefault="008F2B43" w:rsidP="00625D32">
      <w:pPr>
        <w:pStyle w:val="Paragrafoelenco"/>
        <w:tabs>
          <w:tab w:val="left" w:pos="4962"/>
        </w:tabs>
        <w:spacing w:after="120"/>
        <w:rPr>
          <w:rFonts w:cs="Arial"/>
          <w:szCs w:val="24"/>
        </w:rPr>
      </w:pPr>
      <w:r w:rsidRPr="008F2B43">
        <w:rPr>
          <w:rFonts w:cs="Arial"/>
          <w:szCs w:val="24"/>
        </w:rPr>
        <w:t>Il riferimento è esteso all’articolo 9 in generale e non solo al cpv. 4 come finora.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625D32">
      <w:pPr>
        <w:pStyle w:val="Titolo3"/>
      </w:pPr>
      <w:r w:rsidRPr="008F2B43">
        <w:t>Art. 24 cpv. 5 (modifica)</w:t>
      </w:r>
    </w:p>
    <w:p w:rsidR="008F2B43" w:rsidRPr="008F2B43" w:rsidRDefault="00625D32" w:rsidP="00625D32">
      <w:pPr>
        <w:pStyle w:val="Paragrafoelenco"/>
        <w:tabs>
          <w:tab w:val="left" w:pos="4962"/>
        </w:tabs>
        <w:spacing w:after="120"/>
        <w:rPr>
          <w:rFonts w:cs="Arial"/>
          <w:b/>
          <w:i/>
          <w:sz w:val="22"/>
        </w:rPr>
      </w:pPr>
      <w:r w:rsidRPr="00625D32">
        <w:rPr>
          <w:rFonts w:cs="Arial"/>
          <w:b/>
          <w:i/>
          <w:sz w:val="22"/>
          <w:vertAlign w:val="superscript"/>
        </w:rPr>
        <w:t>5</w:t>
      </w:r>
      <w:r>
        <w:rPr>
          <w:rFonts w:cs="Arial"/>
          <w:b/>
          <w:i/>
          <w:sz w:val="22"/>
        </w:rPr>
        <w:t>P</w:t>
      </w:r>
      <w:r w:rsidR="008F2B43" w:rsidRPr="008F2B43">
        <w:rPr>
          <w:rFonts w:cs="Arial"/>
          <w:b/>
          <w:i/>
          <w:sz w:val="22"/>
        </w:rPr>
        <w:t>er il rimanente si applicano le condizioni di idoneità di cui agli artt. 12 cpv. 1 lett. b), c), d) e 14.</w:t>
      </w:r>
    </w:p>
    <w:p w:rsidR="008F2B43" w:rsidRDefault="008F2B43" w:rsidP="00625D32">
      <w:pPr>
        <w:pStyle w:val="Paragrafoelenco"/>
        <w:tabs>
          <w:tab w:val="left" w:pos="4962"/>
        </w:tabs>
        <w:spacing w:after="120"/>
        <w:rPr>
          <w:rFonts w:cs="Arial"/>
          <w:szCs w:val="24"/>
        </w:rPr>
      </w:pPr>
      <w:r w:rsidRPr="008F2B43">
        <w:rPr>
          <w:rFonts w:cs="Arial"/>
          <w:szCs w:val="24"/>
        </w:rPr>
        <w:t>Il riferimento è esteso alla nuova lettera d dell'art. 12 cpv. 1 con la quale è stato introdotto il requisito di indipendenza sociale per gli ultimi dieci anni.</w:t>
      </w:r>
    </w:p>
    <w:p w:rsidR="00625D32" w:rsidRPr="008F2B43" w:rsidRDefault="00625D32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8F2B43" w:rsidRDefault="008F2B43" w:rsidP="00625D32">
      <w:pPr>
        <w:pStyle w:val="Titolo3"/>
      </w:pPr>
      <w:r w:rsidRPr="008F2B43">
        <w:t>Art. 44 cpv. 2 (nuovo)</w:t>
      </w:r>
    </w:p>
    <w:p w:rsidR="008F2B43" w:rsidRPr="008F2B43" w:rsidRDefault="00625D32" w:rsidP="00625D32">
      <w:pPr>
        <w:pStyle w:val="Paragrafoelenco"/>
        <w:tabs>
          <w:tab w:val="left" w:pos="4962"/>
        </w:tabs>
        <w:spacing w:after="120"/>
        <w:rPr>
          <w:rFonts w:cs="Arial"/>
          <w:b/>
          <w:i/>
          <w:sz w:val="22"/>
        </w:rPr>
      </w:pPr>
      <w:r w:rsidRPr="00625D32">
        <w:rPr>
          <w:rFonts w:cs="Arial"/>
          <w:b/>
          <w:i/>
          <w:sz w:val="22"/>
          <w:vertAlign w:val="superscript"/>
        </w:rPr>
        <w:t>2</w:t>
      </w:r>
      <w:r>
        <w:rPr>
          <w:rFonts w:cs="Arial"/>
          <w:b/>
          <w:i/>
          <w:sz w:val="22"/>
        </w:rPr>
        <w:t>L</w:t>
      </w:r>
      <w:r w:rsidR="008F2B43" w:rsidRPr="008F2B43">
        <w:rPr>
          <w:rFonts w:cs="Arial"/>
          <w:b/>
          <w:i/>
          <w:sz w:val="22"/>
        </w:rPr>
        <w:t>e disposizioni della modifica del 18 settembre 2017 e quelle della modifica del ... si applicano alle domande presentate dopo la rispettiva entrata in vigore e a quelle presentate precedentemente se il nuovo diritto è più favorevole.</w:t>
      </w:r>
    </w:p>
    <w:p w:rsidR="008F2B43" w:rsidRPr="008F2B43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  <w:r w:rsidRPr="008F2B43">
        <w:rPr>
          <w:rFonts w:cs="Arial"/>
          <w:szCs w:val="24"/>
        </w:rPr>
        <w:t>Con l'aggiunta del cpv. 2 si sono volute disciplinare in maniera chiara le questioni legate al diritto transitorio stabilendo il principio che le domande presentate antecedentemente alle revisioni succedutesi sono rette dal diritto vigente a quel momento, ad eccezione delle disposizioni più favorevoli.</w:t>
      </w:r>
    </w:p>
    <w:p w:rsidR="00B76A89" w:rsidRPr="008F2B43" w:rsidRDefault="00B76A89" w:rsidP="008F2B43">
      <w:pPr>
        <w:pStyle w:val="Paragrafoelenco"/>
        <w:tabs>
          <w:tab w:val="left" w:pos="4962"/>
        </w:tabs>
        <w:rPr>
          <w:rFonts w:cs="Arial"/>
          <w:szCs w:val="24"/>
        </w:rPr>
      </w:pPr>
    </w:p>
    <w:p w:rsidR="008F2B43" w:rsidRPr="00B76A89" w:rsidRDefault="008F2B43" w:rsidP="00B76A89">
      <w:pPr>
        <w:pStyle w:val="Titolo1"/>
        <w:rPr>
          <w:rFonts w:cs="Arial"/>
        </w:rPr>
      </w:pPr>
      <w:r w:rsidRPr="00B76A89">
        <w:rPr>
          <w:rStyle w:val="Titolo1Carattere"/>
          <w:b/>
        </w:rPr>
        <w:lastRenderedPageBreak/>
        <w:t>CONCLUSIONI</w:t>
      </w:r>
    </w:p>
    <w:p w:rsidR="005F4380" w:rsidRDefault="008F2B43" w:rsidP="008F2B43">
      <w:pPr>
        <w:pStyle w:val="Paragrafoelenco"/>
        <w:tabs>
          <w:tab w:val="left" w:pos="4962"/>
        </w:tabs>
        <w:rPr>
          <w:rFonts w:cs="Arial"/>
          <w:szCs w:val="24"/>
        </w:rPr>
      </w:pPr>
      <w:r w:rsidRPr="008F2B43">
        <w:rPr>
          <w:rFonts w:cs="Arial"/>
          <w:szCs w:val="24"/>
        </w:rPr>
        <w:t xml:space="preserve">Sulla scorta delle considerazioni suesposte la maggioranza della Commissione giustizia e diritti invita il Gran Consiglio ad approvare il disegno di legge </w:t>
      </w:r>
      <w:r w:rsidRPr="00B76A89">
        <w:rPr>
          <w:rFonts w:cs="Arial"/>
          <w:szCs w:val="24"/>
        </w:rPr>
        <w:t xml:space="preserve">allegato </w:t>
      </w:r>
      <w:r w:rsidR="00B76A89" w:rsidRPr="00B76A89">
        <w:rPr>
          <w:rFonts w:cs="Arial"/>
          <w:szCs w:val="24"/>
        </w:rPr>
        <w:t xml:space="preserve">al messaggio </w:t>
      </w:r>
      <w:r w:rsidRPr="008F2B43">
        <w:rPr>
          <w:rFonts w:cs="Arial"/>
          <w:szCs w:val="24"/>
        </w:rPr>
        <w:t>che modifica la Legge sulla cittadinanza ticinese e sull'attinenza comunale (</w:t>
      </w:r>
      <w:proofErr w:type="spellStart"/>
      <w:r w:rsidRPr="008F2B43">
        <w:rPr>
          <w:rFonts w:cs="Arial"/>
          <w:szCs w:val="24"/>
        </w:rPr>
        <w:t>LCCit</w:t>
      </w:r>
      <w:proofErr w:type="spellEnd"/>
      <w:r w:rsidRPr="008F2B43">
        <w:rPr>
          <w:rFonts w:cs="Arial"/>
          <w:szCs w:val="24"/>
        </w:rPr>
        <w:t xml:space="preserve">) </w:t>
      </w:r>
      <w:r w:rsidR="00625D32">
        <w:rPr>
          <w:rFonts w:cs="Arial"/>
          <w:szCs w:val="24"/>
        </w:rPr>
        <w:br/>
      </w:r>
      <w:r w:rsidRPr="008F2B43">
        <w:rPr>
          <w:rFonts w:cs="Arial"/>
          <w:szCs w:val="24"/>
        </w:rPr>
        <w:t>dell'8 novembre 1994.</w:t>
      </w:r>
    </w:p>
    <w:p w:rsidR="00CB127C" w:rsidRDefault="00CB127C" w:rsidP="00CB127C"/>
    <w:p w:rsidR="00CB127C" w:rsidRDefault="00CB127C" w:rsidP="00CB127C">
      <w:pPr>
        <w:rPr>
          <w:rFonts w:cs="Arial"/>
        </w:rPr>
      </w:pPr>
    </w:p>
    <w:p w:rsidR="005F4380" w:rsidRDefault="005F4380" w:rsidP="00CB127C">
      <w:pPr>
        <w:rPr>
          <w:rFonts w:cs="Arial"/>
        </w:rPr>
      </w:pPr>
    </w:p>
    <w:p w:rsidR="00CB127C" w:rsidRPr="008219F2" w:rsidRDefault="00CB127C" w:rsidP="00CB127C">
      <w:pPr>
        <w:spacing w:after="120"/>
        <w:rPr>
          <w:rFonts w:cs="Arial"/>
        </w:rPr>
      </w:pPr>
      <w:r w:rsidRPr="008219F2">
        <w:rPr>
          <w:rFonts w:cs="Arial"/>
        </w:rPr>
        <w:t>Per la m</w:t>
      </w:r>
      <w:r>
        <w:rPr>
          <w:rFonts w:cs="Arial"/>
        </w:rPr>
        <w:t>agg</w:t>
      </w:r>
      <w:r w:rsidRPr="008219F2">
        <w:rPr>
          <w:rFonts w:cs="Arial"/>
        </w:rPr>
        <w:t>ioranza</w:t>
      </w:r>
      <w:r>
        <w:rPr>
          <w:rFonts w:cs="Arial"/>
        </w:rPr>
        <w:t xml:space="preserve"> </w:t>
      </w:r>
      <w:r w:rsidR="00AE6125">
        <w:rPr>
          <w:rFonts w:cs="Arial"/>
        </w:rPr>
        <w:t>della Commissione</w:t>
      </w:r>
      <w:r w:rsidR="00642FC9">
        <w:rPr>
          <w:rFonts w:cs="Arial"/>
        </w:rPr>
        <w:t xml:space="preserve"> giustizia e diritti</w:t>
      </w:r>
      <w:r w:rsidRPr="008219F2">
        <w:rPr>
          <w:rFonts w:cs="Arial"/>
        </w:rPr>
        <w:t>:</w:t>
      </w:r>
    </w:p>
    <w:p w:rsidR="00CB127C" w:rsidRPr="00CB69BE" w:rsidRDefault="00CB69BE" w:rsidP="00CB127C">
      <w:pPr>
        <w:rPr>
          <w:rFonts w:cs="Arial"/>
        </w:rPr>
      </w:pPr>
      <w:r w:rsidRPr="00CB69BE">
        <w:rPr>
          <w:rFonts w:cs="Arial"/>
        </w:rPr>
        <w:t>Giorgio Galusero</w:t>
      </w:r>
      <w:r w:rsidR="00CB127C" w:rsidRPr="00CB69BE">
        <w:rPr>
          <w:rFonts w:cs="Arial"/>
        </w:rPr>
        <w:t>, relat</w:t>
      </w:r>
      <w:r w:rsidR="008346C8" w:rsidRPr="00CB69BE">
        <w:rPr>
          <w:rFonts w:cs="Arial"/>
        </w:rPr>
        <w:t>ore</w:t>
      </w:r>
    </w:p>
    <w:p w:rsidR="009D64B3" w:rsidRDefault="00CB69BE" w:rsidP="00CB69BE">
      <w:pPr>
        <w:rPr>
          <w:rFonts w:cs="Arial"/>
        </w:rPr>
      </w:pPr>
      <w:r>
        <w:rPr>
          <w:rFonts w:cs="Arial"/>
        </w:rPr>
        <w:t xml:space="preserve">Aldi - Bertoli - Dadò - Gaffuri </w:t>
      </w:r>
      <w:r w:rsidR="009D64B3">
        <w:rPr>
          <w:rFonts w:cs="Arial"/>
        </w:rPr>
        <w:t>-</w:t>
      </w:r>
      <w:r>
        <w:rPr>
          <w:rFonts w:cs="Arial"/>
        </w:rPr>
        <w:t xml:space="preserve"> </w:t>
      </w:r>
    </w:p>
    <w:p w:rsidR="00CB69BE" w:rsidRDefault="00CB69BE" w:rsidP="00CB69BE">
      <w:pPr>
        <w:rPr>
          <w:rFonts w:cs="Arial"/>
        </w:rPr>
      </w:pPr>
      <w:r>
        <w:rPr>
          <w:rFonts w:cs="Arial"/>
        </w:rPr>
        <w:t xml:space="preserve">Gendotti - Guscio - Minotti - </w:t>
      </w:r>
    </w:p>
    <w:p w:rsidR="00CB69BE" w:rsidRPr="005E5056" w:rsidRDefault="00CB69BE" w:rsidP="00CB69BE">
      <w:pPr>
        <w:rPr>
          <w:rFonts w:cs="Arial"/>
        </w:rPr>
      </w:pPr>
      <w:r>
        <w:rPr>
          <w:rFonts w:cs="Arial"/>
        </w:rPr>
        <w:t>Pagani - Petrini - Soldati - Viscardi</w:t>
      </w:r>
    </w:p>
    <w:sectPr w:rsidR="00CB69BE" w:rsidRPr="005E5056" w:rsidSect="00F242E5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25" w:rsidRDefault="00AE6125" w:rsidP="008E77C6">
      <w:r>
        <w:separator/>
      </w:r>
    </w:p>
  </w:endnote>
  <w:endnote w:type="continuationSeparator" w:id="0">
    <w:p w:rsidR="00AE6125" w:rsidRDefault="00AE612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5C58EB" w:rsidRPr="005C58EB">
      <w:rPr>
        <w:noProof/>
        <w:sz w:val="20"/>
        <w:szCs w:val="20"/>
        <w:lang w:val="it-IT"/>
      </w:rPr>
      <w:t>2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25" w:rsidRDefault="00AE6125" w:rsidP="008E77C6">
      <w:r>
        <w:separator/>
      </w:r>
    </w:p>
  </w:footnote>
  <w:footnote w:type="continuationSeparator" w:id="0">
    <w:p w:rsidR="00AE6125" w:rsidRDefault="00AE612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355C0C"/>
    <w:multiLevelType w:val="hybridMultilevel"/>
    <w:tmpl w:val="B2D05EB8"/>
    <w:lvl w:ilvl="0" w:tplc="46D265A4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5"/>
    <w:rsid w:val="00076E70"/>
    <w:rsid w:val="00093F6C"/>
    <w:rsid w:val="000B2940"/>
    <w:rsid w:val="001710DA"/>
    <w:rsid w:val="001A2396"/>
    <w:rsid w:val="00225F95"/>
    <w:rsid w:val="002B46AE"/>
    <w:rsid w:val="002C5C7C"/>
    <w:rsid w:val="002E5774"/>
    <w:rsid w:val="002E5E40"/>
    <w:rsid w:val="00324C69"/>
    <w:rsid w:val="003B7935"/>
    <w:rsid w:val="003C6ADE"/>
    <w:rsid w:val="0052425A"/>
    <w:rsid w:val="00534AD1"/>
    <w:rsid w:val="0057039F"/>
    <w:rsid w:val="00586A8D"/>
    <w:rsid w:val="005C58EB"/>
    <w:rsid w:val="005F4380"/>
    <w:rsid w:val="00625D32"/>
    <w:rsid w:val="00642FC9"/>
    <w:rsid w:val="006D7A3B"/>
    <w:rsid w:val="007B5462"/>
    <w:rsid w:val="008034BD"/>
    <w:rsid w:val="008346C8"/>
    <w:rsid w:val="00876352"/>
    <w:rsid w:val="008B4137"/>
    <w:rsid w:val="008C767A"/>
    <w:rsid w:val="008E77C6"/>
    <w:rsid w:val="008F2B43"/>
    <w:rsid w:val="00936254"/>
    <w:rsid w:val="009770BB"/>
    <w:rsid w:val="00986C5D"/>
    <w:rsid w:val="009D64B3"/>
    <w:rsid w:val="009E008D"/>
    <w:rsid w:val="00A5465F"/>
    <w:rsid w:val="00A77678"/>
    <w:rsid w:val="00AE6125"/>
    <w:rsid w:val="00B76A89"/>
    <w:rsid w:val="00BC4C95"/>
    <w:rsid w:val="00BD5944"/>
    <w:rsid w:val="00C618C1"/>
    <w:rsid w:val="00CB127C"/>
    <w:rsid w:val="00CB69BE"/>
    <w:rsid w:val="00CF6858"/>
    <w:rsid w:val="00D377B5"/>
    <w:rsid w:val="00D93B31"/>
    <w:rsid w:val="00E9760A"/>
    <w:rsid w:val="00F21466"/>
    <w:rsid w:val="00F242E5"/>
    <w:rsid w:val="00F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5FFD5"/>
  <w15:docId w15:val="{4F8BB2B3-D611-49CB-A2D4-62E97C2A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B76A89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25D32"/>
    <w:pPr>
      <w:keepNext/>
      <w:tabs>
        <w:tab w:val="left" w:pos="567"/>
      </w:tabs>
      <w:spacing w:after="16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25D32"/>
    <w:pPr>
      <w:keepNext/>
      <w:tabs>
        <w:tab w:val="left" w:pos="567"/>
      </w:tabs>
      <w:spacing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B76A89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25D32"/>
    <w:rPr>
      <w:rFonts w:ascii="Arial" w:hAnsi="Arial"/>
      <w:b/>
      <w:sz w:val="24"/>
      <w:szCs w:val="22"/>
      <w:lang w:val="it-IT" w:eastAsia="it-IT"/>
    </w:rPr>
  </w:style>
  <w:style w:type="character" w:customStyle="1" w:styleId="Titolo3Carattere">
    <w:name w:val="Titolo 3 Carattere"/>
    <w:link w:val="Titolo3"/>
    <w:rsid w:val="00625D32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C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C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C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419C-46D9-44B6-BA87-F9C44475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Venturi Luca</cp:lastModifiedBy>
  <cp:revision>30</cp:revision>
  <cp:lastPrinted>2021-02-22T07:45:00Z</cp:lastPrinted>
  <dcterms:created xsi:type="dcterms:W3CDTF">2021-02-04T13:41:00Z</dcterms:created>
  <dcterms:modified xsi:type="dcterms:W3CDTF">2021-02-22T07:49:00Z</dcterms:modified>
</cp:coreProperties>
</file>