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42E5" w:rsidRPr="005C669B" w:rsidRDefault="006C4B81" w:rsidP="006C4B81">
      <w:pPr>
        <w:rPr>
          <w:rFonts w:ascii="Gill Sans MT" w:hAnsi="Gill Sans MT"/>
          <w:b/>
          <w:sz w:val="56"/>
          <w:szCs w:val="56"/>
        </w:rPr>
      </w:pPr>
      <w:bookmarkStart w:id="0" w:name="_GoBack"/>
      <w:bookmarkEnd w:id="0"/>
      <w:r w:rsidRPr="00F04588">
        <w:rPr>
          <w:rFonts w:ascii="Gill Sans MT" w:hAnsi="Gill Sans MT"/>
          <w:b/>
          <w:sz w:val="56"/>
          <w:szCs w:val="56"/>
        </w:rPr>
        <w:t>Rapporto</w:t>
      </w:r>
      <w:r>
        <w:rPr>
          <w:rFonts w:ascii="Gill Sans MT" w:hAnsi="Gill Sans MT"/>
          <w:b/>
          <w:sz w:val="56"/>
          <w:szCs w:val="56"/>
        </w:rPr>
        <w:t xml:space="preserve"> </w:t>
      </w:r>
      <w:r w:rsidRPr="005C669B">
        <w:rPr>
          <w:rFonts w:ascii="Gill Sans MT" w:hAnsi="Gill Sans MT"/>
          <w:b/>
          <w:sz w:val="56"/>
          <w:szCs w:val="56"/>
        </w:rPr>
        <w:t xml:space="preserve">di </w:t>
      </w:r>
      <w:r w:rsidR="0046656D">
        <w:rPr>
          <w:rFonts w:ascii="Gill Sans MT" w:hAnsi="Gill Sans MT"/>
          <w:b/>
          <w:sz w:val="56"/>
          <w:szCs w:val="56"/>
        </w:rPr>
        <w:t>minoranza</w:t>
      </w:r>
    </w:p>
    <w:p w:rsidR="00F242E5" w:rsidRDefault="00F242E5" w:rsidP="00F242E5">
      <w:pPr>
        <w:pStyle w:val="Intestazione"/>
        <w:tabs>
          <w:tab w:val="clear" w:pos="4819"/>
          <w:tab w:val="clear" w:pos="9638"/>
        </w:tabs>
      </w:pPr>
    </w:p>
    <w:p w:rsidR="00F242E5" w:rsidRDefault="00F242E5" w:rsidP="00F242E5">
      <w:pPr>
        <w:pStyle w:val="Intestazione"/>
        <w:tabs>
          <w:tab w:val="clear" w:pos="4819"/>
          <w:tab w:val="clear" w:pos="9638"/>
        </w:tabs>
      </w:pPr>
    </w:p>
    <w:p w:rsidR="00F242E5" w:rsidRDefault="00EA73DD" w:rsidP="00F242E5">
      <w:pPr>
        <w:tabs>
          <w:tab w:val="left" w:pos="2098"/>
          <w:tab w:val="left" w:pos="4962"/>
        </w:tabs>
        <w:rPr>
          <w:position w:val="4"/>
        </w:rPr>
      </w:pPr>
      <w:r>
        <w:rPr>
          <w:b/>
          <w:position w:val="4"/>
          <w:sz w:val="32"/>
          <w:szCs w:val="32"/>
        </w:rPr>
        <w:t>7410</w:t>
      </w:r>
      <w:r w:rsidR="00F242E5" w:rsidRPr="002D7BF1">
        <w:rPr>
          <w:b/>
          <w:position w:val="4"/>
          <w:sz w:val="32"/>
          <w:szCs w:val="32"/>
        </w:rPr>
        <w:t xml:space="preserve"> R</w:t>
      </w:r>
      <w:r w:rsidR="0046656D">
        <w:rPr>
          <w:b/>
          <w:position w:val="4"/>
          <w:sz w:val="32"/>
          <w:szCs w:val="32"/>
        </w:rPr>
        <w:t>2</w:t>
      </w:r>
      <w:r w:rsidR="00F242E5">
        <w:rPr>
          <w:position w:val="4"/>
          <w:sz w:val="28"/>
        </w:rPr>
        <w:tab/>
      </w:r>
      <w:r w:rsidRPr="00CB5DEF">
        <w:rPr>
          <w:position w:val="4"/>
          <w:sz w:val="28"/>
        </w:rPr>
        <w:t>2 febbraio 2021</w:t>
      </w:r>
      <w:r w:rsidR="00F242E5">
        <w:rPr>
          <w:position w:val="4"/>
          <w:sz w:val="28"/>
        </w:rPr>
        <w:tab/>
      </w:r>
      <w:r>
        <w:rPr>
          <w:position w:val="4"/>
          <w:sz w:val="28"/>
        </w:rPr>
        <w:t>FINANZE E ECONOMIA</w:t>
      </w:r>
    </w:p>
    <w:p w:rsidR="00F242E5" w:rsidRDefault="00F242E5" w:rsidP="00F242E5"/>
    <w:p w:rsidR="00F242E5" w:rsidRDefault="00F242E5" w:rsidP="00F242E5"/>
    <w:p w:rsidR="00F242E5" w:rsidRDefault="00F242E5" w:rsidP="00F242E5"/>
    <w:p w:rsidR="00CB127C" w:rsidRPr="007A285B" w:rsidRDefault="00CB127C" w:rsidP="00CB127C">
      <w:pPr>
        <w:rPr>
          <w:rFonts w:cs="Arial"/>
          <w:b/>
          <w:sz w:val="28"/>
        </w:rPr>
      </w:pPr>
      <w:r w:rsidRPr="007A285B">
        <w:rPr>
          <w:rFonts w:cs="Arial"/>
          <w:b/>
          <w:sz w:val="28"/>
        </w:rPr>
        <w:t xml:space="preserve">della Commissione </w:t>
      </w:r>
      <w:r w:rsidR="00EA73DD">
        <w:rPr>
          <w:rFonts w:cs="Arial"/>
          <w:b/>
          <w:sz w:val="28"/>
        </w:rPr>
        <w:t>economia e lavoro</w:t>
      </w:r>
    </w:p>
    <w:p w:rsidR="00715F9C" w:rsidRPr="00715F9C" w:rsidRDefault="00715F9C" w:rsidP="00F357AB">
      <w:pPr>
        <w:spacing w:after="120"/>
        <w:rPr>
          <w:rFonts w:cs="Arial"/>
          <w:b/>
          <w:sz w:val="28"/>
        </w:rPr>
      </w:pPr>
      <w:r>
        <w:rPr>
          <w:rFonts w:cs="Arial"/>
          <w:b/>
          <w:sz w:val="28"/>
        </w:rPr>
        <w:t xml:space="preserve">sulla </w:t>
      </w:r>
      <w:r w:rsidR="00F3387B">
        <w:rPr>
          <w:rFonts w:cs="Arial"/>
          <w:b/>
          <w:sz w:val="28"/>
        </w:rPr>
        <w:t xml:space="preserve">mozione </w:t>
      </w:r>
      <w:r w:rsidRPr="00715F9C">
        <w:rPr>
          <w:rFonts w:cs="Arial"/>
          <w:b/>
          <w:sz w:val="28"/>
        </w:rPr>
        <w:t xml:space="preserve">23 novembre 2015 presentata da Michela Delcò Petralli e cofirmatari </w:t>
      </w:r>
      <w:r w:rsidR="008A7318" w:rsidRPr="00715F9C">
        <w:rPr>
          <w:rFonts w:cs="Arial"/>
          <w:b/>
          <w:sz w:val="28"/>
        </w:rPr>
        <w:t xml:space="preserve">(ripresa da Marco Noi) </w:t>
      </w:r>
      <w:r w:rsidRPr="00715F9C">
        <w:rPr>
          <w:rFonts w:cs="Arial"/>
          <w:b/>
          <w:sz w:val="28"/>
        </w:rPr>
        <w:t>"Criteri per promuovere sbocchi occupazionali per i residenti e uno sviluppo economico sostenibile in Ticino"</w:t>
      </w:r>
    </w:p>
    <w:p w:rsidR="00F3387B" w:rsidRDefault="00F3387B" w:rsidP="00F357AB">
      <w:pPr>
        <w:rPr>
          <w:rFonts w:cs="Arial"/>
          <w:b/>
          <w:sz w:val="26"/>
          <w:szCs w:val="26"/>
        </w:rPr>
      </w:pPr>
      <w:r w:rsidRPr="00AC765F">
        <w:rPr>
          <w:rFonts w:cs="Arial"/>
          <w:b/>
          <w:sz w:val="26"/>
          <w:szCs w:val="26"/>
        </w:rPr>
        <w:t xml:space="preserve">(v. messaggio </w:t>
      </w:r>
      <w:r>
        <w:rPr>
          <w:rFonts w:cs="Arial"/>
          <w:b/>
          <w:sz w:val="26"/>
          <w:szCs w:val="26"/>
        </w:rPr>
        <w:t>6 settembre 2017 n. 7410</w:t>
      </w:r>
      <w:r w:rsidRPr="00AC765F">
        <w:rPr>
          <w:rFonts w:cs="Arial"/>
          <w:b/>
          <w:sz w:val="26"/>
          <w:szCs w:val="26"/>
        </w:rPr>
        <w:t>)</w:t>
      </w:r>
    </w:p>
    <w:p w:rsidR="00F357AB" w:rsidRPr="00F357AB" w:rsidRDefault="00F357AB" w:rsidP="00F357AB">
      <w:pPr>
        <w:rPr>
          <w:rFonts w:cs="Arial"/>
          <w:sz w:val="26"/>
          <w:szCs w:val="26"/>
        </w:rPr>
      </w:pPr>
    </w:p>
    <w:p w:rsidR="00F357AB" w:rsidRPr="00F357AB" w:rsidRDefault="00F357AB" w:rsidP="00F357AB">
      <w:pPr>
        <w:rPr>
          <w:rFonts w:cs="Arial"/>
          <w:sz w:val="26"/>
          <w:szCs w:val="26"/>
        </w:rPr>
      </w:pPr>
    </w:p>
    <w:p w:rsidR="00CB127C" w:rsidRPr="007A285B" w:rsidRDefault="00CB127C" w:rsidP="00F357AB">
      <w:pPr>
        <w:tabs>
          <w:tab w:val="left" w:pos="284"/>
          <w:tab w:val="left" w:pos="426"/>
          <w:tab w:val="left" w:pos="4962"/>
        </w:tabs>
        <w:ind w:right="-1"/>
        <w:rPr>
          <w:rFonts w:cs="Arial"/>
          <w:szCs w:val="24"/>
        </w:rPr>
      </w:pPr>
    </w:p>
    <w:sdt>
      <w:sdtPr>
        <w:rPr>
          <w:rFonts w:ascii="Arial" w:eastAsia="Calibri" w:hAnsi="Arial" w:cs="Times New Roman"/>
          <w:caps/>
          <w:color w:val="auto"/>
          <w:sz w:val="24"/>
          <w:szCs w:val="22"/>
          <w:lang w:val="it-IT" w:eastAsia="en-US"/>
        </w:rPr>
        <w:id w:val="1739982823"/>
        <w:docPartObj>
          <w:docPartGallery w:val="Table of Contents"/>
          <w:docPartUnique/>
        </w:docPartObj>
      </w:sdtPr>
      <w:sdtEndPr>
        <w:rPr>
          <w:b/>
          <w:bCs/>
          <w:szCs w:val="24"/>
        </w:rPr>
      </w:sdtEndPr>
      <w:sdtContent>
        <w:p w:rsidR="00AF30BA" w:rsidRPr="00AF30BA" w:rsidRDefault="00AF30BA">
          <w:pPr>
            <w:pStyle w:val="Titolosommario"/>
            <w:rPr>
              <w:rFonts w:ascii="Arial" w:hAnsi="Arial" w:cs="Arial"/>
              <w:b/>
              <w:color w:val="auto"/>
              <w:sz w:val="24"/>
              <w:szCs w:val="24"/>
            </w:rPr>
          </w:pPr>
          <w:r w:rsidRPr="00AF30BA">
            <w:rPr>
              <w:rFonts w:ascii="Arial" w:hAnsi="Arial" w:cs="Arial"/>
              <w:b/>
              <w:color w:val="auto"/>
              <w:sz w:val="24"/>
              <w:szCs w:val="24"/>
              <w:lang w:val="it-IT"/>
            </w:rPr>
            <w:t>INDICE</w:t>
          </w:r>
        </w:p>
        <w:p w:rsidR="00834FAD" w:rsidRPr="00F357AB" w:rsidRDefault="00AF30BA" w:rsidP="00F357AB">
          <w:pPr>
            <w:pStyle w:val="Sommario1"/>
            <w:tabs>
              <w:tab w:val="left" w:pos="709"/>
              <w:tab w:val="right" w:leader="dot" w:pos="9628"/>
            </w:tabs>
            <w:rPr>
              <w:rFonts w:asciiTheme="minorHAnsi" w:eastAsiaTheme="minorEastAsia" w:hAnsiTheme="minorHAnsi" w:cstheme="minorBidi"/>
              <w:caps w:val="0"/>
              <w:noProof/>
              <w:sz w:val="23"/>
              <w:szCs w:val="23"/>
              <w:lang w:val="it-CH" w:eastAsia="it-CH"/>
            </w:rPr>
          </w:pPr>
          <w:r>
            <w:fldChar w:fldCharType="begin"/>
          </w:r>
          <w:r>
            <w:instrText xml:space="preserve"> TOC \o "1-3" \h \z \u </w:instrText>
          </w:r>
          <w:r>
            <w:fldChar w:fldCharType="separate"/>
          </w:r>
          <w:hyperlink w:anchor="_Toc63332017" w:history="1">
            <w:r w:rsidR="00834FAD" w:rsidRPr="00F357AB">
              <w:rPr>
                <w:rStyle w:val="Collegamentoipertestuale"/>
                <w:noProof/>
                <w:sz w:val="23"/>
                <w:szCs w:val="23"/>
              </w:rPr>
              <w:t>1.</w:t>
            </w:r>
            <w:r w:rsidR="00834FAD" w:rsidRPr="00F357AB">
              <w:rPr>
                <w:rFonts w:asciiTheme="minorHAnsi" w:eastAsiaTheme="minorEastAsia" w:hAnsiTheme="minorHAnsi" w:cstheme="minorBidi"/>
                <w:caps w:val="0"/>
                <w:noProof/>
                <w:sz w:val="23"/>
                <w:szCs w:val="23"/>
                <w:lang w:val="it-CH" w:eastAsia="it-CH"/>
              </w:rPr>
              <w:tab/>
            </w:r>
            <w:r w:rsidR="00834FAD" w:rsidRPr="00F357AB">
              <w:rPr>
                <w:rStyle w:val="Collegamentoipertestuale"/>
                <w:noProof/>
                <w:sz w:val="23"/>
                <w:szCs w:val="23"/>
              </w:rPr>
              <w:t>LA MOZIONE</w:t>
            </w:r>
            <w:r w:rsidR="00834FAD" w:rsidRPr="00F357AB">
              <w:rPr>
                <w:noProof/>
                <w:webHidden/>
                <w:sz w:val="23"/>
                <w:szCs w:val="23"/>
              </w:rPr>
              <w:tab/>
            </w:r>
            <w:r w:rsidR="00834FAD" w:rsidRPr="00F357AB">
              <w:rPr>
                <w:noProof/>
                <w:webHidden/>
                <w:sz w:val="23"/>
                <w:szCs w:val="23"/>
              </w:rPr>
              <w:fldChar w:fldCharType="begin"/>
            </w:r>
            <w:r w:rsidR="00834FAD" w:rsidRPr="00F357AB">
              <w:rPr>
                <w:noProof/>
                <w:webHidden/>
                <w:sz w:val="23"/>
                <w:szCs w:val="23"/>
              </w:rPr>
              <w:instrText xml:space="preserve"> PAGEREF _Toc63332017 \h </w:instrText>
            </w:r>
            <w:r w:rsidR="00834FAD" w:rsidRPr="00F357AB">
              <w:rPr>
                <w:noProof/>
                <w:webHidden/>
                <w:sz w:val="23"/>
                <w:szCs w:val="23"/>
              </w:rPr>
            </w:r>
            <w:r w:rsidR="00834FAD" w:rsidRPr="00F357AB">
              <w:rPr>
                <w:noProof/>
                <w:webHidden/>
                <w:sz w:val="23"/>
                <w:szCs w:val="23"/>
              </w:rPr>
              <w:fldChar w:fldCharType="separate"/>
            </w:r>
            <w:r w:rsidR="00B54761">
              <w:rPr>
                <w:noProof/>
                <w:webHidden/>
                <w:sz w:val="23"/>
                <w:szCs w:val="23"/>
              </w:rPr>
              <w:t>2</w:t>
            </w:r>
            <w:r w:rsidR="00834FAD" w:rsidRPr="00F357AB">
              <w:rPr>
                <w:noProof/>
                <w:webHidden/>
                <w:sz w:val="23"/>
                <w:szCs w:val="23"/>
              </w:rPr>
              <w:fldChar w:fldCharType="end"/>
            </w:r>
          </w:hyperlink>
        </w:p>
        <w:p w:rsidR="00834FAD" w:rsidRPr="00F357AB" w:rsidRDefault="006C4B81" w:rsidP="00F357AB">
          <w:pPr>
            <w:pStyle w:val="Sommario1"/>
            <w:tabs>
              <w:tab w:val="left" w:pos="709"/>
              <w:tab w:val="right" w:leader="dot" w:pos="9628"/>
            </w:tabs>
            <w:rPr>
              <w:rFonts w:asciiTheme="minorHAnsi" w:eastAsiaTheme="minorEastAsia" w:hAnsiTheme="minorHAnsi" w:cstheme="minorBidi"/>
              <w:caps w:val="0"/>
              <w:noProof/>
              <w:sz w:val="23"/>
              <w:szCs w:val="23"/>
              <w:lang w:val="it-CH" w:eastAsia="it-CH"/>
            </w:rPr>
          </w:pPr>
          <w:hyperlink w:anchor="_Toc63332018" w:history="1">
            <w:r w:rsidR="00834FAD" w:rsidRPr="00F357AB">
              <w:rPr>
                <w:rStyle w:val="Collegamentoipertestuale"/>
                <w:noProof/>
                <w:sz w:val="23"/>
                <w:szCs w:val="23"/>
              </w:rPr>
              <w:t>2.</w:t>
            </w:r>
            <w:r w:rsidR="00834FAD" w:rsidRPr="00F357AB">
              <w:rPr>
                <w:rFonts w:asciiTheme="minorHAnsi" w:eastAsiaTheme="minorEastAsia" w:hAnsiTheme="minorHAnsi" w:cstheme="minorBidi"/>
                <w:caps w:val="0"/>
                <w:noProof/>
                <w:sz w:val="23"/>
                <w:szCs w:val="23"/>
                <w:lang w:val="it-CH" w:eastAsia="it-CH"/>
              </w:rPr>
              <w:tab/>
            </w:r>
            <w:r w:rsidR="00834FAD" w:rsidRPr="00F357AB">
              <w:rPr>
                <w:rStyle w:val="Collegamentoipertestuale"/>
                <w:noProof/>
                <w:sz w:val="23"/>
                <w:szCs w:val="23"/>
              </w:rPr>
              <w:t>PRESA DI POSIZIONE DEL CONSIGLIO DI STATO</w:t>
            </w:r>
            <w:r w:rsidR="00834FAD" w:rsidRPr="00F357AB">
              <w:rPr>
                <w:noProof/>
                <w:webHidden/>
                <w:sz w:val="23"/>
                <w:szCs w:val="23"/>
              </w:rPr>
              <w:tab/>
            </w:r>
            <w:r w:rsidR="00834FAD" w:rsidRPr="00F357AB">
              <w:rPr>
                <w:noProof/>
                <w:webHidden/>
                <w:sz w:val="23"/>
                <w:szCs w:val="23"/>
              </w:rPr>
              <w:fldChar w:fldCharType="begin"/>
            </w:r>
            <w:r w:rsidR="00834FAD" w:rsidRPr="00F357AB">
              <w:rPr>
                <w:noProof/>
                <w:webHidden/>
                <w:sz w:val="23"/>
                <w:szCs w:val="23"/>
              </w:rPr>
              <w:instrText xml:space="preserve"> PAGEREF _Toc63332018 \h </w:instrText>
            </w:r>
            <w:r w:rsidR="00834FAD" w:rsidRPr="00F357AB">
              <w:rPr>
                <w:noProof/>
                <w:webHidden/>
                <w:sz w:val="23"/>
                <w:szCs w:val="23"/>
              </w:rPr>
            </w:r>
            <w:r w:rsidR="00834FAD" w:rsidRPr="00F357AB">
              <w:rPr>
                <w:noProof/>
                <w:webHidden/>
                <w:sz w:val="23"/>
                <w:szCs w:val="23"/>
              </w:rPr>
              <w:fldChar w:fldCharType="separate"/>
            </w:r>
            <w:r w:rsidR="00B54761">
              <w:rPr>
                <w:noProof/>
                <w:webHidden/>
                <w:sz w:val="23"/>
                <w:szCs w:val="23"/>
              </w:rPr>
              <w:t>2</w:t>
            </w:r>
            <w:r w:rsidR="00834FAD" w:rsidRPr="00F357AB">
              <w:rPr>
                <w:noProof/>
                <w:webHidden/>
                <w:sz w:val="23"/>
                <w:szCs w:val="23"/>
              </w:rPr>
              <w:fldChar w:fldCharType="end"/>
            </w:r>
          </w:hyperlink>
        </w:p>
        <w:p w:rsidR="00834FAD" w:rsidRPr="00F357AB" w:rsidRDefault="006C4B81" w:rsidP="00F357AB">
          <w:pPr>
            <w:pStyle w:val="Sommario1"/>
            <w:tabs>
              <w:tab w:val="left" w:pos="709"/>
              <w:tab w:val="right" w:leader="dot" w:pos="9628"/>
            </w:tabs>
            <w:rPr>
              <w:rFonts w:asciiTheme="minorHAnsi" w:eastAsiaTheme="minorEastAsia" w:hAnsiTheme="minorHAnsi" w:cstheme="minorBidi"/>
              <w:caps w:val="0"/>
              <w:noProof/>
              <w:sz w:val="23"/>
              <w:szCs w:val="23"/>
              <w:lang w:val="it-CH" w:eastAsia="it-CH"/>
            </w:rPr>
          </w:pPr>
          <w:hyperlink w:anchor="_Toc63332019" w:history="1">
            <w:r w:rsidR="00834FAD" w:rsidRPr="00F357AB">
              <w:rPr>
                <w:rStyle w:val="Collegamentoipertestuale"/>
                <w:noProof/>
                <w:sz w:val="23"/>
                <w:szCs w:val="23"/>
              </w:rPr>
              <w:t>3.</w:t>
            </w:r>
            <w:r w:rsidR="00834FAD" w:rsidRPr="00F357AB">
              <w:rPr>
                <w:rFonts w:asciiTheme="minorHAnsi" w:eastAsiaTheme="minorEastAsia" w:hAnsiTheme="minorHAnsi" w:cstheme="minorBidi"/>
                <w:caps w:val="0"/>
                <w:noProof/>
                <w:sz w:val="23"/>
                <w:szCs w:val="23"/>
                <w:lang w:val="it-CH" w:eastAsia="it-CH"/>
              </w:rPr>
              <w:tab/>
            </w:r>
            <w:r w:rsidR="00834FAD" w:rsidRPr="00F357AB">
              <w:rPr>
                <w:rStyle w:val="Collegamentoipertestuale"/>
                <w:noProof/>
                <w:sz w:val="23"/>
                <w:szCs w:val="23"/>
              </w:rPr>
              <w:t>APPROFONDIMENTI COMMISSIONALI</w:t>
            </w:r>
            <w:r w:rsidR="00834FAD" w:rsidRPr="00F357AB">
              <w:rPr>
                <w:noProof/>
                <w:webHidden/>
                <w:sz w:val="23"/>
                <w:szCs w:val="23"/>
              </w:rPr>
              <w:tab/>
            </w:r>
            <w:r w:rsidR="00834FAD" w:rsidRPr="00F357AB">
              <w:rPr>
                <w:noProof/>
                <w:webHidden/>
                <w:sz w:val="23"/>
                <w:szCs w:val="23"/>
              </w:rPr>
              <w:fldChar w:fldCharType="begin"/>
            </w:r>
            <w:r w:rsidR="00834FAD" w:rsidRPr="00F357AB">
              <w:rPr>
                <w:noProof/>
                <w:webHidden/>
                <w:sz w:val="23"/>
                <w:szCs w:val="23"/>
              </w:rPr>
              <w:instrText xml:space="preserve"> PAGEREF _Toc63332019 \h </w:instrText>
            </w:r>
            <w:r w:rsidR="00834FAD" w:rsidRPr="00F357AB">
              <w:rPr>
                <w:noProof/>
                <w:webHidden/>
                <w:sz w:val="23"/>
                <w:szCs w:val="23"/>
              </w:rPr>
            </w:r>
            <w:r w:rsidR="00834FAD" w:rsidRPr="00F357AB">
              <w:rPr>
                <w:noProof/>
                <w:webHidden/>
                <w:sz w:val="23"/>
                <w:szCs w:val="23"/>
              </w:rPr>
              <w:fldChar w:fldCharType="separate"/>
            </w:r>
            <w:r w:rsidR="00B54761">
              <w:rPr>
                <w:noProof/>
                <w:webHidden/>
                <w:sz w:val="23"/>
                <w:szCs w:val="23"/>
              </w:rPr>
              <w:t>3</w:t>
            </w:r>
            <w:r w:rsidR="00834FAD" w:rsidRPr="00F357AB">
              <w:rPr>
                <w:noProof/>
                <w:webHidden/>
                <w:sz w:val="23"/>
                <w:szCs w:val="23"/>
              </w:rPr>
              <w:fldChar w:fldCharType="end"/>
            </w:r>
          </w:hyperlink>
        </w:p>
        <w:p w:rsidR="00834FAD" w:rsidRPr="00F357AB" w:rsidRDefault="006C4B81" w:rsidP="00F357AB">
          <w:pPr>
            <w:pStyle w:val="Sommario1"/>
            <w:tabs>
              <w:tab w:val="left" w:pos="709"/>
              <w:tab w:val="right" w:leader="dot" w:pos="9628"/>
            </w:tabs>
            <w:rPr>
              <w:rFonts w:asciiTheme="minorHAnsi" w:eastAsiaTheme="minorEastAsia" w:hAnsiTheme="minorHAnsi" w:cstheme="minorBidi"/>
              <w:caps w:val="0"/>
              <w:noProof/>
              <w:sz w:val="23"/>
              <w:szCs w:val="23"/>
              <w:lang w:val="it-CH" w:eastAsia="it-CH"/>
            </w:rPr>
          </w:pPr>
          <w:hyperlink w:anchor="_Toc63332020" w:history="1">
            <w:r w:rsidR="00834FAD" w:rsidRPr="00F357AB">
              <w:rPr>
                <w:rStyle w:val="Collegamentoipertestuale"/>
                <w:noProof/>
                <w:sz w:val="23"/>
                <w:szCs w:val="23"/>
              </w:rPr>
              <w:t>4.</w:t>
            </w:r>
            <w:r w:rsidR="00834FAD" w:rsidRPr="00F357AB">
              <w:rPr>
                <w:rFonts w:asciiTheme="minorHAnsi" w:eastAsiaTheme="minorEastAsia" w:hAnsiTheme="minorHAnsi" w:cstheme="minorBidi"/>
                <w:caps w:val="0"/>
                <w:noProof/>
                <w:sz w:val="23"/>
                <w:szCs w:val="23"/>
                <w:lang w:val="it-CH" w:eastAsia="it-CH"/>
              </w:rPr>
              <w:tab/>
            </w:r>
            <w:r w:rsidR="00834FAD" w:rsidRPr="00F357AB">
              <w:rPr>
                <w:rStyle w:val="Collegamentoipertestuale"/>
                <w:noProof/>
                <w:sz w:val="23"/>
                <w:szCs w:val="23"/>
              </w:rPr>
              <w:t>IL RAPPORTO DI MAGGIORANZA</w:t>
            </w:r>
            <w:r w:rsidR="00834FAD" w:rsidRPr="00F357AB">
              <w:rPr>
                <w:noProof/>
                <w:webHidden/>
                <w:sz w:val="23"/>
                <w:szCs w:val="23"/>
              </w:rPr>
              <w:tab/>
            </w:r>
            <w:r w:rsidR="00834FAD" w:rsidRPr="00F357AB">
              <w:rPr>
                <w:noProof/>
                <w:webHidden/>
                <w:sz w:val="23"/>
                <w:szCs w:val="23"/>
              </w:rPr>
              <w:fldChar w:fldCharType="begin"/>
            </w:r>
            <w:r w:rsidR="00834FAD" w:rsidRPr="00F357AB">
              <w:rPr>
                <w:noProof/>
                <w:webHidden/>
                <w:sz w:val="23"/>
                <w:szCs w:val="23"/>
              </w:rPr>
              <w:instrText xml:space="preserve"> PAGEREF _Toc63332020 \h </w:instrText>
            </w:r>
            <w:r w:rsidR="00834FAD" w:rsidRPr="00F357AB">
              <w:rPr>
                <w:noProof/>
                <w:webHidden/>
                <w:sz w:val="23"/>
                <w:szCs w:val="23"/>
              </w:rPr>
            </w:r>
            <w:r w:rsidR="00834FAD" w:rsidRPr="00F357AB">
              <w:rPr>
                <w:noProof/>
                <w:webHidden/>
                <w:sz w:val="23"/>
                <w:szCs w:val="23"/>
              </w:rPr>
              <w:fldChar w:fldCharType="separate"/>
            </w:r>
            <w:r w:rsidR="00B54761">
              <w:rPr>
                <w:noProof/>
                <w:webHidden/>
                <w:sz w:val="23"/>
                <w:szCs w:val="23"/>
              </w:rPr>
              <w:t>3</w:t>
            </w:r>
            <w:r w:rsidR="00834FAD" w:rsidRPr="00F357AB">
              <w:rPr>
                <w:noProof/>
                <w:webHidden/>
                <w:sz w:val="23"/>
                <w:szCs w:val="23"/>
              </w:rPr>
              <w:fldChar w:fldCharType="end"/>
            </w:r>
          </w:hyperlink>
        </w:p>
        <w:p w:rsidR="00834FAD" w:rsidRPr="00F357AB" w:rsidRDefault="006C4B81" w:rsidP="00F357AB">
          <w:pPr>
            <w:pStyle w:val="Sommario1"/>
            <w:tabs>
              <w:tab w:val="left" w:pos="709"/>
              <w:tab w:val="right" w:leader="dot" w:pos="9628"/>
            </w:tabs>
            <w:rPr>
              <w:rFonts w:asciiTheme="minorHAnsi" w:eastAsiaTheme="minorEastAsia" w:hAnsiTheme="minorHAnsi" w:cstheme="minorBidi"/>
              <w:caps w:val="0"/>
              <w:noProof/>
              <w:sz w:val="23"/>
              <w:szCs w:val="23"/>
              <w:lang w:val="it-CH" w:eastAsia="it-CH"/>
            </w:rPr>
          </w:pPr>
          <w:hyperlink w:anchor="_Toc63332021" w:history="1">
            <w:r w:rsidR="00834FAD" w:rsidRPr="00F357AB">
              <w:rPr>
                <w:rStyle w:val="Collegamentoipertestuale"/>
                <w:noProof/>
                <w:sz w:val="23"/>
                <w:szCs w:val="23"/>
              </w:rPr>
              <w:t>5.</w:t>
            </w:r>
            <w:r w:rsidR="00834FAD" w:rsidRPr="00F357AB">
              <w:rPr>
                <w:rFonts w:asciiTheme="minorHAnsi" w:eastAsiaTheme="minorEastAsia" w:hAnsiTheme="minorHAnsi" w:cstheme="minorBidi"/>
                <w:caps w:val="0"/>
                <w:noProof/>
                <w:sz w:val="23"/>
                <w:szCs w:val="23"/>
                <w:lang w:val="it-CH" w:eastAsia="it-CH"/>
              </w:rPr>
              <w:tab/>
            </w:r>
            <w:r w:rsidR="00834FAD" w:rsidRPr="00F357AB">
              <w:rPr>
                <w:rStyle w:val="Collegamentoipertestuale"/>
                <w:noProof/>
                <w:sz w:val="23"/>
                <w:szCs w:val="23"/>
              </w:rPr>
              <w:t>APPROFONDIMENTI DELLA MINORANZA COMMISSIONALE</w:t>
            </w:r>
            <w:r w:rsidR="00834FAD" w:rsidRPr="00F357AB">
              <w:rPr>
                <w:noProof/>
                <w:webHidden/>
                <w:sz w:val="23"/>
                <w:szCs w:val="23"/>
              </w:rPr>
              <w:tab/>
            </w:r>
            <w:r w:rsidR="00834FAD" w:rsidRPr="00F357AB">
              <w:rPr>
                <w:noProof/>
                <w:webHidden/>
                <w:sz w:val="23"/>
                <w:szCs w:val="23"/>
              </w:rPr>
              <w:fldChar w:fldCharType="begin"/>
            </w:r>
            <w:r w:rsidR="00834FAD" w:rsidRPr="00F357AB">
              <w:rPr>
                <w:noProof/>
                <w:webHidden/>
                <w:sz w:val="23"/>
                <w:szCs w:val="23"/>
              </w:rPr>
              <w:instrText xml:space="preserve"> PAGEREF _Toc63332021 \h </w:instrText>
            </w:r>
            <w:r w:rsidR="00834FAD" w:rsidRPr="00F357AB">
              <w:rPr>
                <w:noProof/>
                <w:webHidden/>
                <w:sz w:val="23"/>
                <w:szCs w:val="23"/>
              </w:rPr>
            </w:r>
            <w:r w:rsidR="00834FAD" w:rsidRPr="00F357AB">
              <w:rPr>
                <w:noProof/>
                <w:webHidden/>
                <w:sz w:val="23"/>
                <w:szCs w:val="23"/>
              </w:rPr>
              <w:fldChar w:fldCharType="separate"/>
            </w:r>
            <w:r w:rsidR="00B54761">
              <w:rPr>
                <w:noProof/>
                <w:webHidden/>
                <w:sz w:val="23"/>
                <w:szCs w:val="23"/>
              </w:rPr>
              <w:t>4</w:t>
            </w:r>
            <w:r w:rsidR="00834FAD" w:rsidRPr="00F357AB">
              <w:rPr>
                <w:noProof/>
                <w:webHidden/>
                <w:sz w:val="23"/>
                <w:szCs w:val="23"/>
              </w:rPr>
              <w:fldChar w:fldCharType="end"/>
            </w:r>
          </w:hyperlink>
        </w:p>
        <w:p w:rsidR="00834FAD" w:rsidRPr="00F357AB" w:rsidRDefault="006C4B81" w:rsidP="00F357AB">
          <w:pPr>
            <w:pStyle w:val="Sommario2"/>
            <w:tabs>
              <w:tab w:val="left" w:pos="709"/>
              <w:tab w:val="right" w:leader="dot" w:pos="9628"/>
            </w:tabs>
            <w:rPr>
              <w:rFonts w:asciiTheme="minorHAnsi" w:eastAsiaTheme="minorEastAsia" w:hAnsiTheme="minorHAnsi" w:cstheme="minorBidi"/>
              <w:noProof/>
              <w:sz w:val="23"/>
              <w:szCs w:val="23"/>
              <w:lang w:val="it-CH" w:eastAsia="it-CH"/>
            </w:rPr>
          </w:pPr>
          <w:hyperlink w:anchor="_Toc63332022" w:history="1">
            <w:r w:rsidR="00834FAD" w:rsidRPr="00F357AB">
              <w:rPr>
                <w:rStyle w:val="Collegamentoipertestuale"/>
                <w:noProof/>
                <w:sz w:val="23"/>
                <w:szCs w:val="23"/>
              </w:rPr>
              <w:t>5.1</w:t>
            </w:r>
            <w:r w:rsidR="00834FAD" w:rsidRPr="00F357AB">
              <w:rPr>
                <w:rFonts w:asciiTheme="minorHAnsi" w:eastAsiaTheme="minorEastAsia" w:hAnsiTheme="minorHAnsi" w:cstheme="minorBidi"/>
                <w:noProof/>
                <w:sz w:val="23"/>
                <w:szCs w:val="23"/>
                <w:lang w:val="it-CH" w:eastAsia="it-CH"/>
              </w:rPr>
              <w:tab/>
            </w:r>
            <w:r w:rsidR="00834FAD" w:rsidRPr="00F357AB">
              <w:rPr>
                <w:rStyle w:val="Collegamentoipertestuale"/>
                <w:noProof/>
                <w:sz w:val="23"/>
                <w:szCs w:val="23"/>
              </w:rPr>
              <w:t>Considerazioni preliminari</w:t>
            </w:r>
            <w:r w:rsidR="00834FAD" w:rsidRPr="00F357AB">
              <w:rPr>
                <w:noProof/>
                <w:webHidden/>
                <w:sz w:val="23"/>
                <w:szCs w:val="23"/>
              </w:rPr>
              <w:tab/>
            </w:r>
            <w:r w:rsidR="00834FAD" w:rsidRPr="00F357AB">
              <w:rPr>
                <w:noProof/>
                <w:webHidden/>
                <w:sz w:val="23"/>
                <w:szCs w:val="23"/>
              </w:rPr>
              <w:fldChar w:fldCharType="begin"/>
            </w:r>
            <w:r w:rsidR="00834FAD" w:rsidRPr="00F357AB">
              <w:rPr>
                <w:noProof/>
                <w:webHidden/>
                <w:sz w:val="23"/>
                <w:szCs w:val="23"/>
              </w:rPr>
              <w:instrText xml:space="preserve"> PAGEREF _Toc63332022 \h </w:instrText>
            </w:r>
            <w:r w:rsidR="00834FAD" w:rsidRPr="00F357AB">
              <w:rPr>
                <w:noProof/>
                <w:webHidden/>
                <w:sz w:val="23"/>
                <w:szCs w:val="23"/>
              </w:rPr>
            </w:r>
            <w:r w:rsidR="00834FAD" w:rsidRPr="00F357AB">
              <w:rPr>
                <w:noProof/>
                <w:webHidden/>
                <w:sz w:val="23"/>
                <w:szCs w:val="23"/>
              </w:rPr>
              <w:fldChar w:fldCharType="separate"/>
            </w:r>
            <w:r w:rsidR="00B54761">
              <w:rPr>
                <w:noProof/>
                <w:webHidden/>
                <w:sz w:val="23"/>
                <w:szCs w:val="23"/>
              </w:rPr>
              <w:t>5</w:t>
            </w:r>
            <w:r w:rsidR="00834FAD" w:rsidRPr="00F357AB">
              <w:rPr>
                <w:noProof/>
                <w:webHidden/>
                <w:sz w:val="23"/>
                <w:szCs w:val="23"/>
              </w:rPr>
              <w:fldChar w:fldCharType="end"/>
            </w:r>
          </w:hyperlink>
        </w:p>
        <w:p w:rsidR="00834FAD" w:rsidRPr="00F357AB" w:rsidRDefault="006C4B81" w:rsidP="00F357AB">
          <w:pPr>
            <w:pStyle w:val="Sommario3"/>
            <w:tabs>
              <w:tab w:val="left" w:pos="709"/>
              <w:tab w:val="right" w:leader="dot" w:pos="9628"/>
            </w:tabs>
            <w:rPr>
              <w:rFonts w:asciiTheme="minorHAnsi" w:eastAsiaTheme="minorEastAsia" w:hAnsiTheme="minorHAnsi" w:cstheme="minorBidi"/>
              <w:noProof/>
              <w:sz w:val="23"/>
              <w:szCs w:val="23"/>
              <w:lang w:val="it-CH" w:eastAsia="it-CH"/>
            </w:rPr>
          </w:pPr>
          <w:hyperlink w:anchor="_Toc63332023" w:history="1">
            <w:r w:rsidR="00834FAD" w:rsidRPr="00F357AB">
              <w:rPr>
                <w:rStyle w:val="Collegamentoipertestuale"/>
                <w:noProof/>
                <w:sz w:val="23"/>
                <w:szCs w:val="23"/>
              </w:rPr>
              <w:t>5.1.1</w:t>
            </w:r>
            <w:r w:rsidR="00834FAD" w:rsidRPr="00F357AB">
              <w:rPr>
                <w:rFonts w:asciiTheme="minorHAnsi" w:eastAsiaTheme="minorEastAsia" w:hAnsiTheme="minorHAnsi" w:cstheme="minorBidi"/>
                <w:noProof/>
                <w:sz w:val="23"/>
                <w:szCs w:val="23"/>
                <w:lang w:val="it-CH" w:eastAsia="it-CH"/>
              </w:rPr>
              <w:tab/>
            </w:r>
            <w:r w:rsidR="00834FAD" w:rsidRPr="00F357AB">
              <w:rPr>
                <w:rStyle w:val="Collegamentoipertestuale"/>
                <w:noProof/>
                <w:sz w:val="23"/>
                <w:szCs w:val="23"/>
              </w:rPr>
              <w:t>Breve istoriato della mozione</w:t>
            </w:r>
            <w:r w:rsidR="00834FAD" w:rsidRPr="00F357AB">
              <w:rPr>
                <w:noProof/>
                <w:webHidden/>
                <w:sz w:val="23"/>
                <w:szCs w:val="23"/>
              </w:rPr>
              <w:tab/>
            </w:r>
            <w:r w:rsidR="00834FAD" w:rsidRPr="00F357AB">
              <w:rPr>
                <w:noProof/>
                <w:webHidden/>
                <w:sz w:val="23"/>
                <w:szCs w:val="23"/>
              </w:rPr>
              <w:fldChar w:fldCharType="begin"/>
            </w:r>
            <w:r w:rsidR="00834FAD" w:rsidRPr="00F357AB">
              <w:rPr>
                <w:noProof/>
                <w:webHidden/>
                <w:sz w:val="23"/>
                <w:szCs w:val="23"/>
              </w:rPr>
              <w:instrText xml:space="preserve"> PAGEREF _Toc63332023 \h </w:instrText>
            </w:r>
            <w:r w:rsidR="00834FAD" w:rsidRPr="00F357AB">
              <w:rPr>
                <w:noProof/>
                <w:webHidden/>
                <w:sz w:val="23"/>
                <w:szCs w:val="23"/>
              </w:rPr>
            </w:r>
            <w:r w:rsidR="00834FAD" w:rsidRPr="00F357AB">
              <w:rPr>
                <w:noProof/>
                <w:webHidden/>
                <w:sz w:val="23"/>
                <w:szCs w:val="23"/>
              </w:rPr>
              <w:fldChar w:fldCharType="separate"/>
            </w:r>
            <w:r w:rsidR="00B54761">
              <w:rPr>
                <w:noProof/>
                <w:webHidden/>
                <w:sz w:val="23"/>
                <w:szCs w:val="23"/>
              </w:rPr>
              <w:t>5</w:t>
            </w:r>
            <w:r w:rsidR="00834FAD" w:rsidRPr="00F357AB">
              <w:rPr>
                <w:noProof/>
                <w:webHidden/>
                <w:sz w:val="23"/>
                <w:szCs w:val="23"/>
              </w:rPr>
              <w:fldChar w:fldCharType="end"/>
            </w:r>
          </w:hyperlink>
        </w:p>
        <w:p w:rsidR="00834FAD" w:rsidRPr="00F357AB" w:rsidRDefault="006C4B81" w:rsidP="00F357AB">
          <w:pPr>
            <w:pStyle w:val="Sommario3"/>
            <w:tabs>
              <w:tab w:val="left" w:pos="709"/>
              <w:tab w:val="right" w:leader="dot" w:pos="9628"/>
            </w:tabs>
            <w:rPr>
              <w:rFonts w:asciiTheme="minorHAnsi" w:eastAsiaTheme="minorEastAsia" w:hAnsiTheme="minorHAnsi" w:cstheme="minorBidi"/>
              <w:noProof/>
              <w:sz w:val="23"/>
              <w:szCs w:val="23"/>
              <w:lang w:val="it-CH" w:eastAsia="it-CH"/>
            </w:rPr>
          </w:pPr>
          <w:hyperlink w:anchor="_Toc63332024" w:history="1">
            <w:r w:rsidR="00834FAD" w:rsidRPr="00F357AB">
              <w:rPr>
                <w:rStyle w:val="Collegamentoipertestuale"/>
                <w:noProof/>
                <w:sz w:val="23"/>
                <w:szCs w:val="23"/>
              </w:rPr>
              <w:t>5.1.2</w:t>
            </w:r>
            <w:r w:rsidR="00834FAD" w:rsidRPr="00F357AB">
              <w:rPr>
                <w:rFonts w:asciiTheme="minorHAnsi" w:eastAsiaTheme="minorEastAsia" w:hAnsiTheme="minorHAnsi" w:cstheme="minorBidi"/>
                <w:noProof/>
                <w:sz w:val="23"/>
                <w:szCs w:val="23"/>
                <w:lang w:val="it-CH" w:eastAsia="it-CH"/>
              </w:rPr>
              <w:tab/>
            </w:r>
            <w:r w:rsidR="00834FAD" w:rsidRPr="00F357AB">
              <w:rPr>
                <w:rStyle w:val="Collegamentoipertestuale"/>
                <w:noProof/>
                <w:sz w:val="23"/>
                <w:szCs w:val="23"/>
              </w:rPr>
              <w:t>Una politica basata sulle evidenze (evidence based policy)</w:t>
            </w:r>
            <w:r w:rsidR="00834FAD" w:rsidRPr="00F357AB">
              <w:rPr>
                <w:noProof/>
                <w:webHidden/>
                <w:sz w:val="23"/>
                <w:szCs w:val="23"/>
              </w:rPr>
              <w:tab/>
            </w:r>
            <w:r w:rsidR="00834FAD" w:rsidRPr="00F357AB">
              <w:rPr>
                <w:noProof/>
                <w:webHidden/>
                <w:sz w:val="23"/>
                <w:szCs w:val="23"/>
              </w:rPr>
              <w:fldChar w:fldCharType="begin"/>
            </w:r>
            <w:r w:rsidR="00834FAD" w:rsidRPr="00F357AB">
              <w:rPr>
                <w:noProof/>
                <w:webHidden/>
                <w:sz w:val="23"/>
                <w:szCs w:val="23"/>
              </w:rPr>
              <w:instrText xml:space="preserve"> PAGEREF _Toc63332024 \h </w:instrText>
            </w:r>
            <w:r w:rsidR="00834FAD" w:rsidRPr="00F357AB">
              <w:rPr>
                <w:noProof/>
                <w:webHidden/>
                <w:sz w:val="23"/>
                <w:szCs w:val="23"/>
              </w:rPr>
            </w:r>
            <w:r w:rsidR="00834FAD" w:rsidRPr="00F357AB">
              <w:rPr>
                <w:noProof/>
                <w:webHidden/>
                <w:sz w:val="23"/>
                <w:szCs w:val="23"/>
              </w:rPr>
              <w:fldChar w:fldCharType="separate"/>
            </w:r>
            <w:r w:rsidR="00B54761">
              <w:rPr>
                <w:noProof/>
                <w:webHidden/>
                <w:sz w:val="23"/>
                <w:szCs w:val="23"/>
              </w:rPr>
              <w:t>6</w:t>
            </w:r>
            <w:r w:rsidR="00834FAD" w:rsidRPr="00F357AB">
              <w:rPr>
                <w:noProof/>
                <w:webHidden/>
                <w:sz w:val="23"/>
                <w:szCs w:val="23"/>
              </w:rPr>
              <w:fldChar w:fldCharType="end"/>
            </w:r>
          </w:hyperlink>
        </w:p>
        <w:p w:rsidR="00834FAD" w:rsidRPr="00F357AB" w:rsidRDefault="006C4B81" w:rsidP="00F357AB">
          <w:pPr>
            <w:pStyle w:val="Sommario3"/>
            <w:tabs>
              <w:tab w:val="left" w:pos="709"/>
              <w:tab w:val="right" w:leader="dot" w:pos="9628"/>
            </w:tabs>
            <w:rPr>
              <w:rFonts w:asciiTheme="minorHAnsi" w:eastAsiaTheme="minorEastAsia" w:hAnsiTheme="minorHAnsi" w:cstheme="minorBidi"/>
              <w:noProof/>
              <w:sz w:val="23"/>
              <w:szCs w:val="23"/>
              <w:lang w:val="it-CH" w:eastAsia="it-CH"/>
            </w:rPr>
          </w:pPr>
          <w:hyperlink w:anchor="_Toc63332025" w:history="1">
            <w:r w:rsidR="00834FAD" w:rsidRPr="00F357AB">
              <w:rPr>
                <w:rStyle w:val="Collegamentoipertestuale"/>
                <w:noProof/>
                <w:sz w:val="23"/>
                <w:szCs w:val="23"/>
              </w:rPr>
              <w:t>5.1.3</w:t>
            </w:r>
            <w:r w:rsidR="00834FAD" w:rsidRPr="00F357AB">
              <w:rPr>
                <w:rFonts w:asciiTheme="minorHAnsi" w:eastAsiaTheme="minorEastAsia" w:hAnsiTheme="minorHAnsi" w:cstheme="minorBidi"/>
                <w:noProof/>
                <w:sz w:val="23"/>
                <w:szCs w:val="23"/>
                <w:lang w:val="it-CH" w:eastAsia="it-CH"/>
              </w:rPr>
              <w:tab/>
            </w:r>
            <w:r w:rsidR="00834FAD" w:rsidRPr="00F357AB">
              <w:rPr>
                <w:rStyle w:val="Collegamentoipertestuale"/>
                <w:noProof/>
                <w:sz w:val="23"/>
                <w:szCs w:val="23"/>
              </w:rPr>
              <w:t>Il concetto di sostenibilità</w:t>
            </w:r>
            <w:r w:rsidR="00834FAD" w:rsidRPr="00F357AB">
              <w:rPr>
                <w:noProof/>
                <w:webHidden/>
                <w:sz w:val="23"/>
                <w:szCs w:val="23"/>
              </w:rPr>
              <w:tab/>
            </w:r>
            <w:r w:rsidR="00834FAD" w:rsidRPr="00F357AB">
              <w:rPr>
                <w:noProof/>
                <w:webHidden/>
                <w:sz w:val="23"/>
                <w:szCs w:val="23"/>
              </w:rPr>
              <w:fldChar w:fldCharType="begin"/>
            </w:r>
            <w:r w:rsidR="00834FAD" w:rsidRPr="00F357AB">
              <w:rPr>
                <w:noProof/>
                <w:webHidden/>
                <w:sz w:val="23"/>
                <w:szCs w:val="23"/>
              </w:rPr>
              <w:instrText xml:space="preserve"> PAGEREF _Toc63332025 \h </w:instrText>
            </w:r>
            <w:r w:rsidR="00834FAD" w:rsidRPr="00F357AB">
              <w:rPr>
                <w:noProof/>
                <w:webHidden/>
                <w:sz w:val="23"/>
                <w:szCs w:val="23"/>
              </w:rPr>
            </w:r>
            <w:r w:rsidR="00834FAD" w:rsidRPr="00F357AB">
              <w:rPr>
                <w:noProof/>
                <w:webHidden/>
                <w:sz w:val="23"/>
                <w:szCs w:val="23"/>
              </w:rPr>
              <w:fldChar w:fldCharType="separate"/>
            </w:r>
            <w:r w:rsidR="00B54761">
              <w:rPr>
                <w:noProof/>
                <w:webHidden/>
                <w:sz w:val="23"/>
                <w:szCs w:val="23"/>
              </w:rPr>
              <w:t>7</w:t>
            </w:r>
            <w:r w:rsidR="00834FAD" w:rsidRPr="00F357AB">
              <w:rPr>
                <w:noProof/>
                <w:webHidden/>
                <w:sz w:val="23"/>
                <w:szCs w:val="23"/>
              </w:rPr>
              <w:fldChar w:fldCharType="end"/>
            </w:r>
          </w:hyperlink>
        </w:p>
        <w:p w:rsidR="00834FAD" w:rsidRPr="00F357AB" w:rsidRDefault="006C4B81" w:rsidP="00F357AB">
          <w:pPr>
            <w:pStyle w:val="Sommario2"/>
            <w:tabs>
              <w:tab w:val="left" w:pos="709"/>
              <w:tab w:val="right" w:leader="dot" w:pos="9628"/>
            </w:tabs>
            <w:rPr>
              <w:rFonts w:asciiTheme="minorHAnsi" w:eastAsiaTheme="minorEastAsia" w:hAnsiTheme="minorHAnsi" w:cstheme="minorBidi"/>
              <w:noProof/>
              <w:sz w:val="23"/>
              <w:szCs w:val="23"/>
              <w:lang w:val="it-CH" w:eastAsia="it-CH"/>
            </w:rPr>
          </w:pPr>
          <w:hyperlink w:anchor="_Toc63332026" w:history="1">
            <w:r w:rsidR="00834FAD" w:rsidRPr="00F357AB">
              <w:rPr>
                <w:rStyle w:val="Collegamentoipertestuale"/>
                <w:noProof/>
                <w:sz w:val="23"/>
                <w:szCs w:val="23"/>
              </w:rPr>
              <w:t>5.2</w:t>
            </w:r>
            <w:r w:rsidR="00834FAD" w:rsidRPr="00F357AB">
              <w:rPr>
                <w:rFonts w:asciiTheme="minorHAnsi" w:eastAsiaTheme="minorEastAsia" w:hAnsiTheme="minorHAnsi" w:cstheme="minorBidi"/>
                <w:noProof/>
                <w:sz w:val="23"/>
                <w:szCs w:val="23"/>
                <w:lang w:val="it-CH" w:eastAsia="it-CH"/>
              </w:rPr>
              <w:tab/>
            </w:r>
            <w:r w:rsidR="00834FAD" w:rsidRPr="00F357AB">
              <w:rPr>
                <w:rStyle w:val="Collegamentoipertestuale"/>
                <w:noProof/>
                <w:sz w:val="23"/>
                <w:szCs w:val="23"/>
              </w:rPr>
              <w:t>Valutazione della sostenibilità</w:t>
            </w:r>
            <w:r w:rsidR="00834FAD" w:rsidRPr="00F357AB">
              <w:rPr>
                <w:noProof/>
                <w:webHidden/>
                <w:sz w:val="23"/>
                <w:szCs w:val="23"/>
              </w:rPr>
              <w:tab/>
            </w:r>
            <w:r w:rsidR="00834FAD" w:rsidRPr="00F357AB">
              <w:rPr>
                <w:noProof/>
                <w:webHidden/>
                <w:sz w:val="23"/>
                <w:szCs w:val="23"/>
              </w:rPr>
              <w:fldChar w:fldCharType="begin"/>
            </w:r>
            <w:r w:rsidR="00834FAD" w:rsidRPr="00F357AB">
              <w:rPr>
                <w:noProof/>
                <w:webHidden/>
                <w:sz w:val="23"/>
                <w:szCs w:val="23"/>
              </w:rPr>
              <w:instrText xml:space="preserve"> PAGEREF _Toc63332026 \h </w:instrText>
            </w:r>
            <w:r w:rsidR="00834FAD" w:rsidRPr="00F357AB">
              <w:rPr>
                <w:noProof/>
                <w:webHidden/>
                <w:sz w:val="23"/>
                <w:szCs w:val="23"/>
              </w:rPr>
            </w:r>
            <w:r w:rsidR="00834FAD" w:rsidRPr="00F357AB">
              <w:rPr>
                <w:noProof/>
                <w:webHidden/>
                <w:sz w:val="23"/>
                <w:szCs w:val="23"/>
              </w:rPr>
              <w:fldChar w:fldCharType="separate"/>
            </w:r>
            <w:r w:rsidR="00B54761">
              <w:rPr>
                <w:noProof/>
                <w:webHidden/>
                <w:sz w:val="23"/>
                <w:szCs w:val="23"/>
              </w:rPr>
              <w:t>8</w:t>
            </w:r>
            <w:r w:rsidR="00834FAD" w:rsidRPr="00F357AB">
              <w:rPr>
                <w:noProof/>
                <w:webHidden/>
                <w:sz w:val="23"/>
                <w:szCs w:val="23"/>
              </w:rPr>
              <w:fldChar w:fldCharType="end"/>
            </w:r>
          </w:hyperlink>
        </w:p>
        <w:p w:rsidR="00834FAD" w:rsidRPr="00F357AB" w:rsidRDefault="006C4B81" w:rsidP="00F357AB">
          <w:pPr>
            <w:pStyle w:val="Sommario3"/>
            <w:tabs>
              <w:tab w:val="left" w:pos="709"/>
              <w:tab w:val="right" w:leader="dot" w:pos="9628"/>
            </w:tabs>
            <w:rPr>
              <w:rFonts w:asciiTheme="minorHAnsi" w:eastAsiaTheme="minorEastAsia" w:hAnsiTheme="minorHAnsi" w:cstheme="minorBidi"/>
              <w:noProof/>
              <w:sz w:val="23"/>
              <w:szCs w:val="23"/>
              <w:lang w:val="it-CH" w:eastAsia="it-CH"/>
            </w:rPr>
          </w:pPr>
          <w:hyperlink w:anchor="_Toc63332027" w:history="1">
            <w:r w:rsidR="00834FAD" w:rsidRPr="00F357AB">
              <w:rPr>
                <w:rStyle w:val="Collegamentoipertestuale"/>
                <w:noProof/>
                <w:sz w:val="23"/>
                <w:szCs w:val="23"/>
              </w:rPr>
              <w:t xml:space="preserve">5.2.1 </w:t>
            </w:r>
            <w:r w:rsidR="00834FAD" w:rsidRPr="00F357AB">
              <w:rPr>
                <w:rFonts w:asciiTheme="minorHAnsi" w:eastAsiaTheme="minorEastAsia" w:hAnsiTheme="minorHAnsi" w:cstheme="minorBidi"/>
                <w:noProof/>
                <w:sz w:val="23"/>
                <w:szCs w:val="23"/>
                <w:lang w:val="it-CH" w:eastAsia="it-CH"/>
              </w:rPr>
              <w:tab/>
            </w:r>
            <w:r w:rsidR="00834FAD" w:rsidRPr="00F357AB">
              <w:rPr>
                <w:rStyle w:val="Collegamentoipertestuale"/>
                <w:noProof/>
                <w:sz w:val="23"/>
                <w:szCs w:val="23"/>
              </w:rPr>
              <w:t>Strumento del VSost per valutare la sostenibilità della PER</w:t>
            </w:r>
            <w:r w:rsidR="00834FAD" w:rsidRPr="00F357AB">
              <w:rPr>
                <w:noProof/>
                <w:webHidden/>
                <w:sz w:val="23"/>
                <w:szCs w:val="23"/>
              </w:rPr>
              <w:tab/>
            </w:r>
            <w:r w:rsidR="00834FAD" w:rsidRPr="00F357AB">
              <w:rPr>
                <w:noProof/>
                <w:webHidden/>
                <w:sz w:val="23"/>
                <w:szCs w:val="23"/>
              </w:rPr>
              <w:fldChar w:fldCharType="begin"/>
            </w:r>
            <w:r w:rsidR="00834FAD" w:rsidRPr="00F357AB">
              <w:rPr>
                <w:noProof/>
                <w:webHidden/>
                <w:sz w:val="23"/>
                <w:szCs w:val="23"/>
              </w:rPr>
              <w:instrText xml:space="preserve"> PAGEREF _Toc63332027 \h </w:instrText>
            </w:r>
            <w:r w:rsidR="00834FAD" w:rsidRPr="00F357AB">
              <w:rPr>
                <w:noProof/>
                <w:webHidden/>
                <w:sz w:val="23"/>
                <w:szCs w:val="23"/>
              </w:rPr>
            </w:r>
            <w:r w:rsidR="00834FAD" w:rsidRPr="00F357AB">
              <w:rPr>
                <w:noProof/>
                <w:webHidden/>
                <w:sz w:val="23"/>
                <w:szCs w:val="23"/>
              </w:rPr>
              <w:fldChar w:fldCharType="separate"/>
            </w:r>
            <w:r w:rsidR="00B54761">
              <w:rPr>
                <w:noProof/>
                <w:webHidden/>
                <w:sz w:val="23"/>
                <w:szCs w:val="23"/>
              </w:rPr>
              <w:t>8</w:t>
            </w:r>
            <w:r w:rsidR="00834FAD" w:rsidRPr="00F357AB">
              <w:rPr>
                <w:noProof/>
                <w:webHidden/>
                <w:sz w:val="23"/>
                <w:szCs w:val="23"/>
              </w:rPr>
              <w:fldChar w:fldCharType="end"/>
            </w:r>
          </w:hyperlink>
        </w:p>
        <w:p w:rsidR="00834FAD" w:rsidRPr="00F357AB" w:rsidRDefault="006C4B81" w:rsidP="00F357AB">
          <w:pPr>
            <w:pStyle w:val="Sommario3"/>
            <w:tabs>
              <w:tab w:val="left" w:pos="709"/>
              <w:tab w:val="right" w:leader="dot" w:pos="9628"/>
            </w:tabs>
            <w:jc w:val="left"/>
            <w:rPr>
              <w:rFonts w:asciiTheme="minorHAnsi" w:eastAsiaTheme="minorEastAsia" w:hAnsiTheme="minorHAnsi" w:cstheme="minorBidi"/>
              <w:noProof/>
              <w:sz w:val="23"/>
              <w:szCs w:val="23"/>
              <w:lang w:val="it-CH" w:eastAsia="it-CH"/>
            </w:rPr>
          </w:pPr>
          <w:hyperlink w:anchor="_Toc63332028" w:history="1">
            <w:r w:rsidR="00834FAD" w:rsidRPr="00F357AB">
              <w:rPr>
                <w:rStyle w:val="Collegamentoipertestuale"/>
                <w:noProof/>
                <w:sz w:val="23"/>
                <w:szCs w:val="23"/>
              </w:rPr>
              <w:t>5.2.2</w:t>
            </w:r>
            <w:r w:rsidR="00834FAD" w:rsidRPr="00F357AB">
              <w:rPr>
                <w:rFonts w:asciiTheme="minorHAnsi" w:eastAsiaTheme="minorEastAsia" w:hAnsiTheme="minorHAnsi" w:cstheme="minorBidi"/>
                <w:noProof/>
                <w:sz w:val="23"/>
                <w:szCs w:val="23"/>
                <w:lang w:val="it-CH" w:eastAsia="it-CH"/>
              </w:rPr>
              <w:tab/>
            </w:r>
            <w:r w:rsidR="00834FAD" w:rsidRPr="00F357AB">
              <w:rPr>
                <w:rStyle w:val="Collegamentoipertestuale"/>
                <w:noProof/>
                <w:sz w:val="23"/>
                <w:szCs w:val="23"/>
              </w:rPr>
              <w:t>Strumento di valutazione della sostenibilità nella LInn (ROI - Return of investment)</w:t>
            </w:r>
            <w:r w:rsidR="00834FAD" w:rsidRPr="00F357AB">
              <w:rPr>
                <w:noProof/>
                <w:webHidden/>
                <w:sz w:val="23"/>
                <w:szCs w:val="23"/>
              </w:rPr>
              <w:tab/>
            </w:r>
            <w:r w:rsidR="00834FAD" w:rsidRPr="00F357AB">
              <w:rPr>
                <w:noProof/>
                <w:webHidden/>
                <w:sz w:val="23"/>
                <w:szCs w:val="23"/>
              </w:rPr>
              <w:fldChar w:fldCharType="begin"/>
            </w:r>
            <w:r w:rsidR="00834FAD" w:rsidRPr="00F357AB">
              <w:rPr>
                <w:noProof/>
                <w:webHidden/>
                <w:sz w:val="23"/>
                <w:szCs w:val="23"/>
              </w:rPr>
              <w:instrText xml:space="preserve"> PAGEREF _Toc63332028 \h </w:instrText>
            </w:r>
            <w:r w:rsidR="00834FAD" w:rsidRPr="00F357AB">
              <w:rPr>
                <w:noProof/>
                <w:webHidden/>
                <w:sz w:val="23"/>
                <w:szCs w:val="23"/>
              </w:rPr>
            </w:r>
            <w:r w:rsidR="00834FAD" w:rsidRPr="00F357AB">
              <w:rPr>
                <w:noProof/>
                <w:webHidden/>
                <w:sz w:val="23"/>
                <w:szCs w:val="23"/>
              </w:rPr>
              <w:fldChar w:fldCharType="separate"/>
            </w:r>
            <w:r w:rsidR="00B54761">
              <w:rPr>
                <w:noProof/>
                <w:webHidden/>
                <w:sz w:val="23"/>
                <w:szCs w:val="23"/>
              </w:rPr>
              <w:t>9</w:t>
            </w:r>
            <w:r w:rsidR="00834FAD" w:rsidRPr="00F357AB">
              <w:rPr>
                <w:noProof/>
                <w:webHidden/>
                <w:sz w:val="23"/>
                <w:szCs w:val="23"/>
              </w:rPr>
              <w:fldChar w:fldCharType="end"/>
            </w:r>
          </w:hyperlink>
        </w:p>
        <w:p w:rsidR="00834FAD" w:rsidRPr="00F357AB" w:rsidRDefault="006C4B81" w:rsidP="00F357AB">
          <w:pPr>
            <w:pStyle w:val="Sommario2"/>
            <w:tabs>
              <w:tab w:val="left" w:pos="709"/>
              <w:tab w:val="right" w:leader="dot" w:pos="9628"/>
            </w:tabs>
            <w:rPr>
              <w:rFonts w:asciiTheme="minorHAnsi" w:eastAsiaTheme="minorEastAsia" w:hAnsiTheme="minorHAnsi" w:cstheme="minorBidi"/>
              <w:noProof/>
              <w:sz w:val="23"/>
              <w:szCs w:val="23"/>
              <w:lang w:val="it-CH" w:eastAsia="it-CH"/>
            </w:rPr>
          </w:pPr>
          <w:hyperlink w:anchor="_Toc63332029" w:history="1">
            <w:r w:rsidR="00834FAD" w:rsidRPr="00F357AB">
              <w:rPr>
                <w:rStyle w:val="Collegamentoipertestuale"/>
                <w:noProof/>
                <w:sz w:val="23"/>
                <w:szCs w:val="23"/>
              </w:rPr>
              <w:t>5.3</w:t>
            </w:r>
            <w:r w:rsidR="00834FAD" w:rsidRPr="00F357AB">
              <w:rPr>
                <w:rFonts w:asciiTheme="minorHAnsi" w:eastAsiaTheme="minorEastAsia" w:hAnsiTheme="minorHAnsi" w:cstheme="minorBidi"/>
                <w:noProof/>
                <w:sz w:val="23"/>
                <w:szCs w:val="23"/>
                <w:lang w:val="it-CH" w:eastAsia="it-CH"/>
              </w:rPr>
              <w:tab/>
            </w:r>
            <w:r w:rsidR="00834FAD" w:rsidRPr="00F357AB">
              <w:rPr>
                <w:rStyle w:val="Collegamentoipertestuale"/>
                <w:noProof/>
                <w:sz w:val="23"/>
                <w:szCs w:val="23"/>
              </w:rPr>
              <w:t>Valutazione dei dati statistici</w:t>
            </w:r>
            <w:r w:rsidR="00834FAD" w:rsidRPr="00F357AB">
              <w:rPr>
                <w:noProof/>
                <w:webHidden/>
                <w:sz w:val="23"/>
                <w:szCs w:val="23"/>
              </w:rPr>
              <w:tab/>
            </w:r>
            <w:r w:rsidR="00834FAD" w:rsidRPr="00F357AB">
              <w:rPr>
                <w:noProof/>
                <w:webHidden/>
                <w:sz w:val="23"/>
                <w:szCs w:val="23"/>
              </w:rPr>
              <w:fldChar w:fldCharType="begin"/>
            </w:r>
            <w:r w:rsidR="00834FAD" w:rsidRPr="00F357AB">
              <w:rPr>
                <w:noProof/>
                <w:webHidden/>
                <w:sz w:val="23"/>
                <w:szCs w:val="23"/>
              </w:rPr>
              <w:instrText xml:space="preserve"> PAGEREF _Toc63332029 \h </w:instrText>
            </w:r>
            <w:r w:rsidR="00834FAD" w:rsidRPr="00F357AB">
              <w:rPr>
                <w:noProof/>
                <w:webHidden/>
                <w:sz w:val="23"/>
                <w:szCs w:val="23"/>
              </w:rPr>
            </w:r>
            <w:r w:rsidR="00834FAD" w:rsidRPr="00F357AB">
              <w:rPr>
                <w:noProof/>
                <w:webHidden/>
                <w:sz w:val="23"/>
                <w:szCs w:val="23"/>
              </w:rPr>
              <w:fldChar w:fldCharType="separate"/>
            </w:r>
            <w:r w:rsidR="00B54761">
              <w:rPr>
                <w:noProof/>
                <w:webHidden/>
                <w:sz w:val="23"/>
                <w:szCs w:val="23"/>
              </w:rPr>
              <w:t>10</w:t>
            </w:r>
            <w:r w:rsidR="00834FAD" w:rsidRPr="00F357AB">
              <w:rPr>
                <w:noProof/>
                <w:webHidden/>
                <w:sz w:val="23"/>
                <w:szCs w:val="23"/>
              </w:rPr>
              <w:fldChar w:fldCharType="end"/>
            </w:r>
          </w:hyperlink>
        </w:p>
        <w:p w:rsidR="00834FAD" w:rsidRPr="00F357AB" w:rsidRDefault="006C4B81" w:rsidP="00F357AB">
          <w:pPr>
            <w:pStyle w:val="Sommario3"/>
            <w:tabs>
              <w:tab w:val="left" w:pos="709"/>
              <w:tab w:val="right" w:leader="dot" w:pos="9628"/>
            </w:tabs>
            <w:rPr>
              <w:rFonts w:asciiTheme="minorHAnsi" w:eastAsiaTheme="minorEastAsia" w:hAnsiTheme="minorHAnsi" w:cstheme="minorBidi"/>
              <w:noProof/>
              <w:sz w:val="23"/>
              <w:szCs w:val="23"/>
              <w:lang w:val="it-CH" w:eastAsia="it-CH"/>
            </w:rPr>
          </w:pPr>
          <w:hyperlink w:anchor="_Toc63332030" w:history="1">
            <w:r w:rsidR="00834FAD" w:rsidRPr="00F357AB">
              <w:rPr>
                <w:rStyle w:val="Collegamentoipertestuale"/>
                <w:noProof/>
                <w:sz w:val="23"/>
                <w:szCs w:val="23"/>
              </w:rPr>
              <w:t>5.3.1</w:t>
            </w:r>
            <w:r w:rsidR="00834FAD" w:rsidRPr="00F357AB">
              <w:rPr>
                <w:rFonts w:asciiTheme="minorHAnsi" w:eastAsiaTheme="minorEastAsia" w:hAnsiTheme="minorHAnsi" w:cstheme="minorBidi"/>
                <w:noProof/>
                <w:sz w:val="23"/>
                <w:szCs w:val="23"/>
                <w:lang w:val="it-CH" w:eastAsia="it-CH"/>
              </w:rPr>
              <w:tab/>
            </w:r>
            <w:r w:rsidR="00834FAD" w:rsidRPr="00F357AB">
              <w:rPr>
                <w:rStyle w:val="Collegamentoipertestuale"/>
                <w:noProof/>
                <w:sz w:val="23"/>
                <w:szCs w:val="23"/>
              </w:rPr>
              <w:t>Indicatori sull’evoluzione globale della politica economica cantonale</w:t>
            </w:r>
            <w:r w:rsidR="00834FAD" w:rsidRPr="00F357AB">
              <w:rPr>
                <w:noProof/>
                <w:webHidden/>
                <w:sz w:val="23"/>
                <w:szCs w:val="23"/>
              </w:rPr>
              <w:tab/>
            </w:r>
            <w:r w:rsidR="00834FAD" w:rsidRPr="00F357AB">
              <w:rPr>
                <w:noProof/>
                <w:webHidden/>
                <w:sz w:val="23"/>
                <w:szCs w:val="23"/>
              </w:rPr>
              <w:fldChar w:fldCharType="begin"/>
            </w:r>
            <w:r w:rsidR="00834FAD" w:rsidRPr="00F357AB">
              <w:rPr>
                <w:noProof/>
                <w:webHidden/>
                <w:sz w:val="23"/>
                <w:szCs w:val="23"/>
              </w:rPr>
              <w:instrText xml:space="preserve"> PAGEREF _Toc63332030 \h </w:instrText>
            </w:r>
            <w:r w:rsidR="00834FAD" w:rsidRPr="00F357AB">
              <w:rPr>
                <w:noProof/>
                <w:webHidden/>
                <w:sz w:val="23"/>
                <w:szCs w:val="23"/>
              </w:rPr>
            </w:r>
            <w:r w:rsidR="00834FAD" w:rsidRPr="00F357AB">
              <w:rPr>
                <w:noProof/>
                <w:webHidden/>
                <w:sz w:val="23"/>
                <w:szCs w:val="23"/>
              </w:rPr>
              <w:fldChar w:fldCharType="separate"/>
            </w:r>
            <w:r w:rsidR="00B54761">
              <w:rPr>
                <w:noProof/>
                <w:webHidden/>
                <w:sz w:val="23"/>
                <w:szCs w:val="23"/>
              </w:rPr>
              <w:t>10</w:t>
            </w:r>
            <w:r w:rsidR="00834FAD" w:rsidRPr="00F357AB">
              <w:rPr>
                <w:noProof/>
                <w:webHidden/>
                <w:sz w:val="23"/>
                <w:szCs w:val="23"/>
              </w:rPr>
              <w:fldChar w:fldCharType="end"/>
            </w:r>
          </w:hyperlink>
        </w:p>
        <w:p w:rsidR="00834FAD" w:rsidRPr="00F357AB" w:rsidRDefault="006C4B81" w:rsidP="00F357AB">
          <w:pPr>
            <w:pStyle w:val="Sommario3"/>
            <w:tabs>
              <w:tab w:val="left" w:pos="709"/>
              <w:tab w:val="right" w:leader="dot" w:pos="9628"/>
            </w:tabs>
            <w:rPr>
              <w:rFonts w:asciiTheme="minorHAnsi" w:eastAsiaTheme="minorEastAsia" w:hAnsiTheme="minorHAnsi" w:cstheme="minorBidi"/>
              <w:noProof/>
              <w:sz w:val="23"/>
              <w:szCs w:val="23"/>
              <w:lang w:val="it-CH" w:eastAsia="it-CH"/>
            </w:rPr>
          </w:pPr>
          <w:hyperlink w:anchor="_Toc63332031" w:history="1">
            <w:r w:rsidR="00834FAD" w:rsidRPr="00F357AB">
              <w:rPr>
                <w:rStyle w:val="Collegamentoipertestuale"/>
                <w:noProof/>
                <w:sz w:val="23"/>
                <w:szCs w:val="23"/>
              </w:rPr>
              <w:t>5.3.2</w:t>
            </w:r>
            <w:r w:rsidR="00834FAD" w:rsidRPr="00F357AB">
              <w:rPr>
                <w:rFonts w:asciiTheme="minorHAnsi" w:eastAsiaTheme="minorEastAsia" w:hAnsiTheme="minorHAnsi" w:cstheme="minorBidi"/>
                <w:noProof/>
                <w:sz w:val="23"/>
                <w:szCs w:val="23"/>
                <w:lang w:val="it-CH" w:eastAsia="it-CH"/>
              </w:rPr>
              <w:tab/>
            </w:r>
            <w:r w:rsidR="00834FAD" w:rsidRPr="00F357AB">
              <w:rPr>
                <w:rStyle w:val="Collegamentoipertestuale"/>
                <w:noProof/>
                <w:sz w:val="23"/>
                <w:szCs w:val="23"/>
              </w:rPr>
              <w:t>Indicatore sulla ripartizione nella popolazione dell'indotto finanziario</w:t>
            </w:r>
            <w:r w:rsidR="00834FAD" w:rsidRPr="00F357AB">
              <w:rPr>
                <w:noProof/>
                <w:webHidden/>
                <w:sz w:val="23"/>
                <w:szCs w:val="23"/>
              </w:rPr>
              <w:tab/>
            </w:r>
            <w:r w:rsidR="00834FAD" w:rsidRPr="00F357AB">
              <w:rPr>
                <w:noProof/>
                <w:webHidden/>
                <w:sz w:val="23"/>
                <w:szCs w:val="23"/>
              </w:rPr>
              <w:fldChar w:fldCharType="begin"/>
            </w:r>
            <w:r w:rsidR="00834FAD" w:rsidRPr="00F357AB">
              <w:rPr>
                <w:noProof/>
                <w:webHidden/>
                <w:sz w:val="23"/>
                <w:szCs w:val="23"/>
              </w:rPr>
              <w:instrText xml:space="preserve"> PAGEREF _Toc63332031 \h </w:instrText>
            </w:r>
            <w:r w:rsidR="00834FAD" w:rsidRPr="00F357AB">
              <w:rPr>
                <w:noProof/>
                <w:webHidden/>
                <w:sz w:val="23"/>
                <w:szCs w:val="23"/>
              </w:rPr>
            </w:r>
            <w:r w:rsidR="00834FAD" w:rsidRPr="00F357AB">
              <w:rPr>
                <w:noProof/>
                <w:webHidden/>
                <w:sz w:val="23"/>
                <w:szCs w:val="23"/>
              </w:rPr>
              <w:fldChar w:fldCharType="separate"/>
            </w:r>
            <w:r w:rsidR="00B54761">
              <w:rPr>
                <w:noProof/>
                <w:webHidden/>
                <w:sz w:val="23"/>
                <w:szCs w:val="23"/>
              </w:rPr>
              <w:t>12</w:t>
            </w:r>
            <w:r w:rsidR="00834FAD" w:rsidRPr="00F357AB">
              <w:rPr>
                <w:noProof/>
                <w:webHidden/>
                <w:sz w:val="23"/>
                <w:szCs w:val="23"/>
              </w:rPr>
              <w:fldChar w:fldCharType="end"/>
            </w:r>
          </w:hyperlink>
        </w:p>
        <w:p w:rsidR="00834FAD" w:rsidRPr="00F357AB" w:rsidRDefault="006C4B81" w:rsidP="00F357AB">
          <w:pPr>
            <w:pStyle w:val="Sommario3"/>
            <w:tabs>
              <w:tab w:val="left" w:pos="709"/>
              <w:tab w:val="right" w:leader="dot" w:pos="9628"/>
            </w:tabs>
            <w:jc w:val="left"/>
            <w:rPr>
              <w:rFonts w:asciiTheme="minorHAnsi" w:eastAsiaTheme="minorEastAsia" w:hAnsiTheme="minorHAnsi" w:cstheme="minorBidi"/>
              <w:noProof/>
              <w:sz w:val="23"/>
              <w:szCs w:val="23"/>
              <w:lang w:val="it-CH" w:eastAsia="it-CH"/>
            </w:rPr>
          </w:pPr>
          <w:hyperlink w:anchor="_Toc63332032" w:history="1">
            <w:r w:rsidR="00834FAD" w:rsidRPr="00F357AB">
              <w:rPr>
                <w:rStyle w:val="Collegamentoipertestuale"/>
                <w:noProof/>
                <w:sz w:val="23"/>
                <w:szCs w:val="23"/>
              </w:rPr>
              <w:t>5.3.3</w:t>
            </w:r>
            <w:r w:rsidR="00834FAD" w:rsidRPr="00F357AB">
              <w:rPr>
                <w:rFonts w:asciiTheme="minorHAnsi" w:eastAsiaTheme="minorEastAsia" w:hAnsiTheme="minorHAnsi" w:cstheme="minorBidi"/>
                <w:noProof/>
                <w:sz w:val="23"/>
                <w:szCs w:val="23"/>
                <w:lang w:val="it-CH" w:eastAsia="it-CH"/>
              </w:rPr>
              <w:tab/>
            </w:r>
            <w:r w:rsidR="00834FAD" w:rsidRPr="00F357AB">
              <w:rPr>
                <w:rStyle w:val="Collegamentoipertestuale"/>
                <w:noProof/>
                <w:sz w:val="23"/>
                <w:szCs w:val="23"/>
              </w:rPr>
              <w:t xml:space="preserve">Indicatore sull’evoluzione del numero degli occupati secondo </w:t>
            </w:r>
            <w:r w:rsidR="00F357AB" w:rsidRPr="00F357AB">
              <w:rPr>
                <w:rStyle w:val="Collegamentoipertestuale"/>
                <w:noProof/>
                <w:sz w:val="23"/>
                <w:szCs w:val="23"/>
              </w:rPr>
              <w:t>t</w:t>
            </w:r>
            <w:r w:rsidR="00834FAD" w:rsidRPr="00F357AB">
              <w:rPr>
                <w:rStyle w:val="Collegamentoipertestuale"/>
                <w:noProof/>
                <w:sz w:val="23"/>
                <w:szCs w:val="23"/>
              </w:rPr>
              <w:t>ipo di permesso</w:t>
            </w:r>
            <w:r w:rsidR="00834FAD" w:rsidRPr="00F357AB">
              <w:rPr>
                <w:noProof/>
                <w:webHidden/>
                <w:sz w:val="23"/>
                <w:szCs w:val="23"/>
              </w:rPr>
              <w:tab/>
            </w:r>
            <w:r w:rsidR="00834FAD" w:rsidRPr="00F357AB">
              <w:rPr>
                <w:noProof/>
                <w:webHidden/>
                <w:sz w:val="23"/>
                <w:szCs w:val="23"/>
              </w:rPr>
              <w:fldChar w:fldCharType="begin"/>
            </w:r>
            <w:r w:rsidR="00834FAD" w:rsidRPr="00F357AB">
              <w:rPr>
                <w:noProof/>
                <w:webHidden/>
                <w:sz w:val="23"/>
                <w:szCs w:val="23"/>
              </w:rPr>
              <w:instrText xml:space="preserve"> PAGEREF _Toc63332032 \h </w:instrText>
            </w:r>
            <w:r w:rsidR="00834FAD" w:rsidRPr="00F357AB">
              <w:rPr>
                <w:noProof/>
                <w:webHidden/>
                <w:sz w:val="23"/>
                <w:szCs w:val="23"/>
              </w:rPr>
            </w:r>
            <w:r w:rsidR="00834FAD" w:rsidRPr="00F357AB">
              <w:rPr>
                <w:noProof/>
                <w:webHidden/>
                <w:sz w:val="23"/>
                <w:szCs w:val="23"/>
              </w:rPr>
              <w:fldChar w:fldCharType="separate"/>
            </w:r>
            <w:r w:rsidR="00B54761">
              <w:rPr>
                <w:noProof/>
                <w:webHidden/>
                <w:sz w:val="23"/>
                <w:szCs w:val="23"/>
              </w:rPr>
              <w:t>15</w:t>
            </w:r>
            <w:r w:rsidR="00834FAD" w:rsidRPr="00F357AB">
              <w:rPr>
                <w:noProof/>
                <w:webHidden/>
                <w:sz w:val="23"/>
                <w:szCs w:val="23"/>
              </w:rPr>
              <w:fldChar w:fldCharType="end"/>
            </w:r>
          </w:hyperlink>
        </w:p>
        <w:p w:rsidR="00834FAD" w:rsidRPr="00F357AB" w:rsidRDefault="006C4B81" w:rsidP="00F357AB">
          <w:pPr>
            <w:pStyle w:val="Sommario3"/>
            <w:tabs>
              <w:tab w:val="left" w:pos="709"/>
              <w:tab w:val="right" w:leader="dot" w:pos="9628"/>
            </w:tabs>
            <w:rPr>
              <w:rFonts w:asciiTheme="minorHAnsi" w:eastAsiaTheme="minorEastAsia" w:hAnsiTheme="minorHAnsi" w:cstheme="minorBidi"/>
              <w:noProof/>
              <w:sz w:val="23"/>
              <w:szCs w:val="23"/>
              <w:lang w:val="it-CH" w:eastAsia="it-CH"/>
            </w:rPr>
          </w:pPr>
          <w:hyperlink w:anchor="_Toc63332033" w:history="1">
            <w:r w:rsidR="00834FAD" w:rsidRPr="00F357AB">
              <w:rPr>
                <w:rStyle w:val="Collegamentoipertestuale"/>
                <w:noProof/>
                <w:sz w:val="23"/>
                <w:szCs w:val="23"/>
              </w:rPr>
              <w:t>5.3.4</w:t>
            </w:r>
            <w:r w:rsidR="00834FAD" w:rsidRPr="00F357AB">
              <w:rPr>
                <w:rFonts w:asciiTheme="minorHAnsi" w:eastAsiaTheme="minorEastAsia" w:hAnsiTheme="minorHAnsi" w:cstheme="minorBidi"/>
                <w:noProof/>
                <w:sz w:val="23"/>
                <w:szCs w:val="23"/>
                <w:lang w:val="it-CH" w:eastAsia="it-CH"/>
              </w:rPr>
              <w:tab/>
            </w:r>
            <w:r w:rsidR="00834FAD" w:rsidRPr="00F357AB">
              <w:rPr>
                <w:rStyle w:val="Collegamentoipertestuale"/>
                <w:noProof/>
                <w:sz w:val="23"/>
                <w:szCs w:val="23"/>
              </w:rPr>
              <w:t>Evoluzione degli occupati interinali</w:t>
            </w:r>
            <w:r w:rsidR="00834FAD" w:rsidRPr="00F357AB">
              <w:rPr>
                <w:noProof/>
                <w:webHidden/>
                <w:sz w:val="23"/>
                <w:szCs w:val="23"/>
              </w:rPr>
              <w:tab/>
            </w:r>
            <w:r w:rsidR="00834FAD" w:rsidRPr="00F357AB">
              <w:rPr>
                <w:noProof/>
                <w:webHidden/>
                <w:sz w:val="23"/>
                <w:szCs w:val="23"/>
              </w:rPr>
              <w:fldChar w:fldCharType="begin"/>
            </w:r>
            <w:r w:rsidR="00834FAD" w:rsidRPr="00F357AB">
              <w:rPr>
                <w:noProof/>
                <w:webHidden/>
                <w:sz w:val="23"/>
                <w:szCs w:val="23"/>
              </w:rPr>
              <w:instrText xml:space="preserve"> PAGEREF _Toc63332033 \h </w:instrText>
            </w:r>
            <w:r w:rsidR="00834FAD" w:rsidRPr="00F357AB">
              <w:rPr>
                <w:noProof/>
                <w:webHidden/>
                <w:sz w:val="23"/>
                <w:szCs w:val="23"/>
              </w:rPr>
            </w:r>
            <w:r w:rsidR="00834FAD" w:rsidRPr="00F357AB">
              <w:rPr>
                <w:noProof/>
                <w:webHidden/>
                <w:sz w:val="23"/>
                <w:szCs w:val="23"/>
              </w:rPr>
              <w:fldChar w:fldCharType="separate"/>
            </w:r>
            <w:r w:rsidR="00B54761">
              <w:rPr>
                <w:noProof/>
                <w:webHidden/>
                <w:sz w:val="23"/>
                <w:szCs w:val="23"/>
              </w:rPr>
              <w:t>16</w:t>
            </w:r>
            <w:r w:rsidR="00834FAD" w:rsidRPr="00F357AB">
              <w:rPr>
                <w:noProof/>
                <w:webHidden/>
                <w:sz w:val="23"/>
                <w:szCs w:val="23"/>
              </w:rPr>
              <w:fldChar w:fldCharType="end"/>
            </w:r>
          </w:hyperlink>
        </w:p>
        <w:p w:rsidR="00834FAD" w:rsidRPr="00F357AB" w:rsidRDefault="006C4B81" w:rsidP="00F357AB">
          <w:pPr>
            <w:pStyle w:val="Sommario3"/>
            <w:tabs>
              <w:tab w:val="left" w:pos="709"/>
              <w:tab w:val="right" w:leader="dot" w:pos="9628"/>
            </w:tabs>
            <w:rPr>
              <w:rFonts w:asciiTheme="minorHAnsi" w:eastAsiaTheme="minorEastAsia" w:hAnsiTheme="minorHAnsi" w:cstheme="minorBidi"/>
              <w:noProof/>
              <w:sz w:val="23"/>
              <w:szCs w:val="23"/>
              <w:lang w:val="it-CH" w:eastAsia="it-CH"/>
            </w:rPr>
          </w:pPr>
          <w:hyperlink w:anchor="_Toc63332034" w:history="1">
            <w:r w:rsidR="00834FAD" w:rsidRPr="00F357AB">
              <w:rPr>
                <w:rStyle w:val="Collegamentoipertestuale"/>
                <w:noProof/>
                <w:sz w:val="23"/>
                <w:szCs w:val="23"/>
              </w:rPr>
              <w:t>5.3.5</w:t>
            </w:r>
            <w:r w:rsidR="00834FAD" w:rsidRPr="00F357AB">
              <w:rPr>
                <w:rFonts w:asciiTheme="minorHAnsi" w:eastAsiaTheme="minorEastAsia" w:hAnsiTheme="minorHAnsi" w:cstheme="minorBidi"/>
                <w:noProof/>
                <w:sz w:val="23"/>
                <w:szCs w:val="23"/>
                <w:lang w:val="it-CH" w:eastAsia="it-CH"/>
              </w:rPr>
              <w:tab/>
            </w:r>
            <w:r w:rsidR="00834FAD" w:rsidRPr="00F357AB">
              <w:rPr>
                <w:rStyle w:val="Collegamentoipertestuale"/>
                <w:noProof/>
                <w:sz w:val="23"/>
                <w:szCs w:val="23"/>
              </w:rPr>
              <w:t>Indicatore sulla sostenibilità ambientale: impronta ecologica</w:t>
            </w:r>
            <w:r w:rsidR="00834FAD" w:rsidRPr="00F357AB">
              <w:rPr>
                <w:noProof/>
                <w:webHidden/>
                <w:sz w:val="23"/>
                <w:szCs w:val="23"/>
              </w:rPr>
              <w:tab/>
            </w:r>
            <w:r w:rsidR="00834FAD" w:rsidRPr="00F357AB">
              <w:rPr>
                <w:noProof/>
                <w:webHidden/>
                <w:sz w:val="23"/>
                <w:szCs w:val="23"/>
              </w:rPr>
              <w:fldChar w:fldCharType="begin"/>
            </w:r>
            <w:r w:rsidR="00834FAD" w:rsidRPr="00F357AB">
              <w:rPr>
                <w:noProof/>
                <w:webHidden/>
                <w:sz w:val="23"/>
                <w:szCs w:val="23"/>
              </w:rPr>
              <w:instrText xml:space="preserve"> PAGEREF _Toc63332034 \h </w:instrText>
            </w:r>
            <w:r w:rsidR="00834FAD" w:rsidRPr="00F357AB">
              <w:rPr>
                <w:noProof/>
                <w:webHidden/>
                <w:sz w:val="23"/>
                <w:szCs w:val="23"/>
              </w:rPr>
            </w:r>
            <w:r w:rsidR="00834FAD" w:rsidRPr="00F357AB">
              <w:rPr>
                <w:noProof/>
                <w:webHidden/>
                <w:sz w:val="23"/>
                <w:szCs w:val="23"/>
              </w:rPr>
              <w:fldChar w:fldCharType="separate"/>
            </w:r>
            <w:r w:rsidR="00B54761">
              <w:rPr>
                <w:noProof/>
                <w:webHidden/>
                <w:sz w:val="23"/>
                <w:szCs w:val="23"/>
              </w:rPr>
              <w:t>17</w:t>
            </w:r>
            <w:r w:rsidR="00834FAD" w:rsidRPr="00F357AB">
              <w:rPr>
                <w:noProof/>
                <w:webHidden/>
                <w:sz w:val="23"/>
                <w:szCs w:val="23"/>
              </w:rPr>
              <w:fldChar w:fldCharType="end"/>
            </w:r>
          </w:hyperlink>
        </w:p>
        <w:p w:rsidR="00834FAD" w:rsidRPr="00F357AB" w:rsidRDefault="006C4B81" w:rsidP="00F357AB">
          <w:pPr>
            <w:pStyle w:val="Sommario3"/>
            <w:tabs>
              <w:tab w:val="left" w:pos="709"/>
              <w:tab w:val="right" w:leader="dot" w:pos="9628"/>
            </w:tabs>
            <w:rPr>
              <w:rFonts w:asciiTheme="minorHAnsi" w:eastAsiaTheme="minorEastAsia" w:hAnsiTheme="minorHAnsi" w:cstheme="minorBidi"/>
              <w:noProof/>
              <w:sz w:val="23"/>
              <w:szCs w:val="23"/>
              <w:lang w:val="it-CH" w:eastAsia="it-CH"/>
            </w:rPr>
          </w:pPr>
          <w:hyperlink w:anchor="_Toc63332035" w:history="1">
            <w:r w:rsidR="00834FAD" w:rsidRPr="00F357AB">
              <w:rPr>
                <w:rStyle w:val="Collegamentoipertestuale"/>
                <w:noProof/>
                <w:sz w:val="23"/>
                <w:szCs w:val="23"/>
              </w:rPr>
              <w:t>5.3.6</w:t>
            </w:r>
            <w:r w:rsidR="00834FAD" w:rsidRPr="00F357AB">
              <w:rPr>
                <w:rFonts w:asciiTheme="minorHAnsi" w:eastAsiaTheme="minorEastAsia" w:hAnsiTheme="minorHAnsi" w:cstheme="minorBidi"/>
                <w:noProof/>
                <w:sz w:val="23"/>
                <w:szCs w:val="23"/>
                <w:lang w:val="it-CH" w:eastAsia="it-CH"/>
              </w:rPr>
              <w:tab/>
            </w:r>
            <w:r w:rsidR="00834FAD" w:rsidRPr="00F357AB">
              <w:rPr>
                <w:rStyle w:val="Collegamentoipertestuale"/>
                <w:noProof/>
                <w:sz w:val="23"/>
                <w:szCs w:val="23"/>
              </w:rPr>
              <w:t>Evoluzione dell’uso del territorio</w:t>
            </w:r>
            <w:r w:rsidR="00834FAD" w:rsidRPr="00F357AB">
              <w:rPr>
                <w:noProof/>
                <w:webHidden/>
                <w:sz w:val="23"/>
                <w:szCs w:val="23"/>
              </w:rPr>
              <w:tab/>
            </w:r>
            <w:r w:rsidR="00834FAD" w:rsidRPr="00F357AB">
              <w:rPr>
                <w:noProof/>
                <w:webHidden/>
                <w:sz w:val="23"/>
                <w:szCs w:val="23"/>
              </w:rPr>
              <w:fldChar w:fldCharType="begin"/>
            </w:r>
            <w:r w:rsidR="00834FAD" w:rsidRPr="00F357AB">
              <w:rPr>
                <w:noProof/>
                <w:webHidden/>
                <w:sz w:val="23"/>
                <w:szCs w:val="23"/>
              </w:rPr>
              <w:instrText xml:space="preserve"> PAGEREF _Toc63332035 \h </w:instrText>
            </w:r>
            <w:r w:rsidR="00834FAD" w:rsidRPr="00F357AB">
              <w:rPr>
                <w:noProof/>
                <w:webHidden/>
                <w:sz w:val="23"/>
                <w:szCs w:val="23"/>
              </w:rPr>
            </w:r>
            <w:r w:rsidR="00834FAD" w:rsidRPr="00F357AB">
              <w:rPr>
                <w:noProof/>
                <w:webHidden/>
                <w:sz w:val="23"/>
                <w:szCs w:val="23"/>
              </w:rPr>
              <w:fldChar w:fldCharType="separate"/>
            </w:r>
            <w:r w:rsidR="00B54761">
              <w:rPr>
                <w:noProof/>
                <w:webHidden/>
                <w:sz w:val="23"/>
                <w:szCs w:val="23"/>
              </w:rPr>
              <w:t>18</w:t>
            </w:r>
            <w:r w:rsidR="00834FAD" w:rsidRPr="00F357AB">
              <w:rPr>
                <w:noProof/>
                <w:webHidden/>
                <w:sz w:val="23"/>
                <w:szCs w:val="23"/>
              </w:rPr>
              <w:fldChar w:fldCharType="end"/>
            </w:r>
          </w:hyperlink>
        </w:p>
        <w:p w:rsidR="00834FAD" w:rsidRPr="00F357AB" w:rsidRDefault="006C4B81" w:rsidP="00F357AB">
          <w:pPr>
            <w:pStyle w:val="Sommario2"/>
            <w:tabs>
              <w:tab w:val="left" w:pos="709"/>
              <w:tab w:val="right" w:leader="dot" w:pos="9628"/>
            </w:tabs>
            <w:rPr>
              <w:rFonts w:asciiTheme="minorHAnsi" w:eastAsiaTheme="minorEastAsia" w:hAnsiTheme="minorHAnsi" w:cstheme="minorBidi"/>
              <w:noProof/>
              <w:sz w:val="23"/>
              <w:szCs w:val="23"/>
              <w:lang w:val="it-CH" w:eastAsia="it-CH"/>
            </w:rPr>
          </w:pPr>
          <w:hyperlink w:anchor="_Toc63332036" w:history="1">
            <w:r w:rsidR="00834FAD" w:rsidRPr="00F357AB">
              <w:rPr>
                <w:rStyle w:val="Collegamentoipertestuale"/>
                <w:noProof/>
                <w:sz w:val="23"/>
                <w:szCs w:val="23"/>
              </w:rPr>
              <w:t>5.4</w:t>
            </w:r>
            <w:r w:rsidR="00834FAD" w:rsidRPr="00F357AB">
              <w:rPr>
                <w:rFonts w:asciiTheme="minorHAnsi" w:eastAsiaTheme="minorEastAsia" w:hAnsiTheme="minorHAnsi" w:cstheme="minorBidi"/>
                <w:noProof/>
                <w:sz w:val="23"/>
                <w:szCs w:val="23"/>
                <w:lang w:val="it-CH" w:eastAsia="it-CH"/>
              </w:rPr>
              <w:tab/>
            </w:r>
            <w:r w:rsidR="00834FAD" w:rsidRPr="00F357AB">
              <w:rPr>
                <w:rStyle w:val="Collegamentoipertestuale"/>
                <w:noProof/>
                <w:sz w:val="23"/>
                <w:szCs w:val="23"/>
              </w:rPr>
              <w:t>Aree industriali e poli di sviluppo economico</w:t>
            </w:r>
            <w:r w:rsidR="00834FAD" w:rsidRPr="00F357AB">
              <w:rPr>
                <w:noProof/>
                <w:webHidden/>
                <w:sz w:val="23"/>
                <w:szCs w:val="23"/>
              </w:rPr>
              <w:tab/>
            </w:r>
            <w:r w:rsidR="00834FAD" w:rsidRPr="00F357AB">
              <w:rPr>
                <w:noProof/>
                <w:webHidden/>
                <w:sz w:val="23"/>
                <w:szCs w:val="23"/>
              </w:rPr>
              <w:fldChar w:fldCharType="begin"/>
            </w:r>
            <w:r w:rsidR="00834FAD" w:rsidRPr="00F357AB">
              <w:rPr>
                <w:noProof/>
                <w:webHidden/>
                <w:sz w:val="23"/>
                <w:szCs w:val="23"/>
              </w:rPr>
              <w:instrText xml:space="preserve"> PAGEREF _Toc63332036 \h </w:instrText>
            </w:r>
            <w:r w:rsidR="00834FAD" w:rsidRPr="00F357AB">
              <w:rPr>
                <w:noProof/>
                <w:webHidden/>
                <w:sz w:val="23"/>
                <w:szCs w:val="23"/>
              </w:rPr>
            </w:r>
            <w:r w:rsidR="00834FAD" w:rsidRPr="00F357AB">
              <w:rPr>
                <w:noProof/>
                <w:webHidden/>
                <w:sz w:val="23"/>
                <w:szCs w:val="23"/>
              </w:rPr>
              <w:fldChar w:fldCharType="separate"/>
            </w:r>
            <w:r w:rsidR="00B54761">
              <w:rPr>
                <w:noProof/>
                <w:webHidden/>
                <w:sz w:val="23"/>
                <w:szCs w:val="23"/>
              </w:rPr>
              <w:t>20</w:t>
            </w:r>
            <w:r w:rsidR="00834FAD" w:rsidRPr="00F357AB">
              <w:rPr>
                <w:noProof/>
                <w:webHidden/>
                <w:sz w:val="23"/>
                <w:szCs w:val="23"/>
              </w:rPr>
              <w:fldChar w:fldCharType="end"/>
            </w:r>
          </w:hyperlink>
        </w:p>
        <w:p w:rsidR="00834FAD" w:rsidRPr="00F357AB" w:rsidRDefault="006C4B81" w:rsidP="00F357AB">
          <w:pPr>
            <w:pStyle w:val="Sommario1"/>
            <w:tabs>
              <w:tab w:val="left" w:pos="709"/>
              <w:tab w:val="right" w:leader="dot" w:pos="9628"/>
            </w:tabs>
            <w:rPr>
              <w:rFonts w:asciiTheme="minorHAnsi" w:eastAsiaTheme="minorEastAsia" w:hAnsiTheme="minorHAnsi" w:cstheme="minorBidi"/>
              <w:caps w:val="0"/>
              <w:noProof/>
              <w:sz w:val="23"/>
              <w:szCs w:val="23"/>
              <w:lang w:val="it-CH" w:eastAsia="it-CH"/>
            </w:rPr>
          </w:pPr>
          <w:hyperlink w:anchor="_Toc63332037" w:history="1">
            <w:r w:rsidR="00834FAD" w:rsidRPr="00F357AB">
              <w:rPr>
                <w:rStyle w:val="Collegamentoipertestuale"/>
                <w:noProof/>
                <w:sz w:val="23"/>
                <w:szCs w:val="23"/>
              </w:rPr>
              <w:t>6.</w:t>
            </w:r>
            <w:r w:rsidR="00834FAD" w:rsidRPr="00F357AB">
              <w:rPr>
                <w:rFonts w:asciiTheme="minorHAnsi" w:eastAsiaTheme="minorEastAsia" w:hAnsiTheme="minorHAnsi" w:cstheme="minorBidi"/>
                <w:caps w:val="0"/>
                <w:noProof/>
                <w:sz w:val="23"/>
                <w:szCs w:val="23"/>
                <w:lang w:val="it-CH" w:eastAsia="it-CH"/>
              </w:rPr>
              <w:tab/>
            </w:r>
            <w:r w:rsidR="00834FAD" w:rsidRPr="00F357AB">
              <w:rPr>
                <w:rStyle w:val="Collegamentoipertestuale"/>
                <w:noProof/>
                <w:sz w:val="23"/>
                <w:szCs w:val="23"/>
              </w:rPr>
              <w:t>CONSIDERAZIONI DELLA MINORANZA COMMISSIONALE</w:t>
            </w:r>
            <w:r w:rsidR="00834FAD" w:rsidRPr="00F357AB">
              <w:rPr>
                <w:noProof/>
                <w:webHidden/>
                <w:sz w:val="23"/>
                <w:szCs w:val="23"/>
              </w:rPr>
              <w:tab/>
            </w:r>
            <w:r w:rsidR="00834FAD" w:rsidRPr="00F357AB">
              <w:rPr>
                <w:noProof/>
                <w:webHidden/>
                <w:sz w:val="23"/>
                <w:szCs w:val="23"/>
              </w:rPr>
              <w:fldChar w:fldCharType="begin"/>
            </w:r>
            <w:r w:rsidR="00834FAD" w:rsidRPr="00F357AB">
              <w:rPr>
                <w:noProof/>
                <w:webHidden/>
                <w:sz w:val="23"/>
                <w:szCs w:val="23"/>
              </w:rPr>
              <w:instrText xml:space="preserve"> PAGEREF _Toc63332037 \h </w:instrText>
            </w:r>
            <w:r w:rsidR="00834FAD" w:rsidRPr="00F357AB">
              <w:rPr>
                <w:noProof/>
                <w:webHidden/>
                <w:sz w:val="23"/>
                <w:szCs w:val="23"/>
              </w:rPr>
            </w:r>
            <w:r w:rsidR="00834FAD" w:rsidRPr="00F357AB">
              <w:rPr>
                <w:noProof/>
                <w:webHidden/>
                <w:sz w:val="23"/>
                <w:szCs w:val="23"/>
              </w:rPr>
              <w:fldChar w:fldCharType="separate"/>
            </w:r>
            <w:r w:rsidR="00B54761">
              <w:rPr>
                <w:noProof/>
                <w:webHidden/>
                <w:sz w:val="23"/>
                <w:szCs w:val="23"/>
              </w:rPr>
              <w:t>22</w:t>
            </w:r>
            <w:r w:rsidR="00834FAD" w:rsidRPr="00F357AB">
              <w:rPr>
                <w:noProof/>
                <w:webHidden/>
                <w:sz w:val="23"/>
                <w:szCs w:val="23"/>
              </w:rPr>
              <w:fldChar w:fldCharType="end"/>
            </w:r>
          </w:hyperlink>
        </w:p>
        <w:p w:rsidR="00AF30BA" w:rsidRPr="00AF30BA" w:rsidRDefault="006C4B81" w:rsidP="00F357AB">
          <w:pPr>
            <w:pStyle w:val="Sommario1"/>
            <w:tabs>
              <w:tab w:val="left" w:pos="709"/>
              <w:tab w:val="right" w:leader="dot" w:pos="9628"/>
            </w:tabs>
          </w:pPr>
          <w:hyperlink w:anchor="_Toc63332038" w:history="1">
            <w:r w:rsidR="00834FAD" w:rsidRPr="00F357AB">
              <w:rPr>
                <w:rStyle w:val="Collegamentoipertestuale"/>
                <w:noProof/>
                <w:sz w:val="23"/>
                <w:szCs w:val="23"/>
              </w:rPr>
              <w:t>7.</w:t>
            </w:r>
            <w:r w:rsidR="00834FAD" w:rsidRPr="00F357AB">
              <w:rPr>
                <w:rFonts w:asciiTheme="minorHAnsi" w:eastAsiaTheme="minorEastAsia" w:hAnsiTheme="minorHAnsi" w:cstheme="minorBidi"/>
                <w:caps w:val="0"/>
                <w:noProof/>
                <w:sz w:val="23"/>
                <w:szCs w:val="23"/>
                <w:lang w:val="it-CH" w:eastAsia="it-CH"/>
              </w:rPr>
              <w:tab/>
            </w:r>
            <w:r w:rsidR="00834FAD" w:rsidRPr="00F357AB">
              <w:rPr>
                <w:rStyle w:val="Collegamentoipertestuale"/>
                <w:noProof/>
                <w:sz w:val="23"/>
                <w:szCs w:val="23"/>
              </w:rPr>
              <w:t>CONCLUSIONI</w:t>
            </w:r>
            <w:r w:rsidR="00834FAD" w:rsidRPr="00F357AB">
              <w:rPr>
                <w:noProof/>
                <w:webHidden/>
                <w:sz w:val="23"/>
                <w:szCs w:val="23"/>
              </w:rPr>
              <w:tab/>
            </w:r>
            <w:r w:rsidR="00834FAD" w:rsidRPr="00F357AB">
              <w:rPr>
                <w:noProof/>
                <w:webHidden/>
                <w:sz w:val="23"/>
                <w:szCs w:val="23"/>
              </w:rPr>
              <w:fldChar w:fldCharType="begin"/>
            </w:r>
            <w:r w:rsidR="00834FAD" w:rsidRPr="00F357AB">
              <w:rPr>
                <w:noProof/>
                <w:webHidden/>
                <w:sz w:val="23"/>
                <w:szCs w:val="23"/>
              </w:rPr>
              <w:instrText xml:space="preserve"> PAGEREF _Toc63332038 \h </w:instrText>
            </w:r>
            <w:r w:rsidR="00834FAD" w:rsidRPr="00F357AB">
              <w:rPr>
                <w:noProof/>
                <w:webHidden/>
                <w:sz w:val="23"/>
                <w:szCs w:val="23"/>
              </w:rPr>
            </w:r>
            <w:r w:rsidR="00834FAD" w:rsidRPr="00F357AB">
              <w:rPr>
                <w:noProof/>
                <w:webHidden/>
                <w:sz w:val="23"/>
                <w:szCs w:val="23"/>
              </w:rPr>
              <w:fldChar w:fldCharType="separate"/>
            </w:r>
            <w:r w:rsidR="00B54761">
              <w:rPr>
                <w:noProof/>
                <w:webHidden/>
                <w:sz w:val="23"/>
                <w:szCs w:val="23"/>
              </w:rPr>
              <w:t>24</w:t>
            </w:r>
            <w:r w:rsidR="00834FAD" w:rsidRPr="00F357AB">
              <w:rPr>
                <w:noProof/>
                <w:webHidden/>
                <w:sz w:val="23"/>
                <w:szCs w:val="23"/>
              </w:rPr>
              <w:fldChar w:fldCharType="end"/>
            </w:r>
          </w:hyperlink>
          <w:r w:rsidR="00AF30BA">
            <w:rPr>
              <w:b/>
              <w:bCs/>
            </w:rPr>
            <w:fldChar w:fldCharType="end"/>
          </w:r>
        </w:p>
      </w:sdtContent>
    </w:sdt>
    <w:p w:rsidR="00823E1F" w:rsidRPr="00D27487" w:rsidRDefault="00823E1F" w:rsidP="00823E1F">
      <w:pPr>
        <w:pStyle w:val="Titolo1"/>
      </w:pPr>
      <w:bookmarkStart w:id="1" w:name="_Toc63332017"/>
      <w:r w:rsidRPr="00D27487">
        <w:lastRenderedPageBreak/>
        <w:t>LA MOZIONE</w:t>
      </w:r>
      <w:bookmarkEnd w:id="1"/>
    </w:p>
    <w:p w:rsidR="00823E1F" w:rsidRDefault="00823E1F" w:rsidP="00A37231">
      <w:pPr>
        <w:spacing w:after="160"/>
        <w:rPr>
          <w:rFonts w:eastAsia="Arial" w:cs="Arial"/>
        </w:rPr>
      </w:pPr>
      <w:r w:rsidRPr="00D27487">
        <w:rPr>
          <w:rFonts w:eastAsia="Arial" w:cs="Arial"/>
        </w:rPr>
        <w:t>La mozione del 23 novembre 2015 “</w:t>
      </w:r>
      <w:r w:rsidRPr="00D27487">
        <w:rPr>
          <w:rFonts w:eastAsia="Arial" w:cs="Arial"/>
          <w:b/>
          <w:bCs/>
        </w:rPr>
        <w:t>Criteri per promuovere sbocchi occupazionali per i residenti e uno sviluppo economico sostenibile in Ticino</w:t>
      </w:r>
      <w:r w:rsidRPr="00D27487">
        <w:rPr>
          <w:rFonts w:eastAsia="Arial" w:cs="Arial"/>
        </w:rPr>
        <w:t>” chiede che:</w:t>
      </w:r>
    </w:p>
    <w:p w:rsidR="00823E1F" w:rsidRPr="00D27487" w:rsidRDefault="00823E1F" w:rsidP="004F6799">
      <w:pPr>
        <w:pStyle w:val="Paragrafoelenco"/>
        <w:numPr>
          <w:ilvl w:val="0"/>
          <w:numId w:val="3"/>
        </w:numPr>
        <w:ind w:left="426" w:hanging="426"/>
        <w:rPr>
          <w:rFonts w:eastAsia="Arial" w:cs="Arial"/>
          <w:i/>
          <w:iCs/>
          <w:szCs w:val="24"/>
        </w:rPr>
      </w:pPr>
      <w:r w:rsidRPr="00D27487">
        <w:rPr>
          <w:rFonts w:eastAsia="Arial" w:cs="Arial"/>
          <w:i/>
          <w:iCs/>
          <w:szCs w:val="24"/>
        </w:rPr>
        <w:t xml:space="preserve">La politica economica del Canton Ticino e gli studi economici commissionati dal Cantone devono essere orientati attorno a cinque criteri fondamentali: </w:t>
      </w:r>
    </w:p>
    <w:p w:rsidR="00823E1F" w:rsidRPr="00D27487" w:rsidRDefault="00823E1F" w:rsidP="004F6799">
      <w:pPr>
        <w:pStyle w:val="Paragrafoelenco"/>
        <w:numPr>
          <w:ilvl w:val="0"/>
          <w:numId w:val="4"/>
        </w:numPr>
        <w:spacing w:before="60" w:after="60"/>
        <w:ind w:left="709" w:hanging="283"/>
        <w:rPr>
          <w:rFonts w:eastAsia="Arial" w:cs="Arial"/>
          <w:i/>
          <w:iCs/>
          <w:szCs w:val="24"/>
        </w:rPr>
      </w:pPr>
      <w:r w:rsidRPr="00D27487">
        <w:rPr>
          <w:rFonts w:eastAsia="Arial" w:cs="Arial"/>
          <w:i/>
          <w:iCs/>
          <w:szCs w:val="24"/>
        </w:rPr>
        <w:t xml:space="preserve">gli sbocchi occupazionali per i residenti; </w:t>
      </w:r>
    </w:p>
    <w:p w:rsidR="00823E1F" w:rsidRPr="00D27487" w:rsidRDefault="00823E1F" w:rsidP="004F6799">
      <w:pPr>
        <w:pStyle w:val="Paragrafoelenco"/>
        <w:numPr>
          <w:ilvl w:val="0"/>
          <w:numId w:val="4"/>
        </w:numPr>
        <w:spacing w:before="60" w:after="60"/>
        <w:ind w:left="709" w:hanging="283"/>
        <w:rPr>
          <w:rFonts w:eastAsia="Arial" w:cs="Arial"/>
          <w:i/>
          <w:iCs/>
          <w:szCs w:val="24"/>
        </w:rPr>
      </w:pPr>
      <w:r w:rsidRPr="00D27487">
        <w:rPr>
          <w:rFonts w:eastAsia="Arial" w:cs="Arial"/>
          <w:i/>
          <w:iCs/>
          <w:szCs w:val="24"/>
        </w:rPr>
        <w:t xml:space="preserve">i livelli salariali dei posti di lavoro; </w:t>
      </w:r>
    </w:p>
    <w:p w:rsidR="00823E1F" w:rsidRPr="00D27487" w:rsidRDefault="00823E1F" w:rsidP="004F6799">
      <w:pPr>
        <w:pStyle w:val="Paragrafoelenco"/>
        <w:numPr>
          <w:ilvl w:val="0"/>
          <w:numId w:val="4"/>
        </w:numPr>
        <w:spacing w:before="60" w:after="60"/>
        <w:ind w:left="709" w:hanging="283"/>
        <w:rPr>
          <w:rFonts w:eastAsia="Arial" w:cs="Arial"/>
          <w:i/>
          <w:iCs/>
          <w:szCs w:val="24"/>
        </w:rPr>
      </w:pPr>
      <w:r w:rsidRPr="00D27487">
        <w:rPr>
          <w:rFonts w:eastAsia="Arial" w:cs="Arial"/>
          <w:i/>
          <w:iCs/>
          <w:szCs w:val="24"/>
        </w:rPr>
        <w:t xml:space="preserve">la tipologia dei contratti di lavoro (occorre privilegiare il tempo pieno al tempo parziale, il tempo indeterminato ai contratti precari); </w:t>
      </w:r>
    </w:p>
    <w:p w:rsidR="00823E1F" w:rsidRPr="00D27487" w:rsidRDefault="00823E1F" w:rsidP="004F6799">
      <w:pPr>
        <w:pStyle w:val="Paragrafoelenco"/>
        <w:numPr>
          <w:ilvl w:val="0"/>
          <w:numId w:val="4"/>
        </w:numPr>
        <w:spacing w:before="60" w:after="60"/>
        <w:ind w:left="709" w:hanging="284"/>
        <w:rPr>
          <w:rFonts w:eastAsia="Arial" w:cs="Arial"/>
          <w:i/>
          <w:iCs/>
          <w:szCs w:val="24"/>
        </w:rPr>
      </w:pPr>
      <w:r w:rsidRPr="00D27487">
        <w:rPr>
          <w:rFonts w:eastAsia="Arial" w:cs="Arial"/>
          <w:i/>
          <w:iCs/>
          <w:szCs w:val="24"/>
        </w:rPr>
        <w:t>l’impatto ambientale e territoriale delle attività economiche che si intendono promuovere;</w:t>
      </w:r>
    </w:p>
    <w:p w:rsidR="00823E1F" w:rsidRPr="00823E1F" w:rsidRDefault="00823E1F" w:rsidP="004F6799">
      <w:pPr>
        <w:pStyle w:val="Paragrafoelenco"/>
        <w:numPr>
          <w:ilvl w:val="0"/>
          <w:numId w:val="4"/>
        </w:numPr>
        <w:spacing w:before="60" w:after="60"/>
        <w:ind w:left="709" w:hanging="284"/>
        <w:rPr>
          <w:rFonts w:eastAsia="Arial" w:cs="Arial"/>
          <w:i/>
          <w:iCs/>
          <w:szCs w:val="24"/>
        </w:rPr>
      </w:pPr>
      <w:r w:rsidRPr="00D27487">
        <w:rPr>
          <w:rFonts w:eastAsia="Arial" w:cs="Arial"/>
          <w:i/>
          <w:iCs/>
          <w:szCs w:val="24"/>
        </w:rPr>
        <w:t>un rapporto razionale tra gli investimenti e i costi ricorrenti a carico degli enti pubblici e i ricavi per gli enti pubblici e la popolazione residente determinati dai vari tipi di azienda/settori economici che si intendono promuovere.</w:t>
      </w:r>
    </w:p>
    <w:p w:rsidR="00823E1F" w:rsidRDefault="00823E1F" w:rsidP="00823E1F">
      <w:pPr>
        <w:ind w:left="426"/>
        <w:rPr>
          <w:rFonts w:eastAsia="Arial" w:cs="Arial"/>
          <w:i/>
          <w:iCs/>
        </w:rPr>
      </w:pPr>
      <w:r w:rsidRPr="00D27487">
        <w:rPr>
          <w:rFonts w:eastAsia="Arial" w:cs="Arial"/>
          <w:i/>
          <w:iCs/>
        </w:rPr>
        <w:t xml:space="preserve">Questi criteri sono fondamentali per promuovere quella “crescita sostenibile e duratura che tenga conto delle peculiarità territoriali” di cui si parla molto, ma che purtroppo fino ad oggi si è solamente in minima parte concretizzata. </w:t>
      </w:r>
    </w:p>
    <w:p w:rsidR="00823E1F" w:rsidRPr="00D27487" w:rsidRDefault="00823E1F" w:rsidP="00823E1F">
      <w:pPr>
        <w:ind w:left="426"/>
        <w:rPr>
          <w:rFonts w:eastAsia="Arial" w:cs="Arial"/>
          <w:i/>
          <w:iCs/>
        </w:rPr>
      </w:pPr>
    </w:p>
    <w:p w:rsidR="00823E1F" w:rsidRPr="00D27487" w:rsidRDefault="00823E1F" w:rsidP="004F6799">
      <w:pPr>
        <w:pStyle w:val="Paragrafoelenco"/>
        <w:numPr>
          <w:ilvl w:val="0"/>
          <w:numId w:val="3"/>
        </w:numPr>
        <w:ind w:left="425" w:hanging="425"/>
        <w:contextualSpacing/>
        <w:rPr>
          <w:rFonts w:eastAsia="Arial" w:cs="Arial"/>
          <w:i/>
          <w:iCs/>
          <w:szCs w:val="24"/>
        </w:rPr>
      </w:pPr>
      <w:r w:rsidRPr="00A37231">
        <w:rPr>
          <w:rFonts w:eastAsia="Arial" w:cs="Arial"/>
          <w:iCs/>
          <w:szCs w:val="24"/>
        </w:rPr>
        <w:t>(…)</w:t>
      </w:r>
      <w:r w:rsidRPr="00D27487">
        <w:rPr>
          <w:rFonts w:eastAsia="Arial" w:cs="Arial"/>
          <w:i/>
          <w:iCs/>
          <w:szCs w:val="24"/>
        </w:rPr>
        <w:t xml:space="preserve"> venga presentato al Parlamento un rapporto sulle zone industriali e sulla promozione economica sinora realizzata, alla luce dei cinque criteri sopra indicati».</w:t>
      </w:r>
    </w:p>
    <w:p w:rsidR="00823E1F" w:rsidRDefault="00823E1F" w:rsidP="00823E1F">
      <w:pPr>
        <w:rPr>
          <w:rFonts w:eastAsia="Arial" w:cs="Arial"/>
        </w:rPr>
      </w:pPr>
    </w:p>
    <w:p w:rsidR="00823E1F" w:rsidRDefault="00823E1F" w:rsidP="00823E1F">
      <w:pPr>
        <w:rPr>
          <w:rFonts w:eastAsia="Arial" w:cs="Arial"/>
        </w:rPr>
      </w:pPr>
    </w:p>
    <w:p w:rsidR="00823E1F" w:rsidRPr="00D27487" w:rsidRDefault="00823E1F" w:rsidP="00823E1F">
      <w:pPr>
        <w:rPr>
          <w:rFonts w:eastAsia="Arial" w:cs="Arial"/>
        </w:rPr>
      </w:pPr>
    </w:p>
    <w:p w:rsidR="00823E1F" w:rsidRPr="00D27487" w:rsidRDefault="00823E1F" w:rsidP="00823E1F">
      <w:pPr>
        <w:pStyle w:val="Titolo1"/>
      </w:pPr>
      <w:bookmarkStart w:id="2" w:name="_Toc63332018"/>
      <w:r w:rsidRPr="00D27487">
        <w:t>PRESA DI POSIZIONE DEL CONSIGLIO DI STATO</w:t>
      </w:r>
      <w:bookmarkEnd w:id="2"/>
    </w:p>
    <w:p w:rsidR="00823E1F" w:rsidRDefault="00823E1F" w:rsidP="00823E1F">
      <w:pPr>
        <w:autoSpaceDE w:val="0"/>
        <w:autoSpaceDN w:val="0"/>
        <w:adjustRightInd w:val="0"/>
        <w:rPr>
          <w:rFonts w:cs="Arial"/>
          <w:lang w:eastAsia="it-CH"/>
        </w:rPr>
      </w:pPr>
      <w:r w:rsidRPr="00D27487">
        <w:rPr>
          <w:rFonts w:eastAsia="Arial" w:cs="Arial"/>
        </w:rPr>
        <w:t xml:space="preserve">Il 6 settembre 2017, con il messaggio n. 7410, il Consiglio di Stato risponde al messaggio ritenendo che </w:t>
      </w:r>
      <w:r w:rsidRPr="00D27487">
        <w:rPr>
          <w:rFonts w:eastAsia="Arial" w:cs="Arial"/>
          <w:u w:val="single"/>
        </w:rPr>
        <w:t>le richieste della mozione sono da considerarsi evase</w:t>
      </w:r>
      <w:r w:rsidRPr="00D27487">
        <w:rPr>
          <w:rFonts w:eastAsia="Arial" w:cs="Arial"/>
        </w:rPr>
        <w:t xml:space="preserve"> in quanto, citiamo, esso “</w:t>
      </w:r>
      <w:r w:rsidRPr="00D27487">
        <w:rPr>
          <w:rFonts w:cs="Arial"/>
          <w:i/>
          <w:iCs/>
          <w:lang w:eastAsia="it-CH"/>
        </w:rPr>
        <w:t>ritiene che la nuova strategia di sviluppo economico, le misure previste nell’ambito della politica economica regionale (PER, ndr), i principi e i criteri introdotti con la nuova Legge per l’innovazione economica (LInn, ndr) nonché il previsto rapporto sulle aree lavorative, colgano già l’essenza delle proposte della mozione</w:t>
      </w:r>
      <w:r w:rsidRPr="00D27487">
        <w:rPr>
          <w:rFonts w:cs="Arial"/>
          <w:lang w:eastAsia="it-CH"/>
        </w:rPr>
        <w:t>”.</w:t>
      </w:r>
    </w:p>
    <w:p w:rsidR="00823E1F" w:rsidRPr="00D27487" w:rsidRDefault="00823E1F" w:rsidP="00823E1F">
      <w:pPr>
        <w:autoSpaceDE w:val="0"/>
        <w:autoSpaceDN w:val="0"/>
        <w:adjustRightInd w:val="0"/>
        <w:rPr>
          <w:rFonts w:cs="Arial"/>
          <w:lang w:eastAsia="it-CH"/>
        </w:rPr>
      </w:pPr>
    </w:p>
    <w:p w:rsidR="00823E1F" w:rsidRDefault="00823E1F" w:rsidP="00823E1F">
      <w:pPr>
        <w:autoSpaceDE w:val="0"/>
        <w:autoSpaceDN w:val="0"/>
        <w:adjustRightInd w:val="0"/>
        <w:ind w:left="284"/>
        <w:rPr>
          <w:rFonts w:cs="Arial"/>
          <w:sz w:val="23"/>
          <w:szCs w:val="23"/>
          <w:lang w:eastAsia="it-CH"/>
        </w:rPr>
      </w:pPr>
      <w:r w:rsidRPr="00823E1F">
        <w:rPr>
          <w:rFonts w:cs="Arial"/>
          <w:b/>
          <w:bCs/>
          <w:sz w:val="23"/>
          <w:szCs w:val="23"/>
          <w:lang w:eastAsia="it-CH"/>
        </w:rPr>
        <w:t>In risposta alle richieste del punto 1. della mozione</w:t>
      </w:r>
      <w:r w:rsidRPr="00823E1F">
        <w:rPr>
          <w:rFonts w:cs="Arial"/>
          <w:sz w:val="23"/>
          <w:szCs w:val="23"/>
          <w:lang w:eastAsia="it-CH"/>
        </w:rPr>
        <w:t xml:space="preserve">, il Governo afferma che la nuova strategia di sviluppo economico mira proprio a </w:t>
      </w:r>
      <w:r w:rsidRPr="005402AA">
        <w:rPr>
          <w:rFonts w:cs="Arial"/>
          <w:i/>
          <w:sz w:val="23"/>
          <w:szCs w:val="23"/>
          <w:lang w:eastAsia="it-CH"/>
        </w:rPr>
        <w:t>“</w:t>
      </w:r>
      <w:r w:rsidRPr="005402AA">
        <w:rPr>
          <w:rFonts w:cs="Arial"/>
          <w:i/>
          <w:iCs/>
          <w:sz w:val="23"/>
          <w:szCs w:val="23"/>
          <w:lang w:eastAsia="it-CH"/>
        </w:rPr>
        <w:t>favorire</w:t>
      </w:r>
      <w:r w:rsidRPr="00823E1F">
        <w:rPr>
          <w:rFonts w:cs="Arial"/>
          <w:i/>
          <w:iCs/>
          <w:sz w:val="23"/>
          <w:szCs w:val="23"/>
          <w:lang w:eastAsia="it-CH"/>
        </w:rPr>
        <w:t xml:space="preserve"> una crescita sostenibile e duratura</w:t>
      </w:r>
      <w:r w:rsidRPr="00823E1F">
        <w:rPr>
          <w:rFonts w:cs="Arial"/>
          <w:sz w:val="23"/>
          <w:szCs w:val="23"/>
          <w:lang w:eastAsia="it-CH"/>
        </w:rPr>
        <w:t>”. In particolare il sostegno alle PMI, al turismo e alle regioni periferiche sono perseguiti con la “</w:t>
      </w:r>
      <w:r w:rsidRPr="00823E1F">
        <w:rPr>
          <w:rFonts w:cs="Arial"/>
          <w:i/>
          <w:iCs/>
          <w:sz w:val="23"/>
          <w:szCs w:val="23"/>
          <w:lang w:eastAsia="it-CH"/>
        </w:rPr>
        <w:t>ferma volontà di mantenere e creare posti di lavoro interessanti e adeguatamente retribuiti per i residenti</w:t>
      </w:r>
      <w:r w:rsidRPr="00823E1F">
        <w:rPr>
          <w:rFonts w:cs="Arial"/>
          <w:sz w:val="23"/>
          <w:szCs w:val="23"/>
          <w:lang w:eastAsia="it-CH"/>
        </w:rPr>
        <w:t>”, così come il sostegno all’innovazione vuole porre</w:t>
      </w:r>
      <w:r w:rsidRPr="00823E1F">
        <w:rPr>
          <w:rFonts w:cs="Arial"/>
          <w:i/>
          <w:iCs/>
          <w:sz w:val="23"/>
          <w:szCs w:val="23"/>
          <w:lang w:eastAsia="it-CH"/>
        </w:rPr>
        <w:t xml:space="preserve"> “particolare attenzione alle ricadute positive per l’insieme dell’economia cantonale nel rispetto dei principi dello sviluppo sostenibile, dell’uso parsimonioso del suolo e della responsabilità sociale delle </w:t>
      </w:r>
      <w:r>
        <w:rPr>
          <w:rFonts w:cs="Arial"/>
          <w:i/>
          <w:iCs/>
          <w:sz w:val="23"/>
          <w:szCs w:val="23"/>
          <w:lang w:eastAsia="it-CH"/>
        </w:rPr>
        <w:t>imprese”</w:t>
      </w:r>
      <w:r w:rsidRPr="00823E1F">
        <w:rPr>
          <w:rFonts w:cs="Arial"/>
          <w:sz w:val="23"/>
          <w:szCs w:val="23"/>
          <w:lang w:eastAsia="it-CH"/>
        </w:rPr>
        <w:t>.</w:t>
      </w:r>
    </w:p>
    <w:p w:rsidR="00823E1F" w:rsidRPr="00823E1F" w:rsidRDefault="00823E1F" w:rsidP="00823E1F">
      <w:pPr>
        <w:autoSpaceDE w:val="0"/>
        <w:autoSpaceDN w:val="0"/>
        <w:adjustRightInd w:val="0"/>
        <w:ind w:left="284"/>
        <w:rPr>
          <w:rFonts w:cs="Arial"/>
          <w:i/>
          <w:iCs/>
          <w:sz w:val="23"/>
          <w:szCs w:val="23"/>
          <w:lang w:eastAsia="it-CH"/>
        </w:rPr>
      </w:pPr>
    </w:p>
    <w:p w:rsidR="00823E1F" w:rsidRDefault="00823E1F" w:rsidP="00823E1F">
      <w:pPr>
        <w:autoSpaceDE w:val="0"/>
        <w:autoSpaceDN w:val="0"/>
        <w:adjustRightInd w:val="0"/>
        <w:ind w:left="284"/>
        <w:rPr>
          <w:rFonts w:cs="Arial"/>
          <w:sz w:val="23"/>
          <w:szCs w:val="23"/>
          <w:lang w:eastAsia="it-CH"/>
        </w:rPr>
      </w:pPr>
      <w:r w:rsidRPr="00823E1F">
        <w:rPr>
          <w:rFonts w:cs="Arial"/>
          <w:sz w:val="23"/>
          <w:szCs w:val="23"/>
          <w:lang w:eastAsia="it-CH"/>
        </w:rPr>
        <w:t xml:space="preserve">Inoltre il Consiglio di Stato ritiene ovvio </w:t>
      </w:r>
      <w:r w:rsidRPr="005402AA">
        <w:rPr>
          <w:rFonts w:cs="Arial"/>
          <w:i/>
          <w:sz w:val="23"/>
          <w:szCs w:val="23"/>
          <w:lang w:eastAsia="it-CH"/>
        </w:rPr>
        <w:t>“</w:t>
      </w:r>
      <w:r w:rsidRPr="005402AA">
        <w:rPr>
          <w:rFonts w:cs="Arial"/>
          <w:i/>
          <w:iCs/>
          <w:sz w:val="23"/>
          <w:szCs w:val="23"/>
          <w:lang w:eastAsia="it-CH"/>
        </w:rPr>
        <w:t>che</w:t>
      </w:r>
      <w:r w:rsidRPr="00823E1F">
        <w:rPr>
          <w:rFonts w:cs="Arial"/>
          <w:i/>
          <w:iCs/>
          <w:sz w:val="23"/>
          <w:szCs w:val="23"/>
          <w:lang w:eastAsia="it-CH"/>
        </w:rPr>
        <w:t xml:space="preserve"> questa attenzione alla qualità dei progetti e alle loro ricadute positive sul territorio si applichi anche alle attività di promozione economica</w:t>
      </w:r>
      <w:r w:rsidRPr="00823E1F">
        <w:rPr>
          <w:rFonts w:cs="Arial"/>
          <w:sz w:val="23"/>
          <w:szCs w:val="23"/>
          <w:lang w:eastAsia="it-CH"/>
        </w:rPr>
        <w:t xml:space="preserve">”. In questo senso sono dunque da interpretare i contatti con Greater Zurich Area e Switzerland Innovation attraverso i quali si mira ottenere una sede di rete del Parco nazionale dell’innovazione dove insediare centri di ricerca e sviluppo di aziende internazionali. </w:t>
      </w:r>
    </w:p>
    <w:p w:rsidR="00823E1F" w:rsidRPr="00823E1F" w:rsidRDefault="00823E1F" w:rsidP="00823E1F">
      <w:pPr>
        <w:autoSpaceDE w:val="0"/>
        <w:autoSpaceDN w:val="0"/>
        <w:adjustRightInd w:val="0"/>
        <w:ind w:left="284"/>
        <w:rPr>
          <w:rFonts w:cs="Arial"/>
          <w:sz w:val="23"/>
          <w:szCs w:val="23"/>
          <w:lang w:eastAsia="it-CH"/>
        </w:rPr>
      </w:pPr>
    </w:p>
    <w:p w:rsidR="00823E1F" w:rsidRPr="00823E1F" w:rsidRDefault="00823E1F" w:rsidP="00823E1F">
      <w:pPr>
        <w:autoSpaceDE w:val="0"/>
        <w:autoSpaceDN w:val="0"/>
        <w:adjustRightInd w:val="0"/>
        <w:ind w:left="284"/>
        <w:rPr>
          <w:rFonts w:cs="Arial"/>
          <w:sz w:val="23"/>
          <w:szCs w:val="23"/>
          <w:lang w:eastAsia="it-CH"/>
        </w:rPr>
      </w:pPr>
      <w:r w:rsidRPr="00823E1F">
        <w:rPr>
          <w:rFonts w:cs="Arial"/>
          <w:sz w:val="23"/>
          <w:szCs w:val="23"/>
          <w:lang w:eastAsia="it-CH"/>
        </w:rPr>
        <w:t xml:space="preserve">Il Governo aggiunge poi che: </w:t>
      </w:r>
      <w:r w:rsidRPr="005402AA">
        <w:rPr>
          <w:rFonts w:cs="Arial"/>
          <w:i/>
          <w:sz w:val="23"/>
          <w:szCs w:val="23"/>
          <w:lang w:eastAsia="it-CH"/>
        </w:rPr>
        <w:t>“</w:t>
      </w:r>
      <w:r w:rsidRPr="005402AA">
        <w:rPr>
          <w:rFonts w:cs="Arial"/>
          <w:i/>
          <w:iCs/>
          <w:sz w:val="23"/>
          <w:szCs w:val="23"/>
          <w:lang w:eastAsia="it-CH"/>
        </w:rPr>
        <w:t>Malgrado</w:t>
      </w:r>
      <w:r w:rsidRPr="00823E1F">
        <w:rPr>
          <w:rFonts w:cs="Arial"/>
          <w:i/>
          <w:iCs/>
          <w:sz w:val="23"/>
          <w:szCs w:val="23"/>
          <w:lang w:eastAsia="it-CH"/>
        </w:rPr>
        <w:t xml:space="preserve"> i nuovi orientamenti e la chiara strategia di sviluppo economico adottata nel quadriennio 2016-2019 (…) è importante ricordare come numerosi insediamenti avvengano in maniera spontanea. Fatto salvo il rispetto delle leggi in vigore, chiunque può infatti aprire o trasferire un’attività in Svizzera</w:t>
      </w:r>
      <w:r w:rsidRPr="00823E1F">
        <w:rPr>
          <w:rFonts w:cs="Arial"/>
          <w:sz w:val="23"/>
          <w:szCs w:val="23"/>
          <w:lang w:eastAsia="it-CH"/>
        </w:rPr>
        <w:t>”.</w:t>
      </w:r>
    </w:p>
    <w:p w:rsidR="00823E1F" w:rsidRDefault="00823E1F" w:rsidP="00823E1F">
      <w:pPr>
        <w:autoSpaceDE w:val="0"/>
        <w:autoSpaceDN w:val="0"/>
        <w:adjustRightInd w:val="0"/>
        <w:ind w:left="284"/>
        <w:rPr>
          <w:rFonts w:cs="Arial"/>
          <w:b/>
          <w:bCs/>
          <w:sz w:val="23"/>
          <w:szCs w:val="23"/>
          <w:lang w:eastAsia="it-CH"/>
        </w:rPr>
      </w:pPr>
    </w:p>
    <w:p w:rsidR="00823E1F" w:rsidRPr="00823E1F" w:rsidRDefault="00823E1F" w:rsidP="00823E1F">
      <w:pPr>
        <w:autoSpaceDE w:val="0"/>
        <w:autoSpaceDN w:val="0"/>
        <w:adjustRightInd w:val="0"/>
        <w:ind w:left="284"/>
        <w:rPr>
          <w:rFonts w:cs="Arial"/>
          <w:sz w:val="23"/>
          <w:szCs w:val="23"/>
          <w:lang w:eastAsia="it-CH"/>
        </w:rPr>
      </w:pPr>
      <w:r w:rsidRPr="00823E1F">
        <w:rPr>
          <w:rFonts w:cs="Arial"/>
          <w:b/>
          <w:bCs/>
          <w:sz w:val="23"/>
          <w:szCs w:val="23"/>
          <w:lang w:eastAsia="it-CH"/>
        </w:rPr>
        <w:lastRenderedPageBreak/>
        <w:t>In risposta alla richiesta del punto 2. della mozione</w:t>
      </w:r>
      <w:r w:rsidRPr="00823E1F">
        <w:rPr>
          <w:rFonts w:cs="Arial"/>
          <w:sz w:val="23"/>
          <w:szCs w:val="23"/>
          <w:lang w:eastAsia="it-CH"/>
        </w:rPr>
        <w:t xml:space="preserve">, il Consiglio di Stato ricorda che, con la revisione della Legge sulla pianificazione del territorio, la Confederazione chiede ai Cantoni di </w:t>
      </w:r>
      <w:r w:rsidRPr="005402AA">
        <w:rPr>
          <w:rFonts w:cs="Arial"/>
          <w:i/>
          <w:sz w:val="23"/>
          <w:szCs w:val="23"/>
          <w:lang w:eastAsia="it-CH"/>
        </w:rPr>
        <w:t>“</w:t>
      </w:r>
      <w:r w:rsidRPr="005402AA">
        <w:rPr>
          <w:rFonts w:cs="Arial"/>
          <w:i/>
          <w:iCs/>
          <w:sz w:val="23"/>
          <w:szCs w:val="23"/>
          <w:lang w:eastAsia="it-CH"/>
        </w:rPr>
        <w:t>adottare</w:t>
      </w:r>
      <w:r w:rsidRPr="00823E1F">
        <w:rPr>
          <w:rFonts w:cs="Arial"/>
          <w:i/>
          <w:iCs/>
          <w:sz w:val="23"/>
          <w:szCs w:val="23"/>
          <w:lang w:eastAsia="it-CH"/>
        </w:rPr>
        <w:t xml:space="preserve"> misure più incisive contro la dispersione degli insediamenti, rivedendo e se del caso adeguando la strategia di sviluppo territoriale, compresa quella per le zone lavorative</w:t>
      </w:r>
      <w:r w:rsidRPr="00823E1F">
        <w:rPr>
          <w:rFonts w:cs="Arial"/>
          <w:sz w:val="23"/>
          <w:szCs w:val="23"/>
          <w:lang w:eastAsia="it-CH"/>
        </w:rPr>
        <w:t>”. Il Governo afferma che accanto alla documentazione inerente alla revisione del piano direttore cantonale posta in consultazione il 13 giugno 2017, “</w:t>
      </w:r>
      <w:r w:rsidRPr="00823E1F">
        <w:rPr>
          <w:rFonts w:cs="Arial"/>
          <w:i/>
          <w:iCs/>
          <w:sz w:val="23"/>
          <w:szCs w:val="23"/>
          <w:lang w:eastAsia="it-CH"/>
        </w:rPr>
        <w:t>seguirà un rapporto congiunto da parte del Dipartimento del territorio e del Dipartimento delle finanze e dell’economia che illustrerà la strategia riguardante le aree lavorative, contenente anche indicazioni concernenti le conseguenti modifiche del PD, in particolare, la scheda R7 Poli di sviluppo economico</w:t>
      </w:r>
      <w:r w:rsidRPr="00823E1F">
        <w:rPr>
          <w:rFonts w:cs="Arial"/>
          <w:sz w:val="23"/>
          <w:szCs w:val="23"/>
          <w:lang w:eastAsia="it-CH"/>
        </w:rPr>
        <w:t xml:space="preserve">”. </w:t>
      </w:r>
    </w:p>
    <w:p w:rsidR="00823E1F" w:rsidRDefault="00823E1F" w:rsidP="00823E1F">
      <w:pPr>
        <w:autoSpaceDE w:val="0"/>
        <w:autoSpaceDN w:val="0"/>
        <w:adjustRightInd w:val="0"/>
        <w:rPr>
          <w:rFonts w:cs="Arial"/>
          <w:lang w:eastAsia="it-CH"/>
        </w:rPr>
      </w:pPr>
    </w:p>
    <w:p w:rsidR="00823E1F" w:rsidRDefault="00823E1F" w:rsidP="00823E1F">
      <w:pPr>
        <w:autoSpaceDE w:val="0"/>
        <w:autoSpaceDN w:val="0"/>
        <w:adjustRightInd w:val="0"/>
        <w:rPr>
          <w:rFonts w:cs="Arial"/>
          <w:lang w:eastAsia="it-CH"/>
        </w:rPr>
      </w:pPr>
    </w:p>
    <w:p w:rsidR="00823E1F" w:rsidRPr="00D27487" w:rsidRDefault="00823E1F" w:rsidP="00823E1F">
      <w:pPr>
        <w:autoSpaceDE w:val="0"/>
        <w:autoSpaceDN w:val="0"/>
        <w:adjustRightInd w:val="0"/>
        <w:rPr>
          <w:rFonts w:cs="Arial"/>
          <w:lang w:eastAsia="it-CH"/>
        </w:rPr>
      </w:pPr>
    </w:p>
    <w:p w:rsidR="00823E1F" w:rsidRPr="00D27487" w:rsidRDefault="00823E1F" w:rsidP="00823E1F">
      <w:pPr>
        <w:pStyle w:val="Titolo1"/>
      </w:pPr>
      <w:bookmarkStart w:id="3" w:name="_Toc63332019"/>
      <w:r w:rsidRPr="00D27487">
        <w:t>APPROFONDIMENTI COMMISSIONALI</w:t>
      </w:r>
      <w:bookmarkEnd w:id="3"/>
    </w:p>
    <w:p w:rsidR="00823E1F" w:rsidRPr="00D27487" w:rsidRDefault="00823E1F" w:rsidP="00823E1F">
      <w:pPr>
        <w:pStyle w:val="Paragrafoelenco"/>
        <w:autoSpaceDE w:val="0"/>
        <w:autoSpaceDN w:val="0"/>
        <w:adjustRightInd w:val="0"/>
        <w:rPr>
          <w:rFonts w:cs="Arial"/>
          <w:szCs w:val="24"/>
          <w:lang w:eastAsia="it-CH"/>
        </w:rPr>
      </w:pPr>
      <w:r w:rsidRPr="00D27487">
        <w:rPr>
          <w:rFonts w:cs="Arial"/>
          <w:szCs w:val="24"/>
          <w:lang w:eastAsia="it-CH"/>
        </w:rPr>
        <w:t>In data 27 agosto 2019 la Commissione economia e lavoro si china per la prima volta sulla mozione in oggetto. Da questo e dai successivi incontri sostanzialmente emerge:</w:t>
      </w:r>
    </w:p>
    <w:p w:rsidR="00823E1F" w:rsidRPr="00D27487" w:rsidRDefault="00823E1F" w:rsidP="004F6799">
      <w:pPr>
        <w:pStyle w:val="Paragrafoelenco"/>
        <w:numPr>
          <w:ilvl w:val="0"/>
          <w:numId w:val="10"/>
        </w:numPr>
        <w:autoSpaceDE w:val="0"/>
        <w:autoSpaceDN w:val="0"/>
        <w:adjustRightInd w:val="0"/>
        <w:spacing w:before="120" w:after="120"/>
        <w:ind w:left="284" w:hanging="284"/>
        <w:rPr>
          <w:rFonts w:cs="Arial"/>
          <w:szCs w:val="24"/>
          <w:lang w:eastAsia="it-CH"/>
        </w:rPr>
      </w:pPr>
      <w:r w:rsidRPr="00D27487">
        <w:rPr>
          <w:rFonts w:cs="Arial"/>
          <w:szCs w:val="24"/>
          <w:lang w:eastAsia="it-CH"/>
        </w:rPr>
        <w:t>l’importanza di fondare riflessioni e decisioni su dati oggettivi e non su opinioni;</w:t>
      </w:r>
    </w:p>
    <w:p w:rsidR="00823E1F" w:rsidRPr="00D27487" w:rsidRDefault="00823E1F" w:rsidP="004F6799">
      <w:pPr>
        <w:pStyle w:val="Paragrafoelenco"/>
        <w:numPr>
          <w:ilvl w:val="0"/>
          <w:numId w:val="10"/>
        </w:numPr>
        <w:autoSpaceDE w:val="0"/>
        <w:autoSpaceDN w:val="0"/>
        <w:adjustRightInd w:val="0"/>
        <w:spacing w:before="120" w:after="120"/>
        <w:ind w:left="284" w:hanging="284"/>
        <w:rPr>
          <w:rFonts w:cs="Arial"/>
          <w:szCs w:val="24"/>
          <w:lang w:eastAsia="it-CH"/>
        </w:rPr>
      </w:pPr>
      <w:r w:rsidRPr="00D27487">
        <w:rPr>
          <w:rFonts w:cs="Arial"/>
          <w:szCs w:val="24"/>
          <w:lang w:eastAsia="it-CH"/>
        </w:rPr>
        <w:t>che perlopiù i dati e le ricerche molto probabilmente esistono già (Camera di commercio, BAK, USTAT, IRE, UL, SECO, ecc.) ma è necessario avere un referente che possa essere garante di raccoglierli;</w:t>
      </w:r>
    </w:p>
    <w:p w:rsidR="00823E1F" w:rsidRPr="00D27487" w:rsidRDefault="00823E1F" w:rsidP="004F6799">
      <w:pPr>
        <w:pStyle w:val="Paragrafoelenco"/>
        <w:numPr>
          <w:ilvl w:val="0"/>
          <w:numId w:val="10"/>
        </w:numPr>
        <w:autoSpaceDE w:val="0"/>
        <w:autoSpaceDN w:val="0"/>
        <w:adjustRightInd w:val="0"/>
        <w:spacing w:before="120" w:after="120"/>
        <w:ind w:left="284" w:hanging="284"/>
        <w:rPr>
          <w:rFonts w:cs="Arial"/>
          <w:szCs w:val="24"/>
          <w:lang w:eastAsia="it-CH"/>
        </w:rPr>
      </w:pPr>
      <w:r w:rsidRPr="00D27487">
        <w:rPr>
          <w:rFonts w:cs="Arial"/>
          <w:szCs w:val="24"/>
          <w:lang w:eastAsia="it-CH"/>
        </w:rPr>
        <w:t>i 5 criteri rappresentano bene o male le varie sensibilità dell'intero spettro politico.</w:t>
      </w:r>
    </w:p>
    <w:p w:rsidR="00823E1F" w:rsidRDefault="00823E1F" w:rsidP="00823E1F">
      <w:pPr>
        <w:pStyle w:val="Paragrafoelenco"/>
        <w:autoSpaceDE w:val="0"/>
        <w:autoSpaceDN w:val="0"/>
        <w:adjustRightInd w:val="0"/>
        <w:rPr>
          <w:rFonts w:cs="Arial"/>
          <w:szCs w:val="24"/>
          <w:lang w:eastAsia="it-CH"/>
        </w:rPr>
      </w:pPr>
      <w:r w:rsidRPr="00D27487">
        <w:rPr>
          <w:rFonts w:cs="Arial"/>
          <w:szCs w:val="24"/>
          <w:lang w:eastAsia="it-CH"/>
        </w:rPr>
        <w:t xml:space="preserve">In data 10 settembre 2020, si è approfittato di un'audizione già prevista del capo del Dipartimento delle finanze e dell'economia (DFE) Christian Vitta, del capo Divisione dell’economia Stefano Rizzi e della collaboratrice di Direzione Alice Ghisletta, per approfondire i dati sul mercato del lavoro, sullo sviluppo economico e sulla sostenibilità. </w:t>
      </w:r>
    </w:p>
    <w:p w:rsidR="00823E1F" w:rsidRPr="00D27487" w:rsidRDefault="00823E1F" w:rsidP="00823E1F">
      <w:pPr>
        <w:pStyle w:val="Paragrafoelenco"/>
        <w:autoSpaceDE w:val="0"/>
        <w:autoSpaceDN w:val="0"/>
        <w:adjustRightInd w:val="0"/>
        <w:rPr>
          <w:rFonts w:cs="Arial"/>
          <w:szCs w:val="24"/>
          <w:lang w:eastAsia="it-CH"/>
        </w:rPr>
      </w:pPr>
    </w:p>
    <w:p w:rsidR="00823E1F" w:rsidRPr="00D27487" w:rsidRDefault="00823E1F" w:rsidP="00823E1F">
      <w:pPr>
        <w:pStyle w:val="Paragrafoelenco"/>
        <w:autoSpaceDE w:val="0"/>
        <w:autoSpaceDN w:val="0"/>
        <w:adjustRightInd w:val="0"/>
        <w:rPr>
          <w:rFonts w:cs="Arial"/>
          <w:szCs w:val="24"/>
          <w:lang w:eastAsia="it-CH"/>
        </w:rPr>
      </w:pPr>
      <w:r w:rsidRPr="00D27487">
        <w:rPr>
          <w:rFonts w:cs="Arial"/>
          <w:szCs w:val="24"/>
          <w:lang w:eastAsia="it-CH"/>
        </w:rPr>
        <w:t>Il 29 settembre 2020, infine, allo scopo di approfondire come la sostenibilità venga ponderata nei progetti economici con lo strumento VSost, si è svolta un’audizione del capo Divisione dell’economia Stefano Rizzi e del capo Ufficio dell’economia Valesko Wild.</w:t>
      </w:r>
    </w:p>
    <w:p w:rsidR="00823E1F" w:rsidRDefault="00823E1F" w:rsidP="00823E1F">
      <w:pPr>
        <w:pStyle w:val="Paragrafoelenco"/>
        <w:autoSpaceDE w:val="0"/>
        <w:autoSpaceDN w:val="0"/>
        <w:adjustRightInd w:val="0"/>
        <w:rPr>
          <w:rFonts w:cs="Arial"/>
          <w:szCs w:val="24"/>
          <w:lang w:eastAsia="it-CH"/>
        </w:rPr>
      </w:pPr>
    </w:p>
    <w:p w:rsidR="00823E1F" w:rsidRDefault="00823E1F" w:rsidP="00823E1F">
      <w:pPr>
        <w:pStyle w:val="Paragrafoelenco"/>
        <w:autoSpaceDE w:val="0"/>
        <w:autoSpaceDN w:val="0"/>
        <w:adjustRightInd w:val="0"/>
        <w:rPr>
          <w:rFonts w:cs="Arial"/>
          <w:szCs w:val="24"/>
          <w:lang w:eastAsia="it-CH"/>
        </w:rPr>
      </w:pPr>
    </w:p>
    <w:p w:rsidR="00823E1F" w:rsidRPr="00D27487" w:rsidRDefault="00823E1F" w:rsidP="00823E1F">
      <w:pPr>
        <w:pStyle w:val="Paragrafoelenco"/>
        <w:autoSpaceDE w:val="0"/>
        <w:autoSpaceDN w:val="0"/>
        <w:adjustRightInd w:val="0"/>
        <w:rPr>
          <w:rFonts w:cs="Arial"/>
          <w:szCs w:val="24"/>
          <w:lang w:eastAsia="it-CH"/>
        </w:rPr>
      </w:pPr>
    </w:p>
    <w:p w:rsidR="00823E1F" w:rsidRPr="00D27487" w:rsidRDefault="00823E1F" w:rsidP="00823E1F">
      <w:pPr>
        <w:pStyle w:val="Titolo1"/>
      </w:pPr>
      <w:bookmarkStart w:id="4" w:name="_Toc63332020"/>
      <w:r w:rsidRPr="00D27487">
        <w:t>IL RAPPORTO DI MAGGIORANZA</w:t>
      </w:r>
      <w:bookmarkEnd w:id="4"/>
    </w:p>
    <w:p w:rsidR="00823E1F" w:rsidRDefault="00823E1F" w:rsidP="00823E1F">
      <w:pPr>
        <w:autoSpaceDE w:val="0"/>
        <w:autoSpaceDN w:val="0"/>
        <w:adjustRightInd w:val="0"/>
        <w:rPr>
          <w:rFonts w:cs="Arial"/>
          <w:lang w:eastAsia="it-CH"/>
        </w:rPr>
      </w:pPr>
      <w:r w:rsidRPr="00D27487">
        <w:rPr>
          <w:rFonts w:cs="Arial"/>
          <w:lang w:eastAsia="it-CH"/>
        </w:rPr>
        <w:t xml:space="preserve">Dopo gli approfondimenti svolti, in un suo rapporto la maggioranza della Commissione si allinea alla posizione del Consiglio di Stato </w:t>
      </w:r>
      <w:r w:rsidRPr="00D27487">
        <w:rPr>
          <w:rFonts w:cs="Arial"/>
          <w:u w:val="single"/>
          <w:lang w:eastAsia="it-CH"/>
        </w:rPr>
        <w:t>considerando evase le richieste della mozione</w:t>
      </w:r>
      <w:r w:rsidRPr="00D27487">
        <w:rPr>
          <w:rFonts w:cs="Arial"/>
          <w:lang w:eastAsia="it-CH"/>
        </w:rPr>
        <w:t xml:space="preserve">. Rispetto al messaggio del Governo, il rapporto di maggioranza cerca però di sostanziare maggiormente tale posizione. </w:t>
      </w:r>
    </w:p>
    <w:p w:rsidR="00823E1F" w:rsidRPr="00D27487" w:rsidRDefault="00823E1F" w:rsidP="00823E1F">
      <w:pPr>
        <w:autoSpaceDE w:val="0"/>
        <w:autoSpaceDN w:val="0"/>
        <w:adjustRightInd w:val="0"/>
        <w:rPr>
          <w:rFonts w:cs="Arial"/>
          <w:lang w:eastAsia="it-CH"/>
        </w:rPr>
      </w:pPr>
    </w:p>
    <w:p w:rsidR="00823E1F" w:rsidRDefault="00823E1F" w:rsidP="00823E1F">
      <w:pPr>
        <w:autoSpaceDE w:val="0"/>
        <w:autoSpaceDN w:val="0"/>
        <w:adjustRightInd w:val="0"/>
        <w:rPr>
          <w:rFonts w:cs="Arial"/>
          <w:lang w:eastAsia="it-CH"/>
        </w:rPr>
      </w:pPr>
      <w:r w:rsidRPr="00D27487">
        <w:rPr>
          <w:rFonts w:cs="Arial"/>
          <w:lang w:eastAsia="it-CH"/>
        </w:rPr>
        <w:t>Si ritiene che le politiche economiche cantonali, in particolare quella sull</w:t>
      </w:r>
      <w:r>
        <w:rPr>
          <w:rFonts w:cs="Arial"/>
          <w:lang w:eastAsia="it-CH"/>
        </w:rPr>
        <w:t>'</w:t>
      </w:r>
      <w:r w:rsidRPr="00D27487">
        <w:rPr>
          <w:rFonts w:cs="Arial"/>
          <w:lang w:eastAsia="it-CH"/>
        </w:rPr>
        <w:t>innovazione economica e quella sulla politica economica regionale, dedichino già particolare attenzione ai criteri proposti dalla mozione.</w:t>
      </w:r>
    </w:p>
    <w:p w:rsidR="00823E1F" w:rsidRPr="00D27487" w:rsidRDefault="00823E1F" w:rsidP="00823E1F">
      <w:pPr>
        <w:autoSpaceDE w:val="0"/>
        <w:autoSpaceDN w:val="0"/>
        <w:adjustRightInd w:val="0"/>
        <w:rPr>
          <w:rFonts w:cs="Arial"/>
          <w:lang w:eastAsia="it-CH"/>
        </w:rPr>
      </w:pPr>
    </w:p>
    <w:p w:rsidR="00823E1F" w:rsidRPr="00D27487" w:rsidRDefault="00823E1F" w:rsidP="004F6799">
      <w:pPr>
        <w:pStyle w:val="Paragrafoelenco"/>
        <w:numPr>
          <w:ilvl w:val="0"/>
          <w:numId w:val="6"/>
        </w:numPr>
        <w:autoSpaceDE w:val="0"/>
        <w:autoSpaceDN w:val="0"/>
        <w:adjustRightInd w:val="0"/>
        <w:ind w:left="284" w:hanging="284"/>
        <w:contextualSpacing/>
        <w:rPr>
          <w:rFonts w:eastAsia="Arial" w:cs="Arial"/>
          <w:szCs w:val="24"/>
        </w:rPr>
      </w:pPr>
      <w:r w:rsidRPr="00D27487">
        <w:rPr>
          <w:rFonts w:cs="Arial"/>
          <w:szCs w:val="24"/>
          <w:lang w:eastAsia="it-CH"/>
        </w:rPr>
        <w:t xml:space="preserve">La LInn prevede infatti dei criteri di accesso ai sussidi che richiedono dei limiti salariali minimi </w:t>
      </w:r>
      <w:r w:rsidRPr="00D27487">
        <w:rPr>
          <w:rFonts w:eastAsia="Arial" w:cs="Arial"/>
          <w:szCs w:val="24"/>
        </w:rPr>
        <w:t>(60% dei dipendenti con un salario mensile lordo superiore a fr. 4'000.- per 12 mensilità per dieci anni) e richiedono quote minime di personale residente (al momento della richiesta almeno il 60% dei dipendenti deve essere residente in Ticino per almeno dieci anni successivi). Oltre a questi criteri di accesso, vi sono poi criteri supplementari legati allo sviluppo sostenibile, all</w:t>
      </w:r>
      <w:r>
        <w:rPr>
          <w:rFonts w:eastAsia="Arial" w:cs="Arial"/>
          <w:szCs w:val="24"/>
        </w:rPr>
        <w:t>'</w:t>
      </w:r>
      <w:r w:rsidRPr="00D27487">
        <w:rPr>
          <w:rFonts w:eastAsia="Arial" w:cs="Arial"/>
          <w:szCs w:val="24"/>
        </w:rPr>
        <w:t>uso parsimonioso del suolo e alla responsabilità sociale d</w:t>
      </w:r>
      <w:r>
        <w:rPr>
          <w:rFonts w:eastAsia="Arial" w:cs="Arial"/>
          <w:szCs w:val="24"/>
        </w:rPr>
        <w:t>'</w:t>
      </w:r>
      <w:r w:rsidRPr="00D27487">
        <w:rPr>
          <w:rFonts w:eastAsia="Arial" w:cs="Arial"/>
          <w:szCs w:val="24"/>
        </w:rPr>
        <w:t>impresa (calcolo del ritorno sugli investimenti – ROI) attraverso i quali viene computato l</w:t>
      </w:r>
      <w:r>
        <w:rPr>
          <w:rFonts w:eastAsia="Arial" w:cs="Arial"/>
          <w:szCs w:val="24"/>
        </w:rPr>
        <w:t>'</w:t>
      </w:r>
      <w:r w:rsidRPr="00D27487">
        <w:rPr>
          <w:rFonts w:eastAsia="Arial" w:cs="Arial"/>
          <w:szCs w:val="24"/>
        </w:rPr>
        <w:t>ammontare finale dei sussidi.</w:t>
      </w:r>
      <w:r>
        <w:rPr>
          <w:rFonts w:eastAsia="Arial" w:cs="Arial"/>
          <w:szCs w:val="24"/>
        </w:rPr>
        <w:t xml:space="preserve"> </w:t>
      </w:r>
    </w:p>
    <w:p w:rsidR="00823E1F" w:rsidRDefault="00823E1F" w:rsidP="004F6799">
      <w:pPr>
        <w:pStyle w:val="Paragrafoelenco"/>
        <w:numPr>
          <w:ilvl w:val="0"/>
          <w:numId w:val="6"/>
        </w:numPr>
        <w:autoSpaceDE w:val="0"/>
        <w:autoSpaceDN w:val="0"/>
        <w:adjustRightInd w:val="0"/>
        <w:ind w:left="284" w:hanging="284"/>
        <w:rPr>
          <w:rFonts w:cs="Arial"/>
          <w:szCs w:val="24"/>
          <w:lang w:eastAsia="it-CH"/>
        </w:rPr>
      </w:pPr>
      <w:r w:rsidRPr="00D27487">
        <w:rPr>
          <w:rFonts w:cs="Arial"/>
          <w:szCs w:val="24"/>
          <w:lang w:eastAsia="it-CH"/>
        </w:rPr>
        <w:lastRenderedPageBreak/>
        <w:t>Il</w:t>
      </w:r>
      <w:r>
        <w:rPr>
          <w:rFonts w:cs="Arial"/>
          <w:szCs w:val="24"/>
          <w:lang w:eastAsia="it-CH"/>
        </w:rPr>
        <w:t xml:space="preserve"> Programma d'</w:t>
      </w:r>
      <w:r w:rsidRPr="00D27487">
        <w:rPr>
          <w:rFonts w:cs="Arial"/>
          <w:szCs w:val="24"/>
          <w:lang w:eastAsia="it-CH"/>
        </w:rPr>
        <w:t>attuazione della politica economica regionale prevede invece la ponderazione della sostenibilità attraverso lo strumento VSost sviluppato dall’amministrazione federale, che considera nel suo calcolo gli elementi economici, quelli ambientali e quelli sociali.</w:t>
      </w:r>
    </w:p>
    <w:p w:rsidR="00823E1F" w:rsidRPr="00D27487" w:rsidRDefault="00823E1F" w:rsidP="00823E1F">
      <w:pPr>
        <w:pStyle w:val="Paragrafoelenco"/>
        <w:autoSpaceDE w:val="0"/>
        <w:autoSpaceDN w:val="0"/>
        <w:adjustRightInd w:val="0"/>
        <w:ind w:left="284"/>
        <w:rPr>
          <w:rFonts w:cs="Arial"/>
          <w:szCs w:val="24"/>
          <w:lang w:eastAsia="it-CH"/>
        </w:rPr>
      </w:pPr>
    </w:p>
    <w:p w:rsidR="00823E1F" w:rsidRDefault="00823E1F" w:rsidP="00823E1F">
      <w:pPr>
        <w:autoSpaceDE w:val="0"/>
        <w:autoSpaceDN w:val="0"/>
        <w:adjustRightInd w:val="0"/>
        <w:rPr>
          <w:rFonts w:eastAsia="Arial" w:cs="Arial"/>
        </w:rPr>
      </w:pPr>
      <w:r w:rsidRPr="00D27487">
        <w:rPr>
          <w:rFonts w:eastAsia="Arial" w:cs="Arial"/>
        </w:rPr>
        <w:t>Si ritiene dunque che emerga chiaramente</w:t>
      </w:r>
      <w:r w:rsidRPr="00D27487">
        <w:rPr>
          <w:rFonts w:eastAsia="Arial" w:cs="Arial"/>
          <w:i/>
          <w:iCs/>
        </w:rPr>
        <w:t xml:space="preserve"> </w:t>
      </w:r>
      <w:r w:rsidRPr="00D27487">
        <w:rPr>
          <w:rFonts w:eastAsia="Arial" w:cs="Arial"/>
        </w:rPr>
        <w:t>“</w:t>
      </w:r>
      <w:r w:rsidRPr="00D27487">
        <w:rPr>
          <w:rFonts w:eastAsia="Arial" w:cs="Arial"/>
          <w:i/>
          <w:iCs/>
        </w:rPr>
        <w:t xml:space="preserve">la volontà del DFE e del legislatore di considerare i criteri summenzionati </w:t>
      </w:r>
      <w:r w:rsidRPr="00D27487">
        <w:rPr>
          <w:rFonts w:eastAsia="Arial" w:cs="Arial"/>
        </w:rPr>
        <w:t>(quelli della mozione, ndr)</w:t>
      </w:r>
      <w:r w:rsidRPr="00D27487">
        <w:rPr>
          <w:rFonts w:eastAsia="Arial" w:cs="Arial"/>
          <w:i/>
          <w:iCs/>
        </w:rPr>
        <w:t xml:space="preserve"> nei propri ambiti di competenza pur tenendo presente che i nuovi modelli di sostenibilità richiedono tempi di maturazione legati anche all'applicazione pratica delle varie basi legali</w:t>
      </w:r>
      <w:r w:rsidRPr="00D27487">
        <w:rPr>
          <w:rFonts w:eastAsia="Arial" w:cs="Arial"/>
        </w:rPr>
        <w:t>”.</w:t>
      </w:r>
    </w:p>
    <w:p w:rsidR="00823E1F" w:rsidRPr="00D27487" w:rsidRDefault="00823E1F" w:rsidP="00823E1F">
      <w:pPr>
        <w:autoSpaceDE w:val="0"/>
        <w:autoSpaceDN w:val="0"/>
        <w:adjustRightInd w:val="0"/>
        <w:rPr>
          <w:rFonts w:cs="Arial"/>
          <w:i/>
          <w:iCs/>
          <w:lang w:eastAsia="it-CH"/>
        </w:rPr>
      </w:pPr>
    </w:p>
    <w:p w:rsidR="00823E1F" w:rsidRDefault="00823E1F" w:rsidP="00823E1F">
      <w:pPr>
        <w:autoSpaceDE w:val="0"/>
        <w:autoSpaceDN w:val="0"/>
        <w:adjustRightInd w:val="0"/>
        <w:rPr>
          <w:rFonts w:cs="Arial"/>
          <w:lang w:eastAsia="it-CH"/>
        </w:rPr>
      </w:pPr>
      <w:r w:rsidRPr="00D27487">
        <w:rPr>
          <w:rFonts w:cs="Arial"/>
          <w:lang w:eastAsia="it-CH"/>
        </w:rPr>
        <w:t>Nel rapporto di maggioranza si considerano infine ulteriori condizioni quadro che vanno a mente della maggioranza nella direzione di soddisfare l</w:t>
      </w:r>
      <w:r>
        <w:rPr>
          <w:rFonts w:cs="Arial"/>
          <w:lang w:eastAsia="it-CH"/>
        </w:rPr>
        <w:t>'</w:t>
      </w:r>
      <w:r w:rsidRPr="00D27487">
        <w:rPr>
          <w:rFonts w:cs="Arial"/>
          <w:lang w:eastAsia="it-CH"/>
        </w:rPr>
        <w:t>implementazione dei criteri proposti dalla mozione. In particolare:</w:t>
      </w:r>
    </w:p>
    <w:p w:rsidR="00823E1F" w:rsidRPr="00D27487" w:rsidRDefault="00823E1F" w:rsidP="00AF30BA">
      <w:pPr>
        <w:pStyle w:val="Paragrafoelenco"/>
        <w:numPr>
          <w:ilvl w:val="0"/>
          <w:numId w:val="12"/>
        </w:numPr>
        <w:autoSpaceDE w:val="0"/>
        <w:autoSpaceDN w:val="0"/>
        <w:adjustRightInd w:val="0"/>
        <w:spacing w:before="120" w:after="120"/>
        <w:ind w:left="284" w:hanging="284"/>
        <w:rPr>
          <w:rFonts w:cs="Arial"/>
          <w:szCs w:val="24"/>
          <w:lang w:eastAsia="it-CH"/>
        </w:rPr>
      </w:pPr>
      <w:r>
        <w:rPr>
          <w:rFonts w:cs="Arial"/>
          <w:szCs w:val="24"/>
          <w:lang w:eastAsia="it-CH"/>
        </w:rPr>
        <w:t>i</w:t>
      </w:r>
      <w:r w:rsidRPr="00D27487">
        <w:rPr>
          <w:rFonts w:cs="Arial"/>
          <w:szCs w:val="24"/>
          <w:lang w:eastAsia="it-CH"/>
        </w:rPr>
        <w:t xml:space="preserve"> lavori della </w:t>
      </w:r>
      <w:r w:rsidRPr="00D27487">
        <w:rPr>
          <w:rFonts w:eastAsia="Arial" w:cs="Arial"/>
          <w:b/>
          <w:bCs/>
          <w:szCs w:val="24"/>
        </w:rPr>
        <w:t>Commissione speciale per l'attuazione dell'iniziativa popolare costituzionale "Prima i nostri!”</w:t>
      </w:r>
      <w:r w:rsidRPr="00D27487">
        <w:rPr>
          <w:rFonts w:eastAsia="Arial" w:cs="Arial"/>
          <w:szCs w:val="24"/>
        </w:rPr>
        <w:t>, con l</w:t>
      </w:r>
      <w:r>
        <w:rPr>
          <w:rFonts w:eastAsia="Arial" w:cs="Arial"/>
          <w:szCs w:val="24"/>
        </w:rPr>
        <w:t>a quale si è introdotta, laddove è</w:t>
      </w:r>
      <w:r w:rsidRPr="00D27487">
        <w:rPr>
          <w:rFonts w:eastAsia="Arial" w:cs="Arial"/>
          <w:szCs w:val="24"/>
        </w:rPr>
        <w:t xml:space="preserve"> competenza cantonale (pubblico e para-pubblico)</w:t>
      </w:r>
      <w:r>
        <w:rPr>
          <w:rFonts w:eastAsia="Arial" w:cs="Arial"/>
          <w:szCs w:val="24"/>
        </w:rPr>
        <w:t>,</w:t>
      </w:r>
      <w:r w:rsidRPr="00D27487">
        <w:rPr>
          <w:rFonts w:eastAsia="Arial" w:cs="Arial"/>
          <w:szCs w:val="24"/>
        </w:rPr>
        <w:t xml:space="preserve"> la preferenza indigena</w:t>
      </w:r>
      <w:r>
        <w:rPr>
          <w:rFonts w:eastAsia="Arial" w:cs="Arial"/>
          <w:szCs w:val="24"/>
        </w:rPr>
        <w:t>;</w:t>
      </w:r>
    </w:p>
    <w:p w:rsidR="00823E1F" w:rsidRPr="00D27487" w:rsidRDefault="00823E1F" w:rsidP="00AF30BA">
      <w:pPr>
        <w:pStyle w:val="Paragrafoelenco"/>
        <w:numPr>
          <w:ilvl w:val="0"/>
          <w:numId w:val="12"/>
        </w:numPr>
        <w:autoSpaceDE w:val="0"/>
        <w:autoSpaceDN w:val="0"/>
        <w:adjustRightInd w:val="0"/>
        <w:spacing w:before="120" w:after="120"/>
        <w:ind w:left="284" w:hanging="284"/>
        <w:rPr>
          <w:rFonts w:cs="Arial"/>
          <w:szCs w:val="24"/>
          <w:lang w:eastAsia="it-CH"/>
        </w:rPr>
      </w:pPr>
      <w:r w:rsidRPr="00D27487">
        <w:rPr>
          <w:rFonts w:cs="Arial"/>
          <w:szCs w:val="24"/>
          <w:lang w:eastAsia="it-CH"/>
        </w:rPr>
        <w:t>la revisione della Legge federale sulla pianificazione del territorio che, entrata in vigore nel maggio 2014, ha come obiettivo di salvaguardare il territorio e le basi naturali della vita attraverso l</w:t>
      </w:r>
      <w:r>
        <w:rPr>
          <w:rFonts w:cs="Arial"/>
          <w:szCs w:val="24"/>
          <w:lang w:eastAsia="it-CH"/>
        </w:rPr>
        <w:t>'</w:t>
      </w:r>
      <w:r w:rsidRPr="00D27487">
        <w:rPr>
          <w:rFonts w:cs="Arial"/>
          <w:szCs w:val="24"/>
          <w:lang w:eastAsia="it-CH"/>
        </w:rPr>
        <w:t xml:space="preserve">edificazione centripeta. Inoltre il </w:t>
      </w:r>
      <w:r>
        <w:rPr>
          <w:rFonts w:cs="Arial"/>
          <w:b/>
          <w:bCs/>
          <w:szCs w:val="24"/>
          <w:lang w:eastAsia="it-CH"/>
        </w:rPr>
        <w:t>Compendio dello stato dell'</w:t>
      </w:r>
      <w:r w:rsidRPr="00D27487">
        <w:rPr>
          <w:rFonts w:cs="Arial"/>
          <w:b/>
          <w:bCs/>
          <w:szCs w:val="24"/>
          <w:lang w:eastAsia="it-CH"/>
        </w:rPr>
        <w:t>urbanizzazione</w:t>
      </w:r>
      <w:r w:rsidRPr="00D27487">
        <w:rPr>
          <w:rFonts w:cs="Arial"/>
          <w:szCs w:val="24"/>
          <w:lang w:eastAsia="it-CH"/>
        </w:rPr>
        <w:t xml:space="preserve"> allestito dai Comuni e il </w:t>
      </w:r>
      <w:r w:rsidRPr="00D27487">
        <w:rPr>
          <w:rFonts w:cs="Arial"/>
          <w:b/>
          <w:bCs/>
          <w:szCs w:val="24"/>
          <w:lang w:eastAsia="it-CH"/>
        </w:rPr>
        <w:t>Registro degli edifici e delle abitazioni</w:t>
      </w:r>
      <w:r w:rsidRPr="00D27487">
        <w:rPr>
          <w:rFonts w:cs="Arial"/>
          <w:szCs w:val="24"/>
          <w:lang w:eastAsia="it-CH"/>
        </w:rPr>
        <w:t xml:space="preserve"> (REA) sono ulteriori strumenti di controllo, che assieme alle ricerche dell</w:t>
      </w:r>
      <w:r>
        <w:rPr>
          <w:rFonts w:cs="Arial"/>
          <w:szCs w:val="24"/>
          <w:lang w:eastAsia="it-CH"/>
        </w:rPr>
        <w:t>'</w:t>
      </w:r>
      <w:r w:rsidRPr="00D27487">
        <w:rPr>
          <w:rFonts w:cs="Arial"/>
          <w:szCs w:val="24"/>
          <w:lang w:eastAsia="it-CH"/>
        </w:rPr>
        <w:t>USTAT e dell</w:t>
      </w:r>
      <w:r>
        <w:rPr>
          <w:rFonts w:cs="Arial"/>
          <w:szCs w:val="24"/>
          <w:lang w:eastAsia="it-CH"/>
        </w:rPr>
        <w:t>'</w:t>
      </w:r>
      <w:r w:rsidRPr="00D27487">
        <w:rPr>
          <w:rFonts w:cs="Arial"/>
          <w:szCs w:val="24"/>
          <w:lang w:eastAsia="it-CH"/>
        </w:rPr>
        <w:t>Osservatorio dello sviluppo territoriale dell</w:t>
      </w:r>
      <w:r>
        <w:rPr>
          <w:rFonts w:cs="Arial"/>
          <w:szCs w:val="24"/>
          <w:lang w:eastAsia="it-CH"/>
        </w:rPr>
        <w:t>'</w:t>
      </w:r>
      <w:r w:rsidRPr="00D27487">
        <w:rPr>
          <w:rFonts w:cs="Arial"/>
          <w:szCs w:val="24"/>
          <w:lang w:eastAsia="it-CH"/>
        </w:rPr>
        <w:t xml:space="preserve">USI permettono di monitorare </w:t>
      </w:r>
      <w:r>
        <w:rPr>
          <w:rFonts w:cs="Arial"/>
          <w:szCs w:val="24"/>
          <w:lang w:eastAsia="it-CH"/>
        </w:rPr>
        <w:t>l'uso del territorio;</w:t>
      </w:r>
    </w:p>
    <w:p w:rsidR="00823E1F" w:rsidRPr="00D27487" w:rsidRDefault="00823E1F" w:rsidP="005402AA">
      <w:pPr>
        <w:pStyle w:val="Paragrafoelenco"/>
        <w:numPr>
          <w:ilvl w:val="0"/>
          <w:numId w:val="12"/>
        </w:numPr>
        <w:autoSpaceDE w:val="0"/>
        <w:autoSpaceDN w:val="0"/>
        <w:adjustRightInd w:val="0"/>
        <w:spacing w:before="120"/>
        <w:ind w:left="284" w:hanging="284"/>
        <w:rPr>
          <w:rFonts w:cs="Arial"/>
          <w:szCs w:val="24"/>
          <w:lang w:eastAsia="it-CH"/>
        </w:rPr>
      </w:pPr>
      <w:r>
        <w:rPr>
          <w:rFonts w:cs="Arial"/>
          <w:szCs w:val="24"/>
          <w:lang w:eastAsia="it-CH"/>
        </w:rPr>
        <w:t>L’O</w:t>
      </w:r>
      <w:r w:rsidRPr="00D27487">
        <w:rPr>
          <w:rFonts w:cs="Arial"/>
          <w:szCs w:val="24"/>
          <w:lang w:eastAsia="it-CH"/>
        </w:rPr>
        <w:t xml:space="preserve">rdinanza federale sulla pianificazione del territorio che prevede </w:t>
      </w:r>
      <w:r>
        <w:rPr>
          <w:rFonts w:cs="Arial"/>
          <w:szCs w:val="24"/>
          <w:lang w:eastAsia="it-CH"/>
        </w:rPr>
        <w:t>l'</w:t>
      </w:r>
      <w:r w:rsidRPr="00D27487">
        <w:rPr>
          <w:rFonts w:cs="Arial"/>
          <w:szCs w:val="24"/>
          <w:lang w:eastAsia="it-CH"/>
        </w:rPr>
        <w:t xml:space="preserve">introduzione di un </w:t>
      </w:r>
      <w:r w:rsidRPr="00D27487">
        <w:rPr>
          <w:rFonts w:eastAsia="Arial" w:cs="Arial"/>
          <w:b/>
          <w:bCs/>
          <w:szCs w:val="24"/>
        </w:rPr>
        <w:t>sistema di gestione delle zone per il lavoro per garantire che siano utilizzate con misura</w:t>
      </w:r>
      <w:r w:rsidRPr="00D27487">
        <w:rPr>
          <w:rFonts w:eastAsia="Arial" w:cs="Arial"/>
          <w:szCs w:val="24"/>
        </w:rPr>
        <w:t xml:space="preserve"> (art. 30a, cpv. 2). A questo il rapporto aggiunge che gli Enti regionali di sviluppo tengono una banca dati </w:t>
      </w:r>
      <w:r>
        <w:rPr>
          <w:rFonts w:eastAsia="Arial" w:cs="Arial"/>
          <w:szCs w:val="24"/>
        </w:rPr>
        <w:t>"</w:t>
      </w:r>
      <w:r w:rsidRPr="00D27487">
        <w:rPr>
          <w:rFonts w:eastAsia="Arial" w:cs="Arial"/>
          <w:i/>
          <w:iCs/>
          <w:szCs w:val="24"/>
        </w:rPr>
        <w:t>atta a identificare terreni e immobili disponibili per attività aziendali.</w:t>
      </w:r>
      <w:r>
        <w:rPr>
          <w:rFonts w:eastAsia="Arial" w:cs="Arial"/>
          <w:szCs w:val="24"/>
        </w:rPr>
        <w:t xml:space="preserve">" </w:t>
      </w:r>
    </w:p>
    <w:p w:rsidR="00823E1F" w:rsidRDefault="00823E1F" w:rsidP="00823E1F">
      <w:pPr>
        <w:autoSpaceDE w:val="0"/>
        <w:autoSpaceDN w:val="0"/>
        <w:adjustRightInd w:val="0"/>
        <w:rPr>
          <w:rFonts w:cs="Arial"/>
          <w:lang w:eastAsia="it-CH"/>
        </w:rPr>
      </w:pPr>
    </w:p>
    <w:p w:rsidR="00823E1F" w:rsidRDefault="00823E1F" w:rsidP="00823E1F">
      <w:pPr>
        <w:autoSpaceDE w:val="0"/>
        <w:autoSpaceDN w:val="0"/>
        <w:adjustRightInd w:val="0"/>
        <w:rPr>
          <w:rFonts w:cs="Arial"/>
          <w:lang w:eastAsia="it-CH"/>
        </w:rPr>
      </w:pPr>
    </w:p>
    <w:p w:rsidR="00823E1F" w:rsidRPr="00D27487" w:rsidRDefault="00823E1F" w:rsidP="00823E1F">
      <w:pPr>
        <w:autoSpaceDE w:val="0"/>
        <w:autoSpaceDN w:val="0"/>
        <w:adjustRightInd w:val="0"/>
        <w:rPr>
          <w:rFonts w:cs="Arial"/>
          <w:lang w:eastAsia="it-CH"/>
        </w:rPr>
      </w:pPr>
    </w:p>
    <w:p w:rsidR="00823E1F" w:rsidRPr="00D27487" w:rsidRDefault="00823E1F" w:rsidP="00823E1F">
      <w:pPr>
        <w:pStyle w:val="Titolo1"/>
      </w:pPr>
      <w:bookmarkStart w:id="5" w:name="_Toc63332021"/>
      <w:r w:rsidRPr="00D27487">
        <w:t>APPROFONDIMENTI DELLA MINORANZA COMMISSIONALE</w:t>
      </w:r>
      <w:bookmarkEnd w:id="5"/>
    </w:p>
    <w:p w:rsidR="00823E1F" w:rsidRDefault="004F6799" w:rsidP="00823E1F">
      <w:pPr>
        <w:pStyle w:val="Paragrafoelenco"/>
        <w:autoSpaceDE w:val="0"/>
        <w:autoSpaceDN w:val="0"/>
        <w:adjustRightInd w:val="0"/>
        <w:rPr>
          <w:rFonts w:cs="Arial"/>
          <w:szCs w:val="24"/>
          <w:lang w:eastAsia="it-CH"/>
        </w:rPr>
      </w:pPr>
      <w:r>
        <w:rPr>
          <w:rFonts w:cs="Arial"/>
          <w:szCs w:val="24"/>
          <w:lang w:eastAsia="it-CH"/>
        </w:rPr>
        <w:t>Una minoranza della C</w:t>
      </w:r>
      <w:r w:rsidR="00823E1F" w:rsidRPr="00D27487">
        <w:rPr>
          <w:rFonts w:cs="Arial"/>
          <w:szCs w:val="24"/>
          <w:lang w:eastAsia="it-CH"/>
        </w:rPr>
        <w:t>ommissione ritiene che quanto finora svolto non risponda</w:t>
      </w:r>
      <w:r>
        <w:rPr>
          <w:rFonts w:cs="Arial"/>
          <w:szCs w:val="24"/>
          <w:lang w:eastAsia="it-CH"/>
        </w:rPr>
        <w:t xml:space="preserve"> alle richieste della mozione. </w:t>
      </w:r>
      <w:r w:rsidR="00823E1F" w:rsidRPr="00D27487">
        <w:rPr>
          <w:rFonts w:cs="Arial"/>
          <w:szCs w:val="24"/>
          <w:lang w:eastAsia="it-CH"/>
        </w:rPr>
        <w:t xml:space="preserve">La mozione non chiede solamente che vi sia la chiara </w:t>
      </w:r>
      <w:r w:rsidR="00823E1F">
        <w:rPr>
          <w:rFonts w:cs="Arial"/>
          <w:szCs w:val="24"/>
          <w:lang w:eastAsia="it-CH"/>
        </w:rPr>
        <w:t>"volontà politica"</w:t>
      </w:r>
      <w:r w:rsidR="00823E1F" w:rsidRPr="00D27487">
        <w:rPr>
          <w:rFonts w:cs="Arial"/>
          <w:szCs w:val="24"/>
          <w:lang w:eastAsia="it-CH"/>
        </w:rPr>
        <w:t xml:space="preserve"> di andare verso la sostenibilità. Ci mancherebbe altro che questa volontà non fosse presente, dal momento che la sostenibilità e lo sviluppo sostenibile sono obiettivi costituzionali e di legge. La mozione chiede anche che ci si dia degli strumenti (studi e rapporti di monitoraggio) attraverso i quali si possa verificare se tale sostenibilità venga realizzata nel concreto, onde evitare che letture parziali dei dati (come nel caso dell’IRE denunciato dai mozionanti) oppure narrazioni altrettanto parziali della realtà deformino o addirittura falsifichino la realtà stessa, facendola apparire sostenibile quando invece non lo è o non lo è ancora. </w:t>
      </w:r>
    </w:p>
    <w:p w:rsidR="00823E1F" w:rsidRPr="00D27487" w:rsidRDefault="00823E1F" w:rsidP="00823E1F">
      <w:pPr>
        <w:pStyle w:val="Paragrafoelenco"/>
        <w:autoSpaceDE w:val="0"/>
        <w:autoSpaceDN w:val="0"/>
        <w:adjustRightInd w:val="0"/>
        <w:rPr>
          <w:rFonts w:cs="Arial"/>
          <w:szCs w:val="24"/>
          <w:lang w:eastAsia="it-CH"/>
        </w:rPr>
      </w:pPr>
    </w:p>
    <w:p w:rsidR="00823E1F" w:rsidRPr="00D27487" w:rsidRDefault="00823E1F" w:rsidP="00823E1F">
      <w:pPr>
        <w:pStyle w:val="Paragrafoelenco"/>
        <w:autoSpaceDE w:val="0"/>
        <w:autoSpaceDN w:val="0"/>
        <w:adjustRightInd w:val="0"/>
        <w:rPr>
          <w:rFonts w:cs="Arial"/>
          <w:szCs w:val="24"/>
          <w:lang w:eastAsia="it-CH"/>
        </w:rPr>
      </w:pPr>
      <w:r w:rsidRPr="00D27487">
        <w:rPr>
          <w:rFonts w:cs="Arial"/>
          <w:szCs w:val="24"/>
          <w:lang w:eastAsia="it-CH"/>
        </w:rPr>
        <w:t xml:space="preserve">La minoranza commissionale condivide la posizione della maggioranza secondo la quale </w:t>
      </w:r>
      <w:r>
        <w:rPr>
          <w:rFonts w:cs="Arial"/>
          <w:szCs w:val="24"/>
          <w:lang w:eastAsia="it-CH"/>
        </w:rPr>
        <w:t>"</w:t>
      </w:r>
      <w:r w:rsidRPr="00D27487">
        <w:rPr>
          <w:rFonts w:eastAsia="Arial" w:cs="Arial"/>
          <w:i/>
          <w:iCs/>
          <w:szCs w:val="24"/>
        </w:rPr>
        <w:t>i nuovi modelli di sostenibilità richiedono tempi di maturazione legati anche all'applicazione pratica delle varie basi legali</w:t>
      </w:r>
      <w:r>
        <w:rPr>
          <w:rFonts w:cs="Arial"/>
          <w:szCs w:val="24"/>
          <w:lang w:eastAsia="it-CH"/>
        </w:rPr>
        <w:t xml:space="preserve"> “</w:t>
      </w:r>
      <w:r w:rsidRPr="00D27487">
        <w:rPr>
          <w:rFonts w:cs="Arial"/>
          <w:szCs w:val="24"/>
          <w:lang w:eastAsia="it-CH"/>
        </w:rPr>
        <w:t xml:space="preserve">. Non ne condivide tuttavia il tono remissivo e attendista con il quale si rinuncia a darsi gli strumenti necessari (studi e rapporti, appunto, che rivelano i dati economici, sociali e ambientali, e ne stabiliscano le interrelazioni) per </w:t>
      </w:r>
      <w:r w:rsidRPr="00D27487">
        <w:rPr>
          <w:rFonts w:cs="Arial"/>
          <w:b/>
          <w:bCs/>
          <w:szCs w:val="24"/>
          <w:lang w:eastAsia="it-CH"/>
        </w:rPr>
        <w:t>provocare</w:t>
      </w:r>
      <w:r w:rsidRPr="00D27487">
        <w:rPr>
          <w:rFonts w:cs="Arial"/>
          <w:szCs w:val="24"/>
          <w:lang w:eastAsia="it-CH"/>
        </w:rPr>
        <w:t xml:space="preserve"> tali </w:t>
      </w:r>
      <w:r>
        <w:rPr>
          <w:rFonts w:cs="Arial"/>
          <w:szCs w:val="24"/>
          <w:lang w:eastAsia="it-CH"/>
        </w:rPr>
        <w:t>"</w:t>
      </w:r>
      <w:r w:rsidRPr="00D27487">
        <w:rPr>
          <w:rFonts w:cs="Arial"/>
          <w:szCs w:val="24"/>
          <w:lang w:eastAsia="it-CH"/>
        </w:rPr>
        <w:t>maturazione</w:t>
      </w:r>
      <w:r>
        <w:rPr>
          <w:rFonts w:cs="Arial"/>
          <w:szCs w:val="24"/>
          <w:lang w:eastAsia="it-CH"/>
        </w:rPr>
        <w:t>" e "applicazione pratica"</w:t>
      </w:r>
      <w:r w:rsidRPr="00D27487">
        <w:rPr>
          <w:rFonts w:cs="Arial"/>
          <w:szCs w:val="24"/>
          <w:lang w:eastAsia="it-CH"/>
        </w:rPr>
        <w:t xml:space="preserve"> della sostenibilità.</w:t>
      </w:r>
      <w:r>
        <w:rPr>
          <w:rFonts w:cs="Arial"/>
          <w:szCs w:val="24"/>
          <w:lang w:eastAsia="it-CH"/>
        </w:rPr>
        <w:t xml:space="preserve"> </w:t>
      </w:r>
    </w:p>
    <w:p w:rsidR="00823E1F" w:rsidRDefault="00823E1F" w:rsidP="00823E1F">
      <w:pPr>
        <w:pStyle w:val="Paragrafoelenco"/>
        <w:autoSpaceDE w:val="0"/>
        <w:autoSpaceDN w:val="0"/>
        <w:adjustRightInd w:val="0"/>
        <w:rPr>
          <w:rFonts w:cs="Arial"/>
          <w:szCs w:val="24"/>
          <w:lang w:eastAsia="it-CH"/>
        </w:rPr>
      </w:pPr>
      <w:r w:rsidRPr="00D27487">
        <w:rPr>
          <w:rFonts w:cs="Arial"/>
          <w:szCs w:val="24"/>
          <w:lang w:eastAsia="it-CH"/>
        </w:rPr>
        <w:lastRenderedPageBreak/>
        <w:t>Infatti</w:t>
      </w:r>
      <w:r>
        <w:rPr>
          <w:rFonts w:cs="Arial"/>
          <w:szCs w:val="24"/>
          <w:lang w:eastAsia="it-CH"/>
        </w:rPr>
        <w:t>,</w:t>
      </w:r>
      <w:r w:rsidRPr="00D27487">
        <w:rPr>
          <w:rFonts w:cs="Arial"/>
          <w:szCs w:val="24"/>
          <w:lang w:eastAsia="it-CH"/>
        </w:rPr>
        <w:t xml:space="preserve"> la minoranza commissionale ritiene che gli attuali strumenti di orientamento delle politiche economiche siano da una parte parziali, perché non contemplano le interrelazioni della dimensione economica, con la dimensione sociale e la dimensione ambientale e, dall’altra siano con ogni probabilità inefficaci. </w:t>
      </w:r>
    </w:p>
    <w:p w:rsidR="004F6799" w:rsidRPr="00D27487" w:rsidRDefault="004F6799" w:rsidP="00823E1F">
      <w:pPr>
        <w:pStyle w:val="Paragrafoelenco"/>
        <w:autoSpaceDE w:val="0"/>
        <w:autoSpaceDN w:val="0"/>
        <w:adjustRightInd w:val="0"/>
        <w:rPr>
          <w:rFonts w:cs="Arial"/>
          <w:szCs w:val="24"/>
          <w:lang w:eastAsia="it-CH"/>
        </w:rPr>
      </w:pPr>
    </w:p>
    <w:p w:rsidR="00823E1F" w:rsidRPr="00D27487" w:rsidRDefault="00823E1F" w:rsidP="00823E1F">
      <w:pPr>
        <w:pStyle w:val="Paragrafoelenco"/>
        <w:autoSpaceDE w:val="0"/>
        <w:autoSpaceDN w:val="0"/>
        <w:adjustRightInd w:val="0"/>
        <w:rPr>
          <w:rFonts w:cs="Arial"/>
          <w:szCs w:val="24"/>
          <w:lang w:eastAsia="it-CH"/>
        </w:rPr>
      </w:pPr>
      <w:r w:rsidRPr="00D27487">
        <w:rPr>
          <w:rFonts w:cs="Arial"/>
          <w:szCs w:val="24"/>
          <w:lang w:eastAsia="it-CH"/>
        </w:rPr>
        <w:t>Per queste ragioni la minoranza commissionale sostiene l’importanza di implementare le richieste della mozione in oggetto e propone di seguito i propri approfondimenti, le proprie considerazioni e conclusioni.</w:t>
      </w:r>
    </w:p>
    <w:p w:rsidR="00823E1F" w:rsidRPr="00D27487" w:rsidRDefault="00823E1F" w:rsidP="00823E1F">
      <w:pPr>
        <w:pStyle w:val="Paragrafoelenco"/>
        <w:autoSpaceDE w:val="0"/>
        <w:autoSpaceDN w:val="0"/>
        <w:adjustRightInd w:val="0"/>
        <w:rPr>
          <w:rFonts w:cs="Arial"/>
          <w:szCs w:val="24"/>
          <w:lang w:eastAsia="it-CH"/>
        </w:rPr>
      </w:pPr>
    </w:p>
    <w:p w:rsidR="00823E1F" w:rsidRPr="00D27487" w:rsidRDefault="00823E1F" w:rsidP="00823E1F">
      <w:pPr>
        <w:pStyle w:val="Paragrafoelenco"/>
        <w:autoSpaceDE w:val="0"/>
        <w:autoSpaceDN w:val="0"/>
        <w:adjustRightInd w:val="0"/>
        <w:rPr>
          <w:rFonts w:cs="Arial"/>
          <w:szCs w:val="24"/>
          <w:lang w:eastAsia="it-CH"/>
        </w:rPr>
      </w:pPr>
    </w:p>
    <w:p w:rsidR="00823E1F" w:rsidRPr="00D27487" w:rsidRDefault="00823E1F" w:rsidP="00823E1F">
      <w:pPr>
        <w:pStyle w:val="Paragrafoelenco"/>
        <w:autoSpaceDE w:val="0"/>
        <w:autoSpaceDN w:val="0"/>
        <w:adjustRightInd w:val="0"/>
        <w:rPr>
          <w:rFonts w:cs="Arial"/>
          <w:szCs w:val="24"/>
          <w:lang w:eastAsia="it-CH"/>
        </w:rPr>
      </w:pPr>
    </w:p>
    <w:p w:rsidR="00823E1F" w:rsidRPr="00D27487" w:rsidRDefault="004F6799" w:rsidP="00F1227D">
      <w:pPr>
        <w:pStyle w:val="Titolo2"/>
      </w:pPr>
      <w:bookmarkStart w:id="6" w:name="_Toc63332022"/>
      <w:r>
        <w:t>5.1</w:t>
      </w:r>
      <w:r>
        <w:tab/>
      </w:r>
      <w:r w:rsidR="00823E1F" w:rsidRPr="00D27487">
        <w:t>Considerazioni preliminari</w:t>
      </w:r>
      <w:bookmarkEnd w:id="6"/>
    </w:p>
    <w:p w:rsidR="00823E1F" w:rsidRPr="00D27487" w:rsidRDefault="004F6799" w:rsidP="00F1227D">
      <w:pPr>
        <w:pStyle w:val="Titolo3"/>
      </w:pPr>
      <w:bookmarkStart w:id="7" w:name="_Toc63332023"/>
      <w:r>
        <w:t>5.1.1</w:t>
      </w:r>
      <w:r>
        <w:tab/>
      </w:r>
      <w:r w:rsidR="00823E1F" w:rsidRPr="00D27487">
        <w:t>Breve istoriato della mozione</w:t>
      </w:r>
      <w:bookmarkEnd w:id="7"/>
    </w:p>
    <w:p w:rsidR="00823E1F" w:rsidRDefault="00823E1F" w:rsidP="00823E1F">
      <w:pPr>
        <w:autoSpaceDE w:val="0"/>
        <w:autoSpaceDN w:val="0"/>
        <w:adjustRightInd w:val="0"/>
        <w:rPr>
          <w:rFonts w:cs="Arial"/>
          <w:lang w:eastAsia="it-CH"/>
        </w:rPr>
      </w:pPr>
      <w:bookmarkStart w:id="8" w:name="_Hlk61162526"/>
      <w:r w:rsidRPr="00D27487">
        <w:rPr>
          <w:rFonts w:cs="Arial"/>
          <w:lang w:eastAsia="it-CH"/>
        </w:rPr>
        <w:t>Per comprendere meglio il senso originario della mozione, inoltrata il 23 novembre 2015 da Michela Delcò Petralli e firmata anche da G</w:t>
      </w:r>
      <w:r>
        <w:rPr>
          <w:rFonts w:cs="Arial"/>
          <w:lang w:eastAsia="it-CH"/>
        </w:rPr>
        <w:t>iorgio Fonio e Raul Ghisletta, è</w:t>
      </w:r>
      <w:r w:rsidRPr="00D27487">
        <w:rPr>
          <w:rFonts w:cs="Arial"/>
          <w:lang w:eastAsia="it-CH"/>
        </w:rPr>
        <w:t xml:space="preserve"> utile ricordarne brevemente la sua genesi. </w:t>
      </w:r>
    </w:p>
    <w:p w:rsidR="004F6799" w:rsidRPr="00D27487" w:rsidRDefault="004F6799" w:rsidP="00823E1F">
      <w:pPr>
        <w:autoSpaceDE w:val="0"/>
        <w:autoSpaceDN w:val="0"/>
        <w:adjustRightInd w:val="0"/>
        <w:rPr>
          <w:rFonts w:cs="Arial"/>
          <w:lang w:eastAsia="it-CH"/>
        </w:rPr>
      </w:pPr>
    </w:p>
    <w:p w:rsidR="00823E1F" w:rsidRDefault="00823E1F" w:rsidP="00823E1F">
      <w:pPr>
        <w:autoSpaceDE w:val="0"/>
        <w:autoSpaceDN w:val="0"/>
        <w:adjustRightInd w:val="0"/>
        <w:rPr>
          <w:rFonts w:cs="Arial"/>
          <w:lang w:eastAsia="it-CH"/>
        </w:rPr>
      </w:pPr>
      <w:r w:rsidRPr="00D27487">
        <w:rPr>
          <w:rFonts w:cs="Arial"/>
          <w:lang w:eastAsia="it-CH"/>
        </w:rPr>
        <w:t xml:space="preserve">La mozione partiva dalla constatazione di un evidente scarto tra la situazione socio-economica-territoriale reale e la narrazione che ne veniva fatta pubblicamente da </w:t>
      </w:r>
      <w:r>
        <w:rPr>
          <w:rFonts w:cs="Arial"/>
          <w:lang w:eastAsia="it-CH"/>
        </w:rPr>
        <w:t>Consiglio di Stato</w:t>
      </w:r>
      <w:r w:rsidRPr="00D27487">
        <w:rPr>
          <w:rFonts w:cs="Arial"/>
          <w:lang w:eastAsia="it-CH"/>
        </w:rPr>
        <w:t xml:space="preserve"> e </w:t>
      </w:r>
      <w:r>
        <w:rPr>
          <w:rFonts w:cs="Arial"/>
          <w:lang w:eastAsia="it-CH"/>
        </w:rPr>
        <w:t>dal</w:t>
      </w:r>
      <w:r w:rsidRPr="00D27487">
        <w:rPr>
          <w:rFonts w:cs="Arial"/>
          <w:lang w:eastAsia="it-CH"/>
        </w:rPr>
        <w:t>l</w:t>
      </w:r>
      <w:r>
        <w:rPr>
          <w:rFonts w:cs="Arial"/>
          <w:lang w:eastAsia="it-CH"/>
        </w:rPr>
        <w:t>'</w:t>
      </w:r>
      <w:r w:rsidRPr="00D27487">
        <w:rPr>
          <w:rFonts w:cs="Arial"/>
          <w:lang w:eastAsia="it-CH"/>
        </w:rPr>
        <w:t>Istituto Ricerche Economiche (IRE) dell</w:t>
      </w:r>
      <w:r>
        <w:rPr>
          <w:rFonts w:cs="Arial"/>
          <w:lang w:eastAsia="it-CH"/>
        </w:rPr>
        <w:t>'</w:t>
      </w:r>
      <w:r w:rsidRPr="00D27487">
        <w:rPr>
          <w:rFonts w:cs="Arial"/>
          <w:lang w:eastAsia="it-CH"/>
        </w:rPr>
        <w:t xml:space="preserve">USI per descrivere tale situazione, in particolare quella inerente al mercato del lavoro e alle sue ricadute sociali e ambientali. In poche parole, la mozione lasciava chiaramente intendere che in certe ricerche e nelle relative narrazioni, </w:t>
      </w:r>
      <w:r w:rsidRPr="00D27487">
        <w:rPr>
          <w:rFonts w:cs="Arial"/>
          <w:b/>
          <w:bCs/>
          <w:lang w:eastAsia="it-CH"/>
        </w:rPr>
        <w:t xml:space="preserve">veniva dipinto </w:t>
      </w:r>
      <w:r w:rsidRPr="00D27487">
        <w:rPr>
          <w:rFonts w:cs="Arial"/>
          <w:lang w:eastAsia="it-CH"/>
        </w:rPr>
        <w:t>(se volutamente o meno, è tutto da discutere)</w:t>
      </w:r>
      <w:r w:rsidRPr="00D27487">
        <w:rPr>
          <w:rFonts w:cs="Arial"/>
          <w:b/>
          <w:bCs/>
          <w:lang w:eastAsia="it-CH"/>
        </w:rPr>
        <w:t xml:space="preserve"> un quadro molto più edificante di quanto questo fosse nella realtà</w:t>
      </w:r>
      <w:r w:rsidRPr="00D27487">
        <w:rPr>
          <w:rFonts w:cs="Arial"/>
          <w:lang w:eastAsia="it-CH"/>
        </w:rPr>
        <w:t xml:space="preserve">, nascondendone pertanto le criticità. </w:t>
      </w:r>
    </w:p>
    <w:p w:rsidR="004F6799" w:rsidRPr="00D27487" w:rsidRDefault="004F6799" w:rsidP="00823E1F">
      <w:pPr>
        <w:autoSpaceDE w:val="0"/>
        <w:autoSpaceDN w:val="0"/>
        <w:adjustRightInd w:val="0"/>
        <w:rPr>
          <w:rFonts w:cs="Arial"/>
          <w:lang w:eastAsia="it-CH"/>
        </w:rPr>
      </w:pPr>
    </w:p>
    <w:p w:rsidR="00823E1F" w:rsidRDefault="00823E1F" w:rsidP="00823E1F">
      <w:pPr>
        <w:autoSpaceDE w:val="0"/>
        <w:autoSpaceDN w:val="0"/>
        <w:adjustRightInd w:val="0"/>
        <w:rPr>
          <w:rFonts w:cs="Arial"/>
          <w:lang w:eastAsia="it-CH"/>
        </w:rPr>
      </w:pPr>
      <w:r w:rsidRPr="00D27487">
        <w:rPr>
          <w:rFonts w:cs="Arial"/>
          <w:lang w:eastAsia="it-CH"/>
        </w:rPr>
        <w:t>Questa discrepanza di vedute e percezioni suscitò un acceso dibattito che, da una parte spinse addirittura qualcuno</w:t>
      </w:r>
      <w:r w:rsidRPr="00D27487">
        <w:rPr>
          <w:rStyle w:val="Rimandonotaapidipagina"/>
          <w:rFonts w:cs="Arial"/>
          <w:lang w:eastAsia="it-CH"/>
        </w:rPr>
        <w:footnoteReference w:id="1"/>
      </w:r>
      <w:r w:rsidRPr="00D27487">
        <w:rPr>
          <w:rFonts w:cs="Arial"/>
          <w:lang w:eastAsia="it-CH"/>
        </w:rPr>
        <w:t xml:space="preserve"> a chiedere la chiusura dell</w:t>
      </w:r>
      <w:r>
        <w:rPr>
          <w:rFonts w:cs="Arial"/>
          <w:lang w:eastAsia="it-CH"/>
        </w:rPr>
        <w:t>'</w:t>
      </w:r>
      <w:r w:rsidRPr="00D27487">
        <w:rPr>
          <w:rFonts w:cs="Arial"/>
          <w:lang w:eastAsia="it-CH"/>
        </w:rPr>
        <w:t>IRE stesso e, dall’altra, chiamò in campo ricercatori della SUPSI</w:t>
      </w:r>
      <w:r w:rsidRPr="00D27487">
        <w:rPr>
          <w:rStyle w:val="Rimandonotaapidipagina"/>
          <w:rFonts w:cs="Arial"/>
          <w:lang w:eastAsia="it-CH"/>
        </w:rPr>
        <w:footnoteReference w:id="2"/>
      </w:r>
      <w:r w:rsidRPr="00D27487">
        <w:rPr>
          <w:rFonts w:cs="Arial"/>
          <w:lang w:eastAsia="it-CH"/>
        </w:rPr>
        <w:t xml:space="preserve"> che contrapponevano una differente visione della realtà, in una sorta di necessario confronto e revisione paritaria (peer review) al fine di avere un quadro </w:t>
      </w:r>
      <w:r w:rsidRPr="00D27487">
        <w:rPr>
          <w:rFonts w:cs="Arial"/>
          <w:b/>
          <w:bCs/>
          <w:lang w:eastAsia="it-CH"/>
        </w:rPr>
        <w:t>integrale e non parziale</w:t>
      </w:r>
      <w:r w:rsidRPr="00D27487">
        <w:rPr>
          <w:rFonts w:cs="Arial"/>
          <w:lang w:eastAsia="it-CH"/>
        </w:rPr>
        <w:t xml:space="preserve"> della realtà. </w:t>
      </w:r>
    </w:p>
    <w:p w:rsidR="00F1227D" w:rsidRPr="00D27487" w:rsidRDefault="00F1227D" w:rsidP="00823E1F">
      <w:pPr>
        <w:autoSpaceDE w:val="0"/>
        <w:autoSpaceDN w:val="0"/>
        <w:adjustRightInd w:val="0"/>
        <w:rPr>
          <w:rFonts w:cs="Arial"/>
          <w:lang w:eastAsia="it-CH"/>
        </w:rPr>
      </w:pPr>
    </w:p>
    <w:p w:rsidR="00F1227D" w:rsidRDefault="00823E1F" w:rsidP="00AF30BA">
      <w:pPr>
        <w:spacing w:after="120"/>
        <w:rPr>
          <w:rFonts w:cs="Arial"/>
          <w:lang w:eastAsia="it-CH"/>
        </w:rPr>
      </w:pPr>
      <w:r w:rsidRPr="00D27487">
        <w:rPr>
          <w:rFonts w:cs="Arial"/>
          <w:lang w:eastAsia="it-CH"/>
        </w:rPr>
        <w:t xml:space="preserve">La mozione raccolse dunque le evidenti discordanze di questo acceso dibattito asserendo innanzitutto che: </w:t>
      </w:r>
    </w:p>
    <w:p w:rsidR="00823E1F" w:rsidRPr="00F1227D" w:rsidRDefault="00F1227D" w:rsidP="00AF30BA">
      <w:pPr>
        <w:spacing w:after="120"/>
        <w:ind w:left="567"/>
        <w:rPr>
          <w:rFonts w:cs="Arial"/>
          <w:i/>
          <w:iCs/>
          <w:sz w:val="22"/>
        </w:rPr>
      </w:pPr>
      <w:r w:rsidRPr="005402AA">
        <w:rPr>
          <w:rFonts w:cs="Arial"/>
          <w:i/>
          <w:sz w:val="22"/>
          <w:lang w:eastAsia="it-CH"/>
        </w:rPr>
        <w:t>“</w:t>
      </w:r>
      <w:r w:rsidR="00823E1F" w:rsidRPr="00F1227D">
        <w:rPr>
          <w:rFonts w:cs="Arial"/>
          <w:i/>
          <w:iCs/>
          <w:sz w:val="22"/>
        </w:rPr>
        <w:t>Troppo spesso gli studi commissionati dall’ente pubblico per costruire la propria strategia di "crescita economica" prendono in considerazione solo fattori come le specializzazioni economiche e la loro rilevanza concorrenziale nel contesto internazionale. Il Cantone Ticino è diventato un territorio tappezzato da numerose imprese che occupano solo manodopera estera a salari esteri con tutte le conseguenze che questo comporta: esclusione dal mercato del lavoro dei residenti, aumento del traffico e dell'inquinamento e incremento dei prezzi dei terreni destinati ad attività industriali o commerciali. Le politiche economiche invece dovrebbero garantire non solo la crescita delle aziende e dei posti di lavoro, ma soprattutto il benessere e la qu</w:t>
      </w:r>
      <w:r w:rsidRPr="00F1227D">
        <w:rPr>
          <w:rFonts w:cs="Arial"/>
          <w:i/>
          <w:iCs/>
          <w:sz w:val="22"/>
        </w:rPr>
        <w:t>alità di vita della popolazione</w:t>
      </w:r>
      <w:r w:rsidR="00823E1F" w:rsidRPr="00F1227D">
        <w:rPr>
          <w:rFonts w:cs="Arial"/>
          <w:i/>
          <w:iCs/>
          <w:sz w:val="22"/>
        </w:rPr>
        <w:t>"</w:t>
      </w:r>
      <w:r w:rsidRPr="00F1227D">
        <w:rPr>
          <w:rFonts w:cs="Arial"/>
          <w:i/>
          <w:iCs/>
          <w:sz w:val="22"/>
        </w:rPr>
        <w:t>.</w:t>
      </w:r>
    </w:p>
    <w:p w:rsidR="00F1227D" w:rsidRDefault="00823E1F" w:rsidP="00AF30BA">
      <w:pPr>
        <w:autoSpaceDE w:val="0"/>
        <w:autoSpaceDN w:val="0"/>
        <w:adjustRightInd w:val="0"/>
        <w:spacing w:after="120"/>
        <w:rPr>
          <w:rFonts w:cs="Arial"/>
          <w:lang w:eastAsia="it-CH"/>
        </w:rPr>
      </w:pPr>
      <w:r w:rsidRPr="00D27487">
        <w:rPr>
          <w:rFonts w:cs="Arial"/>
          <w:lang w:eastAsia="it-CH"/>
        </w:rPr>
        <w:t xml:space="preserve">Questa posizione </w:t>
      </w:r>
      <w:r>
        <w:rPr>
          <w:rFonts w:cs="Arial"/>
          <w:lang w:eastAsia="it-CH"/>
        </w:rPr>
        <w:t>viene corroborata, nell'</w:t>
      </w:r>
      <w:r w:rsidRPr="00D27487">
        <w:rPr>
          <w:rFonts w:cs="Arial"/>
          <w:lang w:eastAsia="it-CH"/>
        </w:rPr>
        <w:t xml:space="preserve">articolata mozione di tre pagine e mezza, da innumerevoli dati statistici ben documentati (aumento dei posti di lavoro assorbiti perlopiù da frontalieri, aumento contemporaneo dei disoccupati ILO e dei sottooccupati, tendenza al ribasso/dumping dei salari dove vi sono alte quote di frontalieri, consumo sproporzionato di suolo per il settore della logistica, …) per sostanziare la </w:t>
      </w:r>
      <w:r>
        <w:rPr>
          <w:rFonts w:cs="Arial"/>
          <w:lang w:eastAsia="it-CH"/>
        </w:rPr>
        <w:t>"</w:t>
      </w:r>
      <w:r w:rsidRPr="00D27487">
        <w:rPr>
          <w:rFonts w:cs="Arial"/>
          <w:i/>
          <w:iCs/>
          <w:lang w:eastAsia="it-CH"/>
        </w:rPr>
        <w:t>pales</w:t>
      </w:r>
      <w:r>
        <w:rPr>
          <w:rFonts w:cs="Arial"/>
          <w:i/>
          <w:iCs/>
          <w:lang w:eastAsia="it-CH"/>
        </w:rPr>
        <w:t>e"</w:t>
      </w:r>
      <w:r w:rsidRPr="00D27487">
        <w:rPr>
          <w:rFonts w:cs="Arial"/>
          <w:lang w:eastAsia="it-CH"/>
        </w:rPr>
        <w:t xml:space="preserve"> </w:t>
      </w:r>
      <w:r w:rsidR="00F1227D">
        <w:rPr>
          <w:rFonts w:cs="Arial"/>
          <w:lang w:eastAsia="it-CH"/>
        </w:rPr>
        <w:t>“</w:t>
      </w:r>
      <w:r w:rsidRPr="00D27487">
        <w:rPr>
          <w:rFonts w:cs="Arial"/>
          <w:i/>
          <w:iCs/>
          <w:lang w:eastAsia="it-CH"/>
        </w:rPr>
        <w:t xml:space="preserve">sofferenza del mondo del </w:t>
      </w:r>
      <w:r w:rsidRPr="00D27487">
        <w:rPr>
          <w:rFonts w:cs="Arial"/>
          <w:i/>
          <w:iCs/>
          <w:lang w:eastAsia="it-CH"/>
        </w:rPr>
        <w:lastRenderedPageBreak/>
        <w:t>lavor</w:t>
      </w:r>
      <w:r>
        <w:rPr>
          <w:rFonts w:cs="Arial"/>
          <w:i/>
          <w:iCs/>
          <w:lang w:eastAsia="it-CH"/>
        </w:rPr>
        <w:t>o"</w:t>
      </w:r>
      <w:r w:rsidRPr="00D27487">
        <w:rPr>
          <w:rFonts w:cs="Arial"/>
          <w:lang w:eastAsia="it-CH"/>
        </w:rPr>
        <w:t xml:space="preserve"> e </w:t>
      </w:r>
      <w:r>
        <w:rPr>
          <w:rFonts w:cs="Arial"/>
          <w:lang w:eastAsia="it-CH"/>
        </w:rPr>
        <w:t>l'</w:t>
      </w:r>
      <w:r w:rsidRPr="00D27487">
        <w:rPr>
          <w:rFonts w:cs="Arial"/>
          <w:lang w:eastAsia="it-CH"/>
        </w:rPr>
        <w:t xml:space="preserve">inadeguatezza della promozione economica come del suo monitoraggio, arrivando a concludere che: </w:t>
      </w:r>
    </w:p>
    <w:p w:rsidR="00823E1F" w:rsidRPr="00F1227D" w:rsidRDefault="00823E1F" w:rsidP="00AF30BA">
      <w:pPr>
        <w:autoSpaceDE w:val="0"/>
        <w:autoSpaceDN w:val="0"/>
        <w:adjustRightInd w:val="0"/>
        <w:spacing w:after="120"/>
        <w:ind w:left="567"/>
        <w:rPr>
          <w:rFonts w:cs="Arial"/>
          <w:i/>
          <w:iCs/>
          <w:sz w:val="22"/>
        </w:rPr>
      </w:pPr>
      <w:r w:rsidRPr="00F1227D">
        <w:rPr>
          <w:rFonts w:cs="Arial"/>
          <w:i/>
          <w:iCs/>
          <w:sz w:val="22"/>
          <w:lang w:eastAsia="it-CH"/>
        </w:rPr>
        <w:t>"</w:t>
      </w:r>
      <w:r w:rsidRPr="00F1227D">
        <w:rPr>
          <w:rFonts w:cs="Arial"/>
          <w:i/>
          <w:iCs/>
          <w:sz w:val="22"/>
        </w:rPr>
        <w:t>Le specializzazioni economiche, la capacità all’internazionalizzazione, le tecnologie High Tech e l’innovazione non sono sinonimo di occupazione residente e di impieghi di qualità. Se si vogliono posti di lavoro di qualità bisogna iniziare col fissare criteri qualitativi per orientare le politiche economiche scartando quelle attività ch</w:t>
      </w:r>
      <w:r w:rsidR="00F1227D" w:rsidRPr="00F1227D">
        <w:rPr>
          <w:rFonts w:cs="Arial"/>
          <w:i/>
          <w:iCs/>
          <w:sz w:val="22"/>
        </w:rPr>
        <w:t>e creano più costi che benefici</w:t>
      </w:r>
      <w:r w:rsidRPr="00F1227D">
        <w:rPr>
          <w:rFonts w:cs="Arial"/>
          <w:i/>
          <w:iCs/>
          <w:sz w:val="22"/>
        </w:rPr>
        <w:t>"</w:t>
      </w:r>
      <w:r w:rsidR="00F1227D" w:rsidRPr="00F1227D">
        <w:rPr>
          <w:rFonts w:cs="Arial"/>
          <w:i/>
          <w:iCs/>
          <w:sz w:val="22"/>
        </w:rPr>
        <w:t>.</w:t>
      </w:r>
    </w:p>
    <w:bookmarkEnd w:id="8"/>
    <w:p w:rsidR="00823E1F" w:rsidRDefault="00823E1F" w:rsidP="00823E1F">
      <w:pPr>
        <w:autoSpaceDE w:val="0"/>
        <w:autoSpaceDN w:val="0"/>
        <w:adjustRightInd w:val="0"/>
        <w:rPr>
          <w:rFonts w:cs="Arial"/>
          <w:lang w:eastAsia="it-CH"/>
        </w:rPr>
      </w:pPr>
      <w:r w:rsidRPr="00D27487">
        <w:rPr>
          <w:rFonts w:cs="Arial"/>
          <w:lang w:eastAsia="it-CH"/>
        </w:rPr>
        <w:t>Tutti questi aspetti avevano pertanto indotto i citati mozionanti a proporre che la politica economica cantonale e gli studi commissionati dall’ente pubblico venissero orientati non solo al fine di promuovere e misurare l’indotto economico, bensì anche per promuovere e misurare altri fattori quali l’impiego di manodopera residente con contratti non precari e a salari che permettano di vivere sul territorio stesso e, inoltre, misurare la ricaduta che tali attività economiche hanno dal profilo del consumo di territorio, dal profilo dell’impatto ambientale e dal profilo del rapporto costi/benefici per l’ente pubblico.</w:t>
      </w:r>
    </w:p>
    <w:p w:rsidR="00F1227D" w:rsidRPr="00D27487" w:rsidRDefault="00F1227D" w:rsidP="00823E1F">
      <w:pPr>
        <w:autoSpaceDE w:val="0"/>
        <w:autoSpaceDN w:val="0"/>
        <w:adjustRightInd w:val="0"/>
        <w:rPr>
          <w:rFonts w:cs="Arial"/>
          <w:lang w:eastAsia="it-CH"/>
        </w:rPr>
      </w:pPr>
    </w:p>
    <w:p w:rsidR="00823E1F" w:rsidRPr="00D27487" w:rsidRDefault="00823E1F" w:rsidP="00823E1F">
      <w:pPr>
        <w:rPr>
          <w:rFonts w:eastAsia="Arial" w:cs="Arial"/>
          <w:b/>
          <w:bCs/>
        </w:rPr>
      </w:pPr>
      <w:r w:rsidRPr="00D27487">
        <w:rPr>
          <w:rFonts w:eastAsia="Arial" w:cs="Arial"/>
          <w:b/>
          <w:bCs/>
        </w:rPr>
        <w:t xml:space="preserve">Lo spirito della mozione mira dunque a che il Cantone pianifichi e sviluppi un’economia sostenibile e nel contempo verifichi attraverso studi e rapporti periodici che questa pianificazione si concretizzi nella realtà su tutto il territorio cantonale e in particolare nelle zone industriali del Cantone, lasciando chiaramente intendere che in tali studi e rapporti sia necessario misurare le interrelazioni e correlazioni tra le varie dimensioni della sostenibilità. </w:t>
      </w:r>
    </w:p>
    <w:p w:rsidR="00823E1F" w:rsidRPr="00D27487" w:rsidRDefault="00823E1F" w:rsidP="00823E1F">
      <w:pPr>
        <w:autoSpaceDE w:val="0"/>
        <w:autoSpaceDN w:val="0"/>
        <w:adjustRightInd w:val="0"/>
        <w:rPr>
          <w:rFonts w:cs="Arial"/>
          <w:lang w:eastAsia="it-CH"/>
        </w:rPr>
      </w:pPr>
    </w:p>
    <w:p w:rsidR="00823E1F" w:rsidRPr="00D27487" w:rsidRDefault="00F1227D" w:rsidP="00F1227D">
      <w:pPr>
        <w:pStyle w:val="Titolo3"/>
      </w:pPr>
      <w:bookmarkStart w:id="9" w:name="_Toc63332024"/>
      <w:r>
        <w:t>5.1.2</w:t>
      </w:r>
      <w:r>
        <w:tab/>
      </w:r>
      <w:r w:rsidR="00823E1F" w:rsidRPr="00D27487">
        <w:t>Una politica basata sulle evidenze (evidence based policy)</w:t>
      </w:r>
      <w:bookmarkEnd w:id="9"/>
      <w:r w:rsidR="00823E1F" w:rsidRPr="00D27487">
        <w:t xml:space="preserve"> </w:t>
      </w:r>
    </w:p>
    <w:p w:rsidR="00823E1F" w:rsidRDefault="00823E1F" w:rsidP="00823E1F">
      <w:pPr>
        <w:autoSpaceDE w:val="0"/>
        <w:autoSpaceDN w:val="0"/>
        <w:adjustRightInd w:val="0"/>
        <w:rPr>
          <w:rFonts w:cs="Arial"/>
          <w:lang w:eastAsia="it-CH"/>
        </w:rPr>
      </w:pPr>
      <w:r w:rsidRPr="00D27487">
        <w:rPr>
          <w:rFonts w:cs="Arial"/>
          <w:lang w:eastAsia="it-CH"/>
        </w:rPr>
        <w:t>Per misurare la realizzazione e la bontà di una politica economica (ma ciò vale per ogni genere di politica) è innanzitutto necessario conoscere qual</w:t>
      </w:r>
      <w:r>
        <w:rPr>
          <w:rFonts w:cs="Arial"/>
          <w:lang w:eastAsia="it-CH"/>
        </w:rPr>
        <w:t xml:space="preserve"> </w:t>
      </w:r>
      <w:r w:rsidRPr="00D27487">
        <w:rPr>
          <w:rFonts w:cs="Arial"/>
          <w:lang w:eastAsia="it-CH"/>
        </w:rPr>
        <w:t>è la situazione di partenza nella quale questa si inserisce (analisi ex-ante), si pianifica la politica auspicata adeguandola alla situazione rilevata, poi la si attua e in seguito se ne misurano le ricadute (analisi ex-post, monitoraggio) al fine di poterla ricalibrare in caso non raggiunga gli obiettivi prefissati. È il cosiddetto ciclo di Deming</w:t>
      </w:r>
      <w:r w:rsidRPr="00D27487">
        <w:rPr>
          <w:rStyle w:val="Rimandonotaapidipagina"/>
          <w:rFonts w:cs="Arial"/>
          <w:u w:val="single"/>
          <w:lang w:eastAsia="it-CH"/>
        </w:rPr>
        <w:footnoteReference w:id="3"/>
      </w:r>
      <w:r w:rsidRPr="00D27487">
        <w:rPr>
          <w:rFonts w:cs="Arial"/>
          <w:lang w:eastAsia="it-CH"/>
        </w:rPr>
        <w:t xml:space="preserve"> tipico della buona gestione di qualsiasi progetto.</w:t>
      </w:r>
    </w:p>
    <w:p w:rsidR="00F1227D" w:rsidRPr="00D27487" w:rsidRDefault="00F1227D" w:rsidP="00823E1F">
      <w:pPr>
        <w:autoSpaceDE w:val="0"/>
        <w:autoSpaceDN w:val="0"/>
        <w:adjustRightInd w:val="0"/>
        <w:rPr>
          <w:rFonts w:cs="Arial"/>
          <w:lang w:eastAsia="it-CH"/>
        </w:rPr>
      </w:pPr>
    </w:p>
    <w:p w:rsidR="00823E1F" w:rsidRDefault="00823E1F" w:rsidP="00823E1F">
      <w:pPr>
        <w:autoSpaceDE w:val="0"/>
        <w:autoSpaceDN w:val="0"/>
        <w:adjustRightInd w:val="0"/>
        <w:rPr>
          <w:rFonts w:cs="Arial"/>
          <w:lang w:eastAsia="it-CH"/>
        </w:rPr>
      </w:pPr>
      <w:r w:rsidRPr="00D27487">
        <w:rPr>
          <w:rFonts w:cs="Arial"/>
          <w:lang w:eastAsia="it-CH"/>
        </w:rPr>
        <w:t xml:space="preserve">Dal momento che la mozione chiede di considerare non solo le ricadute economico-finanziarie, ma anche quelle sociali e ambientali, così come le reciproche interrelazioni, questo lavoro di analisi integrata si fa evidentemente più complesso, richiedendo modellizzazioni multidimensionali della realtà che considerino le interazioni e gli influssi tra dimensione economica, dimensione sociale e dimensione ambientale caratterizzanti la </w:t>
      </w:r>
      <w:r w:rsidRPr="00D27487">
        <w:rPr>
          <w:rFonts w:cs="Arial"/>
          <w:b/>
          <w:bCs/>
          <w:lang w:eastAsia="it-CH"/>
        </w:rPr>
        <w:t>sostenibilità</w:t>
      </w:r>
      <w:r w:rsidRPr="00D27487">
        <w:rPr>
          <w:rFonts w:cs="Arial"/>
          <w:lang w:eastAsia="it-CH"/>
        </w:rPr>
        <w:t>.</w:t>
      </w:r>
    </w:p>
    <w:p w:rsidR="00F1227D" w:rsidRPr="00D27487" w:rsidRDefault="00F1227D" w:rsidP="00823E1F">
      <w:pPr>
        <w:autoSpaceDE w:val="0"/>
        <w:autoSpaceDN w:val="0"/>
        <w:adjustRightInd w:val="0"/>
        <w:rPr>
          <w:rFonts w:cs="Arial"/>
          <w:lang w:eastAsia="it-CH"/>
        </w:rPr>
      </w:pPr>
    </w:p>
    <w:p w:rsidR="00823E1F" w:rsidRDefault="00823E1F" w:rsidP="00823E1F">
      <w:pPr>
        <w:autoSpaceDE w:val="0"/>
        <w:autoSpaceDN w:val="0"/>
        <w:adjustRightInd w:val="0"/>
        <w:rPr>
          <w:rFonts w:cs="Arial"/>
          <w:lang w:eastAsia="it-CH"/>
        </w:rPr>
      </w:pPr>
      <w:r w:rsidRPr="00D27487">
        <w:rPr>
          <w:rFonts w:cs="Arial"/>
          <w:lang w:eastAsia="it-CH"/>
        </w:rPr>
        <w:t>A titolo di esempio, lo stesso direttore dell</w:t>
      </w:r>
      <w:r>
        <w:rPr>
          <w:rFonts w:cs="Arial"/>
          <w:lang w:eastAsia="it-CH"/>
        </w:rPr>
        <w:t>'</w:t>
      </w:r>
      <w:r w:rsidRPr="00D27487">
        <w:rPr>
          <w:rFonts w:cs="Arial"/>
          <w:lang w:eastAsia="it-CH"/>
        </w:rPr>
        <w:t xml:space="preserve">IRE – in un dibattito televisivo che seguì la pubblicazione dello studio – si era mostrato particolarmente sorpreso dalla discrepanza tra </w:t>
      </w:r>
      <w:r>
        <w:rPr>
          <w:rFonts w:cs="Arial"/>
          <w:lang w:eastAsia="it-CH"/>
        </w:rPr>
        <w:t>l'</w:t>
      </w:r>
      <w:r w:rsidRPr="00D27487">
        <w:rPr>
          <w:rFonts w:cs="Arial"/>
          <w:lang w:eastAsia="it-CH"/>
        </w:rPr>
        <w:t xml:space="preserve">andamento positivo dei dati rilevati e la percezione negativa che questi avevano suscitato, arrivando ad affermare che sarebbe stato interessante fare una ricerca sociologica per spiegare tale discrepanza. La mozione ha proprio </w:t>
      </w:r>
      <w:r>
        <w:rPr>
          <w:rFonts w:cs="Arial"/>
          <w:lang w:eastAsia="it-CH"/>
        </w:rPr>
        <w:t>l'</w:t>
      </w:r>
      <w:r w:rsidRPr="00D27487">
        <w:rPr>
          <w:rFonts w:cs="Arial"/>
          <w:lang w:eastAsia="it-CH"/>
        </w:rPr>
        <w:t>intenzione di sanare tali discrepanze e dis-integrazioni delle varie dimensioni, andando a osservare attraverso i dati come le politiche economiche ricadono sulla soci</w:t>
      </w:r>
      <w:r>
        <w:rPr>
          <w:rFonts w:cs="Arial"/>
          <w:lang w:eastAsia="it-CH"/>
        </w:rPr>
        <w:t>età ed evidentemente anche sull'</w:t>
      </w:r>
      <w:r w:rsidRPr="00D27487">
        <w:rPr>
          <w:rFonts w:cs="Arial"/>
          <w:lang w:eastAsia="it-CH"/>
        </w:rPr>
        <w:t xml:space="preserve">ambiente, il cui </w:t>
      </w:r>
      <w:r>
        <w:rPr>
          <w:rFonts w:cs="Arial"/>
          <w:lang w:eastAsia="it-CH"/>
        </w:rPr>
        <w:t>"lamento"</w:t>
      </w:r>
      <w:r w:rsidRPr="00D27487">
        <w:rPr>
          <w:rFonts w:cs="Arial"/>
          <w:lang w:eastAsia="it-CH"/>
        </w:rPr>
        <w:t xml:space="preserve"> è per inciso decisamente più difficile da udire. </w:t>
      </w:r>
    </w:p>
    <w:p w:rsidR="00AF30BA" w:rsidRPr="00D27487" w:rsidRDefault="00AF30BA" w:rsidP="00823E1F">
      <w:pPr>
        <w:autoSpaceDE w:val="0"/>
        <w:autoSpaceDN w:val="0"/>
        <w:adjustRightInd w:val="0"/>
        <w:rPr>
          <w:rFonts w:cs="Arial"/>
          <w:lang w:eastAsia="it-CH"/>
        </w:rPr>
      </w:pPr>
    </w:p>
    <w:p w:rsidR="00823E1F" w:rsidRPr="00D27487" w:rsidRDefault="00823E1F" w:rsidP="00823E1F">
      <w:pPr>
        <w:autoSpaceDE w:val="0"/>
        <w:autoSpaceDN w:val="0"/>
        <w:adjustRightInd w:val="0"/>
        <w:rPr>
          <w:rFonts w:cs="Arial"/>
          <w:b/>
          <w:bCs/>
          <w:lang w:eastAsia="it-CH"/>
        </w:rPr>
      </w:pPr>
      <w:r w:rsidRPr="00D27487">
        <w:rPr>
          <w:rFonts w:cs="Arial"/>
          <w:b/>
          <w:bCs/>
          <w:lang w:eastAsia="it-CH"/>
        </w:rPr>
        <w:t xml:space="preserve">Per evitare dunque visioni parziali e parcellizzate, è necessario che le riflessioni e le decisioni della politica possano essere fondate, attraverso evidenze fattuali (dati </w:t>
      </w:r>
      <w:r w:rsidRPr="00D27487">
        <w:rPr>
          <w:rFonts w:cs="Arial"/>
          <w:b/>
          <w:bCs/>
          <w:lang w:eastAsia="it-CH"/>
        </w:rPr>
        <w:lastRenderedPageBreak/>
        <w:t xml:space="preserve">oggettivi) su ampie analisi prognostiche e analisi evolutive (monitoraggi) che integrino e correlino fattori economici, sociali e ambientali, caratteristici dello sviluppo sostenibile. </w:t>
      </w:r>
    </w:p>
    <w:p w:rsidR="00F1227D" w:rsidRPr="005402AA" w:rsidRDefault="00F1227D" w:rsidP="00823E1F">
      <w:pPr>
        <w:autoSpaceDE w:val="0"/>
        <w:autoSpaceDN w:val="0"/>
        <w:adjustRightInd w:val="0"/>
        <w:rPr>
          <w:rFonts w:cs="Arial"/>
          <w:bCs/>
          <w:lang w:eastAsia="it-CH"/>
        </w:rPr>
      </w:pPr>
    </w:p>
    <w:p w:rsidR="00823E1F" w:rsidRPr="00D27487" w:rsidRDefault="00F1227D" w:rsidP="00F1227D">
      <w:pPr>
        <w:pStyle w:val="Titolo3"/>
      </w:pPr>
      <w:bookmarkStart w:id="10" w:name="_Toc63332025"/>
      <w:r>
        <w:t>5.1.3</w:t>
      </w:r>
      <w:r>
        <w:tab/>
      </w:r>
      <w:r w:rsidR="00823E1F" w:rsidRPr="00D27487">
        <w:t>Il concetto di sostenibilità</w:t>
      </w:r>
      <w:bookmarkEnd w:id="10"/>
    </w:p>
    <w:p w:rsidR="00823E1F" w:rsidRDefault="00823E1F" w:rsidP="00823E1F">
      <w:pPr>
        <w:autoSpaceDE w:val="0"/>
        <w:autoSpaceDN w:val="0"/>
        <w:adjustRightInd w:val="0"/>
        <w:ind w:left="-11"/>
        <w:rPr>
          <w:rFonts w:cs="Arial"/>
          <w:lang w:eastAsia="it-CH"/>
        </w:rPr>
      </w:pPr>
      <w:r w:rsidRPr="00D27487">
        <w:rPr>
          <w:rFonts w:cs="Arial"/>
          <w:lang w:eastAsia="it-CH"/>
        </w:rPr>
        <w:t xml:space="preserve">Il concetto di sostenibilità è ancorato nella Costituzione federale (art. 2 e art. 73), nel Preambolo della Costituzione cantonale e in varie politiche settoriali. Esso viene tuttavia ancora troppo spesso mal interpretato, considerandolo accessorio </w:t>
      </w:r>
      <w:r>
        <w:rPr>
          <w:rFonts w:cs="Arial"/>
          <w:lang w:eastAsia="it-CH"/>
        </w:rPr>
        <w:t>("nice to have"</w:t>
      </w:r>
      <w:r w:rsidRPr="00D27487">
        <w:rPr>
          <w:rFonts w:cs="Arial"/>
          <w:lang w:eastAsia="it-CH"/>
        </w:rPr>
        <w:t xml:space="preserve">, poi figuriamoci in tempo di pandemia!) oppure semplicemente come un concetto monodimensionale di cui se ne considera prevalentemente la dimensione economica (la sola sostenibilità economica). Quante volte si sente infatti ancora affermare che la politica economica non può fare o non è politica sociale e ambientale. </w:t>
      </w:r>
    </w:p>
    <w:p w:rsidR="00F1227D" w:rsidRPr="00D27487" w:rsidRDefault="00F1227D" w:rsidP="00823E1F">
      <w:pPr>
        <w:autoSpaceDE w:val="0"/>
        <w:autoSpaceDN w:val="0"/>
        <w:adjustRightInd w:val="0"/>
        <w:ind w:left="-11"/>
        <w:rPr>
          <w:rFonts w:cs="Arial"/>
          <w:lang w:eastAsia="it-CH"/>
        </w:rPr>
      </w:pPr>
    </w:p>
    <w:p w:rsidR="00823E1F" w:rsidRDefault="00823E1F" w:rsidP="00823E1F">
      <w:pPr>
        <w:autoSpaceDE w:val="0"/>
        <w:autoSpaceDN w:val="0"/>
        <w:adjustRightInd w:val="0"/>
        <w:ind w:left="-11"/>
        <w:rPr>
          <w:rFonts w:cs="Arial"/>
          <w:lang w:eastAsia="it-CH"/>
        </w:rPr>
      </w:pPr>
      <w:r w:rsidRPr="00D27487">
        <w:rPr>
          <w:noProof/>
          <w:lang w:eastAsia="it-CH"/>
        </w:rPr>
        <w:drawing>
          <wp:anchor distT="0" distB="0" distL="114300" distR="114300" simplePos="0" relativeHeight="251659264" behindDoc="0" locked="0" layoutInCell="1" allowOverlap="1" wp14:anchorId="4390B51A" wp14:editId="2180756C">
            <wp:simplePos x="0" y="0"/>
            <wp:positionH relativeFrom="margin">
              <wp:align>left</wp:align>
            </wp:positionH>
            <wp:positionV relativeFrom="paragraph">
              <wp:posOffset>67627</wp:posOffset>
            </wp:positionV>
            <wp:extent cx="2952115" cy="2651760"/>
            <wp:effectExtent l="0" t="0" r="635" b="0"/>
            <wp:wrapThrough wrapText="bothSides">
              <wp:wrapPolygon edited="0">
                <wp:start x="0" y="0"/>
                <wp:lineTo x="0" y="21414"/>
                <wp:lineTo x="21465" y="21414"/>
                <wp:lineTo x="21465" y="0"/>
                <wp:lineTo x="0" y="0"/>
              </wp:wrapPolygon>
            </wp:wrapThrough>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3150" t="25681" r="31677" b="26926"/>
                    <a:stretch/>
                  </pic:blipFill>
                  <pic:spPr bwMode="auto">
                    <a:xfrm>
                      <a:off x="0" y="0"/>
                      <a:ext cx="2952115" cy="2651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7487">
        <w:rPr>
          <w:rFonts w:cs="Arial"/>
          <w:lang w:eastAsia="it-CH"/>
        </w:rPr>
        <w:t xml:space="preserve">In realtà, quello della sostenibilità è un concetto multidimensionale che deve costituire il cuore, l’anima del nostro fare politica. </w:t>
      </w:r>
    </w:p>
    <w:p w:rsidR="00F1227D" w:rsidRPr="00D27487" w:rsidRDefault="00F1227D" w:rsidP="00823E1F">
      <w:pPr>
        <w:autoSpaceDE w:val="0"/>
        <w:autoSpaceDN w:val="0"/>
        <w:adjustRightInd w:val="0"/>
        <w:ind w:left="-11"/>
        <w:rPr>
          <w:rFonts w:cs="Arial"/>
          <w:lang w:eastAsia="it-CH"/>
        </w:rPr>
      </w:pPr>
    </w:p>
    <w:p w:rsidR="00823E1F" w:rsidRPr="00D27487" w:rsidRDefault="00823E1F" w:rsidP="00823E1F">
      <w:pPr>
        <w:autoSpaceDE w:val="0"/>
        <w:autoSpaceDN w:val="0"/>
        <w:adjustRightInd w:val="0"/>
        <w:ind w:left="-11"/>
        <w:rPr>
          <w:rFonts w:cs="Arial"/>
          <w:lang w:eastAsia="it-CH"/>
        </w:rPr>
      </w:pPr>
      <w:r w:rsidRPr="00D27487">
        <w:rPr>
          <w:rFonts w:cs="Arial"/>
          <w:lang w:eastAsia="it-CH"/>
        </w:rPr>
        <w:t>In un mondo interconnesso non è più possibile pensare a compartimenti stagni, mono</w:t>
      </w:r>
      <w:r w:rsidR="005402AA">
        <w:rPr>
          <w:rFonts w:cs="Arial"/>
          <w:lang w:eastAsia="it-CH"/>
        </w:rPr>
        <w:t>-</w:t>
      </w:r>
      <w:r w:rsidRPr="00D27487">
        <w:rPr>
          <w:rFonts w:cs="Arial"/>
          <w:lang w:eastAsia="it-CH"/>
        </w:rPr>
        <w:t>dimensionalmente. La dimensione economica è intimamente correlata e si interseca alla dimensione sociale e quella ambientale ad uno stesso livello gerarchico, come si vede nella classica rappresentazione utilizzata nei documenti dell’amministrazione federale</w:t>
      </w:r>
      <w:r w:rsidRPr="00D27487">
        <w:rPr>
          <w:rStyle w:val="Rimandonotaapidipagina"/>
          <w:rFonts w:cs="Arial"/>
          <w:lang w:eastAsia="it-CH"/>
        </w:rPr>
        <w:footnoteReference w:id="4"/>
      </w:r>
      <w:r w:rsidRPr="00D27487">
        <w:rPr>
          <w:rFonts w:cs="Arial"/>
          <w:lang w:eastAsia="it-CH"/>
        </w:rPr>
        <w:t xml:space="preserve">. Non a caso nello schema si trova scritto: </w:t>
      </w:r>
      <w:r w:rsidRPr="005402AA">
        <w:rPr>
          <w:rFonts w:cs="Arial"/>
          <w:i/>
          <w:lang w:eastAsia="it-CH"/>
        </w:rPr>
        <w:t>"</w:t>
      </w:r>
      <w:r w:rsidRPr="00D27487">
        <w:rPr>
          <w:rFonts w:cs="Arial"/>
          <w:i/>
          <w:iCs/>
          <w:lang w:eastAsia="it-CH"/>
        </w:rPr>
        <w:t>Pensare e agire in modo complessivo, duraturo, global</w:t>
      </w:r>
      <w:r>
        <w:rPr>
          <w:rFonts w:cs="Arial"/>
          <w:i/>
          <w:iCs/>
          <w:lang w:eastAsia="it-CH"/>
        </w:rPr>
        <w:t>e"</w:t>
      </w:r>
      <w:r>
        <w:rPr>
          <w:rFonts w:cs="Arial"/>
          <w:lang w:eastAsia="it-CH"/>
        </w:rPr>
        <w:t>, oggi si direbbe "glocale"</w:t>
      </w:r>
      <w:r w:rsidRPr="00D27487">
        <w:rPr>
          <w:rFonts w:cs="Arial"/>
          <w:lang w:eastAsia="it-CH"/>
        </w:rPr>
        <w:t>.</w:t>
      </w:r>
      <w:r>
        <w:rPr>
          <w:rFonts w:cs="Arial"/>
          <w:lang w:eastAsia="it-CH"/>
        </w:rPr>
        <w:t xml:space="preserve"> </w:t>
      </w:r>
    </w:p>
    <w:p w:rsidR="00F1227D" w:rsidRDefault="00F1227D" w:rsidP="00823E1F">
      <w:pPr>
        <w:autoSpaceDE w:val="0"/>
        <w:autoSpaceDN w:val="0"/>
        <w:adjustRightInd w:val="0"/>
        <w:ind w:left="-11"/>
        <w:rPr>
          <w:rFonts w:cs="Arial"/>
          <w:lang w:eastAsia="it-CH"/>
        </w:rPr>
      </w:pPr>
    </w:p>
    <w:p w:rsidR="00F1227D" w:rsidRDefault="00823E1F" w:rsidP="00AF30BA">
      <w:pPr>
        <w:autoSpaceDE w:val="0"/>
        <w:autoSpaceDN w:val="0"/>
        <w:adjustRightInd w:val="0"/>
        <w:spacing w:after="120"/>
        <w:ind w:left="-11"/>
        <w:rPr>
          <w:rFonts w:cs="Arial"/>
          <w:lang w:eastAsia="it-CH"/>
        </w:rPr>
      </w:pPr>
      <w:r w:rsidRPr="00D27487">
        <w:rPr>
          <w:rFonts w:cs="Arial"/>
          <w:lang w:eastAsia="it-CH"/>
        </w:rPr>
        <w:t xml:space="preserve">Che poi questo concetto venga condiviso anche nella pianificazione dei progetti concreti, lo mostra questa ulteriore affermazione: </w:t>
      </w:r>
    </w:p>
    <w:p w:rsidR="00823E1F" w:rsidRPr="00F1227D" w:rsidRDefault="00823E1F" w:rsidP="00AF30BA">
      <w:pPr>
        <w:autoSpaceDE w:val="0"/>
        <w:autoSpaceDN w:val="0"/>
        <w:adjustRightInd w:val="0"/>
        <w:spacing w:after="120"/>
        <w:ind w:left="567"/>
        <w:rPr>
          <w:rFonts w:cs="Arial"/>
          <w:sz w:val="22"/>
        </w:rPr>
      </w:pPr>
      <w:r w:rsidRPr="00F1227D">
        <w:rPr>
          <w:rFonts w:cs="Arial"/>
          <w:sz w:val="22"/>
        </w:rPr>
        <w:t>"(…) a</w:t>
      </w:r>
      <w:r w:rsidRPr="00F1227D">
        <w:rPr>
          <w:rFonts w:cs="Arial"/>
          <w:i/>
          <w:iCs/>
          <w:sz w:val="22"/>
        </w:rPr>
        <w:t xml:space="preserve">ppare fondamentale evidenziare come tali dimensioni siano strettamente collegate tra loro da una molteplicità di connessioni e, pertanto, non devono essere considerate come elementi indipendenti, ma devono essere analizzate in una visione sistemica, quali elementi che insieme contribuiscono al raggiungimento di un fine comune. Ciò significa che ogni intervento di programmazione deve tenere conto delle reciproche interrelazioni. </w:t>
      </w:r>
      <w:r w:rsidRPr="00F1227D">
        <w:rPr>
          <w:rFonts w:cs="Arial"/>
          <w:i/>
          <w:iCs/>
          <w:sz w:val="22"/>
          <w:u w:val="single"/>
        </w:rPr>
        <w:t>Nel caso in cui le scelte di pianificazione privilegino solo una o due delle sue dimensioni non si verifica uno sviluppo sostenibile</w:t>
      </w:r>
      <w:r w:rsidRPr="00F1227D">
        <w:rPr>
          <w:rFonts w:cs="Arial"/>
          <w:sz w:val="22"/>
        </w:rPr>
        <w:t xml:space="preserve"> (sottolineatura del relatore)"</w:t>
      </w:r>
      <w:r w:rsidRPr="00F1227D">
        <w:rPr>
          <w:rStyle w:val="Rimandonotaapidipagina"/>
          <w:rFonts w:cs="Arial"/>
          <w:sz w:val="22"/>
        </w:rPr>
        <w:footnoteReference w:id="5"/>
      </w:r>
      <w:r w:rsidRPr="00F1227D">
        <w:rPr>
          <w:rFonts w:cs="Arial"/>
          <w:sz w:val="22"/>
        </w:rPr>
        <w:t xml:space="preserve">. </w:t>
      </w:r>
    </w:p>
    <w:p w:rsidR="00823E1F" w:rsidRDefault="00823E1F" w:rsidP="00823E1F">
      <w:pPr>
        <w:autoSpaceDE w:val="0"/>
        <w:autoSpaceDN w:val="0"/>
        <w:adjustRightInd w:val="0"/>
        <w:ind w:left="-11"/>
        <w:rPr>
          <w:rFonts w:cs="Arial"/>
        </w:rPr>
      </w:pPr>
      <w:r w:rsidRPr="00D27487">
        <w:rPr>
          <w:rFonts w:cs="Arial"/>
        </w:rPr>
        <w:t>Questa citazione most</w:t>
      </w:r>
      <w:r>
        <w:rPr>
          <w:rFonts w:cs="Arial"/>
        </w:rPr>
        <w:t>ra chiaramente quale sia l'</w:t>
      </w:r>
      <w:r w:rsidRPr="00D27487">
        <w:rPr>
          <w:rFonts w:cs="Arial"/>
        </w:rPr>
        <w:t>approccio da utilizzare in rapporto alla sostenibilità e alle sue tre dimensioni. Il fatto che nelle discussioni commissionali sia stato detto che i 5 criteri proposti dalla mozione rappresentano le varie sensibilità (economiche, sociali e ambientali) presenti nell</w:t>
      </w:r>
      <w:r>
        <w:rPr>
          <w:rFonts w:cs="Arial"/>
        </w:rPr>
        <w:t>'</w:t>
      </w:r>
      <w:r w:rsidRPr="00D27487">
        <w:rPr>
          <w:rFonts w:cs="Arial"/>
        </w:rPr>
        <w:t>intero spettro politico, indica che la mozione si colloca proprio nel solco di un</w:t>
      </w:r>
      <w:r>
        <w:rPr>
          <w:rFonts w:cs="Arial"/>
        </w:rPr>
        <w:t>'</w:t>
      </w:r>
      <w:r w:rsidRPr="00D27487">
        <w:rPr>
          <w:rFonts w:cs="Arial"/>
        </w:rPr>
        <w:t>azione complessiva e globale caratteristica di uno sviluppo sostenibile.</w:t>
      </w:r>
      <w:r>
        <w:rPr>
          <w:rFonts w:cs="Arial"/>
        </w:rPr>
        <w:t xml:space="preserve"> </w:t>
      </w:r>
    </w:p>
    <w:p w:rsidR="00823E1F" w:rsidRDefault="00823E1F" w:rsidP="00823E1F">
      <w:pPr>
        <w:autoSpaceDE w:val="0"/>
        <w:autoSpaceDN w:val="0"/>
        <w:adjustRightInd w:val="0"/>
        <w:rPr>
          <w:rFonts w:cs="Arial"/>
          <w:b/>
          <w:bCs/>
          <w:lang w:eastAsia="it-CH"/>
        </w:rPr>
      </w:pPr>
      <w:r w:rsidRPr="00D27487">
        <w:rPr>
          <w:rFonts w:cs="Arial"/>
          <w:b/>
          <w:bCs/>
          <w:lang w:eastAsia="it-CH"/>
        </w:rPr>
        <w:lastRenderedPageBreak/>
        <w:t xml:space="preserve">Lo spirito della mozione si inserisce perfettamente in questo ordine di idee, andando proprio a osservare e analizzare indicatori di tutte le dimensioni della sostenibilità ed esplorando le interrelazioni tra di esse, rappresentate dalle intersezioni fra le varie dimensioni della sostenibilità. </w:t>
      </w:r>
    </w:p>
    <w:p w:rsidR="00F1227D" w:rsidRPr="005402AA" w:rsidRDefault="00F1227D" w:rsidP="00823E1F">
      <w:pPr>
        <w:autoSpaceDE w:val="0"/>
        <w:autoSpaceDN w:val="0"/>
        <w:adjustRightInd w:val="0"/>
        <w:rPr>
          <w:rFonts w:cs="Arial"/>
          <w:bCs/>
          <w:lang w:eastAsia="it-CH"/>
        </w:rPr>
      </w:pPr>
    </w:p>
    <w:p w:rsidR="00F1227D" w:rsidRPr="005402AA" w:rsidRDefault="00F1227D" w:rsidP="00F1227D">
      <w:pPr>
        <w:tabs>
          <w:tab w:val="left" w:pos="709"/>
        </w:tabs>
        <w:autoSpaceDE w:val="0"/>
        <w:autoSpaceDN w:val="0"/>
        <w:adjustRightInd w:val="0"/>
        <w:rPr>
          <w:rFonts w:cs="Arial"/>
          <w:bCs/>
          <w:lang w:eastAsia="it-CH"/>
        </w:rPr>
      </w:pPr>
    </w:p>
    <w:p w:rsidR="00823E1F" w:rsidRPr="00D27487" w:rsidRDefault="00F1227D" w:rsidP="00F1227D">
      <w:pPr>
        <w:pStyle w:val="Titolo2"/>
      </w:pPr>
      <w:bookmarkStart w:id="11" w:name="_Toc63332026"/>
      <w:r>
        <w:t>5.2</w:t>
      </w:r>
      <w:r>
        <w:tab/>
      </w:r>
      <w:r w:rsidR="00823E1F" w:rsidRPr="00D27487">
        <w:t>Valutazione della sostenibilità</w:t>
      </w:r>
      <w:bookmarkEnd w:id="11"/>
    </w:p>
    <w:p w:rsidR="00823E1F" w:rsidRDefault="00823E1F" w:rsidP="00823E1F">
      <w:pPr>
        <w:autoSpaceDE w:val="0"/>
        <w:autoSpaceDN w:val="0"/>
        <w:adjustRightInd w:val="0"/>
        <w:ind w:left="-11"/>
        <w:rPr>
          <w:rFonts w:cs="Arial"/>
          <w:lang w:eastAsia="it-CH"/>
        </w:rPr>
      </w:pPr>
      <w:r w:rsidRPr="00D27487">
        <w:rPr>
          <w:rFonts w:cs="Arial"/>
          <w:lang w:eastAsia="it-CH"/>
        </w:rPr>
        <w:t>La maggioranza commissionale ha ritenuto che gli strumenti attualmente in dotazione siano sufficienti</w:t>
      </w:r>
      <w:r>
        <w:rPr>
          <w:rFonts w:cs="Arial"/>
          <w:lang w:eastAsia="it-CH"/>
        </w:rPr>
        <w:t xml:space="preserve"> per orientare l'</w:t>
      </w:r>
      <w:r w:rsidRPr="00D27487">
        <w:rPr>
          <w:rFonts w:cs="Arial"/>
          <w:lang w:eastAsia="it-CH"/>
        </w:rPr>
        <w:t>economia verso la sostenibilità. A sostegno di tale posizione, ampia rilevanza e importanza – oltre ai singoli strumenti descritti alla fine del capitolo 4 (Pr</w:t>
      </w:r>
      <w:r>
        <w:rPr>
          <w:rFonts w:cs="Arial"/>
          <w:lang w:eastAsia="it-CH"/>
        </w:rPr>
        <w:t>ima i nostri, Compendio stato d'</w:t>
      </w:r>
      <w:r w:rsidRPr="00D27487">
        <w:rPr>
          <w:rFonts w:cs="Arial"/>
          <w:lang w:eastAsia="it-CH"/>
        </w:rPr>
        <w:t>urbanizzazione, REA e Sistema di gestione delle zone per il lavoro) – è stata data agli strumenti VSost e Return of investment (ROI) per ponderare la sostenibilità nella politica economica regionale (PER) rispettivamente nell</w:t>
      </w:r>
      <w:r>
        <w:rPr>
          <w:rFonts w:cs="Arial"/>
          <w:lang w:eastAsia="it-CH"/>
        </w:rPr>
        <w:t>a politica sull'</w:t>
      </w:r>
      <w:r w:rsidRPr="00D27487">
        <w:rPr>
          <w:rFonts w:cs="Arial"/>
          <w:lang w:eastAsia="it-CH"/>
        </w:rPr>
        <w:t xml:space="preserve">innovazione. </w:t>
      </w:r>
    </w:p>
    <w:p w:rsidR="00F1227D" w:rsidRPr="00D27487" w:rsidRDefault="00F1227D" w:rsidP="00823E1F">
      <w:pPr>
        <w:autoSpaceDE w:val="0"/>
        <w:autoSpaceDN w:val="0"/>
        <w:adjustRightInd w:val="0"/>
        <w:ind w:left="-11"/>
        <w:rPr>
          <w:rFonts w:cs="Arial"/>
          <w:lang w:eastAsia="it-CH"/>
        </w:rPr>
      </w:pPr>
    </w:p>
    <w:p w:rsidR="00823E1F" w:rsidRDefault="00823E1F" w:rsidP="00823E1F">
      <w:pPr>
        <w:autoSpaceDE w:val="0"/>
        <w:autoSpaceDN w:val="0"/>
        <w:adjustRightInd w:val="0"/>
        <w:ind w:left="-11"/>
        <w:rPr>
          <w:rFonts w:cs="Arial"/>
          <w:lang w:eastAsia="it-CH"/>
        </w:rPr>
      </w:pPr>
      <w:r w:rsidRPr="00D27487">
        <w:rPr>
          <w:rFonts w:cs="Arial"/>
          <w:lang w:eastAsia="it-CH"/>
        </w:rPr>
        <w:t xml:space="preserve">Al fine di comprendere </w:t>
      </w:r>
      <w:r>
        <w:rPr>
          <w:rFonts w:cs="Arial"/>
          <w:lang w:eastAsia="it-CH"/>
        </w:rPr>
        <w:t xml:space="preserve">come </w:t>
      </w:r>
      <w:r w:rsidRPr="00D27487">
        <w:rPr>
          <w:rFonts w:cs="Arial"/>
          <w:lang w:eastAsia="it-CH"/>
        </w:rPr>
        <w:t>tali ponderazioni avvengano e</w:t>
      </w:r>
      <w:r>
        <w:rPr>
          <w:rFonts w:cs="Arial"/>
          <w:lang w:eastAsia="it-CH"/>
        </w:rPr>
        <w:t>,</w:t>
      </w:r>
      <w:r w:rsidRPr="00D27487">
        <w:rPr>
          <w:rFonts w:cs="Arial"/>
          <w:lang w:eastAsia="it-CH"/>
        </w:rPr>
        <w:t xml:space="preserve"> soprattutto</w:t>
      </w:r>
      <w:r>
        <w:rPr>
          <w:rFonts w:cs="Arial"/>
          <w:lang w:eastAsia="it-CH"/>
        </w:rPr>
        <w:t>,</w:t>
      </w:r>
      <w:r w:rsidRPr="00D27487">
        <w:rPr>
          <w:rFonts w:cs="Arial"/>
          <w:lang w:eastAsia="it-CH"/>
        </w:rPr>
        <w:t xml:space="preserve"> sulla base di quali dati oggettivi </w:t>
      </w:r>
      <w:r>
        <w:rPr>
          <w:rFonts w:cs="Arial"/>
          <w:lang w:eastAsia="it-CH"/>
        </w:rPr>
        <w:t>si fondi</w:t>
      </w:r>
      <w:r w:rsidRPr="00D27487">
        <w:rPr>
          <w:rFonts w:cs="Arial"/>
          <w:lang w:eastAsia="it-CH"/>
        </w:rPr>
        <w:t>no, il relatore di minoranza ha effettuato in data 15.12.2020 un’ulteriore audizione con Stefano Rizzi, Valesko Wild e Barbara Conrad, dopo che dalla preceden</w:t>
      </w:r>
      <w:r>
        <w:rPr>
          <w:rFonts w:cs="Arial"/>
          <w:lang w:eastAsia="it-CH"/>
        </w:rPr>
        <w:t>te audizione del 29.09.2020 in C</w:t>
      </w:r>
      <w:r w:rsidRPr="00D27487">
        <w:rPr>
          <w:rFonts w:cs="Arial"/>
          <w:lang w:eastAsia="it-CH"/>
        </w:rPr>
        <w:t>ommissione plenaria non era stato possibile avere risposte pienamente esaustive agli interrogativi pendenti.</w:t>
      </w:r>
      <w:r>
        <w:rPr>
          <w:rFonts w:cs="Arial"/>
          <w:lang w:eastAsia="it-CH"/>
        </w:rPr>
        <w:t xml:space="preserve"> </w:t>
      </w:r>
    </w:p>
    <w:p w:rsidR="00823E1F" w:rsidRPr="00D27487" w:rsidRDefault="00823E1F" w:rsidP="00823E1F">
      <w:pPr>
        <w:autoSpaceDE w:val="0"/>
        <w:autoSpaceDN w:val="0"/>
        <w:adjustRightInd w:val="0"/>
        <w:ind w:left="-11"/>
        <w:rPr>
          <w:rFonts w:cs="Arial"/>
          <w:lang w:eastAsia="it-CH"/>
        </w:rPr>
      </w:pPr>
    </w:p>
    <w:p w:rsidR="00823E1F" w:rsidRPr="00D27487" w:rsidRDefault="00BA7D52" w:rsidP="00BA7D52">
      <w:pPr>
        <w:pStyle w:val="Titolo3"/>
      </w:pPr>
      <w:bookmarkStart w:id="12" w:name="_Toc63332027"/>
      <w:r>
        <w:t>5.2.1</w:t>
      </w:r>
      <w:r w:rsidR="00823E1F" w:rsidRPr="00D27487">
        <w:t xml:space="preserve"> </w:t>
      </w:r>
      <w:r>
        <w:tab/>
      </w:r>
      <w:r w:rsidR="00823E1F" w:rsidRPr="00D27487">
        <w:t>Strumento del VSost per valutare la sostenibilità della PER</w:t>
      </w:r>
      <w:bookmarkEnd w:id="12"/>
    </w:p>
    <w:p w:rsidR="00823E1F" w:rsidRPr="00D27487" w:rsidRDefault="00823E1F" w:rsidP="00823E1F">
      <w:pPr>
        <w:autoSpaceDE w:val="0"/>
        <w:autoSpaceDN w:val="0"/>
        <w:adjustRightInd w:val="0"/>
        <w:rPr>
          <w:rFonts w:cs="Arial"/>
          <w:lang w:eastAsia="it-CH"/>
        </w:rPr>
      </w:pPr>
      <w:r>
        <w:rPr>
          <w:rFonts w:cs="Arial"/>
          <w:lang w:eastAsia="it-CH"/>
        </w:rPr>
        <w:t>Dall'</w:t>
      </w:r>
      <w:r w:rsidRPr="00D27487">
        <w:rPr>
          <w:rFonts w:cs="Arial"/>
          <w:lang w:eastAsia="it-CH"/>
        </w:rPr>
        <w:t xml:space="preserve">audizione è emerso che la ponderazione della sostenibilità nella PER </w:t>
      </w:r>
      <w:r w:rsidRPr="00D27487">
        <w:rPr>
          <w:rFonts w:cs="Arial"/>
          <w:u w:val="single"/>
          <w:lang w:eastAsia="it-CH"/>
        </w:rPr>
        <w:t>non viene eseguita sulla base di dati quantitativi</w:t>
      </w:r>
      <w:r w:rsidRPr="00D27487">
        <w:rPr>
          <w:rFonts w:cs="Arial"/>
          <w:lang w:eastAsia="it-CH"/>
        </w:rPr>
        <w:t xml:space="preserve">, bensì attraverso </w:t>
      </w:r>
      <w:r w:rsidRPr="00D27487">
        <w:rPr>
          <w:rFonts w:cs="Arial"/>
          <w:u w:val="single"/>
          <w:lang w:eastAsia="it-CH"/>
        </w:rPr>
        <w:t>ponderazioni qualitative</w:t>
      </w:r>
      <w:r w:rsidRPr="00D27487">
        <w:rPr>
          <w:rFonts w:cs="Arial"/>
          <w:lang w:eastAsia="it-CH"/>
        </w:rPr>
        <w:t xml:space="preserve"> effettuate dai funzionari del DFE di concerto con quelli </w:t>
      </w:r>
      <w:r>
        <w:rPr>
          <w:rFonts w:cs="Arial"/>
          <w:lang w:eastAsia="it-CH"/>
        </w:rPr>
        <w:t>del</w:t>
      </w:r>
      <w:r w:rsidRPr="00D27487">
        <w:rPr>
          <w:rFonts w:cs="Arial"/>
          <w:lang w:eastAsia="it-CH"/>
        </w:rPr>
        <w:t xml:space="preserve">la SECO </w:t>
      </w:r>
      <w:r>
        <w:rPr>
          <w:rFonts w:cs="Arial"/>
          <w:lang w:eastAsia="it-CH"/>
        </w:rPr>
        <w:t>e con i portatori d'</w:t>
      </w:r>
      <w:r w:rsidRPr="00D27487">
        <w:rPr>
          <w:rFonts w:cs="Arial"/>
          <w:lang w:eastAsia="it-CH"/>
        </w:rPr>
        <w:t>interesse della politica economica promossa. Ogni obiettivo (in totale 12) del Programma di attuazione della PER 2020-23</w:t>
      </w:r>
      <w:r w:rsidRPr="00D27487">
        <w:rPr>
          <w:rStyle w:val="Rimandonotaapidipagina"/>
          <w:rFonts w:cs="Arial"/>
          <w:lang w:eastAsia="it-CH"/>
        </w:rPr>
        <w:footnoteReference w:id="6"/>
      </w:r>
      <w:r w:rsidRPr="00D27487">
        <w:rPr>
          <w:rFonts w:cs="Arial"/>
          <w:lang w:eastAsia="it-CH"/>
        </w:rPr>
        <w:t xml:space="preserve"> è stato dunque valutato da questo gruppo di attori del settore economico secondo i 15 criteri di sostenibilità definiti dallo strumento VSost</w:t>
      </w:r>
      <w:r w:rsidRPr="00D27487">
        <w:rPr>
          <w:rStyle w:val="Rimandonotaapidipagina"/>
          <w:rFonts w:cs="Arial"/>
          <w:lang w:eastAsia="it-CH"/>
        </w:rPr>
        <w:footnoteReference w:id="7"/>
      </w:r>
      <w:r w:rsidRPr="00D27487">
        <w:rPr>
          <w:rFonts w:cs="Arial"/>
          <w:lang w:eastAsia="it-CH"/>
        </w:rPr>
        <w:t>. Per ogni singola ponderazione qualitativa è stato poi assegnato un valore numerico percentuale da inserire alla corrispondente voce nello strumento excel VSost</w:t>
      </w:r>
      <w:r w:rsidRPr="00D27487">
        <w:rPr>
          <w:rStyle w:val="Rimandonotaapidipagina"/>
          <w:rFonts w:cs="Arial"/>
          <w:lang w:eastAsia="it-CH"/>
        </w:rPr>
        <w:footnoteReference w:id="8"/>
      </w:r>
      <w:r w:rsidRPr="00D27487">
        <w:rPr>
          <w:rFonts w:cs="Arial"/>
          <w:lang w:eastAsia="it-CH"/>
        </w:rPr>
        <w:t>, da cui esce poi una previsione sul grado di sostenibilità del programma di attuazione della PER secondo gli obiettivi stabiliti.</w:t>
      </w:r>
    </w:p>
    <w:p w:rsidR="00F1227D" w:rsidRDefault="00F1227D" w:rsidP="00823E1F">
      <w:pPr>
        <w:autoSpaceDE w:val="0"/>
        <w:autoSpaceDN w:val="0"/>
        <w:adjustRightInd w:val="0"/>
        <w:rPr>
          <w:rFonts w:cs="Arial"/>
          <w:lang w:eastAsia="it-CH"/>
        </w:rPr>
      </w:pPr>
    </w:p>
    <w:p w:rsidR="00823E1F" w:rsidRDefault="00823E1F" w:rsidP="00823E1F">
      <w:pPr>
        <w:autoSpaceDE w:val="0"/>
        <w:autoSpaceDN w:val="0"/>
        <w:adjustRightInd w:val="0"/>
        <w:rPr>
          <w:rFonts w:cs="Arial"/>
          <w:lang w:eastAsia="it-CH"/>
        </w:rPr>
      </w:pPr>
      <w:r w:rsidRPr="00D27487">
        <w:rPr>
          <w:rFonts w:cs="Arial"/>
          <w:lang w:eastAsia="it-CH"/>
        </w:rPr>
        <w:t xml:space="preserve">Se la ponderazione della sostenibilità del Programma di attuazione ha un valore predittivo, ovvero cerca di stimarne il grado di sostenibilità economico, sociale e ambientale prima della sua </w:t>
      </w:r>
      <w:r>
        <w:rPr>
          <w:rFonts w:cs="Arial"/>
          <w:lang w:eastAsia="it-CH"/>
        </w:rPr>
        <w:t>realizzazione, dall'</w:t>
      </w:r>
      <w:r w:rsidRPr="00D27487">
        <w:rPr>
          <w:rFonts w:cs="Arial"/>
          <w:lang w:eastAsia="it-CH"/>
        </w:rPr>
        <w:t xml:space="preserve">audizione emerge che oltre tale previsione, viene poi anche eseguito un monitoraggio longitudinale di ogni singolo progetto, per valutarne singolarmente le ricadute effettive. La politica, in particolare il Gran Consiglio chiamato a deliberare buone politiche, non dispone tuttavia di ricerche e rapporti sul monitoraggio svolto </w:t>
      </w:r>
      <w:r>
        <w:rPr>
          <w:rFonts w:cs="Arial"/>
          <w:lang w:eastAsia="it-CH"/>
        </w:rPr>
        <w:t>dall'</w:t>
      </w:r>
      <w:r w:rsidRPr="00D27487">
        <w:rPr>
          <w:rFonts w:cs="Arial"/>
          <w:lang w:eastAsia="it-CH"/>
        </w:rPr>
        <w:t>Amministrazione, che possano mostra</w:t>
      </w:r>
      <w:r>
        <w:rPr>
          <w:rFonts w:cs="Arial"/>
          <w:lang w:eastAsia="it-CH"/>
        </w:rPr>
        <w:t>re come si sviluppa nel tempo l'</w:t>
      </w:r>
      <w:r w:rsidRPr="00D27487">
        <w:rPr>
          <w:rFonts w:cs="Arial"/>
          <w:lang w:eastAsia="it-CH"/>
        </w:rPr>
        <w:t xml:space="preserve">effettivo impatto di questa politica. </w:t>
      </w:r>
    </w:p>
    <w:p w:rsidR="00F1227D" w:rsidRPr="00D27487" w:rsidRDefault="00F1227D" w:rsidP="00823E1F">
      <w:pPr>
        <w:autoSpaceDE w:val="0"/>
        <w:autoSpaceDN w:val="0"/>
        <w:adjustRightInd w:val="0"/>
        <w:rPr>
          <w:rFonts w:cs="Arial"/>
          <w:lang w:eastAsia="it-CH"/>
        </w:rPr>
      </w:pPr>
    </w:p>
    <w:p w:rsidR="00823E1F" w:rsidRDefault="00823E1F" w:rsidP="00823E1F">
      <w:pPr>
        <w:autoSpaceDE w:val="0"/>
        <w:autoSpaceDN w:val="0"/>
        <w:adjustRightInd w:val="0"/>
        <w:ind w:left="-11"/>
        <w:rPr>
          <w:rFonts w:cs="Arial"/>
          <w:b/>
          <w:bCs/>
          <w:lang w:eastAsia="it-CH"/>
        </w:rPr>
      </w:pPr>
      <w:r w:rsidRPr="00D27487">
        <w:rPr>
          <w:rFonts w:cs="Arial"/>
          <w:b/>
          <w:bCs/>
          <w:lang w:eastAsia="it-CH"/>
        </w:rPr>
        <w:t>La procedura di valutazione della sostenibilità descritta appare innanzitutto molto complessa e il fatto che poggi su apprezzamenti qualitativi svolti da un g</w:t>
      </w:r>
      <w:r>
        <w:rPr>
          <w:rFonts w:cs="Arial"/>
          <w:b/>
          <w:bCs/>
          <w:lang w:eastAsia="it-CH"/>
        </w:rPr>
        <w:t>ruppo di persone la rende un po'</w:t>
      </w:r>
      <w:r w:rsidRPr="00D27487">
        <w:rPr>
          <w:rFonts w:cs="Arial"/>
          <w:b/>
          <w:bCs/>
          <w:lang w:eastAsia="it-CH"/>
        </w:rPr>
        <w:t xml:space="preserve"> sommaria,</w:t>
      </w:r>
      <w:r>
        <w:rPr>
          <w:rFonts w:cs="Arial"/>
          <w:b/>
          <w:bCs/>
          <w:lang w:eastAsia="it-CH"/>
        </w:rPr>
        <w:t xml:space="preserve"> (una valutazione "a spanne"</w:t>
      </w:r>
      <w:r w:rsidRPr="00D27487">
        <w:rPr>
          <w:rFonts w:cs="Arial"/>
          <w:b/>
          <w:bCs/>
          <w:lang w:eastAsia="it-CH"/>
        </w:rPr>
        <w:t xml:space="preserve">). In secondo luogo, essa appare anche particolarmente suscettibile a bias (pregiudizi) dati dagli interessi e </w:t>
      </w:r>
      <w:r>
        <w:rPr>
          <w:rFonts w:cs="Arial"/>
          <w:b/>
          <w:bCs/>
          <w:lang w:eastAsia="it-CH"/>
        </w:rPr>
        <w:t>da</w:t>
      </w:r>
      <w:r w:rsidRPr="00D27487">
        <w:rPr>
          <w:rFonts w:cs="Arial"/>
          <w:b/>
          <w:bCs/>
          <w:lang w:eastAsia="it-CH"/>
        </w:rPr>
        <w:t>gli intenti di chi effettua tali ponderazioni. Evidentemente, se l</w:t>
      </w:r>
      <w:r>
        <w:rPr>
          <w:rFonts w:cs="Arial"/>
          <w:b/>
          <w:bCs/>
          <w:lang w:eastAsia="it-CH"/>
        </w:rPr>
        <w:t>'</w:t>
      </w:r>
      <w:r w:rsidRPr="00D27487">
        <w:rPr>
          <w:rFonts w:cs="Arial"/>
          <w:b/>
          <w:bCs/>
          <w:lang w:eastAsia="it-CH"/>
        </w:rPr>
        <w:t>intento dei portatori d</w:t>
      </w:r>
      <w:r>
        <w:rPr>
          <w:rFonts w:cs="Arial"/>
          <w:b/>
          <w:bCs/>
          <w:lang w:eastAsia="it-CH"/>
        </w:rPr>
        <w:t>'</w:t>
      </w:r>
      <w:r w:rsidRPr="00D27487">
        <w:rPr>
          <w:rFonts w:cs="Arial"/>
          <w:b/>
          <w:bCs/>
          <w:lang w:eastAsia="it-CH"/>
        </w:rPr>
        <w:t xml:space="preserve">interesse è poter avviare progettualità economiche, chi effettua tali ponderazioni </w:t>
      </w:r>
      <w:r w:rsidRPr="00D27487">
        <w:rPr>
          <w:rFonts w:cs="Arial"/>
          <w:b/>
          <w:bCs/>
          <w:lang w:eastAsia="it-CH"/>
        </w:rPr>
        <w:lastRenderedPageBreak/>
        <w:t>tenderà logicamente a privilegiare soprattutto gli aspetti economici e farà nel contempo fatica a valutare oggettivamente e convenientemente gli aspetti sociali e ambientali. Questo pregiudizio nella valutazione è d</w:t>
      </w:r>
      <w:r>
        <w:rPr>
          <w:rFonts w:cs="Arial"/>
          <w:b/>
          <w:bCs/>
          <w:lang w:eastAsia="it-CH"/>
        </w:rPr>
        <w:t>'</w:t>
      </w:r>
      <w:r w:rsidRPr="00D27487">
        <w:rPr>
          <w:rFonts w:cs="Arial"/>
          <w:b/>
          <w:bCs/>
          <w:lang w:eastAsia="it-CH"/>
        </w:rPr>
        <w:t>altra parte confermato dall</w:t>
      </w:r>
      <w:r>
        <w:rPr>
          <w:rFonts w:cs="Arial"/>
          <w:b/>
          <w:bCs/>
          <w:lang w:eastAsia="it-CH"/>
        </w:rPr>
        <w:t>'</w:t>
      </w:r>
      <w:r w:rsidRPr="00D27487">
        <w:rPr>
          <w:rFonts w:cs="Arial"/>
          <w:b/>
          <w:bCs/>
          <w:lang w:eastAsia="it-CH"/>
        </w:rPr>
        <w:t>ancora imperante convinzione (ricordata nel paragrafo 5.1.3) che fare politica economica non significa fare politica ambientale e sociale, oltre a essere confermato anche dal fatto che le ponderazioni sono nate da un gremio con prevalenti interessi e sguardi economici, piuttosto che sociali e ambientali. Nella denegata ipotesi che questo strumento riesca effettivamente ad orientare i progetti economici verso la sostenibilità, senza studi particolareggiati è difficile determinare quale sia il suo bacino d’influenza, ovvero se il suo influsso è esteso o meno.</w:t>
      </w:r>
    </w:p>
    <w:p w:rsidR="00F1227D" w:rsidRPr="00D27487" w:rsidRDefault="00F1227D" w:rsidP="00823E1F">
      <w:pPr>
        <w:autoSpaceDE w:val="0"/>
        <w:autoSpaceDN w:val="0"/>
        <w:adjustRightInd w:val="0"/>
        <w:ind w:left="-11"/>
        <w:rPr>
          <w:rFonts w:cs="Arial"/>
          <w:b/>
          <w:bCs/>
          <w:lang w:eastAsia="it-CH"/>
        </w:rPr>
      </w:pPr>
    </w:p>
    <w:p w:rsidR="00823E1F" w:rsidRPr="00D27487" w:rsidRDefault="00BA7D52" w:rsidP="00BA7D52">
      <w:pPr>
        <w:pStyle w:val="Titolo3"/>
      </w:pPr>
      <w:bookmarkStart w:id="13" w:name="_Toc63332028"/>
      <w:r>
        <w:t>5.2.2</w:t>
      </w:r>
      <w:r>
        <w:tab/>
      </w:r>
      <w:r w:rsidR="00823E1F" w:rsidRPr="00D27487">
        <w:t>Strumento di valutazione della sostenibilità nella LInn (ROI - Return of investment)</w:t>
      </w:r>
      <w:bookmarkEnd w:id="13"/>
    </w:p>
    <w:p w:rsidR="00823E1F" w:rsidRDefault="00823E1F" w:rsidP="00823E1F">
      <w:pPr>
        <w:autoSpaceDE w:val="0"/>
        <w:autoSpaceDN w:val="0"/>
        <w:adjustRightInd w:val="0"/>
        <w:ind w:left="-11"/>
        <w:rPr>
          <w:rFonts w:cs="Arial"/>
          <w:lang w:eastAsia="it-CH"/>
        </w:rPr>
      </w:pPr>
      <w:r>
        <w:rPr>
          <w:rFonts w:cs="Arial"/>
          <w:lang w:eastAsia="it-CH"/>
        </w:rPr>
        <w:t>Nell'</w:t>
      </w:r>
      <w:r w:rsidRPr="00D27487">
        <w:rPr>
          <w:rFonts w:cs="Arial"/>
          <w:lang w:eastAsia="it-CH"/>
        </w:rPr>
        <w:t>audizione si è inoltre approfondito il funzionamento del ROI, ovvero la ponderazione dell</w:t>
      </w:r>
      <w:r>
        <w:rPr>
          <w:rFonts w:cs="Arial"/>
          <w:lang w:eastAsia="it-CH"/>
        </w:rPr>
        <w:t>'</w:t>
      </w:r>
      <w:r w:rsidRPr="00D27487">
        <w:rPr>
          <w:rFonts w:cs="Arial"/>
          <w:lang w:eastAsia="it-CH"/>
        </w:rPr>
        <w:t>impatto complessivo di un investimento sul tessuto economico, al fine di valutare la concessione di un sussidio nel quadro della Legge per l’innovazione economica.</w:t>
      </w:r>
    </w:p>
    <w:p w:rsidR="00F1227D" w:rsidRPr="00D27487" w:rsidRDefault="00F1227D" w:rsidP="00823E1F">
      <w:pPr>
        <w:autoSpaceDE w:val="0"/>
        <w:autoSpaceDN w:val="0"/>
        <w:adjustRightInd w:val="0"/>
        <w:ind w:left="-11"/>
        <w:rPr>
          <w:rFonts w:cs="Arial"/>
          <w:lang w:eastAsia="it-CH"/>
        </w:rPr>
      </w:pPr>
    </w:p>
    <w:p w:rsidR="00823E1F" w:rsidRDefault="00823E1F" w:rsidP="00823E1F">
      <w:pPr>
        <w:autoSpaceDE w:val="0"/>
        <w:autoSpaceDN w:val="0"/>
        <w:adjustRightInd w:val="0"/>
        <w:ind w:left="-11"/>
        <w:rPr>
          <w:rFonts w:cs="Arial"/>
          <w:lang w:eastAsia="it-CH"/>
        </w:rPr>
      </w:pPr>
      <w:r w:rsidRPr="00D27487">
        <w:rPr>
          <w:rFonts w:cs="Arial"/>
          <w:lang w:eastAsia="it-CH"/>
        </w:rPr>
        <w:t>Per quest</w:t>
      </w:r>
      <w:r>
        <w:rPr>
          <w:rFonts w:cs="Arial"/>
          <w:lang w:eastAsia="it-CH"/>
        </w:rPr>
        <w:t>'</w:t>
      </w:r>
      <w:r w:rsidRPr="00D27487">
        <w:rPr>
          <w:rFonts w:cs="Arial"/>
          <w:lang w:eastAsia="it-CH"/>
        </w:rPr>
        <w:t>altra politica settoriale, come ricordato dal rapporto di maggioranza, s</w:t>
      </w:r>
      <w:r>
        <w:rPr>
          <w:rFonts w:cs="Arial"/>
          <w:lang w:eastAsia="it-CH"/>
        </w:rPr>
        <w:t>ono stati fissati dei criteri d'</w:t>
      </w:r>
      <w:r w:rsidRPr="00D27487">
        <w:rPr>
          <w:rFonts w:cs="Arial"/>
          <w:lang w:eastAsia="it-CH"/>
        </w:rPr>
        <w:t xml:space="preserve">accesso ai sussidi che vanno effettivamente nel senso dei criteri citati della mozione in oggetto: </w:t>
      </w:r>
      <w:r w:rsidRPr="00D27487">
        <w:rPr>
          <w:rFonts w:cs="Arial"/>
          <w:b/>
          <w:bCs/>
          <w:lang w:eastAsia="it-CH"/>
        </w:rPr>
        <w:t>livelli salariali</w:t>
      </w:r>
      <w:r w:rsidRPr="00D27487">
        <w:rPr>
          <w:rFonts w:cs="Arial"/>
          <w:lang w:eastAsia="it-CH"/>
        </w:rPr>
        <w:t xml:space="preserve"> </w:t>
      </w:r>
      <w:r w:rsidRPr="00D27487">
        <w:rPr>
          <w:rFonts w:eastAsia="Arial" w:cs="Arial"/>
        </w:rPr>
        <w:t xml:space="preserve">(60% dei dipendenti con un salario mensile lordo superiore a fr. 4'000.- per 12 mensilità per dieci anni), </w:t>
      </w:r>
      <w:r w:rsidRPr="00D27487">
        <w:rPr>
          <w:rFonts w:eastAsia="Arial" w:cs="Arial"/>
          <w:b/>
          <w:bCs/>
        </w:rPr>
        <w:t>quota minima di personale residente</w:t>
      </w:r>
      <w:r w:rsidRPr="00D27487">
        <w:rPr>
          <w:rFonts w:eastAsia="Arial" w:cs="Arial"/>
        </w:rPr>
        <w:t xml:space="preserve"> (al momento della richiesta almeno il 40% dei dipendenti è residente in Ticino da almeno tre anni per almeno dieci anni successivi) e, nuovo, la</w:t>
      </w:r>
      <w:r w:rsidRPr="00D27487">
        <w:rPr>
          <w:rFonts w:eastAsia="Arial" w:cs="Arial"/>
          <w:b/>
          <w:bCs/>
        </w:rPr>
        <w:t xml:space="preserve"> parità salariale</w:t>
      </w:r>
      <w:r w:rsidRPr="00D27487">
        <w:rPr>
          <w:rFonts w:eastAsia="Arial" w:cs="Arial"/>
        </w:rPr>
        <w:t xml:space="preserve"> tra uomo e donna. </w:t>
      </w:r>
      <w:r w:rsidRPr="00D27487">
        <w:rPr>
          <w:rFonts w:cs="Arial"/>
          <w:lang w:eastAsia="it-CH"/>
        </w:rPr>
        <w:t>Le aziende che soddisfano questi criteri di carattere economico-sociale possono accedere al sussidio, il cui ammontare viene poi determinato in due ulteriori fasi. Dapprima viene calcolato il sussidio di base, ponderandolo sul grado di innovazione e di sostenibilità economica del progetto che un</w:t>
      </w:r>
      <w:r>
        <w:rPr>
          <w:rFonts w:cs="Arial"/>
          <w:lang w:eastAsia="it-CH"/>
        </w:rPr>
        <w:t>'</w:t>
      </w:r>
      <w:r w:rsidRPr="00D27487">
        <w:rPr>
          <w:rFonts w:cs="Arial"/>
          <w:lang w:eastAsia="it-CH"/>
        </w:rPr>
        <w:t>azienda presenta. In una successiva e ultima fase</w:t>
      </w:r>
      <w:r>
        <w:rPr>
          <w:rFonts w:cs="Arial"/>
          <w:lang w:eastAsia="it-CH"/>
        </w:rPr>
        <w:t xml:space="preserve"> ("nice to have"</w:t>
      </w:r>
      <w:r w:rsidRPr="00D27487">
        <w:rPr>
          <w:rFonts w:cs="Arial"/>
          <w:lang w:eastAsia="it-CH"/>
        </w:rPr>
        <w:t xml:space="preserve">), </w:t>
      </w:r>
      <w:r>
        <w:rPr>
          <w:rFonts w:cs="Arial"/>
          <w:lang w:eastAsia="it-CH"/>
        </w:rPr>
        <w:t>si valuta l'</w:t>
      </w:r>
      <w:r w:rsidRPr="00D27487">
        <w:rPr>
          <w:rFonts w:cs="Arial"/>
          <w:lang w:eastAsia="it-CH"/>
        </w:rPr>
        <w:t>assegnazione di un eventuale bonus attraverso la ponderazione di ulteriori criteri non vincolanti perlopiù di carattere sociale e ambientale (struttura del personale, r</w:t>
      </w:r>
      <w:r>
        <w:rPr>
          <w:rFonts w:cs="Arial"/>
          <w:lang w:eastAsia="it-CH"/>
        </w:rPr>
        <w:t>esponsabilità sociale d'</w:t>
      </w:r>
      <w:r w:rsidRPr="00D27487">
        <w:rPr>
          <w:rFonts w:cs="Arial"/>
          <w:lang w:eastAsia="it-CH"/>
        </w:rPr>
        <w:t>impresa, impatto ambientale e reti di collaborazioni), per i quali il progetto può beneficiare di un innalzamento di sussidio.</w:t>
      </w:r>
      <w:r>
        <w:rPr>
          <w:rFonts w:cs="Arial"/>
          <w:lang w:eastAsia="it-CH"/>
        </w:rPr>
        <w:t xml:space="preserve"> </w:t>
      </w:r>
    </w:p>
    <w:p w:rsidR="00F1227D" w:rsidRPr="00D27487" w:rsidRDefault="00F1227D" w:rsidP="00823E1F">
      <w:pPr>
        <w:autoSpaceDE w:val="0"/>
        <w:autoSpaceDN w:val="0"/>
        <w:adjustRightInd w:val="0"/>
        <w:ind w:left="-11"/>
        <w:rPr>
          <w:rFonts w:cs="Arial"/>
          <w:lang w:eastAsia="it-CH"/>
        </w:rPr>
      </w:pPr>
    </w:p>
    <w:p w:rsidR="00823E1F" w:rsidRDefault="00823E1F" w:rsidP="00823E1F">
      <w:pPr>
        <w:autoSpaceDE w:val="0"/>
        <w:autoSpaceDN w:val="0"/>
        <w:adjustRightInd w:val="0"/>
        <w:ind w:left="-11"/>
        <w:rPr>
          <w:rFonts w:cs="Arial"/>
          <w:lang w:eastAsia="it-CH"/>
        </w:rPr>
      </w:pPr>
      <w:r w:rsidRPr="00D27487">
        <w:rPr>
          <w:rFonts w:cs="Arial"/>
          <w:lang w:eastAsia="it-CH"/>
        </w:rPr>
        <w:t>In questa politica settoriale, possiamo notare come l</w:t>
      </w:r>
      <w:r>
        <w:rPr>
          <w:rFonts w:cs="Arial"/>
          <w:lang w:eastAsia="it-CH"/>
        </w:rPr>
        <w:t>'</w:t>
      </w:r>
      <w:r w:rsidRPr="00D27487">
        <w:rPr>
          <w:rFonts w:cs="Arial"/>
          <w:lang w:eastAsia="it-CH"/>
        </w:rPr>
        <w:t>ancoraggio dei progetti sussidiati a criteri economici e sociali sia decisamente più vincolante e offra quindi maggiori garanzie (la cui efficacia deve però ancora essere controllata e verificata) che l’economia venga orientata verso criteri di sostenibilità economica e sociale. Il vincolo viene però completamente a mancare rispetto alla sostenibilità ambientale. So</w:t>
      </w:r>
      <w:r>
        <w:rPr>
          <w:rFonts w:cs="Arial"/>
          <w:lang w:eastAsia="it-CH"/>
        </w:rPr>
        <w:t>lo i progetti delle aziende di "</w:t>
      </w:r>
      <w:r w:rsidRPr="00D27487">
        <w:rPr>
          <w:rFonts w:cs="Arial"/>
          <w:lang w:eastAsia="it-CH"/>
        </w:rPr>
        <w:t>buon</w:t>
      </w:r>
      <w:r>
        <w:rPr>
          <w:rFonts w:cs="Arial"/>
          <w:lang w:eastAsia="it-CH"/>
        </w:rPr>
        <w:t>a volontà"</w:t>
      </w:r>
      <w:r w:rsidRPr="00D27487">
        <w:rPr>
          <w:rFonts w:cs="Arial"/>
          <w:lang w:eastAsia="it-CH"/>
        </w:rPr>
        <w:t xml:space="preserve"> (quelle che non si lamentano del fatto che sulle politiche settoriali vengono caricati troppi oneri</w:t>
      </w:r>
      <w:r w:rsidRPr="00D27487">
        <w:rPr>
          <w:rStyle w:val="Rimandonotaapidipagina"/>
          <w:rFonts w:cs="Arial"/>
          <w:lang w:eastAsia="it-CH"/>
        </w:rPr>
        <w:footnoteReference w:id="9"/>
      </w:r>
      <w:r w:rsidRPr="00D27487">
        <w:rPr>
          <w:rFonts w:cs="Arial"/>
          <w:lang w:eastAsia="it-CH"/>
        </w:rPr>
        <w:t>) accedono dunque al bonus di sussidio perché ottemperano anche criteri di sostenibilità ambientale.</w:t>
      </w:r>
    </w:p>
    <w:p w:rsidR="00F1227D" w:rsidRPr="00D27487" w:rsidRDefault="00F1227D" w:rsidP="00823E1F">
      <w:pPr>
        <w:autoSpaceDE w:val="0"/>
        <w:autoSpaceDN w:val="0"/>
        <w:adjustRightInd w:val="0"/>
        <w:ind w:left="-11"/>
        <w:rPr>
          <w:rFonts w:cs="Arial"/>
          <w:lang w:eastAsia="it-CH"/>
        </w:rPr>
      </w:pPr>
    </w:p>
    <w:p w:rsidR="005402AA" w:rsidRDefault="00823E1F" w:rsidP="00823E1F">
      <w:pPr>
        <w:autoSpaceDE w:val="0"/>
        <w:autoSpaceDN w:val="0"/>
        <w:adjustRightInd w:val="0"/>
        <w:ind w:left="-11"/>
        <w:rPr>
          <w:rFonts w:cs="Arial"/>
          <w:b/>
          <w:bCs/>
        </w:rPr>
      </w:pPr>
      <w:r w:rsidRPr="00D27487">
        <w:rPr>
          <w:rFonts w:cs="Arial"/>
          <w:b/>
          <w:bCs/>
        </w:rPr>
        <w:t xml:space="preserve">Riprendendo la citazione </w:t>
      </w:r>
      <w:r>
        <w:rPr>
          <w:rFonts w:cs="Arial"/>
          <w:b/>
          <w:bCs/>
        </w:rPr>
        <w:t>"</w:t>
      </w:r>
      <w:r w:rsidRPr="00D27487">
        <w:rPr>
          <w:rFonts w:cs="Arial"/>
          <w:b/>
          <w:bCs/>
          <w:i/>
          <w:iCs/>
        </w:rPr>
        <w:t>Nel caso in cui le scelte di pianificazione privilegino solo una o due delle sue dimensioni non si verifica uno sviluppo sostenibile</w:t>
      </w:r>
      <w:r>
        <w:rPr>
          <w:rFonts w:cs="Arial"/>
          <w:b/>
          <w:bCs/>
        </w:rPr>
        <w:t>"</w:t>
      </w:r>
      <w:r w:rsidRPr="00D27487">
        <w:rPr>
          <w:rFonts w:cs="Arial"/>
          <w:b/>
          <w:bCs/>
        </w:rPr>
        <w:t xml:space="preserve"> ricordata nel paragrafo 5.1.3., a rigor di logica la minoranza commissionale non può che concludere che il ROI non risponda appieno allo spirito della mozione, ovvero perseguire lo sviluppo sostenibile a tutto tondo. Inoltre rispetto alla LInn sappiamo che le aziende</w:t>
      </w:r>
      <w:r>
        <w:rPr>
          <w:rFonts w:cs="Arial"/>
          <w:b/>
          <w:bCs/>
        </w:rPr>
        <w:t xml:space="preserve"> che percepiscono sussidi per l'</w:t>
      </w:r>
      <w:r w:rsidRPr="00D27487">
        <w:rPr>
          <w:rFonts w:cs="Arial"/>
          <w:b/>
          <w:bCs/>
        </w:rPr>
        <w:t xml:space="preserve">innovazione sono veramente poche a </w:t>
      </w:r>
      <w:r w:rsidR="005402AA">
        <w:rPr>
          <w:rFonts w:cs="Arial"/>
          <w:b/>
          <w:bCs/>
        </w:rPr>
        <w:br/>
      </w:r>
    </w:p>
    <w:p w:rsidR="005402AA" w:rsidRDefault="005402AA" w:rsidP="00823E1F">
      <w:pPr>
        <w:autoSpaceDE w:val="0"/>
        <w:autoSpaceDN w:val="0"/>
        <w:adjustRightInd w:val="0"/>
        <w:ind w:left="-11"/>
        <w:rPr>
          <w:rFonts w:cs="Arial"/>
          <w:b/>
          <w:bCs/>
        </w:rPr>
        <w:sectPr w:rsidR="005402AA" w:rsidSect="00F242E5">
          <w:footerReference w:type="default" r:id="rId9"/>
          <w:pgSz w:w="11906" w:h="16838"/>
          <w:pgMar w:top="1134" w:right="1134" w:bottom="1134" w:left="1134" w:header="709" w:footer="567" w:gutter="0"/>
          <w:cols w:space="708"/>
          <w:docGrid w:linePitch="360"/>
        </w:sectPr>
      </w:pPr>
    </w:p>
    <w:p w:rsidR="00823E1F" w:rsidRDefault="00823E1F" w:rsidP="00823E1F">
      <w:pPr>
        <w:autoSpaceDE w:val="0"/>
        <w:autoSpaceDN w:val="0"/>
        <w:adjustRightInd w:val="0"/>
        <w:ind w:left="-11"/>
        <w:rPr>
          <w:rFonts w:cs="Arial"/>
          <w:b/>
          <w:bCs/>
        </w:rPr>
      </w:pPr>
      <w:r w:rsidRPr="00D27487">
        <w:rPr>
          <w:rFonts w:cs="Arial"/>
          <w:b/>
          <w:bCs/>
        </w:rPr>
        <w:lastRenderedPageBreak/>
        <w:t>confronto del totale (poche decine su decine di migliaia di aziende). Se poi consideriamo che una sostenibilità a tutto tondo è probabilmente garantita da poche aziende di buona volontà, si può comprendere che la capacità orientativa verso la sostenibilità della LInn è molto ridotta. Anche in questo caso non è poi disponibile della politica le analisi del ROI così come uno studio di monitoraggio delle effettive ricadute di questi progetti.</w:t>
      </w:r>
      <w:r>
        <w:rPr>
          <w:rFonts w:cs="Arial"/>
          <w:b/>
          <w:bCs/>
        </w:rPr>
        <w:t xml:space="preserve"> </w:t>
      </w:r>
    </w:p>
    <w:p w:rsidR="00823E1F" w:rsidRPr="005402AA" w:rsidRDefault="00823E1F" w:rsidP="00823E1F">
      <w:pPr>
        <w:autoSpaceDE w:val="0"/>
        <w:autoSpaceDN w:val="0"/>
        <w:adjustRightInd w:val="0"/>
        <w:ind w:left="-11"/>
        <w:rPr>
          <w:rFonts w:cs="Arial"/>
          <w:bCs/>
        </w:rPr>
      </w:pPr>
    </w:p>
    <w:p w:rsidR="00F1227D" w:rsidRPr="005402AA" w:rsidRDefault="00F1227D" w:rsidP="00823E1F">
      <w:pPr>
        <w:autoSpaceDE w:val="0"/>
        <w:autoSpaceDN w:val="0"/>
        <w:adjustRightInd w:val="0"/>
        <w:ind w:left="-11"/>
        <w:rPr>
          <w:rFonts w:cs="Arial"/>
          <w:bCs/>
        </w:rPr>
      </w:pPr>
    </w:p>
    <w:p w:rsidR="00823E1F" w:rsidRPr="00D27487" w:rsidRDefault="00F1227D" w:rsidP="00F1227D">
      <w:pPr>
        <w:pStyle w:val="Titolo2"/>
      </w:pPr>
      <w:bookmarkStart w:id="14" w:name="_Toc63332029"/>
      <w:r>
        <w:t>5.3</w:t>
      </w:r>
      <w:r>
        <w:tab/>
      </w:r>
      <w:r w:rsidR="00823E1F" w:rsidRPr="00D27487">
        <w:t>Valutazione dei dati statistici</w:t>
      </w:r>
      <w:bookmarkEnd w:id="14"/>
    </w:p>
    <w:p w:rsidR="00823E1F" w:rsidRDefault="00823E1F" w:rsidP="00823E1F">
      <w:pPr>
        <w:autoSpaceDE w:val="0"/>
        <w:autoSpaceDN w:val="0"/>
        <w:adjustRightInd w:val="0"/>
        <w:ind w:left="-11"/>
        <w:rPr>
          <w:rFonts w:cs="Arial"/>
          <w:lang w:eastAsia="it-CH"/>
        </w:rPr>
      </w:pPr>
      <w:r w:rsidRPr="00D27487">
        <w:rPr>
          <w:rFonts w:cs="Arial"/>
          <w:lang w:eastAsia="it-CH"/>
        </w:rPr>
        <w:t>Se nelle intenzioni la politica economica dice di voler essere sostenibile e, come ricordato dal rapporto di maggioranza</w:t>
      </w:r>
      <w:r>
        <w:rPr>
          <w:rFonts w:cs="Arial"/>
          <w:lang w:eastAsia="it-CH"/>
        </w:rPr>
        <w:t xml:space="preserve"> e dallo stesso Consiglio di Stato</w:t>
      </w:r>
      <w:r w:rsidRPr="00D27487">
        <w:rPr>
          <w:rFonts w:cs="Arial"/>
          <w:lang w:eastAsia="it-CH"/>
        </w:rPr>
        <w:t xml:space="preserve">, si è data degli orientamenti (come appena visto non sempre vincolanti e validi) per poterlo essere, </w:t>
      </w:r>
      <w:r w:rsidRPr="00D27487">
        <w:rPr>
          <w:rFonts w:cs="Arial"/>
          <w:u w:val="single"/>
          <w:lang w:eastAsia="it-CH"/>
        </w:rPr>
        <w:t>una questione aperta rimane pur sempre quella di osservare se tali orientamenti permettono di raggiungere efficacemente gli obiettivi dichiarati o meno</w:t>
      </w:r>
      <w:r w:rsidRPr="00D27487">
        <w:rPr>
          <w:rFonts w:cs="Arial"/>
          <w:lang w:eastAsia="it-CH"/>
        </w:rPr>
        <w:t>. La mozione in oggetto, chiede infatti non solo di orientare le politiche economiche verso la sostenibilità, ma chiede anche di verificare attraverso ricerche multidimensionali (ispirandosi ai 5 citati criteri) se lo sviluppo sostenibile si realizza veramente o meno.</w:t>
      </w:r>
      <w:r>
        <w:rPr>
          <w:rFonts w:cs="Arial"/>
          <w:lang w:eastAsia="it-CH"/>
        </w:rPr>
        <w:t xml:space="preserve"> </w:t>
      </w:r>
    </w:p>
    <w:p w:rsidR="00F1227D" w:rsidRPr="00D27487" w:rsidRDefault="00F1227D" w:rsidP="00823E1F">
      <w:pPr>
        <w:autoSpaceDE w:val="0"/>
        <w:autoSpaceDN w:val="0"/>
        <w:adjustRightInd w:val="0"/>
        <w:ind w:left="-11"/>
        <w:rPr>
          <w:rFonts w:cs="Arial"/>
          <w:lang w:eastAsia="it-CH"/>
        </w:rPr>
      </w:pPr>
    </w:p>
    <w:p w:rsidR="00823E1F" w:rsidRDefault="00823E1F" w:rsidP="00823E1F">
      <w:pPr>
        <w:autoSpaceDE w:val="0"/>
        <w:autoSpaceDN w:val="0"/>
        <w:adjustRightInd w:val="0"/>
        <w:ind w:left="-11"/>
        <w:rPr>
          <w:rFonts w:cs="Arial"/>
          <w:lang w:eastAsia="it-CH"/>
        </w:rPr>
      </w:pPr>
      <w:r w:rsidRPr="00D27487">
        <w:rPr>
          <w:rFonts w:cs="Arial"/>
          <w:lang w:eastAsia="it-CH"/>
        </w:rPr>
        <w:t xml:space="preserve">Si </w:t>
      </w:r>
      <w:r>
        <w:rPr>
          <w:rFonts w:cs="Arial"/>
          <w:lang w:eastAsia="it-CH"/>
        </w:rPr>
        <w:t>è</w:t>
      </w:r>
      <w:r w:rsidRPr="00D27487">
        <w:rPr>
          <w:rFonts w:cs="Arial"/>
          <w:lang w:eastAsia="it-CH"/>
        </w:rPr>
        <w:t xml:space="preserve"> già detto che in sede di riflessione commissionale particolare importanza </w:t>
      </w:r>
      <w:r>
        <w:rPr>
          <w:rFonts w:cs="Arial"/>
          <w:lang w:eastAsia="it-CH"/>
        </w:rPr>
        <w:t>è stata data all'</w:t>
      </w:r>
      <w:r w:rsidRPr="00D27487">
        <w:rPr>
          <w:rFonts w:cs="Arial"/>
          <w:lang w:eastAsia="it-CH"/>
        </w:rPr>
        <w:t xml:space="preserve">oggettività di rilevazioni della realtà, al fine di non rimanere nel campo delle opinioni o delle narrazioni </w:t>
      </w:r>
      <w:r>
        <w:rPr>
          <w:rFonts w:cs="Arial"/>
          <w:lang w:eastAsia="it-CH"/>
        </w:rPr>
        <w:t>"parziali"</w:t>
      </w:r>
      <w:r w:rsidRPr="00D27487">
        <w:rPr>
          <w:rFonts w:cs="Arial"/>
          <w:lang w:eastAsia="it-CH"/>
        </w:rPr>
        <w:t xml:space="preserve"> che rischiano di suonare utilitaristiche e opportunistiche. </w:t>
      </w:r>
    </w:p>
    <w:p w:rsidR="00F1227D" w:rsidRPr="00D27487" w:rsidRDefault="00F1227D" w:rsidP="00823E1F">
      <w:pPr>
        <w:autoSpaceDE w:val="0"/>
        <w:autoSpaceDN w:val="0"/>
        <w:adjustRightInd w:val="0"/>
        <w:ind w:left="-11"/>
        <w:rPr>
          <w:rFonts w:cs="Arial"/>
          <w:lang w:eastAsia="it-CH"/>
        </w:rPr>
      </w:pPr>
    </w:p>
    <w:p w:rsidR="00823E1F" w:rsidRDefault="00823E1F" w:rsidP="00823E1F">
      <w:pPr>
        <w:autoSpaceDE w:val="0"/>
        <w:autoSpaceDN w:val="0"/>
        <w:adjustRightInd w:val="0"/>
        <w:ind w:left="-11"/>
        <w:rPr>
          <w:rFonts w:cs="Arial"/>
          <w:lang w:eastAsia="it-CH"/>
        </w:rPr>
      </w:pPr>
      <w:r w:rsidRPr="00D27487">
        <w:rPr>
          <w:rFonts w:cs="Arial"/>
          <w:lang w:eastAsia="it-CH"/>
        </w:rPr>
        <w:t xml:space="preserve">In questo capitoletto, </w:t>
      </w:r>
      <w:r>
        <w:rPr>
          <w:rFonts w:cs="Arial"/>
          <w:lang w:eastAsia="it-CH"/>
        </w:rPr>
        <w:t>un po'</w:t>
      </w:r>
      <w:r w:rsidRPr="00D27487">
        <w:rPr>
          <w:rFonts w:cs="Arial"/>
          <w:lang w:eastAsia="it-CH"/>
        </w:rPr>
        <w:t xml:space="preserve"> come proposto nella mozione, si vogliono mettere in relazione alcuni indicatori statistici</w:t>
      </w:r>
      <w:r w:rsidRPr="00D27487">
        <w:rPr>
          <w:rStyle w:val="Rimandonotaapidipagina"/>
          <w:rFonts w:cs="Arial"/>
          <w:lang w:eastAsia="it-CH"/>
        </w:rPr>
        <w:footnoteReference w:id="10"/>
      </w:r>
      <w:r w:rsidRPr="00D27487">
        <w:rPr>
          <w:rFonts w:cs="Arial"/>
          <w:lang w:eastAsia="it-CH"/>
        </w:rPr>
        <w:t>, che hanno indubbiamente carattere oggettivo e possono rinviare grosso modo ai 5 criteri proposti dalla mozione in oggetto, al fine di capire se le politiche economiche adottate vanno effettivamente nel senso auspicato dalla mozione. Pertanto la maggior parte dei dati copre</w:t>
      </w:r>
      <w:r>
        <w:rPr>
          <w:rFonts w:cs="Arial"/>
          <w:lang w:eastAsia="it-CH"/>
        </w:rPr>
        <w:t xml:space="preserve"> l'</w:t>
      </w:r>
      <w:r w:rsidRPr="00D27487">
        <w:rPr>
          <w:rFonts w:cs="Arial"/>
          <w:lang w:eastAsia="it-CH"/>
        </w:rPr>
        <w:t>arco di tempo dal 2006 al 2017 (per molte statistiche non sono ancora a disposizione dati dopo il 2017), permettendo così di mettere in relazione le politiche adottate negli ultimi anni con</w:t>
      </w:r>
      <w:r>
        <w:rPr>
          <w:rFonts w:cs="Arial"/>
          <w:lang w:eastAsia="it-CH"/>
        </w:rPr>
        <w:t xml:space="preserve"> l'</w:t>
      </w:r>
      <w:r w:rsidRPr="00D27487">
        <w:rPr>
          <w:rFonts w:cs="Arial"/>
          <w:lang w:eastAsia="it-CH"/>
        </w:rPr>
        <w:t xml:space="preserve">evoluzione reale di alcuni indicatori economici, sociali e ambientali. </w:t>
      </w:r>
    </w:p>
    <w:p w:rsidR="00823E1F" w:rsidRPr="00D27487" w:rsidRDefault="00823E1F" w:rsidP="00823E1F">
      <w:pPr>
        <w:autoSpaceDE w:val="0"/>
        <w:autoSpaceDN w:val="0"/>
        <w:adjustRightInd w:val="0"/>
        <w:ind w:left="-11"/>
        <w:rPr>
          <w:rFonts w:cs="Arial"/>
          <w:lang w:eastAsia="it-CH"/>
        </w:rPr>
      </w:pPr>
    </w:p>
    <w:p w:rsidR="00823E1F" w:rsidRPr="00D27487" w:rsidRDefault="00BA7D52" w:rsidP="00BA7D52">
      <w:pPr>
        <w:pStyle w:val="Titolo3"/>
      </w:pPr>
      <w:bookmarkStart w:id="15" w:name="_Toc63332030"/>
      <w:r>
        <w:t>5.3.1</w:t>
      </w:r>
      <w:r>
        <w:tab/>
      </w:r>
      <w:r w:rsidR="00823E1F" w:rsidRPr="00D27487">
        <w:t>Indicatori sull’evoluzione globale della politica economica cantonale</w:t>
      </w:r>
      <w:bookmarkEnd w:id="15"/>
    </w:p>
    <w:p w:rsidR="00823E1F" w:rsidRDefault="00823E1F" w:rsidP="00823E1F">
      <w:pPr>
        <w:autoSpaceDE w:val="0"/>
        <w:autoSpaceDN w:val="0"/>
        <w:adjustRightInd w:val="0"/>
        <w:rPr>
          <w:rFonts w:cs="Arial"/>
          <w:lang w:eastAsia="it-CH"/>
        </w:rPr>
      </w:pPr>
      <w:r w:rsidRPr="00D27487">
        <w:rPr>
          <w:rFonts w:cs="Arial"/>
          <w:lang w:eastAsia="it-CH"/>
        </w:rPr>
        <w:t>Uno studio di BAK Economics commissionato dalla Camera di commercio nel 2019</w:t>
      </w:r>
      <w:r w:rsidRPr="00D27487">
        <w:rPr>
          <w:rStyle w:val="Rimandonotaapidipagina"/>
          <w:rFonts w:cs="Arial"/>
          <w:lang w:eastAsia="it-CH"/>
        </w:rPr>
        <w:footnoteReference w:id="11"/>
      </w:r>
      <w:r w:rsidRPr="00D27487">
        <w:rPr>
          <w:rFonts w:cs="Arial"/>
          <w:lang w:eastAsia="it-CH"/>
        </w:rPr>
        <w:t xml:space="preserve"> fornisce una </w:t>
      </w:r>
      <w:r>
        <w:rPr>
          <w:rFonts w:cs="Arial"/>
          <w:lang w:eastAsia="it-CH"/>
        </w:rPr>
        <w:t>"</w:t>
      </w:r>
      <w:r w:rsidRPr="00D27487">
        <w:rPr>
          <w:rFonts w:cs="Arial"/>
          <w:i/>
          <w:iCs/>
          <w:lang w:eastAsia="it-CH"/>
        </w:rPr>
        <w:t>fotografia oggettiva</w:t>
      </w:r>
      <w:r>
        <w:rPr>
          <w:rFonts w:cs="Arial"/>
          <w:lang w:eastAsia="it-CH"/>
        </w:rPr>
        <w:t>"</w:t>
      </w:r>
      <w:r w:rsidRPr="00D27487">
        <w:rPr>
          <w:rFonts w:cs="Arial"/>
          <w:lang w:eastAsia="it-CH"/>
        </w:rPr>
        <w:t xml:space="preserve"> (così viene definita dallo studio stesso) della situazione economica del Ticino dal 2006 al 2017 nel contesto nazionale e internazionale.</w:t>
      </w:r>
    </w:p>
    <w:p w:rsidR="00F1227D" w:rsidRPr="00D27487" w:rsidRDefault="00F1227D" w:rsidP="00823E1F">
      <w:pPr>
        <w:autoSpaceDE w:val="0"/>
        <w:autoSpaceDN w:val="0"/>
        <w:adjustRightInd w:val="0"/>
        <w:rPr>
          <w:rFonts w:cs="Arial"/>
          <w:lang w:eastAsia="it-CH"/>
        </w:rPr>
      </w:pPr>
    </w:p>
    <w:p w:rsidR="00823E1F" w:rsidRPr="00D27487" w:rsidRDefault="00823E1F" w:rsidP="00823E1F">
      <w:pPr>
        <w:autoSpaceDE w:val="0"/>
        <w:autoSpaceDN w:val="0"/>
        <w:adjustRightInd w:val="0"/>
        <w:rPr>
          <w:rFonts w:cs="Arial"/>
          <w:lang w:eastAsia="it-CH"/>
        </w:rPr>
      </w:pPr>
      <w:r w:rsidRPr="00D27487">
        <w:rPr>
          <w:rFonts w:cs="Arial"/>
          <w:lang w:eastAsia="it-CH"/>
        </w:rPr>
        <w:t xml:space="preserve">I dati rilevano che la progressione dello sviluppo economico del nostro </w:t>
      </w:r>
      <w:r>
        <w:rPr>
          <w:rFonts w:cs="Arial"/>
          <w:lang w:eastAsia="it-CH"/>
        </w:rPr>
        <w:t>C</w:t>
      </w:r>
      <w:r w:rsidRPr="00D27487">
        <w:rPr>
          <w:rFonts w:cs="Arial"/>
          <w:lang w:eastAsia="it-CH"/>
        </w:rPr>
        <w:t xml:space="preserve">antone (pre-pandemia), ha avuto un trend positivo nel periodo osservato. La crescita economica cantonale risulta essere sopra la media svizzera e anche sopra quella internazionale. </w:t>
      </w:r>
    </w:p>
    <w:p w:rsidR="00823E1F" w:rsidRPr="00D27487" w:rsidRDefault="00823E1F" w:rsidP="00823E1F">
      <w:pPr>
        <w:autoSpaceDE w:val="0"/>
        <w:autoSpaceDN w:val="0"/>
        <w:adjustRightInd w:val="0"/>
        <w:rPr>
          <w:rFonts w:cs="Arial"/>
          <w:lang w:eastAsia="it-CH"/>
        </w:rPr>
      </w:pPr>
      <w:r w:rsidRPr="00D27487">
        <w:rPr>
          <w:noProof/>
          <w:lang w:eastAsia="it-CH"/>
        </w:rPr>
        <w:lastRenderedPageBreak/>
        <w:drawing>
          <wp:anchor distT="0" distB="0" distL="114300" distR="114300" simplePos="0" relativeHeight="251660288" behindDoc="0" locked="0" layoutInCell="1" allowOverlap="1" wp14:anchorId="582574F1" wp14:editId="3004310C">
            <wp:simplePos x="0" y="0"/>
            <wp:positionH relativeFrom="column">
              <wp:posOffset>15240</wp:posOffset>
            </wp:positionH>
            <wp:positionV relativeFrom="paragraph">
              <wp:posOffset>157480</wp:posOffset>
            </wp:positionV>
            <wp:extent cx="3172460" cy="2604135"/>
            <wp:effectExtent l="0" t="0" r="8890" b="5715"/>
            <wp:wrapThrough wrapText="bothSides">
              <wp:wrapPolygon edited="0">
                <wp:start x="0" y="0"/>
                <wp:lineTo x="0" y="21489"/>
                <wp:lineTo x="21531" y="21489"/>
                <wp:lineTo x="21531" y="0"/>
                <wp:lineTo x="0" y="0"/>
              </wp:wrapPolygon>
            </wp:wrapThrough>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8712" t="37906" r="27369" b="8005"/>
                    <a:stretch/>
                  </pic:blipFill>
                  <pic:spPr bwMode="auto">
                    <a:xfrm>
                      <a:off x="0" y="0"/>
                      <a:ext cx="3172460" cy="2604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3E1F" w:rsidRPr="00D27487" w:rsidRDefault="00823E1F" w:rsidP="00823E1F">
      <w:pPr>
        <w:autoSpaceDE w:val="0"/>
        <w:autoSpaceDN w:val="0"/>
        <w:adjustRightInd w:val="0"/>
        <w:rPr>
          <w:rFonts w:cs="Arial"/>
          <w:lang w:eastAsia="it-CH"/>
        </w:rPr>
      </w:pPr>
    </w:p>
    <w:p w:rsidR="00823E1F" w:rsidRPr="00D27487" w:rsidRDefault="00823E1F" w:rsidP="00823E1F">
      <w:pPr>
        <w:autoSpaceDE w:val="0"/>
        <w:autoSpaceDN w:val="0"/>
        <w:adjustRightInd w:val="0"/>
        <w:rPr>
          <w:rFonts w:cs="Arial"/>
          <w:lang w:eastAsia="it-CH"/>
        </w:rPr>
      </w:pPr>
    </w:p>
    <w:p w:rsidR="00823E1F" w:rsidRPr="00D27487" w:rsidRDefault="00823E1F" w:rsidP="00823E1F">
      <w:pPr>
        <w:autoSpaceDE w:val="0"/>
        <w:autoSpaceDN w:val="0"/>
        <w:adjustRightInd w:val="0"/>
        <w:rPr>
          <w:rFonts w:cs="Arial"/>
          <w:lang w:eastAsia="it-CH"/>
        </w:rPr>
      </w:pPr>
      <w:r w:rsidRPr="00D27487">
        <w:rPr>
          <w:rFonts w:cs="Arial"/>
          <w:lang w:eastAsia="it-CH"/>
        </w:rPr>
        <w:t xml:space="preserve">Nel 2017 infatti il PIL nominale pro capite era, nel confronto nazionale e internazionale, il più alto. </w:t>
      </w:r>
    </w:p>
    <w:p w:rsidR="00823E1F" w:rsidRPr="00D27487" w:rsidRDefault="00823E1F" w:rsidP="00823E1F">
      <w:pPr>
        <w:autoSpaceDE w:val="0"/>
        <w:autoSpaceDN w:val="0"/>
        <w:adjustRightInd w:val="0"/>
        <w:rPr>
          <w:rFonts w:cs="Arial"/>
          <w:lang w:eastAsia="it-CH"/>
        </w:rPr>
      </w:pPr>
    </w:p>
    <w:p w:rsidR="00823E1F" w:rsidRPr="00D27487" w:rsidRDefault="00823E1F" w:rsidP="00823E1F">
      <w:pPr>
        <w:autoSpaceDE w:val="0"/>
        <w:autoSpaceDN w:val="0"/>
        <w:adjustRightInd w:val="0"/>
        <w:rPr>
          <w:rFonts w:cs="Arial"/>
          <w:lang w:eastAsia="it-CH"/>
        </w:rPr>
      </w:pPr>
    </w:p>
    <w:p w:rsidR="00823E1F" w:rsidRPr="00D27487" w:rsidRDefault="00823E1F" w:rsidP="00823E1F">
      <w:pPr>
        <w:autoSpaceDE w:val="0"/>
        <w:autoSpaceDN w:val="0"/>
        <w:adjustRightInd w:val="0"/>
        <w:rPr>
          <w:rFonts w:cs="Arial"/>
          <w:lang w:eastAsia="it-CH"/>
        </w:rPr>
      </w:pPr>
    </w:p>
    <w:p w:rsidR="00823E1F" w:rsidRPr="00D27487" w:rsidRDefault="00823E1F" w:rsidP="00823E1F">
      <w:pPr>
        <w:autoSpaceDE w:val="0"/>
        <w:autoSpaceDN w:val="0"/>
        <w:adjustRightInd w:val="0"/>
        <w:rPr>
          <w:rFonts w:cs="Arial"/>
          <w:lang w:eastAsia="it-CH"/>
        </w:rPr>
      </w:pPr>
    </w:p>
    <w:p w:rsidR="00823E1F" w:rsidRPr="00D27487" w:rsidRDefault="00823E1F" w:rsidP="00823E1F">
      <w:pPr>
        <w:autoSpaceDE w:val="0"/>
        <w:autoSpaceDN w:val="0"/>
        <w:adjustRightInd w:val="0"/>
        <w:rPr>
          <w:rFonts w:cs="Arial"/>
          <w:lang w:eastAsia="it-CH"/>
        </w:rPr>
      </w:pPr>
      <w:r w:rsidRPr="00D27487">
        <w:rPr>
          <w:noProof/>
          <w:lang w:eastAsia="it-CH"/>
        </w:rPr>
        <w:drawing>
          <wp:anchor distT="0" distB="0" distL="114300" distR="114300" simplePos="0" relativeHeight="251661312" behindDoc="0" locked="0" layoutInCell="1" allowOverlap="1" wp14:anchorId="2BDA57A0" wp14:editId="72606CCA">
            <wp:simplePos x="0" y="0"/>
            <wp:positionH relativeFrom="column">
              <wp:posOffset>3364230</wp:posOffset>
            </wp:positionH>
            <wp:positionV relativeFrom="paragraph">
              <wp:posOffset>350520</wp:posOffset>
            </wp:positionV>
            <wp:extent cx="3027045" cy="2580005"/>
            <wp:effectExtent l="0" t="0" r="1905" b="0"/>
            <wp:wrapThrough wrapText="bothSides">
              <wp:wrapPolygon edited="0">
                <wp:start x="0" y="0"/>
                <wp:lineTo x="0" y="21371"/>
                <wp:lineTo x="21478" y="21371"/>
                <wp:lineTo x="21478" y="0"/>
                <wp:lineTo x="0" y="0"/>
              </wp:wrapPolygon>
            </wp:wrapThrough>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8453" t="37809" r="30225" b="9365"/>
                    <a:stretch/>
                  </pic:blipFill>
                  <pic:spPr bwMode="auto">
                    <a:xfrm>
                      <a:off x="0" y="0"/>
                      <a:ext cx="3027045" cy="2580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3E1F" w:rsidRPr="00D27487" w:rsidRDefault="00823E1F" w:rsidP="00823E1F">
      <w:pPr>
        <w:autoSpaceDE w:val="0"/>
        <w:autoSpaceDN w:val="0"/>
        <w:adjustRightInd w:val="0"/>
        <w:rPr>
          <w:rFonts w:cs="Arial"/>
          <w:lang w:eastAsia="it-CH"/>
        </w:rPr>
      </w:pPr>
    </w:p>
    <w:p w:rsidR="00823E1F" w:rsidRPr="00D27487" w:rsidRDefault="00823E1F" w:rsidP="00823E1F">
      <w:pPr>
        <w:autoSpaceDE w:val="0"/>
        <w:autoSpaceDN w:val="0"/>
        <w:adjustRightInd w:val="0"/>
        <w:rPr>
          <w:rFonts w:cs="Arial"/>
          <w:lang w:eastAsia="it-CH"/>
        </w:rPr>
      </w:pPr>
    </w:p>
    <w:p w:rsidR="00823E1F" w:rsidRPr="00D27487" w:rsidRDefault="00823E1F" w:rsidP="00823E1F">
      <w:pPr>
        <w:autoSpaceDE w:val="0"/>
        <w:autoSpaceDN w:val="0"/>
        <w:adjustRightInd w:val="0"/>
        <w:rPr>
          <w:rFonts w:cs="Arial"/>
          <w:lang w:eastAsia="it-CH"/>
        </w:rPr>
      </w:pPr>
    </w:p>
    <w:p w:rsidR="00823E1F" w:rsidRPr="00D27487" w:rsidRDefault="00823E1F" w:rsidP="00823E1F">
      <w:pPr>
        <w:autoSpaceDE w:val="0"/>
        <w:autoSpaceDN w:val="0"/>
        <w:adjustRightInd w:val="0"/>
        <w:rPr>
          <w:rFonts w:cs="Arial"/>
          <w:lang w:eastAsia="it-CH"/>
        </w:rPr>
      </w:pPr>
      <w:r w:rsidRPr="00D27487">
        <w:rPr>
          <w:rFonts w:cs="Arial"/>
          <w:lang w:eastAsia="it-CH"/>
        </w:rPr>
        <w:t xml:space="preserve">Così come l’evoluzione reale del PIL cantonale dal 2006 al 2017 era migliore rispetto a quello svizzero e altre nazioni altamente sviluppate. </w:t>
      </w:r>
    </w:p>
    <w:p w:rsidR="00823E1F" w:rsidRPr="00D27487" w:rsidRDefault="00823E1F" w:rsidP="00823E1F">
      <w:pPr>
        <w:autoSpaceDE w:val="0"/>
        <w:autoSpaceDN w:val="0"/>
        <w:adjustRightInd w:val="0"/>
        <w:rPr>
          <w:rFonts w:cs="Arial"/>
          <w:lang w:eastAsia="it-CH"/>
        </w:rPr>
      </w:pPr>
    </w:p>
    <w:p w:rsidR="00823E1F" w:rsidRPr="00D27487" w:rsidRDefault="00823E1F" w:rsidP="00823E1F">
      <w:pPr>
        <w:autoSpaceDE w:val="0"/>
        <w:autoSpaceDN w:val="0"/>
        <w:adjustRightInd w:val="0"/>
        <w:rPr>
          <w:rFonts w:cs="Arial"/>
          <w:lang w:eastAsia="it-CH"/>
        </w:rPr>
      </w:pPr>
    </w:p>
    <w:p w:rsidR="00823E1F" w:rsidRPr="00D27487" w:rsidRDefault="00823E1F" w:rsidP="00823E1F">
      <w:pPr>
        <w:autoSpaceDE w:val="0"/>
        <w:autoSpaceDN w:val="0"/>
        <w:adjustRightInd w:val="0"/>
        <w:rPr>
          <w:rFonts w:cs="Arial"/>
          <w:lang w:eastAsia="it-CH"/>
        </w:rPr>
      </w:pPr>
    </w:p>
    <w:p w:rsidR="00823E1F" w:rsidRPr="00D27487" w:rsidRDefault="00823E1F" w:rsidP="00823E1F">
      <w:pPr>
        <w:autoSpaceDE w:val="0"/>
        <w:autoSpaceDN w:val="0"/>
        <w:adjustRightInd w:val="0"/>
        <w:rPr>
          <w:rFonts w:cs="Arial"/>
          <w:lang w:eastAsia="it-CH"/>
        </w:rPr>
      </w:pPr>
    </w:p>
    <w:p w:rsidR="00823E1F" w:rsidRPr="00D27487" w:rsidRDefault="00823E1F" w:rsidP="00823E1F">
      <w:pPr>
        <w:autoSpaceDE w:val="0"/>
        <w:autoSpaceDN w:val="0"/>
        <w:adjustRightInd w:val="0"/>
        <w:rPr>
          <w:rFonts w:cs="Arial"/>
          <w:lang w:eastAsia="it-CH"/>
        </w:rPr>
      </w:pPr>
    </w:p>
    <w:p w:rsidR="00823E1F" w:rsidRPr="00D27487" w:rsidRDefault="00823E1F" w:rsidP="00823E1F">
      <w:pPr>
        <w:autoSpaceDE w:val="0"/>
        <w:autoSpaceDN w:val="0"/>
        <w:adjustRightInd w:val="0"/>
        <w:rPr>
          <w:rFonts w:cs="Arial"/>
          <w:lang w:eastAsia="it-CH"/>
        </w:rPr>
      </w:pPr>
      <w:r w:rsidRPr="00D27487">
        <w:rPr>
          <w:noProof/>
          <w:lang w:eastAsia="it-CH"/>
        </w:rPr>
        <w:drawing>
          <wp:anchor distT="0" distB="0" distL="114300" distR="114300" simplePos="0" relativeHeight="251662336" behindDoc="0" locked="0" layoutInCell="1" allowOverlap="1" wp14:anchorId="783A6F26" wp14:editId="74C7090D">
            <wp:simplePos x="0" y="0"/>
            <wp:positionH relativeFrom="margin">
              <wp:posOffset>47524</wp:posOffset>
            </wp:positionH>
            <wp:positionV relativeFrom="paragraph">
              <wp:posOffset>305</wp:posOffset>
            </wp:positionV>
            <wp:extent cx="3169920" cy="2643505"/>
            <wp:effectExtent l="0" t="0" r="0" b="4445"/>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8777" t="29428" r="29386" b="18240"/>
                    <a:stretch/>
                  </pic:blipFill>
                  <pic:spPr bwMode="auto">
                    <a:xfrm>
                      <a:off x="0" y="0"/>
                      <a:ext cx="3169920" cy="2643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23E1F" w:rsidRPr="00D27487" w:rsidRDefault="00823E1F" w:rsidP="00823E1F">
      <w:pPr>
        <w:autoSpaceDE w:val="0"/>
        <w:autoSpaceDN w:val="0"/>
        <w:adjustRightInd w:val="0"/>
        <w:rPr>
          <w:rFonts w:cs="Arial"/>
          <w:lang w:eastAsia="it-CH"/>
        </w:rPr>
      </w:pPr>
    </w:p>
    <w:p w:rsidR="00823E1F" w:rsidRPr="00D27487" w:rsidRDefault="00823E1F" w:rsidP="00823E1F">
      <w:pPr>
        <w:autoSpaceDE w:val="0"/>
        <w:autoSpaceDN w:val="0"/>
        <w:adjustRightInd w:val="0"/>
        <w:rPr>
          <w:rFonts w:cs="Arial"/>
          <w:lang w:eastAsia="it-CH"/>
        </w:rPr>
      </w:pPr>
    </w:p>
    <w:p w:rsidR="00823E1F" w:rsidRPr="00D27487" w:rsidRDefault="00823E1F" w:rsidP="00823E1F">
      <w:pPr>
        <w:autoSpaceDE w:val="0"/>
        <w:autoSpaceDN w:val="0"/>
        <w:adjustRightInd w:val="0"/>
        <w:rPr>
          <w:rFonts w:cs="Arial"/>
          <w:lang w:eastAsia="it-CH"/>
        </w:rPr>
      </w:pPr>
    </w:p>
    <w:p w:rsidR="00823E1F" w:rsidRPr="00D27487" w:rsidRDefault="00823E1F" w:rsidP="00823E1F">
      <w:pPr>
        <w:autoSpaceDE w:val="0"/>
        <w:autoSpaceDN w:val="0"/>
        <w:adjustRightInd w:val="0"/>
        <w:rPr>
          <w:rFonts w:cs="Arial"/>
          <w:lang w:eastAsia="it-CH"/>
        </w:rPr>
      </w:pPr>
      <w:r w:rsidRPr="00D27487">
        <w:rPr>
          <w:rFonts w:cs="Arial"/>
          <w:lang w:eastAsia="it-CH"/>
        </w:rPr>
        <w:t>Anche l’evoluzione dell’impiego, sempre tra il 2006 e il 2017, ha avuto nel paragone nazionale e internazionale la migliore progressione.</w:t>
      </w:r>
    </w:p>
    <w:p w:rsidR="00823E1F" w:rsidRPr="00D27487" w:rsidRDefault="00823E1F" w:rsidP="00823E1F">
      <w:pPr>
        <w:autoSpaceDE w:val="0"/>
        <w:autoSpaceDN w:val="0"/>
        <w:adjustRightInd w:val="0"/>
        <w:rPr>
          <w:rFonts w:cs="Arial"/>
          <w:lang w:eastAsia="it-CH"/>
        </w:rPr>
      </w:pPr>
    </w:p>
    <w:p w:rsidR="00823E1F" w:rsidRPr="00D27487" w:rsidRDefault="00823E1F" w:rsidP="00823E1F">
      <w:pPr>
        <w:autoSpaceDE w:val="0"/>
        <w:autoSpaceDN w:val="0"/>
        <w:adjustRightInd w:val="0"/>
        <w:rPr>
          <w:rFonts w:cs="Arial"/>
          <w:lang w:eastAsia="it-CH"/>
        </w:rPr>
      </w:pPr>
    </w:p>
    <w:p w:rsidR="00823E1F" w:rsidRPr="00D27487" w:rsidRDefault="00823E1F" w:rsidP="00823E1F">
      <w:pPr>
        <w:autoSpaceDE w:val="0"/>
        <w:autoSpaceDN w:val="0"/>
        <w:adjustRightInd w:val="0"/>
        <w:rPr>
          <w:rFonts w:cs="Arial"/>
          <w:lang w:eastAsia="it-CH"/>
        </w:rPr>
      </w:pPr>
    </w:p>
    <w:p w:rsidR="00823E1F" w:rsidRPr="00D27487" w:rsidRDefault="00823E1F" w:rsidP="00823E1F">
      <w:pPr>
        <w:autoSpaceDE w:val="0"/>
        <w:autoSpaceDN w:val="0"/>
        <w:adjustRightInd w:val="0"/>
        <w:rPr>
          <w:rFonts w:cs="Arial"/>
          <w:lang w:eastAsia="it-CH"/>
        </w:rPr>
      </w:pPr>
    </w:p>
    <w:p w:rsidR="00823E1F" w:rsidRPr="00D27487" w:rsidRDefault="00823E1F" w:rsidP="00823E1F">
      <w:pPr>
        <w:autoSpaceDE w:val="0"/>
        <w:autoSpaceDN w:val="0"/>
        <w:adjustRightInd w:val="0"/>
        <w:rPr>
          <w:rFonts w:cs="Arial"/>
          <w:lang w:eastAsia="it-CH"/>
        </w:rPr>
      </w:pPr>
    </w:p>
    <w:p w:rsidR="00823E1F" w:rsidRPr="00D27487" w:rsidRDefault="00823E1F" w:rsidP="00823E1F">
      <w:pPr>
        <w:autoSpaceDE w:val="0"/>
        <w:autoSpaceDN w:val="0"/>
        <w:adjustRightInd w:val="0"/>
        <w:rPr>
          <w:rFonts w:cs="Arial"/>
          <w:lang w:eastAsia="it-CH"/>
        </w:rPr>
      </w:pPr>
    </w:p>
    <w:p w:rsidR="00F1227D" w:rsidRDefault="00F1227D" w:rsidP="00823E1F">
      <w:pPr>
        <w:autoSpaceDE w:val="0"/>
        <w:autoSpaceDN w:val="0"/>
        <w:adjustRightInd w:val="0"/>
        <w:contextualSpacing/>
        <w:rPr>
          <w:rFonts w:cs="Arial"/>
          <w:b/>
          <w:bCs/>
          <w:lang w:eastAsia="it-CH"/>
        </w:rPr>
      </w:pPr>
    </w:p>
    <w:p w:rsidR="00F1227D" w:rsidRDefault="00F1227D" w:rsidP="00823E1F">
      <w:pPr>
        <w:autoSpaceDE w:val="0"/>
        <w:autoSpaceDN w:val="0"/>
        <w:adjustRightInd w:val="0"/>
        <w:contextualSpacing/>
        <w:rPr>
          <w:rFonts w:cs="Arial"/>
          <w:b/>
          <w:bCs/>
          <w:lang w:eastAsia="it-CH"/>
        </w:rPr>
      </w:pPr>
    </w:p>
    <w:p w:rsidR="00823E1F" w:rsidRDefault="00823E1F" w:rsidP="00823E1F">
      <w:pPr>
        <w:autoSpaceDE w:val="0"/>
        <w:autoSpaceDN w:val="0"/>
        <w:adjustRightInd w:val="0"/>
        <w:contextualSpacing/>
        <w:rPr>
          <w:rFonts w:cs="Arial"/>
          <w:b/>
          <w:bCs/>
          <w:lang w:eastAsia="it-CH"/>
        </w:rPr>
      </w:pPr>
      <w:r w:rsidRPr="00D27487">
        <w:rPr>
          <w:rFonts w:cs="Arial"/>
          <w:b/>
          <w:bCs/>
          <w:lang w:eastAsia="it-CH"/>
        </w:rPr>
        <w:t xml:space="preserve">Questi dati testimoniano che la politica economica di questo periodo in Ticino sia riuscita a raggiungere gli obiettivi di sviluppo economico, definita abitualmente </w:t>
      </w:r>
      <w:r>
        <w:rPr>
          <w:rFonts w:cs="Arial"/>
          <w:b/>
          <w:bCs/>
          <w:lang w:eastAsia="it-CH"/>
        </w:rPr>
        <w:t>"</w:t>
      </w:r>
      <w:r w:rsidRPr="00D27487">
        <w:rPr>
          <w:rFonts w:cs="Arial"/>
          <w:b/>
          <w:bCs/>
          <w:lang w:eastAsia="it-CH"/>
        </w:rPr>
        <w:t>crescita</w:t>
      </w:r>
      <w:r>
        <w:rPr>
          <w:rFonts w:cs="Arial"/>
          <w:b/>
          <w:bCs/>
          <w:lang w:eastAsia="it-CH"/>
        </w:rPr>
        <w:t>"</w:t>
      </w:r>
      <w:r w:rsidRPr="00D27487">
        <w:rPr>
          <w:rFonts w:cs="Arial"/>
          <w:b/>
          <w:bCs/>
          <w:lang w:eastAsia="it-CH"/>
        </w:rPr>
        <w:t>, ai quali normalmente una politica di promozione economica mira</w:t>
      </w:r>
      <w:r w:rsidRPr="00D27487">
        <w:rPr>
          <w:rFonts w:cs="Arial"/>
          <w:lang w:eastAsia="it-CH"/>
        </w:rPr>
        <w:t xml:space="preserve">. </w:t>
      </w:r>
      <w:r w:rsidRPr="00D27487">
        <w:rPr>
          <w:rFonts w:cs="Arial"/>
          <w:b/>
          <w:bCs/>
          <w:lang w:eastAsia="it-CH"/>
        </w:rPr>
        <w:t>La tendenza alla crescita appare essere in una costante progressione.</w:t>
      </w:r>
      <w:r w:rsidRPr="00D27487">
        <w:rPr>
          <w:rStyle w:val="Rimandonotaapidipagina"/>
          <w:rFonts w:cs="Arial"/>
          <w:b/>
          <w:bCs/>
          <w:lang w:eastAsia="it-CH"/>
        </w:rPr>
        <w:footnoteReference w:id="12"/>
      </w:r>
      <w:r w:rsidRPr="00D27487">
        <w:rPr>
          <w:rFonts w:cs="Arial"/>
          <w:b/>
          <w:bCs/>
          <w:lang w:eastAsia="it-CH"/>
        </w:rPr>
        <w:t xml:space="preserve"> </w:t>
      </w:r>
    </w:p>
    <w:p w:rsidR="00F1227D" w:rsidRDefault="00F1227D" w:rsidP="00823E1F">
      <w:pPr>
        <w:autoSpaceDE w:val="0"/>
        <w:autoSpaceDN w:val="0"/>
        <w:adjustRightInd w:val="0"/>
        <w:contextualSpacing/>
        <w:rPr>
          <w:rFonts w:cs="Arial"/>
          <w:b/>
          <w:bCs/>
          <w:lang w:eastAsia="it-CH"/>
        </w:rPr>
      </w:pPr>
    </w:p>
    <w:p w:rsidR="00F1227D" w:rsidRPr="00D27487" w:rsidRDefault="00F1227D" w:rsidP="00823E1F">
      <w:pPr>
        <w:autoSpaceDE w:val="0"/>
        <w:autoSpaceDN w:val="0"/>
        <w:adjustRightInd w:val="0"/>
        <w:contextualSpacing/>
        <w:rPr>
          <w:rFonts w:cs="Arial"/>
          <w:lang w:eastAsia="it-CH"/>
        </w:rPr>
      </w:pPr>
    </w:p>
    <w:p w:rsidR="00823E1F" w:rsidRPr="00D27487" w:rsidRDefault="00F1227D" w:rsidP="00F1227D">
      <w:pPr>
        <w:pStyle w:val="Titolo3"/>
      </w:pPr>
      <w:bookmarkStart w:id="16" w:name="_Toc63332031"/>
      <w:r>
        <w:lastRenderedPageBreak/>
        <w:t>5.3.2</w:t>
      </w:r>
      <w:r>
        <w:tab/>
      </w:r>
      <w:r w:rsidR="00823E1F" w:rsidRPr="00D27487">
        <w:t xml:space="preserve">Indicatore sulla ripartizione nella popolazione </w:t>
      </w:r>
      <w:r w:rsidR="00823E1F">
        <w:t>dell'</w:t>
      </w:r>
      <w:r w:rsidR="00823E1F" w:rsidRPr="00D27487">
        <w:t>indotto finanziario</w:t>
      </w:r>
      <w:bookmarkEnd w:id="16"/>
    </w:p>
    <w:p w:rsidR="00F1227D" w:rsidRDefault="00823E1F" w:rsidP="00823E1F">
      <w:pPr>
        <w:autoSpaceDE w:val="0"/>
        <w:autoSpaceDN w:val="0"/>
        <w:adjustRightInd w:val="0"/>
        <w:ind w:left="-11"/>
        <w:rPr>
          <w:rFonts w:cs="Arial"/>
          <w:lang w:eastAsia="it-CH"/>
        </w:rPr>
      </w:pPr>
      <w:r w:rsidRPr="00D27487">
        <w:rPr>
          <w:rFonts w:cs="Arial"/>
          <w:lang w:eastAsia="it-CH"/>
        </w:rPr>
        <w:t>Per verificare come la ricchezza creata in Ticino si è distribuita nella popolazione cantonale durante il periodo coperto dallo studio del BAK Economics, osserviamo la statistica reda</w:t>
      </w:r>
      <w:r>
        <w:rPr>
          <w:rFonts w:cs="Arial"/>
          <w:lang w:eastAsia="it-CH"/>
        </w:rPr>
        <w:t>tta dall'</w:t>
      </w:r>
      <w:r w:rsidRPr="00D27487">
        <w:rPr>
          <w:rFonts w:cs="Arial"/>
          <w:lang w:eastAsia="it-CH"/>
        </w:rPr>
        <w:t>USTAT inerente agli introiti fiscali delle persone fisiche dal 2006 al 2017 per fascia di reddito</w:t>
      </w:r>
      <w:r w:rsidRPr="00D27487">
        <w:rPr>
          <w:rStyle w:val="Rimandonotaapidipagina"/>
          <w:rFonts w:cs="Arial"/>
          <w:lang w:eastAsia="it-CH"/>
        </w:rPr>
        <w:footnoteReference w:id="13"/>
      </w:r>
      <w:r w:rsidRPr="00D27487">
        <w:rPr>
          <w:rFonts w:cs="Arial"/>
          <w:lang w:eastAsia="it-CH"/>
        </w:rPr>
        <w:t xml:space="preserve">: </w:t>
      </w:r>
    </w:p>
    <w:p w:rsidR="00F1227D" w:rsidRPr="00D27487" w:rsidRDefault="00F1227D" w:rsidP="00823E1F">
      <w:pPr>
        <w:autoSpaceDE w:val="0"/>
        <w:autoSpaceDN w:val="0"/>
        <w:adjustRightInd w:val="0"/>
        <w:ind w:left="-11"/>
        <w:rPr>
          <w:rFonts w:cs="Arial"/>
          <w:lang w:eastAsia="it-CH"/>
        </w:rPr>
      </w:pPr>
      <w:r w:rsidRPr="00D27487">
        <w:rPr>
          <w:noProof/>
          <w:lang w:eastAsia="it-CH"/>
        </w:rPr>
        <w:drawing>
          <wp:anchor distT="0" distB="0" distL="114300" distR="114300" simplePos="0" relativeHeight="251664384" behindDoc="0" locked="0" layoutInCell="1" allowOverlap="1" wp14:anchorId="12B3287E" wp14:editId="7E252B7B">
            <wp:simplePos x="0" y="0"/>
            <wp:positionH relativeFrom="margin">
              <wp:posOffset>-47625</wp:posOffset>
            </wp:positionH>
            <wp:positionV relativeFrom="paragraph">
              <wp:posOffset>207010</wp:posOffset>
            </wp:positionV>
            <wp:extent cx="6026785" cy="3450590"/>
            <wp:effectExtent l="0" t="0" r="12065" b="16510"/>
            <wp:wrapSquare wrapText="bothSides"/>
            <wp:docPr id="13" name="Grafico 13">
              <a:extLst xmlns:a="http://schemas.openxmlformats.org/drawingml/2006/main">
                <a:ext uri="{FF2B5EF4-FFF2-40B4-BE49-F238E27FC236}">
                  <a16:creationId xmlns:a16="http://schemas.microsoft.com/office/drawing/2014/main" id="{2ED4B71A-C29C-4AA1-882C-C44DA46DE7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rsidR="00F1227D" w:rsidRDefault="00F1227D" w:rsidP="00823E1F">
      <w:pPr>
        <w:autoSpaceDE w:val="0"/>
        <w:autoSpaceDN w:val="0"/>
        <w:adjustRightInd w:val="0"/>
        <w:rPr>
          <w:rFonts w:cs="Arial"/>
          <w:lang w:eastAsia="it-CH"/>
        </w:rPr>
      </w:pPr>
    </w:p>
    <w:p w:rsidR="00823E1F" w:rsidRPr="00D27487" w:rsidRDefault="00823E1F" w:rsidP="00823E1F">
      <w:pPr>
        <w:autoSpaceDE w:val="0"/>
        <w:autoSpaceDN w:val="0"/>
        <w:adjustRightInd w:val="0"/>
        <w:rPr>
          <w:rFonts w:cs="Arial"/>
          <w:lang w:eastAsia="it-CH"/>
        </w:rPr>
      </w:pPr>
      <w:r w:rsidRPr="00D27487">
        <w:rPr>
          <w:rFonts w:cs="Arial"/>
          <w:lang w:eastAsia="it-CH"/>
        </w:rPr>
        <w:t xml:space="preserve">Il grafico sopra mostra che dal 2006 al 2017 la fascia con la progressione di reddito imponibile aggregato più marcato è costituita da quelle al di sopra dei </w:t>
      </w:r>
      <w:r w:rsidR="00424DD2">
        <w:rPr>
          <w:rFonts w:cs="Arial"/>
          <w:lang w:eastAsia="it-CH"/>
        </w:rPr>
        <w:t xml:space="preserve">fr. </w:t>
      </w:r>
      <w:r w:rsidRPr="00D27487">
        <w:rPr>
          <w:rFonts w:cs="Arial"/>
          <w:lang w:eastAsia="it-CH"/>
        </w:rPr>
        <w:t xml:space="preserve">100'000 (soprattutto la fascia dei 100’001-150'000 e in particolare quella oltre i 200'000), mentre le fasce fino ai </w:t>
      </w:r>
      <w:r w:rsidR="00424DD2">
        <w:rPr>
          <w:rFonts w:cs="Arial"/>
          <w:lang w:eastAsia="it-CH"/>
        </w:rPr>
        <w:t xml:space="preserve">fr. </w:t>
      </w:r>
      <w:r w:rsidRPr="00D27487">
        <w:rPr>
          <w:rFonts w:cs="Arial"/>
          <w:lang w:eastAsia="it-CH"/>
        </w:rPr>
        <w:t xml:space="preserve">50'000 hanno segnato una leggera flessione e quelle tra i </w:t>
      </w:r>
      <w:r w:rsidR="00424DD2">
        <w:rPr>
          <w:rFonts w:cs="Arial"/>
          <w:lang w:eastAsia="it-CH"/>
        </w:rPr>
        <w:t xml:space="preserve">fr. </w:t>
      </w:r>
      <w:r w:rsidRPr="00D27487">
        <w:rPr>
          <w:rFonts w:cs="Arial"/>
          <w:lang w:eastAsia="it-CH"/>
        </w:rPr>
        <w:t xml:space="preserve">50'000 e i </w:t>
      </w:r>
      <w:r w:rsidR="00424DD2">
        <w:rPr>
          <w:rFonts w:cs="Arial"/>
          <w:lang w:eastAsia="it-CH"/>
        </w:rPr>
        <w:t xml:space="preserve">fr. </w:t>
      </w:r>
      <w:r w:rsidRPr="00D27487">
        <w:rPr>
          <w:rFonts w:cs="Arial"/>
          <w:lang w:eastAsia="it-CH"/>
        </w:rPr>
        <w:t>100'000 una leggera progressione.</w:t>
      </w:r>
      <w:r>
        <w:rPr>
          <w:rFonts w:cs="Arial"/>
          <w:lang w:eastAsia="it-CH"/>
        </w:rPr>
        <w:t xml:space="preserve"> </w:t>
      </w:r>
    </w:p>
    <w:p w:rsidR="00823E1F" w:rsidRDefault="00E32927" w:rsidP="00A37231">
      <w:pPr>
        <w:autoSpaceDE w:val="0"/>
        <w:autoSpaceDN w:val="0"/>
        <w:adjustRightInd w:val="0"/>
        <w:spacing w:after="240"/>
        <w:rPr>
          <w:rFonts w:cs="Arial"/>
          <w:lang w:eastAsia="it-CH"/>
        </w:rPr>
      </w:pPr>
      <w:r w:rsidRPr="00D27487">
        <w:rPr>
          <w:noProof/>
          <w:lang w:eastAsia="it-CH"/>
        </w:rPr>
        <w:lastRenderedPageBreak/>
        <w:drawing>
          <wp:anchor distT="0" distB="0" distL="114300" distR="114300" simplePos="0" relativeHeight="251663360" behindDoc="0" locked="0" layoutInCell="1" allowOverlap="1" wp14:anchorId="73021959" wp14:editId="32935B5A">
            <wp:simplePos x="0" y="0"/>
            <wp:positionH relativeFrom="margin">
              <wp:posOffset>0</wp:posOffset>
            </wp:positionH>
            <wp:positionV relativeFrom="paragraph">
              <wp:posOffset>1142185</wp:posOffset>
            </wp:positionV>
            <wp:extent cx="6042660" cy="3399155"/>
            <wp:effectExtent l="0" t="0" r="15240" b="10795"/>
            <wp:wrapSquare wrapText="bothSides"/>
            <wp:docPr id="9" name="Grafico 9">
              <a:extLst xmlns:a="http://schemas.openxmlformats.org/drawingml/2006/main">
                <a:ext uri="{FF2B5EF4-FFF2-40B4-BE49-F238E27FC236}">
                  <a16:creationId xmlns:a16="http://schemas.microsoft.com/office/drawing/2014/main" id="{2D38D232-0B0B-416F-822F-09B13E6CD0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823E1F" w:rsidRPr="00D27487">
        <w:rPr>
          <w:rFonts w:cs="Arial"/>
          <w:lang w:eastAsia="it-CH"/>
        </w:rPr>
        <w:t xml:space="preserve">Osservando invece sotto come il numero di contribuenti delle varie fasce di reddito imponibile </w:t>
      </w:r>
      <w:r w:rsidR="00823E1F">
        <w:rPr>
          <w:rFonts w:cs="Arial"/>
          <w:lang w:eastAsia="it-CH"/>
        </w:rPr>
        <w:t>è</w:t>
      </w:r>
      <w:r w:rsidR="00823E1F" w:rsidRPr="00D27487">
        <w:rPr>
          <w:rFonts w:cs="Arial"/>
          <w:lang w:eastAsia="it-CH"/>
        </w:rPr>
        <w:t xml:space="preserve"> evoluto tra il 2006 e il 2017, possiamo vedere che la progressione più marcata e costante nel tempo è chiaramente quella negli esentasse. Mentre, se le fasce fino ai </w:t>
      </w:r>
      <w:r w:rsidR="00A37231">
        <w:rPr>
          <w:rFonts w:cs="Arial"/>
          <w:lang w:eastAsia="it-CH"/>
        </w:rPr>
        <w:br/>
        <w:t xml:space="preserve">fr. </w:t>
      </w:r>
      <w:r w:rsidR="00823E1F" w:rsidRPr="00D27487">
        <w:rPr>
          <w:rFonts w:cs="Arial"/>
          <w:lang w:eastAsia="it-CH"/>
        </w:rPr>
        <w:t xml:space="preserve">50'000 di reddito imponibile hanno avuto una leggera diminuzione, quelle sopra i </w:t>
      </w:r>
      <w:r w:rsidR="005402AA">
        <w:rPr>
          <w:rFonts w:cs="Arial"/>
          <w:lang w:eastAsia="it-CH"/>
        </w:rPr>
        <w:br/>
      </w:r>
      <w:r w:rsidR="00A37231">
        <w:rPr>
          <w:rFonts w:cs="Arial"/>
          <w:lang w:eastAsia="it-CH"/>
        </w:rPr>
        <w:t xml:space="preserve">fr. </w:t>
      </w:r>
      <w:r w:rsidR="00823E1F" w:rsidRPr="00D27487">
        <w:rPr>
          <w:rFonts w:cs="Arial"/>
          <w:lang w:eastAsia="it-CH"/>
        </w:rPr>
        <w:t xml:space="preserve">50'000 hanno segnato un lieve aumento di contribuenti, con quella dei </w:t>
      </w:r>
      <w:r w:rsidR="00A37231">
        <w:rPr>
          <w:rFonts w:cs="Arial"/>
          <w:lang w:eastAsia="it-CH"/>
        </w:rPr>
        <w:t xml:space="preserve">fr. </w:t>
      </w:r>
      <w:r w:rsidR="00823E1F" w:rsidRPr="00D27487">
        <w:rPr>
          <w:rFonts w:cs="Arial"/>
          <w:lang w:eastAsia="it-CH"/>
        </w:rPr>
        <w:t xml:space="preserve">100’001-150'000 che </w:t>
      </w:r>
      <w:r w:rsidR="005402AA" w:rsidRPr="00D27487">
        <w:rPr>
          <w:rFonts w:cs="Arial"/>
          <w:lang w:eastAsia="it-CH"/>
        </w:rPr>
        <w:t>ha segnato la progressione più marcata.</w:t>
      </w:r>
    </w:p>
    <w:p w:rsidR="005402AA" w:rsidRDefault="005402AA" w:rsidP="00823E1F">
      <w:pPr>
        <w:autoSpaceDE w:val="0"/>
        <w:autoSpaceDN w:val="0"/>
        <w:adjustRightInd w:val="0"/>
        <w:rPr>
          <w:rFonts w:cs="Arial"/>
          <w:lang w:eastAsia="it-CH"/>
        </w:rPr>
      </w:pPr>
    </w:p>
    <w:p w:rsidR="00823E1F" w:rsidRDefault="00823E1F" w:rsidP="00823E1F">
      <w:pPr>
        <w:autoSpaceDE w:val="0"/>
        <w:autoSpaceDN w:val="0"/>
        <w:adjustRightInd w:val="0"/>
        <w:rPr>
          <w:rFonts w:cs="Arial"/>
          <w:lang w:eastAsia="it-CH"/>
        </w:rPr>
      </w:pPr>
      <w:r w:rsidRPr="00D27487">
        <w:rPr>
          <w:rFonts w:cs="Arial"/>
          <w:lang w:eastAsia="it-CH"/>
        </w:rPr>
        <w:t xml:space="preserve">Se paragoniamo i dati nudi e crudi del 2006 con quelli del 2017 possiamo rilevare il chiaro incremento numerico degli esentasse (azzurro) con un aumento di 12'185 contribuenti (+29%), l’assottigliamento del ceto medio-basso (verde) con la perdita di 4'839 contribuenti (- 6%), l’aumento del ceto medio-alto (arancio) con 7'551 contribuenti in più (+ 17%) e l’aumento della fascia benestante (rosso) con 5'654 contribuenti in più (+ 38%). Come possiamo vedere gli aumenti percentuali più cospicui nelle varie fasce di reddito, sono segnati dagli esentasse (+ 29%, che hanno assorbito ben il 61% dell’aumento complessivo di 20’551 contribuenti tra il 2006 e il 2017) e dai contribuenti benestanti (+38%). </w:t>
      </w:r>
    </w:p>
    <w:tbl>
      <w:tblPr>
        <w:tblW w:w="9400" w:type="dxa"/>
        <w:tblCellMar>
          <w:left w:w="70" w:type="dxa"/>
          <w:right w:w="70" w:type="dxa"/>
        </w:tblCellMar>
        <w:tblLook w:val="04A0" w:firstRow="1" w:lastRow="0" w:firstColumn="1" w:lastColumn="0" w:noHBand="0" w:noVBand="1"/>
      </w:tblPr>
      <w:tblGrid>
        <w:gridCol w:w="1701"/>
        <w:gridCol w:w="863"/>
        <w:gridCol w:w="863"/>
        <w:gridCol w:w="863"/>
        <w:gridCol w:w="752"/>
        <w:gridCol w:w="709"/>
        <w:gridCol w:w="863"/>
        <w:gridCol w:w="863"/>
        <w:gridCol w:w="863"/>
        <w:gridCol w:w="530"/>
        <w:gridCol w:w="530"/>
      </w:tblGrid>
      <w:tr w:rsidR="00823E1F" w:rsidRPr="00E011A2" w:rsidTr="005402AA">
        <w:trPr>
          <w:trHeight w:val="285"/>
        </w:trPr>
        <w:tc>
          <w:tcPr>
            <w:tcW w:w="9400" w:type="dxa"/>
            <w:gridSpan w:val="11"/>
            <w:shd w:val="clear" w:color="000000" w:fill="F2F2F2"/>
            <w:noWrap/>
            <w:vAlign w:val="bottom"/>
            <w:hideMark/>
          </w:tcPr>
          <w:p w:rsidR="00823E1F" w:rsidRPr="00E011A2" w:rsidRDefault="00823E1F" w:rsidP="00823E1F">
            <w:pPr>
              <w:rPr>
                <w:rFonts w:cs="Arial"/>
                <w:b/>
                <w:bCs/>
                <w:color w:val="000000"/>
                <w:sz w:val="20"/>
                <w:szCs w:val="20"/>
              </w:rPr>
            </w:pPr>
          </w:p>
          <w:p w:rsidR="00823E1F" w:rsidRPr="00E011A2" w:rsidRDefault="00823E1F" w:rsidP="00823E1F">
            <w:pPr>
              <w:rPr>
                <w:rFonts w:cs="Arial"/>
                <w:b/>
                <w:bCs/>
                <w:color w:val="000000"/>
                <w:sz w:val="20"/>
                <w:szCs w:val="20"/>
              </w:rPr>
            </w:pPr>
            <w:r w:rsidRPr="00E011A2">
              <w:rPr>
                <w:rFonts w:cs="Arial"/>
                <w:b/>
                <w:bCs/>
                <w:color w:val="000000"/>
                <w:sz w:val="20"/>
                <w:szCs w:val="20"/>
              </w:rPr>
              <w:t>Confronto nella distribuzione del numero dei contribuenti (persone fisiche) nel 2006 e nel 2017</w:t>
            </w:r>
          </w:p>
          <w:p w:rsidR="00823E1F" w:rsidRPr="00E011A2" w:rsidRDefault="00823E1F" w:rsidP="00823E1F">
            <w:pPr>
              <w:rPr>
                <w:rFonts w:cs="Arial"/>
                <w:b/>
                <w:bCs/>
                <w:color w:val="000000"/>
                <w:sz w:val="20"/>
                <w:szCs w:val="20"/>
              </w:rPr>
            </w:pPr>
          </w:p>
          <w:p w:rsidR="00823E1F" w:rsidRPr="00E011A2" w:rsidRDefault="00823E1F" w:rsidP="00823E1F">
            <w:pPr>
              <w:rPr>
                <w:rFonts w:cs="Arial"/>
                <w:b/>
                <w:bCs/>
                <w:color w:val="000000"/>
                <w:sz w:val="20"/>
                <w:szCs w:val="20"/>
                <w:lang w:eastAsia="fr-CH"/>
              </w:rPr>
            </w:pPr>
          </w:p>
        </w:tc>
      </w:tr>
      <w:tr w:rsidR="00823E1F" w:rsidRPr="00E011A2" w:rsidTr="005402AA">
        <w:trPr>
          <w:trHeight w:val="170"/>
        </w:trPr>
        <w:tc>
          <w:tcPr>
            <w:tcW w:w="1701" w:type="dxa"/>
            <w:shd w:val="clear" w:color="auto" w:fill="F2F2F2" w:themeFill="background1" w:themeFillShade="F2"/>
            <w:noWrap/>
            <w:vAlign w:val="bottom"/>
            <w:hideMark/>
          </w:tcPr>
          <w:p w:rsidR="00823E1F" w:rsidRPr="00E011A2" w:rsidRDefault="00823E1F" w:rsidP="00823E1F">
            <w:pPr>
              <w:rPr>
                <w:rFonts w:cs="Arial"/>
                <w:b/>
                <w:bCs/>
                <w:color w:val="000000"/>
                <w:sz w:val="20"/>
                <w:szCs w:val="20"/>
              </w:rPr>
            </w:pPr>
          </w:p>
        </w:tc>
        <w:tc>
          <w:tcPr>
            <w:tcW w:w="4050" w:type="dxa"/>
            <w:gridSpan w:val="5"/>
            <w:shd w:val="clear" w:color="auto" w:fill="F2F2F2" w:themeFill="background1" w:themeFillShade="F2"/>
            <w:noWrap/>
            <w:vAlign w:val="bottom"/>
            <w:hideMark/>
          </w:tcPr>
          <w:p w:rsidR="00823E1F" w:rsidRPr="00E011A2" w:rsidRDefault="00823E1F" w:rsidP="00823E1F">
            <w:pPr>
              <w:rPr>
                <w:rFonts w:cs="Arial"/>
                <w:b/>
                <w:bCs/>
                <w:color w:val="000000"/>
                <w:sz w:val="20"/>
                <w:szCs w:val="20"/>
              </w:rPr>
            </w:pPr>
            <w:r w:rsidRPr="00E011A2">
              <w:rPr>
                <w:rFonts w:cs="Arial"/>
                <w:b/>
                <w:bCs/>
                <w:color w:val="000000"/>
                <w:sz w:val="20"/>
                <w:szCs w:val="20"/>
              </w:rPr>
              <w:t>2006</w:t>
            </w:r>
          </w:p>
        </w:tc>
        <w:tc>
          <w:tcPr>
            <w:tcW w:w="3649" w:type="dxa"/>
            <w:gridSpan w:val="5"/>
            <w:shd w:val="clear" w:color="auto" w:fill="F2F2F2" w:themeFill="background1" w:themeFillShade="F2"/>
            <w:vAlign w:val="bottom"/>
          </w:tcPr>
          <w:p w:rsidR="00823E1F" w:rsidRPr="00E011A2" w:rsidRDefault="00823E1F" w:rsidP="00823E1F">
            <w:pPr>
              <w:rPr>
                <w:b/>
                <w:bCs/>
                <w:sz w:val="20"/>
                <w:szCs w:val="20"/>
              </w:rPr>
            </w:pPr>
            <w:r w:rsidRPr="00E011A2">
              <w:rPr>
                <w:rFonts w:cs="Arial"/>
                <w:b/>
                <w:bCs/>
                <w:color w:val="000000"/>
                <w:sz w:val="20"/>
                <w:szCs w:val="20"/>
              </w:rPr>
              <w:t>2017</w:t>
            </w:r>
          </w:p>
        </w:tc>
      </w:tr>
      <w:tr w:rsidR="00823E1F" w:rsidRPr="00E011A2" w:rsidTr="005402AA">
        <w:trPr>
          <w:trHeight w:val="170"/>
        </w:trPr>
        <w:tc>
          <w:tcPr>
            <w:tcW w:w="1701" w:type="dxa"/>
            <w:shd w:val="clear" w:color="000000" w:fill="F2F2F2"/>
            <w:noWrap/>
            <w:vAlign w:val="bottom"/>
            <w:hideMark/>
          </w:tcPr>
          <w:p w:rsidR="00823E1F" w:rsidRPr="00E011A2" w:rsidRDefault="00823E1F" w:rsidP="00823E1F">
            <w:pPr>
              <w:rPr>
                <w:rFonts w:cs="Arial"/>
                <w:b/>
                <w:bCs/>
                <w:color w:val="000000"/>
                <w:sz w:val="20"/>
                <w:szCs w:val="20"/>
              </w:rPr>
            </w:pPr>
            <w:r w:rsidRPr="00E011A2">
              <w:rPr>
                <w:rFonts w:cs="Arial"/>
                <w:b/>
                <w:bCs/>
                <w:color w:val="000000"/>
                <w:sz w:val="20"/>
                <w:szCs w:val="20"/>
              </w:rPr>
              <w:t> Fasce contribuenti</w:t>
            </w:r>
          </w:p>
        </w:tc>
        <w:tc>
          <w:tcPr>
            <w:tcW w:w="863" w:type="dxa"/>
            <w:shd w:val="clear" w:color="auto" w:fill="F2F2F2" w:themeFill="background1" w:themeFillShade="F2"/>
            <w:noWrap/>
            <w:vAlign w:val="bottom"/>
            <w:hideMark/>
          </w:tcPr>
          <w:p w:rsidR="00823E1F" w:rsidRPr="00E011A2" w:rsidRDefault="00823E1F" w:rsidP="00823E1F">
            <w:pPr>
              <w:rPr>
                <w:rFonts w:cs="Arial"/>
                <w:b/>
                <w:bCs/>
                <w:color w:val="000000"/>
                <w:sz w:val="20"/>
                <w:szCs w:val="20"/>
              </w:rPr>
            </w:pPr>
            <w:r w:rsidRPr="00E011A2">
              <w:rPr>
                <w:rFonts w:cs="Arial"/>
                <w:b/>
                <w:bCs/>
                <w:color w:val="000000"/>
                <w:sz w:val="20"/>
                <w:szCs w:val="20"/>
              </w:rPr>
              <w:t>Tot</w:t>
            </w:r>
          </w:p>
        </w:tc>
        <w:tc>
          <w:tcPr>
            <w:tcW w:w="863" w:type="dxa"/>
            <w:shd w:val="clear" w:color="auto" w:fill="F2F2F2" w:themeFill="background1" w:themeFillShade="F2"/>
            <w:noWrap/>
            <w:vAlign w:val="bottom"/>
            <w:hideMark/>
          </w:tcPr>
          <w:p w:rsidR="00823E1F" w:rsidRPr="00E011A2" w:rsidRDefault="00823E1F" w:rsidP="00823E1F">
            <w:pPr>
              <w:rPr>
                <w:rFonts w:cs="Arial"/>
                <w:b/>
                <w:bCs/>
                <w:color w:val="000000"/>
                <w:sz w:val="20"/>
                <w:szCs w:val="20"/>
              </w:rPr>
            </w:pPr>
            <w:r w:rsidRPr="00E011A2">
              <w:rPr>
                <w:rFonts w:cs="Arial"/>
                <w:b/>
                <w:bCs/>
                <w:color w:val="000000"/>
                <w:sz w:val="20"/>
                <w:szCs w:val="20"/>
              </w:rPr>
              <w:t>Tot</w:t>
            </w:r>
          </w:p>
        </w:tc>
        <w:tc>
          <w:tcPr>
            <w:tcW w:w="863" w:type="dxa"/>
            <w:shd w:val="clear" w:color="auto" w:fill="F2F2F2" w:themeFill="background1" w:themeFillShade="F2"/>
            <w:noWrap/>
            <w:vAlign w:val="bottom"/>
            <w:hideMark/>
          </w:tcPr>
          <w:p w:rsidR="00823E1F" w:rsidRPr="00E011A2" w:rsidRDefault="00823E1F" w:rsidP="00823E1F">
            <w:pPr>
              <w:rPr>
                <w:rFonts w:cs="Arial"/>
                <w:b/>
                <w:bCs/>
                <w:color w:val="000000"/>
                <w:sz w:val="20"/>
                <w:szCs w:val="20"/>
              </w:rPr>
            </w:pPr>
            <w:r w:rsidRPr="00E011A2">
              <w:rPr>
                <w:rFonts w:cs="Arial"/>
                <w:b/>
                <w:bCs/>
                <w:color w:val="000000"/>
                <w:sz w:val="20"/>
                <w:szCs w:val="20"/>
              </w:rPr>
              <w:t>Tot</w:t>
            </w:r>
          </w:p>
        </w:tc>
        <w:tc>
          <w:tcPr>
            <w:tcW w:w="752" w:type="dxa"/>
            <w:shd w:val="clear" w:color="auto" w:fill="F2F2F2" w:themeFill="background1" w:themeFillShade="F2"/>
            <w:noWrap/>
            <w:vAlign w:val="bottom"/>
            <w:hideMark/>
          </w:tcPr>
          <w:p w:rsidR="00823E1F" w:rsidRPr="00E011A2" w:rsidRDefault="00823E1F" w:rsidP="00823E1F">
            <w:pPr>
              <w:rPr>
                <w:rFonts w:cs="Arial"/>
                <w:b/>
                <w:bCs/>
                <w:color w:val="000000"/>
                <w:sz w:val="20"/>
                <w:szCs w:val="20"/>
              </w:rPr>
            </w:pPr>
            <w:r w:rsidRPr="00E011A2">
              <w:rPr>
                <w:rFonts w:cs="Arial"/>
                <w:b/>
                <w:bCs/>
                <w:color w:val="000000"/>
                <w:sz w:val="20"/>
                <w:szCs w:val="20"/>
              </w:rPr>
              <w:t>%</w:t>
            </w:r>
          </w:p>
        </w:tc>
        <w:tc>
          <w:tcPr>
            <w:tcW w:w="709" w:type="dxa"/>
            <w:shd w:val="clear" w:color="auto" w:fill="F2F2F2" w:themeFill="background1" w:themeFillShade="F2"/>
            <w:noWrap/>
            <w:vAlign w:val="bottom"/>
            <w:hideMark/>
          </w:tcPr>
          <w:p w:rsidR="00823E1F" w:rsidRPr="00E011A2" w:rsidRDefault="00823E1F" w:rsidP="00823E1F">
            <w:pPr>
              <w:rPr>
                <w:rFonts w:cs="Arial"/>
                <w:b/>
                <w:bCs/>
                <w:color w:val="000000"/>
                <w:sz w:val="20"/>
                <w:szCs w:val="20"/>
              </w:rPr>
            </w:pPr>
            <w:r w:rsidRPr="00E011A2">
              <w:rPr>
                <w:rFonts w:cs="Arial"/>
                <w:b/>
                <w:bCs/>
                <w:color w:val="000000"/>
                <w:sz w:val="20"/>
                <w:szCs w:val="20"/>
              </w:rPr>
              <w:t>%</w:t>
            </w:r>
          </w:p>
        </w:tc>
        <w:tc>
          <w:tcPr>
            <w:tcW w:w="863" w:type="dxa"/>
            <w:shd w:val="clear" w:color="auto" w:fill="F2F2F2" w:themeFill="background1" w:themeFillShade="F2"/>
            <w:vAlign w:val="bottom"/>
          </w:tcPr>
          <w:p w:rsidR="00823E1F" w:rsidRPr="00E011A2" w:rsidRDefault="00823E1F" w:rsidP="00823E1F">
            <w:pPr>
              <w:rPr>
                <w:b/>
                <w:bCs/>
                <w:sz w:val="20"/>
                <w:szCs w:val="20"/>
              </w:rPr>
            </w:pPr>
            <w:r w:rsidRPr="00E011A2">
              <w:rPr>
                <w:rFonts w:cs="Arial"/>
                <w:b/>
                <w:bCs/>
                <w:color w:val="000000"/>
                <w:sz w:val="20"/>
                <w:szCs w:val="20"/>
              </w:rPr>
              <w:t>Tot</w:t>
            </w:r>
          </w:p>
        </w:tc>
        <w:tc>
          <w:tcPr>
            <w:tcW w:w="863" w:type="dxa"/>
            <w:shd w:val="clear" w:color="auto" w:fill="F2F2F2" w:themeFill="background1" w:themeFillShade="F2"/>
            <w:vAlign w:val="bottom"/>
          </w:tcPr>
          <w:p w:rsidR="00823E1F" w:rsidRPr="00E011A2" w:rsidRDefault="00823E1F" w:rsidP="00823E1F">
            <w:pPr>
              <w:rPr>
                <w:b/>
                <w:bCs/>
                <w:sz w:val="20"/>
                <w:szCs w:val="20"/>
              </w:rPr>
            </w:pPr>
            <w:r w:rsidRPr="00E011A2">
              <w:rPr>
                <w:rFonts w:cs="Arial"/>
                <w:b/>
                <w:bCs/>
                <w:color w:val="000000"/>
                <w:sz w:val="20"/>
                <w:szCs w:val="20"/>
              </w:rPr>
              <w:t>Tot</w:t>
            </w:r>
          </w:p>
        </w:tc>
        <w:tc>
          <w:tcPr>
            <w:tcW w:w="863" w:type="dxa"/>
            <w:shd w:val="clear" w:color="auto" w:fill="F2F2F2" w:themeFill="background1" w:themeFillShade="F2"/>
            <w:vAlign w:val="bottom"/>
          </w:tcPr>
          <w:p w:rsidR="00823E1F" w:rsidRPr="00E011A2" w:rsidRDefault="00823E1F" w:rsidP="00823E1F">
            <w:pPr>
              <w:rPr>
                <w:b/>
                <w:bCs/>
                <w:sz w:val="20"/>
                <w:szCs w:val="20"/>
              </w:rPr>
            </w:pPr>
            <w:r w:rsidRPr="00E011A2">
              <w:rPr>
                <w:rFonts w:cs="Arial"/>
                <w:b/>
                <w:bCs/>
                <w:color w:val="000000"/>
                <w:sz w:val="20"/>
                <w:szCs w:val="20"/>
              </w:rPr>
              <w:t>Tot</w:t>
            </w:r>
          </w:p>
        </w:tc>
        <w:tc>
          <w:tcPr>
            <w:tcW w:w="530" w:type="dxa"/>
            <w:shd w:val="clear" w:color="auto" w:fill="F2F2F2" w:themeFill="background1" w:themeFillShade="F2"/>
            <w:vAlign w:val="bottom"/>
          </w:tcPr>
          <w:p w:rsidR="00823E1F" w:rsidRPr="00E011A2" w:rsidRDefault="00823E1F" w:rsidP="00823E1F">
            <w:pPr>
              <w:rPr>
                <w:b/>
                <w:bCs/>
                <w:sz w:val="20"/>
                <w:szCs w:val="20"/>
              </w:rPr>
            </w:pPr>
            <w:r w:rsidRPr="00E011A2">
              <w:rPr>
                <w:rFonts w:cs="Arial"/>
                <w:b/>
                <w:bCs/>
                <w:color w:val="000000"/>
                <w:sz w:val="20"/>
                <w:szCs w:val="20"/>
              </w:rPr>
              <w:t>%</w:t>
            </w:r>
          </w:p>
        </w:tc>
        <w:tc>
          <w:tcPr>
            <w:tcW w:w="530" w:type="dxa"/>
            <w:shd w:val="clear" w:color="auto" w:fill="F2F2F2" w:themeFill="background1" w:themeFillShade="F2"/>
            <w:vAlign w:val="bottom"/>
          </w:tcPr>
          <w:p w:rsidR="00823E1F" w:rsidRPr="00E011A2" w:rsidRDefault="00823E1F" w:rsidP="00823E1F">
            <w:pPr>
              <w:rPr>
                <w:b/>
                <w:bCs/>
                <w:sz w:val="20"/>
                <w:szCs w:val="20"/>
              </w:rPr>
            </w:pPr>
            <w:r w:rsidRPr="00E011A2">
              <w:rPr>
                <w:rFonts w:cs="Arial"/>
                <w:b/>
                <w:bCs/>
                <w:color w:val="000000"/>
                <w:sz w:val="20"/>
                <w:szCs w:val="20"/>
              </w:rPr>
              <w:t>%</w:t>
            </w:r>
          </w:p>
        </w:tc>
      </w:tr>
      <w:tr w:rsidR="00823E1F" w:rsidRPr="00E011A2" w:rsidTr="005402AA">
        <w:trPr>
          <w:trHeight w:val="170"/>
        </w:trPr>
        <w:tc>
          <w:tcPr>
            <w:tcW w:w="1701" w:type="dxa"/>
            <w:shd w:val="clear" w:color="000000" w:fill="F2F2F2"/>
            <w:noWrap/>
            <w:vAlign w:val="bottom"/>
            <w:hideMark/>
          </w:tcPr>
          <w:p w:rsidR="00823E1F" w:rsidRPr="00E011A2" w:rsidRDefault="00823E1F" w:rsidP="00823E1F">
            <w:pPr>
              <w:rPr>
                <w:rFonts w:cs="Arial"/>
                <w:color w:val="4472C4"/>
                <w:sz w:val="20"/>
                <w:szCs w:val="20"/>
              </w:rPr>
            </w:pPr>
            <w:r w:rsidRPr="00E011A2">
              <w:rPr>
                <w:rFonts w:cs="Arial"/>
                <w:color w:val="4472C4"/>
                <w:sz w:val="20"/>
                <w:szCs w:val="20"/>
              </w:rPr>
              <w:t>Esenti</w:t>
            </w:r>
          </w:p>
        </w:tc>
        <w:tc>
          <w:tcPr>
            <w:tcW w:w="863" w:type="dxa"/>
            <w:shd w:val="clear" w:color="auto" w:fill="F2F2F2" w:themeFill="background1" w:themeFillShade="F2"/>
            <w:noWrap/>
            <w:vAlign w:val="bottom"/>
            <w:hideMark/>
          </w:tcPr>
          <w:p w:rsidR="00823E1F" w:rsidRPr="00E011A2" w:rsidRDefault="00823E1F" w:rsidP="00823E1F">
            <w:pPr>
              <w:rPr>
                <w:rFonts w:cs="Arial"/>
                <w:color w:val="4472C4"/>
                <w:sz w:val="20"/>
                <w:szCs w:val="20"/>
              </w:rPr>
            </w:pPr>
            <w:r w:rsidRPr="00E011A2">
              <w:rPr>
                <w:rFonts w:cs="Arial"/>
                <w:color w:val="4472C4"/>
                <w:sz w:val="20"/>
                <w:szCs w:val="20"/>
              </w:rPr>
              <w:t>42’307</w:t>
            </w:r>
          </w:p>
        </w:tc>
        <w:tc>
          <w:tcPr>
            <w:tcW w:w="863" w:type="dxa"/>
            <w:shd w:val="clear" w:color="auto" w:fill="F2F2F2" w:themeFill="background1" w:themeFillShade="F2"/>
            <w:noWrap/>
            <w:vAlign w:val="bottom"/>
            <w:hideMark/>
          </w:tcPr>
          <w:p w:rsidR="00823E1F" w:rsidRPr="00E011A2" w:rsidRDefault="00823E1F" w:rsidP="00823E1F">
            <w:pPr>
              <w:rPr>
                <w:rFonts w:cs="Arial"/>
                <w:color w:val="4472C4"/>
                <w:sz w:val="20"/>
                <w:szCs w:val="20"/>
              </w:rPr>
            </w:pPr>
            <w:r w:rsidRPr="00E011A2">
              <w:rPr>
                <w:rFonts w:cs="Arial"/>
                <w:color w:val="4472C4"/>
                <w:sz w:val="20"/>
                <w:szCs w:val="20"/>
              </w:rPr>
              <w:t>42’307</w:t>
            </w:r>
          </w:p>
        </w:tc>
        <w:tc>
          <w:tcPr>
            <w:tcW w:w="863" w:type="dxa"/>
            <w:shd w:val="clear" w:color="auto" w:fill="F2F2F2" w:themeFill="background1" w:themeFillShade="F2"/>
            <w:noWrap/>
            <w:vAlign w:val="bottom"/>
            <w:hideMark/>
          </w:tcPr>
          <w:p w:rsidR="00823E1F" w:rsidRPr="00E011A2" w:rsidRDefault="00823E1F" w:rsidP="00823E1F">
            <w:pPr>
              <w:rPr>
                <w:rFonts w:cs="Arial"/>
                <w:sz w:val="20"/>
                <w:szCs w:val="20"/>
              </w:rPr>
            </w:pPr>
            <w:r w:rsidRPr="00E011A2">
              <w:rPr>
                <w:rFonts w:cs="Arial"/>
                <w:sz w:val="20"/>
                <w:szCs w:val="20"/>
              </w:rPr>
              <w:t> </w:t>
            </w:r>
          </w:p>
        </w:tc>
        <w:tc>
          <w:tcPr>
            <w:tcW w:w="752" w:type="dxa"/>
            <w:shd w:val="clear" w:color="auto" w:fill="F2F2F2" w:themeFill="background1" w:themeFillShade="F2"/>
            <w:noWrap/>
            <w:vAlign w:val="bottom"/>
            <w:hideMark/>
          </w:tcPr>
          <w:p w:rsidR="00823E1F" w:rsidRPr="00E011A2" w:rsidRDefault="00823E1F" w:rsidP="00823E1F">
            <w:pPr>
              <w:rPr>
                <w:rFonts w:cs="Arial"/>
                <w:color w:val="4472C4"/>
                <w:sz w:val="20"/>
                <w:szCs w:val="20"/>
              </w:rPr>
            </w:pPr>
            <w:r w:rsidRPr="00E011A2">
              <w:rPr>
                <w:rFonts w:cs="Arial"/>
                <w:color w:val="4472C4"/>
                <w:sz w:val="20"/>
                <w:szCs w:val="20"/>
              </w:rPr>
              <w:t>23.0</w:t>
            </w:r>
          </w:p>
        </w:tc>
        <w:tc>
          <w:tcPr>
            <w:tcW w:w="709" w:type="dxa"/>
            <w:shd w:val="clear" w:color="auto" w:fill="F2F2F2" w:themeFill="background1" w:themeFillShade="F2"/>
            <w:noWrap/>
            <w:vAlign w:val="bottom"/>
            <w:hideMark/>
          </w:tcPr>
          <w:p w:rsidR="00823E1F" w:rsidRPr="00E011A2" w:rsidRDefault="00823E1F" w:rsidP="00823E1F">
            <w:pPr>
              <w:rPr>
                <w:rFonts w:cs="Arial"/>
                <w:sz w:val="20"/>
                <w:szCs w:val="20"/>
              </w:rPr>
            </w:pPr>
            <w:r w:rsidRPr="00E011A2">
              <w:rPr>
                <w:rFonts w:cs="Arial"/>
                <w:sz w:val="20"/>
                <w:szCs w:val="20"/>
              </w:rPr>
              <w:t> </w:t>
            </w:r>
          </w:p>
        </w:tc>
        <w:tc>
          <w:tcPr>
            <w:tcW w:w="863" w:type="dxa"/>
            <w:shd w:val="clear" w:color="auto" w:fill="F2F2F2" w:themeFill="background1" w:themeFillShade="F2"/>
            <w:vAlign w:val="bottom"/>
          </w:tcPr>
          <w:p w:rsidR="00823E1F" w:rsidRPr="00E011A2" w:rsidRDefault="00823E1F" w:rsidP="00823E1F">
            <w:pPr>
              <w:rPr>
                <w:sz w:val="20"/>
                <w:szCs w:val="20"/>
              </w:rPr>
            </w:pPr>
            <w:r w:rsidRPr="00E011A2">
              <w:rPr>
                <w:rFonts w:cs="Arial"/>
                <w:color w:val="4472C4"/>
                <w:sz w:val="20"/>
                <w:szCs w:val="20"/>
              </w:rPr>
              <w:t>54’492</w:t>
            </w:r>
          </w:p>
        </w:tc>
        <w:tc>
          <w:tcPr>
            <w:tcW w:w="863" w:type="dxa"/>
            <w:shd w:val="clear" w:color="auto" w:fill="F2F2F2" w:themeFill="background1" w:themeFillShade="F2"/>
            <w:vAlign w:val="bottom"/>
          </w:tcPr>
          <w:p w:rsidR="00823E1F" w:rsidRPr="00E011A2" w:rsidRDefault="00823E1F" w:rsidP="00823E1F">
            <w:pPr>
              <w:rPr>
                <w:rFonts w:cs="Arial"/>
                <w:color w:val="4472C4"/>
                <w:sz w:val="20"/>
                <w:szCs w:val="20"/>
              </w:rPr>
            </w:pPr>
            <w:r w:rsidRPr="00E011A2">
              <w:rPr>
                <w:rFonts w:cs="Arial"/>
                <w:color w:val="4472C4"/>
                <w:sz w:val="20"/>
                <w:szCs w:val="20"/>
              </w:rPr>
              <w:t>54’492</w:t>
            </w:r>
          </w:p>
        </w:tc>
        <w:tc>
          <w:tcPr>
            <w:tcW w:w="863" w:type="dxa"/>
            <w:shd w:val="clear" w:color="auto" w:fill="F2F2F2" w:themeFill="background1" w:themeFillShade="F2"/>
            <w:vAlign w:val="bottom"/>
          </w:tcPr>
          <w:p w:rsidR="00823E1F" w:rsidRPr="00E011A2" w:rsidRDefault="00823E1F" w:rsidP="00823E1F">
            <w:pPr>
              <w:rPr>
                <w:sz w:val="20"/>
                <w:szCs w:val="20"/>
              </w:rPr>
            </w:pPr>
            <w:r w:rsidRPr="00E011A2">
              <w:rPr>
                <w:rFonts w:cs="Arial"/>
                <w:sz w:val="20"/>
                <w:szCs w:val="20"/>
              </w:rPr>
              <w:t> </w:t>
            </w:r>
          </w:p>
        </w:tc>
        <w:tc>
          <w:tcPr>
            <w:tcW w:w="530" w:type="dxa"/>
            <w:shd w:val="clear" w:color="auto" w:fill="F2F2F2" w:themeFill="background1" w:themeFillShade="F2"/>
            <w:vAlign w:val="bottom"/>
          </w:tcPr>
          <w:p w:rsidR="00823E1F" w:rsidRPr="00E011A2" w:rsidRDefault="00823E1F" w:rsidP="00823E1F">
            <w:pPr>
              <w:rPr>
                <w:sz w:val="20"/>
                <w:szCs w:val="20"/>
              </w:rPr>
            </w:pPr>
            <w:r w:rsidRPr="00E011A2">
              <w:rPr>
                <w:rFonts w:cs="Arial"/>
                <w:color w:val="4472C4"/>
                <w:sz w:val="20"/>
                <w:szCs w:val="20"/>
              </w:rPr>
              <w:t>26.6</w:t>
            </w:r>
          </w:p>
        </w:tc>
        <w:tc>
          <w:tcPr>
            <w:tcW w:w="530" w:type="dxa"/>
            <w:shd w:val="clear" w:color="auto" w:fill="F2F2F2" w:themeFill="background1" w:themeFillShade="F2"/>
            <w:vAlign w:val="bottom"/>
          </w:tcPr>
          <w:p w:rsidR="00823E1F" w:rsidRPr="00E011A2" w:rsidRDefault="00823E1F" w:rsidP="00823E1F">
            <w:pPr>
              <w:rPr>
                <w:sz w:val="20"/>
                <w:szCs w:val="20"/>
              </w:rPr>
            </w:pPr>
            <w:r w:rsidRPr="00E011A2">
              <w:rPr>
                <w:rFonts w:cs="Arial"/>
                <w:sz w:val="20"/>
                <w:szCs w:val="20"/>
              </w:rPr>
              <w:t> </w:t>
            </w:r>
          </w:p>
        </w:tc>
      </w:tr>
      <w:tr w:rsidR="00823E1F" w:rsidRPr="00E011A2" w:rsidTr="005402AA">
        <w:trPr>
          <w:trHeight w:val="170"/>
        </w:trPr>
        <w:tc>
          <w:tcPr>
            <w:tcW w:w="1701" w:type="dxa"/>
            <w:shd w:val="clear" w:color="000000" w:fill="F2F2F2"/>
            <w:noWrap/>
            <w:vAlign w:val="bottom"/>
            <w:hideMark/>
          </w:tcPr>
          <w:p w:rsidR="00823E1F" w:rsidRPr="00E011A2" w:rsidRDefault="00823E1F" w:rsidP="00823E1F">
            <w:pPr>
              <w:rPr>
                <w:rFonts w:cs="Arial"/>
                <w:color w:val="00B050"/>
                <w:sz w:val="20"/>
                <w:szCs w:val="20"/>
              </w:rPr>
            </w:pPr>
            <w:r w:rsidRPr="00E011A2">
              <w:rPr>
                <w:rFonts w:cs="Arial"/>
                <w:color w:val="00B050"/>
                <w:sz w:val="20"/>
                <w:szCs w:val="20"/>
              </w:rPr>
              <w:t>Fino a 20.000</w:t>
            </w:r>
          </w:p>
        </w:tc>
        <w:tc>
          <w:tcPr>
            <w:tcW w:w="863" w:type="dxa"/>
            <w:shd w:val="clear" w:color="auto" w:fill="F2F2F2" w:themeFill="background1" w:themeFillShade="F2"/>
            <w:noWrap/>
            <w:vAlign w:val="bottom"/>
            <w:hideMark/>
          </w:tcPr>
          <w:p w:rsidR="00823E1F" w:rsidRPr="00E011A2" w:rsidRDefault="00823E1F" w:rsidP="00823E1F">
            <w:pPr>
              <w:rPr>
                <w:rFonts w:cs="Arial"/>
                <w:color w:val="00B050"/>
                <w:sz w:val="20"/>
                <w:szCs w:val="20"/>
              </w:rPr>
            </w:pPr>
            <w:r w:rsidRPr="00E011A2">
              <w:rPr>
                <w:rFonts w:cs="Arial"/>
                <w:color w:val="00B050"/>
                <w:sz w:val="20"/>
                <w:szCs w:val="20"/>
              </w:rPr>
              <w:t>14’371</w:t>
            </w:r>
          </w:p>
        </w:tc>
        <w:tc>
          <w:tcPr>
            <w:tcW w:w="863" w:type="dxa"/>
            <w:shd w:val="clear" w:color="auto" w:fill="F2F2F2" w:themeFill="background1" w:themeFillShade="F2"/>
            <w:noWrap/>
            <w:vAlign w:val="bottom"/>
            <w:hideMark/>
          </w:tcPr>
          <w:p w:rsidR="00823E1F" w:rsidRPr="00E011A2" w:rsidRDefault="00823E1F" w:rsidP="00823E1F">
            <w:pPr>
              <w:rPr>
                <w:rFonts w:cs="Arial"/>
                <w:color w:val="00B050"/>
                <w:sz w:val="20"/>
                <w:szCs w:val="20"/>
              </w:rPr>
            </w:pPr>
            <w:r w:rsidRPr="00E011A2">
              <w:rPr>
                <w:rFonts w:cs="Arial"/>
                <w:color w:val="00B050"/>
                <w:sz w:val="20"/>
                <w:szCs w:val="20"/>
              </w:rPr>
              <w:t> </w:t>
            </w:r>
          </w:p>
        </w:tc>
        <w:tc>
          <w:tcPr>
            <w:tcW w:w="863" w:type="dxa"/>
            <w:shd w:val="clear" w:color="auto" w:fill="F2F2F2" w:themeFill="background1" w:themeFillShade="F2"/>
            <w:noWrap/>
            <w:vAlign w:val="bottom"/>
            <w:hideMark/>
          </w:tcPr>
          <w:p w:rsidR="00823E1F" w:rsidRPr="00E011A2" w:rsidRDefault="00823E1F" w:rsidP="00823E1F">
            <w:pPr>
              <w:rPr>
                <w:rFonts w:cs="Arial"/>
                <w:sz w:val="20"/>
                <w:szCs w:val="20"/>
              </w:rPr>
            </w:pPr>
            <w:r w:rsidRPr="00E011A2">
              <w:rPr>
                <w:rFonts w:cs="Arial"/>
                <w:sz w:val="20"/>
                <w:szCs w:val="20"/>
              </w:rPr>
              <w:t> </w:t>
            </w:r>
          </w:p>
        </w:tc>
        <w:tc>
          <w:tcPr>
            <w:tcW w:w="752" w:type="dxa"/>
            <w:shd w:val="clear" w:color="auto" w:fill="F2F2F2" w:themeFill="background1" w:themeFillShade="F2"/>
            <w:noWrap/>
            <w:vAlign w:val="bottom"/>
            <w:hideMark/>
          </w:tcPr>
          <w:p w:rsidR="00823E1F" w:rsidRPr="00E011A2" w:rsidRDefault="00823E1F" w:rsidP="00823E1F">
            <w:pPr>
              <w:rPr>
                <w:rFonts w:cs="Arial"/>
                <w:color w:val="00B050"/>
                <w:sz w:val="20"/>
                <w:szCs w:val="20"/>
              </w:rPr>
            </w:pPr>
            <w:r w:rsidRPr="00E011A2">
              <w:rPr>
                <w:rFonts w:cs="Arial"/>
                <w:color w:val="00B050"/>
                <w:sz w:val="20"/>
                <w:szCs w:val="20"/>
              </w:rPr>
              <w:t> </w:t>
            </w:r>
          </w:p>
        </w:tc>
        <w:tc>
          <w:tcPr>
            <w:tcW w:w="709" w:type="dxa"/>
            <w:shd w:val="clear" w:color="auto" w:fill="F2F2F2" w:themeFill="background1" w:themeFillShade="F2"/>
            <w:noWrap/>
            <w:vAlign w:val="bottom"/>
            <w:hideMark/>
          </w:tcPr>
          <w:p w:rsidR="00823E1F" w:rsidRPr="00E011A2" w:rsidRDefault="00823E1F" w:rsidP="00823E1F">
            <w:pPr>
              <w:rPr>
                <w:rFonts w:cs="Arial"/>
                <w:sz w:val="20"/>
                <w:szCs w:val="20"/>
              </w:rPr>
            </w:pPr>
            <w:r w:rsidRPr="00E011A2">
              <w:rPr>
                <w:rFonts w:cs="Arial"/>
                <w:sz w:val="20"/>
                <w:szCs w:val="20"/>
              </w:rPr>
              <w:t> </w:t>
            </w:r>
          </w:p>
        </w:tc>
        <w:tc>
          <w:tcPr>
            <w:tcW w:w="863" w:type="dxa"/>
            <w:shd w:val="clear" w:color="auto" w:fill="F2F2F2" w:themeFill="background1" w:themeFillShade="F2"/>
            <w:vAlign w:val="bottom"/>
          </w:tcPr>
          <w:p w:rsidR="00823E1F" w:rsidRPr="00E011A2" w:rsidRDefault="00823E1F" w:rsidP="00823E1F">
            <w:pPr>
              <w:rPr>
                <w:sz w:val="20"/>
                <w:szCs w:val="20"/>
              </w:rPr>
            </w:pPr>
            <w:r w:rsidRPr="00E011A2">
              <w:rPr>
                <w:rFonts w:cs="Arial"/>
                <w:color w:val="00B050"/>
                <w:sz w:val="20"/>
                <w:szCs w:val="20"/>
              </w:rPr>
              <w:t>12’286</w:t>
            </w:r>
          </w:p>
        </w:tc>
        <w:tc>
          <w:tcPr>
            <w:tcW w:w="863" w:type="dxa"/>
            <w:shd w:val="clear" w:color="auto" w:fill="F2F2F2" w:themeFill="background1" w:themeFillShade="F2"/>
            <w:vAlign w:val="bottom"/>
          </w:tcPr>
          <w:p w:rsidR="00823E1F" w:rsidRPr="00E011A2" w:rsidRDefault="00823E1F" w:rsidP="00823E1F">
            <w:pPr>
              <w:rPr>
                <w:sz w:val="20"/>
                <w:szCs w:val="20"/>
              </w:rPr>
            </w:pPr>
            <w:r w:rsidRPr="00E011A2">
              <w:rPr>
                <w:rFonts w:cs="Arial"/>
                <w:color w:val="00B050"/>
                <w:sz w:val="20"/>
                <w:szCs w:val="20"/>
              </w:rPr>
              <w:t> </w:t>
            </w:r>
          </w:p>
        </w:tc>
        <w:tc>
          <w:tcPr>
            <w:tcW w:w="863" w:type="dxa"/>
            <w:shd w:val="clear" w:color="auto" w:fill="F2F2F2" w:themeFill="background1" w:themeFillShade="F2"/>
            <w:vAlign w:val="bottom"/>
          </w:tcPr>
          <w:p w:rsidR="00823E1F" w:rsidRPr="00E011A2" w:rsidRDefault="00823E1F" w:rsidP="00823E1F">
            <w:pPr>
              <w:rPr>
                <w:sz w:val="20"/>
                <w:szCs w:val="20"/>
              </w:rPr>
            </w:pPr>
            <w:r w:rsidRPr="00E011A2">
              <w:rPr>
                <w:rFonts w:cs="Arial"/>
                <w:sz w:val="20"/>
                <w:szCs w:val="20"/>
              </w:rPr>
              <w:t> </w:t>
            </w:r>
          </w:p>
        </w:tc>
        <w:tc>
          <w:tcPr>
            <w:tcW w:w="530" w:type="dxa"/>
            <w:shd w:val="clear" w:color="auto" w:fill="F2F2F2" w:themeFill="background1" w:themeFillShade="F2"/>
            <w:vAlign w:val="bottom"/>
          </w:tcPr>
          <w:p w:rsidR="00823E1F" w:rsidRPr="00E011A2" w:rsidRDefault="00823E1F" w:rsidP="00823E1F">
            <w:pPr>
              <w:rPr>
                <w:sz w:val="20"/>
                <w:szCs w:val="20"/>
              </w:rPr>
            </w:pPr>
            <w:r w:rsidRPr="00E011A2">
              <w:rPr>
                <w:rFonts w:cs="Arial"/>
                <w:color w:val="00B050"/>
                <w:sz w:val="20"/>
                <w:szCs w:val="20"/>
              </w:rPr>
              <w:t> </w:t>
            </w:r>
          </w:p>
        </w:tc>
        <w:tc>
          <w:tcPr>
            <w:tcW w:w="530" w:type="dxa"/>
            <w:shd w:val="clear" w:color="auto" w:fill="F2F2F2" w:themeFill="background1" w:themeFillShade="F2"/>
            <w:vAlign w:val="bottom"/>
          </w:tcPr>
          <w:p w:rsidR="00823E1F" w:rsidRPr="00E011A2" w:rsidRDefault="00823E1F" w:rsidP="00823E1F">
            <w:pPr>
              <w:rPr>
                <w:sz w:val="20"/>
                <w:szCs w:val="20"/>
              </w:rPr>
            </w:pPr>
            <w:r w:rsidRPr="00E011A2">
              <w:rPr>
                <w:rFonts w:cs="Arial"/>
                <w:sz w:val="20"/>
                <w:szCs w:val="20"/>
              </w:rPr>
              <w:t> </w:t>
            </w:r>
          </w:p>
        </w:tc>
      </w:tr>
      <w:tr w:rsidR="00823E1F" w:rsidRPr="00E011A2" w:rsidTr="005402AA">
        <w:trPr>
          <w:trHeight w:val="170"/>
        </w:trPr>
        <w:tc>
          <w:tcPr>
            <w:tcW w:w="1701" w:type="dxa"/>
            <w:shd w:val="clear" w:color="000000" w:fill="F2F2F2"/>
            <w:noWrap/>
            <w:vAlign w:val="bottom"/>
            <w:hideMark/>
          </w:tcPr>
          <w:p w:rsidR="00823E1F" w:rsidRPr="00E011A2" w:rsidRDefault="00823E1F" w:rsidP="00823E1F">
            <w:pPr>
              <w:rPr>
                <w:rFonts w:cs="Arial"/>
                <w:color w:val="00B050"/>
                <w:sz w:val="20"/>
                <w:szCs w:val="20"/>
              </w:rPr>
            </w:pPr>
            <w:r w:rsidRPr="00E011A2">
              <w:rPr>
                <w:rFonts w:cs="Arial"/>
                <w:color w:val="00B050"/>
                <w:sz w:val="20"/>
                <w:szCs w:val="20"/>
              </w:rPr>
              <w:t>20.001- 30.000</w:t>
            </w:r>
          </w:p>
        </w:tc>
        <w:tc>
          <w:tcPr>
            <w:tcW w:w="863" w:type="dxa"/>
            <w:shd w:val="clear" w:color="auto" w:fill="F2F2F2" w:themeFill="background1" w:themeFillShade="F2"/>
            <w:noWrap/>
            <w:vAlign w:val="bottom"/>
            <w:hideMark/>
          </w:tcPr>
          <w:p w:rsidR="00823E1F" w:rsidRPr="00E011A2" w:rsidRDefault="00823E1F" w:rsidP="00823E1F">
            <w:pPr>
              <w:rPr>
                <w:rFonts w:cs="Arial"/>
                <w:color w:val="00B050"/>
                <w:sz w:val="20"/>
                <w:szCs w:val="20"/>
              </w:rPr>
            </w:pPr>
            <w:r w:rsidRPr="00E011A2">
              <w:rPr>
                <w:rFonts w:cs="Arial"/>
                <w:color w:val="00B050"/>
                <w:sz w:val="20"/>
                <w:szCs w:val="20"/>
              </w:rPr>
              <w:t>22’803</w:t>
            </w:r>
          </w:p>
        </w:tc>
        <w:tc>
          <w:tcPr>
            <w:tcW w:w="863" w:type="dxa"/>
            <w:shd w:val="clear" w:color="auto" w:fill="F2F2F2" w:themeFill="background1" w:themeFillShade="F2"/>
            <w:noWrap/>
            <w:vAlign w:val="bottom"/>
            <w:hideMark/>
          </w:tcPr>
          <w:p w:rsidR="00823E1F" w:rsidRPr="00E011A2" w:rsidRDefault="00823E1F" w:rsidP="00823E1F">
            <w:pPr>
              <w:rPr>
                <w:rFonts w:cs="Arial"/>
                <w:color w:val="00B050"/>
                <w:sz w:val="20"/>
                <w:szCs w:val="20"/>
              </w:rPr>
            </w:pPr>
            <w:r w:rsidRPr="00E011A2">
              <w:rPr>
                <w:rFonts w:cs="Arial"/>
                <w:color w:val="00B050"/>
                <w:sz w:val="20"/>
                <w:szCs w:val="20"/>
              </w:rPr>
              <w:t> </w:t>
            </w:r>
          </w:p>
        </w:tc>
        <w:tc>
          <w:tcPr>
            <w:tcW w:w="863" w:type="dxa"/>
            <w:shd w:val="clear" w:color="auto" w:fill="F2F2F2" w:themeFill="background1" w:themeFillShade="F2"/>
            <w:noWrap/>
            <w:vAlign w:val="bottom"/>
            <w:hideMark/>
          </w:tcPr>
          <w:p w:rsidR="00823E1F" w:rsidRPr="00E011A2" w:rsidRDefault="00823E1F" w:rsidP="00823E1F">
            <w:pPr>
              <w:rPr>
                <w:rFonts w:cs="Arial"/>
                <w:sz w:val="20"/>
                <w:szCs w:val="20"/>
              </w:rPr>
            </w:pPr>
            <w:r w:rsidRPr="00E011A2">
              <w:rPr>
                <w:rFonts w:cs="Arial"/>
                <w:sz w:val="20"/>
                <w:szCs w:val="20"/>
              </w:rPr>
              <w:t>124’609</w:t>
            </w:r>
          </w:p>
        </w:tc>
        <w:tc>
          <w:tcPr>
            <w:tcW w:w="752" w:type="dxa"/>
            <w:shd w:val="clear" w:color="auto" w:fill="F2F2F2" w:themeFill="background1" w:themeFillShade="F2"/>
            <w:noWrap/>
            <w:vAlign w:val="bottom"/>
            <w:hideMark/>
          </w:tcPr>
          <w:p w:rsidR="00823E1F" w:rsidRPr="00E011A2" w:rsidRDefault="00823E1F" w:rsidP="00823E1F">
            <w:pPr>
              <w:rPr>
                <w:rFonts w:cs="Arial"/>
                <w:color w:val="00B050"/>
                <w:sz w:val="20"/>
                <w:szCs w:val="20"/>
              </w:rPr>
            </w:pPr>
            <w:r w:rsidRPr="00E011A2">
              <w:rPr>
                <w:rFonts w:cs="Arial"/>
                <w:color w:val="00B050"/>
                <w:sz w:val="20"/>
                <w:szCs w:val="20"/>
              </w:rPr>
              <w:t> </w:t>
            </w:r>
          </w:p>
        </w:tc>
        <w:tc>
          <w:tcPr>
            <w:tcW w:w="709" w:type="dxa"/>
            <w:shd w:val="clear" w:color="auto" w:fill="F2F2F2" w:themeFill="background1" w:themeFillShade="F2"/>
            <w:noWrap/>
            <w:vAlign w:val="bottom"/>
            <w:hideMark/>
          </w:tcPr>
          <w:p w:rsidR="00823E1F" w:rsidRPr="00E011A2" w:rsidRDefault="00823E1F" w:rsidP="00823E1F">
            <w:pPr>
              <w:rPr>
                <w:rFonts w:cs="Arial"/>
                <w:sz w:val="20"/>
                <w:szCs w:val="20"/>
              </w:rPr>
            </w:pPr>
            <w:r w:rsidRPr="00E011A2">
              <w:rPr>
                <w:rFonts w:cs="Arial"/>
                <w:sz w:val="20"/>
                <w:szCs w:val="20"/>
              </w:rPr>
              <w:t>67.7</w:t>
            </w:r>
          </w:p>
        </w:tc>
        <w:tc>
          <w:tcPr>
            <w:tcW w:w="863" w:type="dxa"/>
            <w:shd w:val="clear" w:color="auto" w:fill="F2F2F2" w:themeFill="background1" w:themeFillShade="F2"/>
            <w:vAlign w:val="bottom"/>
          </w:tcPr>
          <w:p w:rsidR="00823E1F" w:rsidRPr="00E011A2" w:rsidRDefault="00823E1F" w:rsidP="00823E1F">
            <w:pPr>
              <w:rPr>
                <w:sz w:val="20"/>
                <w:szCs w:val="20"/>
              </w:rPr>
            </w:pPr>
            <w:r w:rsidRPr="00E011A2">
              <w:rPr>
                <w:rFonts w:cs="Arial"/>
                <w:color w:val="00B050"/>
                <w:sz w:val="20"/>
                <w:szCs w:val="20"/>
              </w:rPr>
              <w:t>20’469</w:t>
            </w:r>
          </w:p>
        </w:tc>
        <w:tc>
          <w:tcPr>
            <w:tcW w:w="863" w:type="dxa"/>
            <w:shd w:val="clear" w:color="auto" w:fill="F2F2F2" w:themeFill="background1" w:themeFillShade="F2"/>
            <w:vAlign w:val="bottom"/>
          </w:tcPr>
          <w:p w:rsidR="00823E1F" w:rsidRPr="00E011A2" w:rsidRDefault="00823E1F" w:rsidP="00823E1F">
            <w:pPr>
              <w:rPr>
                <w:sz w:val="20"/>
                <w:szCs w:val="20"/>
              </w:rPr>
            </w:pPr>
            <w:r w:rsidRPr="00E011A2">
              <w:rPr>
                <w:rFonts w:cs="Arial"/>
                <w:color w:val="00B050"/>
                <w:sz w:val="20"/>
                <w:szCs w:val="20"/>
              </w:rPr>
              <w:t> </w:t>
            </w:r>
          </w:p>
        </w:tc>
        <w:tc>
          <w:tcPr>
            <w:tcW w:w="863" w:type="dxa"/>
            <w:shd w:val="clear" w:color="auto" w:fill="F2F2F2" w:themeFill="background1" w:themeFillShade="F2"/>
            <w:vAlign w:val="bottom"/>
          </w:tcPr>
          <w:p w:rsidR="00823E1F" w:rsidRPr="00E011A2" w:rsidRDefault="00823E1F" w:rsidP="00823E1F">
            <w:pPr>
              <w:rPr>
                <w:sz w:val="20"/>
                <w:szCs w:val="20"/>
              </w:rPr>
            </w:pPr>
            <w:r w:rsidRPr="00E011A2">
              <w:rPr>
                <w:rFonts w:cs="Arial"/>
                <w:sz w:val="20"/>
                <w:szCs w:val="20"/>
              </w:rPr>
              <w:t>131’297</w:t>
            </w:r>
          </w:p>
        </w:tc>
        <w:tc>
          <w:tcPr>
            <w:tcW w:w="530" w:type="dxa"/>
            <w:shd w:val="clear" w:color="auto" w:fill="F2F2F2" w:themeFill="background1" w:themeFillShade="F2"/>
            <w:vAlign w:val="bottom"/>
          </w:tcPr>
          <w:p w:rsidR="00823E1F" w:rsidRPr="00E011A2" w:rsidRDefault="00823E1F" w:rsidP="00823E1F">
            <w:pPr>
              <w:rPr>
                <w:sz w:val="20"/>
                <w:szCs w:val="20"/>
              </w:rPr>
            </w:pPr>
            <w:r w:rsidRPr="00E011A2">
              <w:rPr>
                <w:rFonts w:cs="Arial"/>
                <w:color w:val="00B050"/>
                <w:sz w:val="20"/>
                <w:szCs w:val="20"/>
              </w:rPr>
              <w:t> </w:t>
            </w:r>
          </w:p>
        </w:tc>
        <w:tc>
          <w:tcPr>
            <w:tcW w:w="530" w:type="dxa"/>
            <w:shd w:val="clear" w:color="auto" w:fill="F2F2F2" w:themeFill="background1" w:themeFillShade="F2"/>
            <w:vAlign w:val="bottom"/>
          </w:tcPr>
          <w:p w:rsidR="00823E1F" w:rsidRPr="00E011A2" w:rsidRDefault="00823E1F" w:rsidP="00823E1F">
            <w:pPr>
              <w:rPr>
                <w:sz w:val="20"/>
                <w:szCs w:val="20"/>
              </w:rPr>
            </w:pPr>
            <w:r w:rsidRPr="00E011A2">
              <w:rPr>
                <w:rFonts w:cs="Arial"/>
                <w:sz w:val="20"/>
                <w:szCs w:val="20"/>
              </w:rPr>
              <w:t>64.5</w:t>
            </w:r>
          </w:p>
        </w:tc>
      </w:tr>
      <w:tr w:rsidR="00823E1F" w:rsidRPr="00E011A2" w:rsidTr="005402AA">
        <w:trPr>
          <w:trHeight w:val="170"/>
        </w:trPr>
        <w:tc>
          <w:tcPr>
            <w:tcW w:w="1701" w:type="dxa"/>
            <w:shd w:val="clear" w:color="000000" w:fill="F2F2F2"/>
            <w:noWrap/>
            <w:vAlign w:val="bottom"/>
            <w:hideMark/>
          </w:tcPr>
          <w:p w:rsidR="00823E1F" w:rsidRPr="00E011A2" w:rsidRDefault="00823E1F" w:rsidP="00823E1F">
            <w:pPr>
              <w:rPr>
                <w:rFonts w:cs="Arial"/>
                <w:color w:val="00B050"/>
                <w:sz w:val="20"/>
                <w:szCs w:val="20"/>
              </w:rPr>
            </w:pPr>
            <w:r w:rsidRPr="00E011A2">
              <w:rPr>
                <w:rFonts w:cs="Arial"/>
                <w:color w:val="00B050"/>
                <w:sz w:val="20"/>
                <w:szCs w:val="20"/>
              </w:rPr>
              <w:t>30.001- 40.000</w:t>
            </w:r>
          </w:p>
        </w:tc>
        <w:tc>
          <w:tcPr>
            <w:tcW w:w="863" w:type="dxa"/>
            <w:shd w:val="clear" w:color="auto" w:fill="F2F2F2" w:themeFill="background1" w:themeFillShade="F2"/>
            <w:noWrap/>
            <w:vAlign w:val="bottom"/>
            <w:hideMark/>
          </w:tcPr>
          <w:p w:rsidR="00823E1F" w:rsidRPr="00E011A2" w:rsidRDefault="00823E1F" w:rsidP="00823E1F">
            <w:pPr>
              <w:rPr>
                <w:rFonts w:cs="Arial"/>
                <w:color w:val="00B050"/>
                <w:sz w:val="20"/>
                <w:szCs w:val="20"/>
              </w:rPr>
            </w:pPr>
            <w:r w:rsidRPr="00E011A2">
              <w:rPr>
                <w:rFonts w:cs="Arial"/>
                <w:color w:val="00B050"/>
                <w:sz w:val="20"/>
                <w:szCs w:val="20"/>
              </w:rPr>
              <w:t>23’732</w:t>
            </w:r>
          </w:p>
        </w:tc>
        <w:tc>
          <w:tcPr>
            <w:tcW w:w="863" w:type="dxa"/>
            <w:shd w:val="clear" w:color="auto" w:fill="F2F2F2" w:themeFill="background1" w:themeFillShade="F2"/>
            <w:noWrap/>
            <w:vAlign w:val="bottom"/>
            <w:hideMark/>
          </w:tcPr>
          <w:p w:rsidR="00823E1F" w:rsidRPr="00E011A2" w:rsidRDefault="00823E1F" w:rsidP="00823E1F">
            <w:pPr>
              <w:rPr>
                <w:rFonts w:cs="Arial"/>
                <w:color w:val="00B050"/>
                <w:sz w:val="20"/>
                <w:szCs w:val="20"/>
              </w:rPr>
            </w:pPr>
            <w:r w:rsidRPr="00E011A2">
              <w:rPr>
                <w:rFonts w:cs="Arial"/>
                <w:color w:val="00B050"/>
                <w:sz w:val="20"/>
                <w:szCs w:val="20"/>
              </w:rPr>
              <w:t> </w:t>
            </w:r>
          </w:p>
        </w:tc>
        <w:tc>
          <w:tcPr>
            <w:tcW w:w="863" w:type="dxa"/>
            <w:shd w:val="clear" w:color="auto" w:fill="F2F2F2" w:themeFill="background1" w:themeFillShade="F2"/>
            <w:noWrap/>
            <w:vAlign w:val="bottom"/>
            <w:hideMark/>
          </w:tcPr>
          <w:p w:rsidR="00823E1F" w:rsidRPr="00E011A2" w:rsidRDefault="00823E1F" w:rsidP="00823E1F">
            <w:pPr>
              <w:rPr>
                <w:rFonts w:cs="Arial"/>
                <w:sz w:val="20"/>
                <w:szCs w:val="20"/>
              </w:rPr>
            </w:pPr>
            <w:r w:rsidRPr="00E011A2">
              <w:rPr>
                <w:rFonts w:cs="Arial"/>
                <w:sz w:val="20"/>
                <w:szCs w:val="20"/>
              </w:rPr>
              <w:t> </w:t>
            </w:r>
          </w:p>
        </w:tc>
        <w:tc>
          <w:tcPr>
            <w:tcW w:w="752" w:type="dxa"/>
            <w:shd w:val="clear" w:color="auto" w:fill="F2F2F2" w:themeFill="background1" w:themeFillShade="F2"/>
            <w:noWrap/>
            <w:vAlign w:val="bottom"/>
            <w:hideMark/>
          </w:tcPr>
          <w:p w:rsidR="00823E1F" w:rsidRPr="00E011A2" w:rsidRDefault="00823E1F" w:rsidP="00823E1F">
            <w:pPr>
              <w:rPr>
                <w:rFonts w:cs="Arial"/>
                <w:color w:val="00B050"/>
                <w:sz w:val="20"/>
                <w:szCs w:val="20"/>
              </w:rPr>
            </w:pPr>
            <w:r w:rsidRPr="00E011A2">
              <w:rPr>
                <w:rFonts w:cs="Arial"/>
                <w:color w:val="00B050"/>
                <w:sz w:val="20"/>
                <w:szCs w:val="20"/>
              </w:rPr>
              <w:t> </w:t>
            </w:r>
          </w:p>
        </w:tc>
        <w:tc>
          <w:tcPr>
            <w:tcW w:w="709" w:type="dxa"/>
            <w:shd w:val="clear" w:color="auto" w:fill="F2F2F2" w:themeFill="background1" w:themeFillShade="F2"/>
            <w:noWrap/>
            <w:vAlign w:val="bottom"/>
            <w:hideMark/>
          </w:tcPr>
          <w:p w:rsidR="00823E1F" w:rsidRPr="00E011A2" w:rsidRDefault="00823E1F" w:rsidP="00823E1F">
            <w:pPr>
              <w:rPr>
                <w:rFonts w:cs="Arial"/>
                <w:sz w:val="20"/>
                <w:szCs w:val="20"/>
              </w:rPr>
            </w:pPr>
            <w:r w:rsidRPr="00E011A2">
              <w:rPr>
                <w:rFonts w:cs="Arial"/>
                <w:sz w:val="20"/>
                <w:szCs w:val="20"/>
              </w:rPr>
              <w:t> </w:t>
            </w:r>
          </w:p>
        </w:tc>
        <w:tc>
          <w:tcPr>
            <w:tcW w:w="863" w:type="dxa"/>
            <w:shd w:val="clear" w:color="auto" w:fill="F2F2F2" w:themeFill="background1" w:themeFillShade="F2"/>
            <w:vAlign w:val="bottom"/>
          </w:tcPr>
          <w:p w:rsidR="00823E1F" w:rsidRPr="00E011A2" w:rsidRDefault="00823E1F" w:rsidP="00823E1F">
            <w:pPr>
              <w:rPr>
                <w:sz w:val="20"/>
                <w:szCs w:val="20"/>
              </w:rPr>
            </w:pPr>
            <w:r w:rsidRPr="00E011A2">
              <w:rPr>
                <w:rFonts w:cs="Arial"/>
                <w:color w:val="00B050"/>
                <w:sz w:val="20"/>
                <w:szCs w:val="20"/>
              </w:rPr>
              <w:t>22’958</w:t>
            </w:r>
          </w:p>
        </w:tc>
        <w:tc>
          <w:tcPr>
            <w:tcW w:w="863" w:type="dxa"/>
            <w:shd w:val="clear" w:color="auto" w:fill="F2F2F2" w:themeFill="background1" w:themeFillShade="F2"/>
            <w:vAlign w:val="bottom"/>
          </w:tcPr>
          <w:p w:rsidR="00823E1F" w:rsidRPr="00E011A2" w:rsidRDefault="00823E1F" w:rsidP="00823E1F">
            <w:pPr>
              <w:rPr>
                <w:sz w:val="20"/>
                <w:szCs w:val="20"/>
              </w:rPr>
            </w:pPr>
            <w:r w:rsidRPr="00E011A2">
              <w:rPr>
                <w:rFonts w:cs="Arial"/>
                <w:color w:val="00B050"/>
                <w:sz w:val="20"/>
                <w:szCs w:val="20"/>
              </w:rPr>
              <w:t> </w:t>
            </w:r>
          </w:p>
        </w:tc>
        <w:tc>
          <w:tcPr>
            <w:tcW w:w="863" w:type="dxa"/>
            <w:shd w:val="clear" w:color="auto" w:fill="F2F2F2" w:themeFill="background1" w:themeFillShade="F2"/>
            <w:vAlign w:val="bottom"/>
          </w:tcPr>
          <w:p w:rsidR="00823E1F" w:rsidRPr="00E011A2" w:rsidRDefault="00823E1F" w:rsidP="00823E1F">
            <w:pPr>
              <w:rPr>
                <w:sz w:val="20"/>
                <w:szCs w:val="20"/>
              </w:rPr>
            </w:pPr>
            <w:r w:rsidRPr="00E011A2">
              <w:rPr>
                <w:rFonts w:cs="Arial"/>
                <w:sz w:val="20"/>
                <w:szCs w:val="20"/>
              </w:rPr>
              <w:t> </w:t>
            </w:r>
          </w:p>
        </w:tc>
        <w:tc>
          <w:tcPr>
            <w:tcW w:w="530" w:type="dxa"/>
            <w:shd w:val="clear" w:color="auto" w:fill="F2F2F2" w:themeFill="background1" w:themeFillShade="F2"/>
            <w:vAlign w:val="bottom"/>
          </w:tcPr>
          <w:p w:rsidR="00823E1F" w:rsidRPr="00E011A2" w:rsidRDefault="00823E1F" w:rsidP="00823E1F">
            <w:pPr>
              <w:rPr>
                <w:sz w:val="20"/>
                <w:szCs w:val="20"/>
              </w:rPr>
            </w:pPr>
            <w:r w:rsidRPr="00E011A2">
              <w:rPr>
                <w:rFonts w:cs="Arial"/>
                <w:color w:val="00B050"/>
                <w:sz w:val="20"/>
                <w:szCs w:val="20"/>
              </w:rPr>
              <w:t> </w:t>
            </w:r>
          </w:p>
        </w:tc>
        <w:tc>
          <w:tcPr>
            <w:tcW w:w="530" w:type="dxa"/>
            <w:shd w:val="clear" w:color="auto" w:fill="F2F2F2" w:themeFill="background1" w:themeFillShade="F2"/>
            <w:vAlign w:val="bottom"/>
          </w:tcPr>
          <w:p w:rsidR="00823E1F" w:rsidRPr="00E011A2" w:rsidRDefault="00823E1F" w:rsidP="00823E1F">
            <w:pPr>
              <w:rPr>
                <w:sz w:val="20"/>
                <w:szCs w:val="20"/>
              </w:rPr>
            </w:pPr>
            <w:r w:rsidRPr="00E011A2">
              <w:rPr>
                <w:rFonts w:cs="Arial"/>
                <w:sz w:val="20"/>
                <w:szCs w:val="20"/>
              </w:rPr>
              <w:t> </w:t>
            </w:r>
          </w:p>
        </w:tc>
      </w:tr>
      <w:tr w:rsidR="00823E1F" w:rsidRPr="00E011A2" w:rsidTr="005402AA">
        <w:trPr>
          <w:trHeight w:val="170"/>
        </w:trPr>
        <w:tc>
          <w:tcPr>
            <w:tcW w:w="1701" w:type="dxa"/>
            <w:shd w:val="clear" w:color="000000" w:fill="F2F2F2"/>
            <w:noWrap/>
            <w:vAlign w:val="bottom"/>
            <w:hideMark/>
          </w:tcPr>
          <w:p w:rsidR="00823E1F" w:rsidRPr="00E011A2" w:rsidRDefault="00823E1F" w:rsidP="00823E1F">
            <w:pPr>
              <w:rPr>
                <w:rFonts w:cs="Arial"/>
                <w:color w:val="00B050"/>
                <w:sz w:val="20"/>
                <w:szCs w:val="20"/>
              </w:rPr>
            </w:pPr>
            <w:r w:rsidRPr="00E011A2">
              <w:rPr>
                <w:rFonts w:cs="Arial"/>
                <w:color w:val="00B050"/>
                <w:sz w:val="20"/>
                <w:szCs w:val="20"/>
              </w:rPr>
              <w:t>40.001- 50.000</w:t>
            </w:r>
          </w:p>
        </w:tc>
        <w:tc>
          <w:tcPr>
            <w:tcW w:w="863" w:type="dxa"/>
            <w:shd w:val="clear" w:color="auto" w:fill="F2F2F2" w:themeFill="background1" w:themeFillShade="F2"/>
            <w:noWrap/>
            <w:vAlign w:val="bottom"/>
            <w:hideMark/>
          </w:tcPr>
          <w:p w:rsidR="00823E1F" w:rsidRPr="00E011A2" w:rsidRDefault="00823E1F" w:rsidP="00823E1F">
            <w:pPr>
              <w:rPr>
                <w:rFonts w:cs="Arial"/>
                <w:color w:val="00B050"/>
                <w:sz w:val="20"/>
                <w:szCs w:val="20"/>
              </w:rPr>
            </w:pPr>
            <w:r w:rsidRPr="00E011A2">
              <w:rPr>
                <w:rFonts w:cs="Arial"/>
                <w:color w:val="00B050"/>
                <w:sz w:val="20"/>
                <w:szCs w:val="20"/>
              </w:rPr>
              <w:t>21’396</w:t>
            </w:r>
          </w:p>
        </w:tc>
        <w:tc>
          <w:tcPr>
            <w:tcW w:w="863" w:type="dxa"/>
            <w:shd w:val="clear" w:color="auto" w:fill="F2F2F2" w:themeFill="background1" w:themeFillShade="F2"/>
            <w:noWrap/>
            <w:vAlign w:val="bottom"/>
            <w:hideMark/>
          </w:tcPr>
          <w:p w:rsidR="00823E1F" w:rsidRPr="00E011A2" w:rsidRDefault="00823E1F" w:rsidP="00823E1F">
            <w:pPr>
              <w:rPr>
                <w:rFonts w:cs="Arial"/>
                <w:color w:val="00B050"/>
                <w:sz w:val="20"/>
                <w:szCs w:val="20"/>
              </w:rPr>
            </w:pPr>
            <w:r w:rsidRPr="00E011A2">
              <w:rPr>
                <w:rFonts w:cs="Arial"/>
                <w:color w:val="00B050"/>
                <w:sz w:val="20"/>
                <w:szCs w:val="20"/>
              </w:rPr>
              <w:t>82’302</w:t>
            </w:r>
          </w:p>
        </w:tc>
        <w:tc>
          <w:tcPr>
            <w:tcW w:w="863" w:type="dxa"/>
            <w:shd w:val="clear" w:color="auto" w:fill="F2F2F2" w:themeFill="background1" w:themeFillShade="F2"/>
            <w:noWrap/>
            <w:vAlign w:val="bottom"/>
            <w:hideMark/>
          </w:tcPr>
          <w:p w:rsidR="00823E1F" w:rsidRPr="00E011A2" w:rsidRDefault="00823E1F" w:rsidP="00823E1F">
            <w:pPr>
              <w:rPr>
                <w:rFonts w:cs="Arial"/>
                <w:sz w:val="20"/>
                <w:szCs w:val="20"/>
              </w:rPr>
            </w:pPr>
            <w:r w:rsidRPr="00E011A2">
              <w:rPr>
                <w:rFonts w:cs="Arial"/>
                <w:sz w:val="20"/>
                <w:szCs w:val="20"/>
              </w:rPr>
              <w:t> </w:t>
            </w:r>
          </w:p>
        </w:tc>
        <w:tc>
          <w:tcPr>
            <w:tcW w:w="752" w:type="dxa"/>
            <w:shd w:val="clear" w:color="auto" w:fill="F2F2F2" w:themeFill="background1" w:themeFillShade="F2"/>
            <w:noWrap/>
            <w:vAlign w:val="bottom"/>
            <w:hideMark/>
          </w:tcPr>
          <w:p w:rsidR="00823E1F" w:rsidRPr="00E011A2" w:rsidRDefault="00823E1F" w:rsidP="00823E1F">
            <w:pPr>
              <w:rPr>
                <w:rFonts w:cs="Arial"/>
                <w:color w:val="00B050"/>
                <w:sz w:val="20"/>
                <w:szCs w:val="20"/>
              </w:rPr>
            </w:pPr>
            <w:r w:rsidRPr="00E011A2">
              <w:rPr>
                <w:rFonts w:cs="Arial"/>
                <w:color w:val="00B050"/>
                <w:sz w:val="20"/>
                <w:szCs w:val="20"/>
              </w:rPr>
              <w:t>44.7</w:t>
            </w:r>
          </w:p>
        </w:tc>
        <w:tc>
          <w:tcPr>
            <w:tcW w:w="709" w:type="dxa"/>
            <w:shd w:val="clear" w:color="auto" w:fill="F2F2F2" w:themeFill="background1" w:themeFillShade="F2"/>
            <w:noWrap/>
            <w:vAlign w:val="bottom"/>
            <w:hideMark/>
          </w:tcPr>
          <w:p w:rsidR="00823E1F" w:rsidRPr="00E011A2" w:rsidRDefault="00823E1F" w:rsidP="00823E1F">
            <w:pPr>
              <w:rPr>
                <w:rFonts w:cs="Arial"/>
                <w:sz w:val="20"/>
                <w:szCs w:val="20"/>
              </w:rPr>
            </w:pPr>
            <w:r w:rsidRPr="00E011A2">
              <w:rPr>
                <w:rFonts w:cs="Arial"/>
                <w:sz w:val="20"/>
                <w:szCs w:val="20"/>
              </w:rPr>
              <w:t> </w:t>
            </w:r>
          </w:p>
        </w:tc>
        <w:tc>
          <w:tcPr>
            <w:tcW w:w="863" w:type="dxa"/>
            <w:shd w:val="clear" w:color="auto" w:fill="F2F2F2" w:themeFill="background1" w:themeFillShade="F2"/>
            <w:vAlign w:val="bottom"/>
          </w:tcPr>
          <w:p w:rsidR="00823E1F" w:rsidRPr="00E011A2" w:rsidRDefault="00823E1F" w:rsidP="00823E1F">
            <w:pPr>
              <w:rPr>
                <w:sz w:val="20"/>
                <w:szCs w:val="20"/>
              </w:rPr>
            </w:pPr>
            <w:r w:rsidRPr="00E011A2">
              <w:rPr>
                <w:rFonts w:cs="Arial"/>
                <w:color w:val="00B050"/>
                <w:sz w:val="20"/>
                <w:szCs w:val="20"/>
              </w:rPr>
              <w:t>21’750</w:t>
            </w:r>
          </w:p>
        </w:tc>
        <w:tc>
          <w:tcPr>
            <w:tcW w:w="863" w:type="dxa"/>
            <w:shd w:val="clear" w:color="auto" w:fill="F2F2F2" w:themeFill="background1" w:themeFillShade="F2"/>
            <w:vAlign w:val="bottom"/>
          </w:tcPr>
          <w:p w:rsidR="00823E1F" w:rsidRPr="00E011A2" w:rsidRDefault="00823E1F" w:rsidP="00823E1F">
            <w:pPr>
              <w:rPr>
                <w:sz w:val="20"/>
                <w:szCs w:val="20"/>
              </w:rPr>
            </w:pPr>
            <w:r w:rsidRPr="00E011A2">
              <w:rPr>
                <w:rFonts w:cs="Arial"/>
                <w:color w:val="00B050"/>
                <w:sz w:val="20"/>
                <w:szCs w:val="20"/>
              </w:rPr>
              <w:t>77’463</w:t>
            </w:r>
          </w:p>
        </w:tc>
        <w:tc>
          <w:tcPr>
            <w:tcW w:w="863" w:type="dxa"/>
            <w:shd w:val="clear" w:color="auto" w:fill="F2F2F2" w:themeFill="background1" w:themeFillShade="F2"/>
            <w:vAlign w:val="bottom"/>
          </w:tcPr>
          <w:p w:rsidR="00823E1F" w:rsidRPr="00E011A2" w:rsidRDefault="00823E1F" w:rsidP="00823E1F">
            <w:pPr>
              <w:rPr>
                <w:sz w:val="20"/>
                <w:szCs w:val="20"/>
              </w:rPr>
            </w:pPr>
            <w:r w:rsidRPr="00E011A2">
              <w:rPr>
                <w:rFonts w:cs="Arial"/>
                <w:sz w:val="20"/>
                <w:szCs w:val="20"/>
              </w:rPr>
              <w:t> </w:t>
            </w:r>
          </w:p>
        </w:tc>
        <w:tc>
          <w:tcPr>
            <w:tcW w:w="530" w:type="dxa"/>
            <w:shd w:val="clear" w:color="auto" w:fill="F2F2F2" w:themeFill="background1" w:themeFillShade="F2"/>
            <w:vAlign w:val="bottom"/>
          </w:tcPr>
          <w:p w:rsidR="00823E1F" w:rsidRPr="00E011A2" w:rsidRDefault="00823E1F" w:rsidP="00823E1F">
            <w:pPr>
              <w:rPr>
                <w:sz w:val="20"/>
                <w:szCs w:val="20"/>
              </w:rPr>
            </w:pPr>
            <w:r w:rsidRPr="00E011A2">
              <w:rPr>
                <w:rFonts w:cs="Arial"/>
                <w:color w:val="00B050"/>
                <w:sz w:val="20"/>
                <w:szCs w:val="20"/>
              </w:rPr>
              <w:t>37.9</w:t>
            </w:r>
          </w:p>
        </w:tc>
        <w:tc>
          <w:tcPr>
            <w:tcW w:w="530" w:type="dxa"/>
            <w:shd w:val="clear" w:color="auto" w:fill="F2F2F2" w:themeFill="background1" w:themeFillShade="F2"/>
            <w:vAlign w:val="bottom"/>
          </w:tcPr>
          <w:p w:rsidR="00823E1F" w:rsidRPr="00E011A2" w:rsidRDefault="00823E1F" w:rsidP="00823E1F">
            <w:pPr>
              <w:rPr>
                <w:sz w:val="20"/>
                <w:szCs w:val="20"/>
              </w:rPr>
            </w:pPr>
            <w:r w:rsidRPr="00E011A2">
              <w:rPr>
                <w:rFonts w:cs="Arial"/>
                <w:sz w:val="20"/>
                <w:szCs w:val="20"/>
              </w:rPr>
              <w:t> </w:t>
            </w:r>
          </w:p>
        </w:tc>
      </w:tr>
      <w:tr w:rsidR="00823E1F" w:rsidRPr="00E011A2" w:rsidTr="005402AA">
        <w:trPr>
          <w:trHeight w:val="170"/>
        </w:trPr>
        <w:tc>
          <w:tcPr>
            <w:tcW w:w="1701" w:type="dxa"/>
            <w:shd w:val="clear" w:color="000000" w:fill="F2F2F2"/>
            <w:noWrap/>
            <w:vAlign w:val="bottom"/>
            <w:hideMark/>
          </w:tcPr>
          <w:p w:rsidR="00823E1F" w:rsidRPr="00E011A2" w:rsidRDefault="00823E1F" w:rsidP="00823E1F">
            <w:pPr>
              <w:rPr>
                <w:rFonts w:cs="Arial"/>
                <w:color w:val="ED7D31"/>
                <w:sz w:val="20"/>
                <w:szCs w:val="20"/>
              </w:rPr>
            </w:pPr>
            <w:r w:rsidRPr="00E011A2">
              <w:rPr>
                <w:rFonts w:cs="Arial"/>
                <w:color w:val="ED7D31"/>
                <w:sz w:val="20"/>
                <w:szCs w:val="20"/>
              </w:rPr>
              <w:t>50.001- 60.000</w:t>
            </w:r>
          </w:p>
        </w:tc>
        <w:tc>
          <w:tcPr>
            <w:tcW w:w="863" w:type="dxa"/>
            <w:shd w:val="clear" w:color="auto" w:fill="F2F2F2" w:themeFill="background1" w:themeFillShade="F2"/>
            <w:noWrap/>
            <w:vAlign w:val="bottom"/>
            <w:hideMark/>
          </w:tcPr>
          <w:p w:rsidR="00823E1F" w:rsidRPr="00E011A2" w:rsidRDefault="00823E1F" w:rsidP="00823E1F">
            <w:pPr>
              <w:rPr>
                <w:rFonts w:cs="Arial"/>
                <w:color w:val="ED7D31"/>
                <w:sz w:val="20"/>
                <w:szCs w:val="20"/>
              </w:rPr>
            </w:pPr>
            <w:r w:rsidRPr="00E011A2">
              <w:rPr>
                <w:rFonts w:cs="Arial"/>
                <w:color w:val="ED7D31"/>
                <w:sz w:val="20"/>
                <w:szCs w:val="20"/>
              </w:rPr>
              <w:t>16’403</w:t>
            </w:r>
          </w:p>
        </w:tc>
        <w:tc>
          <w:tcPr>
            <w:tcW w:w="863" w:type="dxa"/>
            <w:shd w:val="clear" w:color="auto" w:fill="F2F2F2" w:themeFill="background1" w:themeFillShade="F2"/>
            <w:noWrap/>
            <w:vAlign w:val="bottom"/>
            <w:hideMark/>
          </w:tcPr>
          <w:p w:rsidR="00823E1F" w:rsidRPr="00E011A2" w:rsidRDefault="00823E1F" w:rsidP="00823E1F">
            <w:pPr>
              <w:rPr>
                <w:rFonts w:cs="Arial"/>
                <w:color w:val="ED7D31"/>
                <w:sz w:val="20"/>
                <w:szCs w:val="20"/>
              </w:rPr>
            </w:pPr>
            <w:r w:rsidRPr="00E011A2">
              <w:rPr>
                <w:rFonts w:cs="Arial"/>
                <w:color w:val="ED7D31"/>
                <w:sz w:val="20"/>
                <w:szCs w:val="20"/>
              </w:rPr>
              <w:t> </w:t>
            </w:r>
          </w:p>
        </w:tc>
        <w:tc>
          <w:tcPr>
            <w:tcW w:w="863" w:type="dxa"/>
            <w:shd w:val="clear" w:color="auto" w:fill="F2F2F2" w:themeFill="background1" w:themeFillShade="F2"/>
            <w:noWrap/>
            <w:vAlign w:val="bottom"/>
            <w:hideMark/>
          </w:tcPr>
          <w:p w:rsidR="00823E1F" w:rsidRPr="00E011A2" w:rsidRDefault="00823E1F" w:rsidP="00823E1F">
            <w:pPr>
              <w:rPr>
                <w:rFonts w:cs="Arial"/>
                <w:sz w:val="20"/>
                <w:szCs w:val="20"/>
              </w:rPr>
            </w:pPr>
            <w:r w:rsidRPr="00E011A2">
              <w:rPr>
                <w:rFonts w:cs="Arial"/>
                <w:sz w:val="20"/>
                <w:szCs w:val="20"/>
              </w:rPr>
              <w:t> </w:t>
            </w:r>
          </w:p>
        </w:tc>
        <w:tc>
          <w:tcPr>
            <w:tcW w:w="752" w:type="dxa"/>
            <w:shd w:val="clear" w:color="auto" w:fill="F2F2F2" w:themeFill="background1" w:themeFillShade="F2"/>
            <w:noWrap/>
            <w:vAlign w:val="bottom"/>
            <w:hideMark/>
          </w:tcPr>
          <w:p w:rsidR="00823E1F" w:rsidRPr="00E011A2" w:rsidRDefault="00823E1F" w:rsidP="00823E1F">
            <w:pPr>
              <w:rPr>
                <w:rFonts w:cs="Arial"/>
                <w:color w:val="ED7D31"/>
                <w:sz w:val="20"/>
                <w:szCs w:val="20"/>
              </w:rPr>
            </w:pPr>
            <w:r w:rsidRPr="00E011A2">
              <w:rPr>
                <w:rFonts w:cs="Arial"/>
                <w:color w:val="ED7D31"/>
                <w:sz w:val="20"/>
                <w:szCs w:val="20"/>
              </w:rPr>
              <w:t> </w:t>
            </w:r>
          </w:p>
        </w:tc>
        <w:tc>
          <w:tcPr>
            <w:tcW w:w="709" w:type="dxa"/>
            <w:shd w:val="clear" w:color="auto" w:fill="F2F2F2" w:themeFill="background1" w:themeFillShade="F2"/>
            <w:noWrap/>
            <w:vAlign w:val="bottom"/>
            <w:hideMark/>
          </w:tcPr>
          <w:p w:rsidR="00823E1F" w:rsidRPr="00E011A2" w:rsidRDefault="00823E1F" w:rsidP="00823E1F">
            <w:pPr>
              <w:rPr>
                <w:rFonts w:cs="Arial"/>
                <w:sz w:val="20"/>
                <w:szCs w:val="20"/>
              </w:rPr>
            </w:pPr>
            <w:r w:rsidRPr="00E011A2">
              <w:rPr>
                <w:rFonts w:cs="Arial"/>
                <w:sz w:val="20"/>
                <w:szCs w:val="20"/>
              </w:rPr>
              <w:t> </w:t>
            </w:r>
          </w:p>
        </w:tc>
        <w:tc>
          <w:tcPr>
            <w:tcW w:w="863" w:type="dxa"/>
            <w:shd w:val="clear" w:color="auto" w:fill="F2F2F2" w:themeFill="background1" w:themeFillShade="F2"/>
            <w:vAlign w:val="bottom"/>
          </w:tcPr>
          <w:p w:rsidR="00823E1F" w:rsidRPr="00E011A2" w:rsidRDefault="00823E1F" w:rsidP="00823E1F">
            <w:pPr>
              <w:rPr>
                <w:sz w:val="20"/>
                <w:szCs w:val="20"/>
              </w:rPr>
            </w:pPr>
            <w:r w:rsidRPr="00E011A2">
              <w:rPr>
                <w:rFonts w:cs="Arial"/>
                <w:color w:val="ED7D31"/>
                <w:sz w:val="20"/>
                <w:szCs w:val="20"/>
              </w:rPr>
              <w:t>18’206</w:t>
            </w:r>
          </w:p>
        </w:tc>
        <w:tc>
          <w:tcPr>
            <w:tcW w:w="863" w:type="dxa"/>
            <w:shd w:val="clear" w:color="auto" w:fill="F2F2F2" w:themeFill="background1" w:themeFillShade="F2"/>
            <w:vAlign w:val="bottom"/>
          </w:tcPr>
          <w:p w:rsidR="00823E1F" w:rsidRPr="00E011A2" w:rsidRDefault="00823E1F" w:rsidP="00823E1F">
            <w:pPr>
              <w:rPr>
                <w:sz w:val="20"/>
                <w:szCs w:val="20"/>
              </w:rPr>
            </w:pPr>
            <w:r w:rsidRPr="00E011A2">
              <w:rPr>
                <w:rFonts w:cs="Arial"/>
                <w:color w:val="ED7D31"/>
                <w:sz w:val="20"/>
                <w:szCs w:val="20"/>
              </w:rPr>
              <w:t> </w:t>
            </w:r>
          </w:p>
        </w:tc>
        <w:tc>
          <w:tcPr>
            <w:tcW w:w="863" w:type="dxa"/>
            <w:shd w:val="clear" w:color="auto" w:fill="F2F2F2" w:themeFill="background1" w:themeFillShade="F2"/>
            <w:vAlign w:val="bottom"/>
          </w:tcPr>
          <w:p w:rsidR="00823E1F" w:rsidRPr="00E011A2" w:rsidRDefault="00823E1F" w:rsidP="00823E1F">
            <w:pPr>
              <w:rPr>
                <w:sz w:val="20"/>
                <w:szCs w:val="20"/>
              </w:rPr>
            </w:pPr>
            <w:r w:rsidRPr="00E011A2">
              <w:rPr>
                <w:rFonts w:cs="Arial"/>
                <w:sz w:val="20"/>
                <w:szCs w:val="20"/>
              </w:rPr>
              <w:t> </w:t>
            </w:r>
          </w:p>
        </w:tc>
        <w:tc>
          <w:tcPr>
            <w:tcW w:w="530" w:type="dxa"/>
            <w:shd w:val="clear" w:color="auto" w:fill="F2F2F2" w:themeFill="background1" w:themeFillShade="F2"/>
            <w:vAlign w:val="bottom"/>
          </w:tcPr>
          <w:p w:rsidR="00823E1F" w:rsidRPr="00E011A2" w:rsidRDefault="00823E1F" w:rsidP="00823E1F">
            <w:pPr>
              <w:rPr>
                <w:sz w:val="20"/>
                <w:szCs w:val="20"/>
              </w:rPr>
            </w:pPr>
          </w:p>
        </w:tc>
        <w:tc>
          <w:tcPr>
            <w:tcW w:w="530" w:type="dxa"/>
            <w:shd w:val="clear" w:color="auto" w:fill="F2F2F2" w:themeFill="background1" w:themeFillShade="F2"/>
            <w:vAlign w:val="bottom"/>
          </w:tcPr>
          <w:p w:rsidR="00823E1F" w:rsidRPr="00E011A2" w:rsidRDefault="00823E1F" w:rsidP="00823E1F">
            <w:pPr>
              <w:rPr>
                <w:sz w:val="20"/>
                <w:szCs w:val="20"/>
              </w:rPr>
            </w:pPr>
            <w:r w:rsidRPr="00E011A2">
              <w:rPr>
                <w:rFonts w:cs="Arial"/>
                <w:sz w:val="20"/>
                <w:szCs w:val="20"/>
              </w:rPr>
              <w:t> </w:t>
            </w:r>
          </w:p>
        </w:tc>
      </w:tr>
      <w:tr w:rsidR="00823E1F" w:rsidRPr="00E011A2" w:rsidTr="005402AA">
        <w:trPr>
          <w:trHeight w:val="170"/>
        </w:trPr>
        <w:tc>
          <w:tcPr>
            <w:tcW w:w="1701" w:type="dxa"/>
            <w:shd w:val="clear" w:color="000000" w:fill="F2F2F2"/>
            <w:noWrap/>
            <w:vAlign w:val="bottom"/>
            <w:hideMark/>
          </w:tcPr>
          <w:p w:rsidR="00823E1F" w:rsidRPr="00E011A2" w:rsidRDefault="00823E1F" w:rsidP="00823E1F">
            <w:pPr>
              <w:rPr>
                <w:rFonts w:cs="Arial"/>
                <w:color w:val="ED7D31"/>
                <w:sz w:val="20"/>
                <w:szCs w:val="20"/>
              </w:rPr>
            </w:pPr>
            <w:r w:rsidRPr="00E011A2">
              <w:rPr>
                <w:rFonts w:cs="Arial"/>
                <w:color w:val="ED7D31"/>
                <w:sz w:val="20"/>
                <w:szCs w:val="20"/>
              </w:rPr>
              <w:t>60.001- 70.000</w:t>
            </w:r>
          </w:p>
        </w:tc>
        <w:tc>
          <w:tcPr>
            <w:tcW w:w="863" w:type="dxa"/>
            <w:shd w:val="clear" w:color="auto" w:fill="F2F2F2" w:themeFill="background1" w:themeFillShade="F2"/>
            <w:noWrap/>
            <w:vAlign w:val="bottom"/>
            <w:hideMark/>
          </w:tcPr>
          <w:p w:rsidR="00823E1F" w:rsidRPr="00E011A2" w:rsidRDefault="00823E1F" w:rsidP="00823E1F">
            <w:pPr>
              <w:rPr>
                <w:rFonts w:cs="Arial"/>
                <w:color w:val="ED7D31"/>
                <w:sz w:val="20"/>
                <w:szCs w:val="20"/>
              </w:rPr>
            </w:pPr>
            <w:r w:rsidRPr="00E011A2">
              <w:rPr>
                <w:rFonts w:cs="Arial"/>
                <w:color w:val="ED7D31"/>
                <w:sz w:val="20"/>
                <w:szCs w:val="20"/>
              </w:rPr>
              <w:t>11’552</w:t>
            </w:r>
          </w:p>
        </w:tc>
        <w:tc>
          <w:tcPr>
            <w:tcW w:w="863" w:type="dxa"/>
            <w:shd w:val="clear" w:color="auto" w:fill="F2F2F2" w:themeFill="background1" w:themeFillShade="F2"/>
            <w:noWrap/>
            <w:vAlign w:val="bottom"/>
            <w:hideMark/>
          </w:tcPr>
          <w:p w:rsidR="00823E1F" w:rsidRPr="00E011A2" w:rsidRDefault="00823E1F" w:rsidP="00823E1F">
            <w:pPr>
              <w:rPr>
                <w:rFonts w:cs="Arial"/>
                <w:color w:val="ED7D31"/>
                <w:sz w:val="20"/>
                <w:szCs w:val="20"/>
              </w:rPr>
            </w:pPr>
            <w:r w:rsidRPr="00E011A2">
              <w:rPr>
                <w:rFonts w:cs="Arial"/>
                <w:color w:val="ED7D31"/>
                <w:sz w:val="20"/>
                <w:szCs w:val="20"/>
              </w:rPr>
              <w:t> </w:t>
            </w:r>
          </w:p>
        </w:tc>
        <w:tc>
          <w:tcPr>
            <w:tcW w:w="863" w:type="dxa"/>
            <w:shd w:val="clear" w:color="auto" w:fill="F2F2F2" w:themeFill="background1" w:themeFillShade="F2"/>
            <w:noWrap/>
            <w:vAlign w:val="bottom"/>
            <w:hideMark/>
          </w:tcPr>
          <w:p w:rsidR="00823E1F" w:rsidRPr="00E011A2" w:rsidRDefault="00823E1F" w:rsidP="00823E1F">
            <w:pPr>
              <w:rPr>
                <w:rFonts w:cs="Arial"/>
                <w:sz w:val="20"/>
                <w:szCs w:val="20"/>
              </w:rPr>
            </w:pPr>
            <w:r w:rsidRPr="00E011A2">
              <w:rPr>
                <w:rFonts w:cs="Arial"/>
                <w:sz w:val="20"/>
                <w:szCs w:val="20"/>
              </w:rPr>
              <w:t> </w:t>
            </w:r>
          </w:p>
        </w:tc>
        <w:tc>
          <w:tcPr>
            <w:tcW w:w="752" w:type="dxa"/>
            <w:shd w:val="clear" w:color="auto" w:fill="F2F2F2" w:themeFill="background1" w:themeFillShade="F2"/>
            <w:noWrap/>
            <w:vAlign w:val="bottom"/>
            <w:hideMark/>
          </w:tcPr>
          <w:p w:rsidR="00823E1F" w:rsidRPr="00E011A2" w:rsidRDefault="00823E1F" w:rsidP="00823E1F">
            <w:pPr>
              <w:rPr>
                <w:rFonts w:cs="Arial"/>
                <w:color w:val="ED7D31"/>
                <w:sz w:val="20"/>
                <w:szCs w:val="20"/>
              </w:rPr>
            </w:pPr>
            <w:r w:rsidRPr="00E011A2">
              <w:rPr>
                <w:rFonts w:cs="Arial"/>
                <w:color w:val="ED7D31"/>
                <w:sz w:val="20"/>
                <w:szCs w:val="20"/>
              </w:rPr>
              <w:t> </w:t>
            </w:r>
          </w:p>
        </w:tc>
        <w:tc>
          <w:tcPr>
            <w:tcW w:w="709" w:type="dxa"/>
            <w:shd w:val="clear" w:color="auto" w:fill="F2F2F2" w:themeFill="background1" w:themeFillShade="F2"/>
            <w:noWrap/>
            <w:vAlign w:val="bottom"/>
            <w:hideMark/>
          </w:tcPr>
          <w:p w:rsidR="00823E1F" w:rsidRPr="00E011A2" w:rsidRDefault="00823E1F" w:rsidP="00823E1F">
            <w:pPr>
              <w:rPr>
                <w:rFonts w:cs="Arial"/>
                <w:sz w:val="20"/>
                <w:szCs w:val="20"/>
              </w:rPr>
            </w:pPr>
            <w:r w:rsidRPr="00E011A2">
              <w:rPr>
                <w:rFonts w:cs="Arial"/>
                <w:sz w:val="20"/>
                <w:szCs w:val="20"/>
              </w:rPr>
              <w:t> </w:t>
            </w:r>
          </w:p>
        </w:tc>
        <w:tc>
          <w:tcPr>
            <w:tcW w:w="863" w:type="dxa"/>
            <w:shd w:val="clear" w:color="auto" w:fill="F2F2F2" w:themeFill="background1" w:themeFillShade="F2"/>
            <w:vAlign w:val="bottom"/>
          </w:tcPr>
          <w:p w:rsidR="00823E1F" w:rsidRPr="00E011A2" w:rsidRDefault="00823E1F" w:rsidP="00823E1F">
            <w:pPr>
              <w:rPr>
                <w:sz w:val="20"/>
                <w:szCs w:val="20"/>
              </w:rPr>
            </w:pPr>
            <w:r w:rsidRPr="00E011A2">
              <w:rPr>
                <w:rFonts w:cs="Arial"/>
                <w:color w:val="ED7D31"/>
                <w:sz w:val="20"/>
                <w:szCs w:val="20"/>
              </w:rPr>
              <w:t>13’079</w:t>
            </w:r>
          </w:p>
        </w:tc>
        <w:tc>
          <w:tcPr>
            <w:tcW w:w="863" w:type="dxa"/>
            <w:shd w:val="clear" w:color="auto" w:fill="F2F2F2" w:themeFill="background1" w:themeFillShade="F2"/>
            <w:vAlign w:val="bottom"/>
          </w:tcPr>
          <w:p w:rsidR="00823E1F" w:rsidRPr="00E011A2" w:rsidRDefault="00823E1F" w:rsidP="00823E1F">
            <w:pPr>
              <w:rPr>
                <w:sz w:val="20"/>
                <w:szCs w:val="20"/>
              </w:rPr>
            </w:pPr>
            <w:r w:rsidRPr="00E011A2">
              <w:rPr>
                <w:rFonts w:cs="Arial"/>
                <w:color w:val="ED7D31"/>
                <w:sz w:val="20"/>
                <w:szCs w:val="20"/>
              </w:rPr>
              <w:t> </w:t>
            </w:r>
          </w:p>
        </w:tc>
        <w:tc>
          <w:tcPr>
            <w:tcW w:w="863" w:type="dxa"/>
            <w:shd w:val="clear" w:color="auto" w:fill="F2F2F2" w:themeFill="background1" w:themeFillShade="F2"/>
            <w:vAlign w:val="bottom"/>
          </w:tcPr>
          <w:p w:rsidR="00823E1F" w:rsidRPr="00E011A2" w:rsidRDefault="00823E1F" w:rsidP="00823E1F">
            <w:pPr>
              <w:rPr>
                <w:sz w:val="20"/>
                <w:szCs w:val="20"/>
              </w:rPr>
            </w:pPr>
            <w:r w:rsidRPr="00E011A2">
              <w:rPr>
                <w:rFonts w:cs="Arial"/>
                <w:sz w:val="20"/>
                <w:szCs w:val="20"/>
              </w:rPr>
              <w:t> </w:t>
            </w:r>
          </w:p>
        </w:tc>
        <w:tc>
          <w:tcPr>
            <w:tcW w:w="530" w:type="dxa"/>
            <w:shd w:val="clear" w:color="auto" w:fill="F2F2F2" w:themeFill="background1" w:themeFillShade="F2"/>
            <w:vAlign w:val="bottom"/>
          </w:tcPr>
          <w:p w:rsidR="00823E1F" w:rsidRPr="00E011A2" w:rsidRDefault="00823E1F" w:rsidP="00823E1F">
            <w:pPr>
              <w:rPr>
                <w:sz w:val="20"/>
                <w:szCs w:val="20"/>
              </w:rPr>
            </w:pPr>
            <w:r w:rsidRPr="00E011A2">
              <w:rPr>
                <w:rFonts w:cs="Arial"/>
                <w:color w:val="ED7D31"/>
                <w:sz w:val="20"/>
                <w:szCs w:val="20"/>
              </w:rPr>
              <w:t> </w:t>
            </w:r>
          </w:p>
        </w:tc>
        <w:tc>
          <w:tcPr>
            <w:tcW w:w="530" w:type="dxa"/>
            <w:shd w:val="clear" w:color="auto" w:fill="F2F2F2" w:themeFill="background1" w:themeFillShade="F2"/>
            <w:vAlign w:val="bottom"/>
          </w:tcPr>
          <w:p w:rsidR="00823E1F" w:rsidRPr="00E011A2" w:rsidRDefault="00823E1F" w:rsidP="00823E1F">
            <w:pPr>
              <w:rPr>
                <w:sz w:val="20"/>
                <w:szCs w:val="20"/>
              </w:rPr>
            </w:pPr>
            <w:r w:rsidRPr="00E011A2">
              <w:rPr>
                <w:rFonts w:cs="Arial"/>
                <w:sz w:val="20"/>
                <w:szCs w:val="20"/>
              </w:rPr>
              <w:t> </w:t>
            </w:r>
          </w:p>
        </w:tc>
      </w:tr>
      <w:tr w:rsidR="00823E1F" w:rsidRPr="00E011A2" w:rsidTr="005402AA">
        <w:trPr>
          <w:trHeight w:val="170"/>
        </w:trPr>
        <w:tc>
          <w:tcPr>
            <w:tcW w:w="1701" w:type="dxa"/>
            <w:shd w:val="clear" w:color="000000" w:fill="F2F2F2"/>
            <w:noWrap/>
            <w:vAlign w:val="bottom"/>
            <w:hideMark/>
          </w:tcPr>
          <w:p w:rsidR="00823E1F" w:rsidRPr="00E011A2" w:rsidRDefault="00823E1F" w:rsidP="00823E1F">
            <w:pPr>
              <w:rPr>
                <w:rFonts w:cs="Arial"/>
                <w:color w:val="ED7D31"/>
                <w:sz w:val="20"/>
                <w:szCs w:val="20"/>
              </w:rPr>
            </w:pPr>
            <w:r w:rsidRPr="00E011A2">
              <w:rPr>
                <w:rFonts w:cs="Arial"/>
                <w:color w:val="ED7D31"/>
                <w:sz w:val="20"/>
                <w:szCs w:val="20"/>
              </w:rPr>
              <w:t>70.001- 80.000</w:t>
            </w:r>
          </w:p>
        </w:tc>
        <w:tc>
          <w:tcPr>
            <w:tcW w:w="863" w:type="dxa"/>
            <w:shd w:val="clear" w:color="auto" w:fill="F2F2F2" w:themeFill="background1" w:themeFillShade="F2"/>
            <w:noWrap/>
            <w:vAlign w:val="bottom"/>
            <w:hideMark/>
          </w:tcPr>
          <w:p w:rsidR="00823E1F" w:rsidRPr="00E011A2" w:rsidRDefault="00823E1F" w:rsidP="00823E1F">
            <w:pPr>
              <w:rPr>
                <w:rFonts w:cs="Arial"/>
                <w:color w:val="ED7D31"/>
                <w:sz w:val="20"/>
                <w:szCs w:val="20"/>
              </w:rPr>
            </w:pPr>
            <w:r w:rsidRPr="00E011A2">
              <w:rPr>
                <w:rFonts w:cs="Arial"/>
                <w:color w:val="ED7D31"/>
                <w:sz w:val="20"/>
                <w:szCs w:val="20"/>
              </w:rPr>
              <w:t>7’924</w:t>
            </w:r>
          </w:p>
        </w:tc>
        <w:tc>
          <w:tcPr>
            <w:tcW w:w="863" w:type="dxa"/>
            <w:shd w:val="clear" w:color="auto" w:fill="F2F2F2" w:themeFill="background1" w:themeFillShade="F2"/>
            <w:noWrap/>
            <w:vAlign w:val="bottom"/>
            <w:hideMark/>
          </w:tcPr>
          <w:p w:rsidR="00823E1F" w:rsidRPr="00E011A2" w:rsidRDefault="00823E1F" w:rsidP="00823E1F">
            <w:pPr>
              <w:rPr>
                <w:rFonts w:cs="Arial"/>
                <w:color w:val="ED7D31"/>
                <w:sz w:val="20"/>
                <w:szCs w:val="20"/>
              </w:rPr>
            </w:pPr>
            <w:r w:rsidRPr="00E011A2">
              <w:rPr>
                <w:rFonts w:cs="Arial"/>
                <w:color w:val="ED7D31"/>
                <w:sz w:val="20"/>
                <w:szCs w:val="20"/>
              </w:rPr>
              <w:t> </w:t>
            </w:r>
          </w:p>
        </w:tc>
        <w:tc>
          <w:tcPr>
            <w:tcW w:w="863" w:type="dxa"/>
            <w:shd w:val="clear" w:color="auto" w:fill="F2F2F2" w:themeFill="background1" w:themeFillShade="F2"/>
            <w:noWrap/>
            <w:vAlign w:val="bottom"/>
            <w:hideMark/>
          </w:tcPr>
          <w:p w:rsidR="00823E1F" w:rsidRPr="00E011A2" w:rsidRDefault="00823E1F" w:rsidP="00823E1F">
            <w:pPr>
              <w:rPr>
                <w:rFonts w:cs="Arial"/>
                <w:sz w:val="20"/>
                <w:szCs w:val="20"/>
              </w:rPr>
            </w:pPr>
            <w:r w:rsidRPr="00E011A2">
              <w:rPr>
                <w:rFonts w:cs="Arial"/>
                <w:sz w:val="20"/>
                <w:szCs w:val="20"/>
              </w:rPr>
              <w:t> </w:t>
            </w:r>
          </w:p>
        </w:tc>
        <w:tc>
          <w:tcPr>
            <w:tcW w:w="752" w:type="dxa"/>
            <w:shd w:val="clear" w:color="auto" w:fill="F2F2F2" w:themeFill="background1" w:themeFillShade="F2"/>
            <w:noWrap/>
            <w:vAlign w:val="bottom"/>
            <w:hideMark/>
          </w:tcPr>
          <w:p w:rsidR="00823E1F" w:rsidRPr="00E011A2" w:rsidRDefault="00823E1F" w:rsidP="00823E1F">
            <w:pPr>
              <w:rPr>
                <w:rFonts w:cs="Arial"/>
                <w:color w:val="ED7D31"/>
                <w:sz w:val="20"/>
                <w:szCs w:val="20"/>
              </w:rPr>
            </w:pPr>
            <w:r w:rsidRPr="00E011A2">
              <w:rPr>
                <w:rFonts w:cs="Arial"/>
                <w:color w:val="ED7D31"/>
                <w:sz w:val="20"/>
                <w:szCs w:val="20"/>
              </w:rPr>
              <w:t> </w:t>
            </w:r>
          </w:p>
        </w:tc>
        <w:tc>
          <w:tcPr>
            <w:tcW w:w="709" w:type="dxa"/>
            <w:shd w:val="clear" w:color="auto" w:fill="F2F2F2" w:themeFill="background1" w:themeFillShade="F2"/>
            <w:noWrap/>
            <w:vAlign w:val="bottom"/>
            <w:hideMark/>
          </w:tcPr>
          <w:p w:rsidR="00823E1F" w:rsidRPr="00E011A2" w:rsidRDefault="00823E1F" w:rsidP="00823E1F">
            <w:pPr>
              <w:rPr>
                <w:rFonts w:cs="Arial"/>
                <w:sz w:val="20"/>
                <w:szCs w:val="20"/>
              </w:rPr>
            </w:pPr>
            <w:r w:rsidRPr="00E011A2">
              <w:rPr>
                <w:rFonts w:cs="Arial"/>
                <w:sz w:val="20"/>
                <w:szCs w:val="20"/>
              </w:rPr>
              <w:t> </w:t>
            </w:r>
          </w:p>
        </w:tc>
        <w:tc>
          <w:tcPr>
            <w:tcW w:w="863" w:type="dxa"/>
            <w:shd w:val="clear" w:color="auto" w:fill="F2F2F2" w:themeFill="background1" w:themeFillShade="F2"/>
            <w:vAlign w:val="bottom"/>
          </w:tcPr>
          <w:p w:rsidR="00823E1F" w:rsidRPr="00E011A2" w:rsidRDefault="00823E1F" w:rsidP="00823E1F">
            <w:pPr>
              <w:rPr>
                <w:sz w:val="20"/>
                <w:szCs w:val="20"/>
              </w:rPr>
            </w:pPr>
            <w:r w:rsidRPr="00E011A2">
              <w:rPr>
                <w:rFonts w:cs="Arial"/>
                <w:color w:val="ED7D31"/>
                <w:sz w:val="20"/>
                <w:szCs w:val="20"/>
              </w:rPr>
              <w:t>9’510</w:t>
            </w:r>
          </w:p>
        </w:tc>
        <w:tc>
          <w:tcPr>
            <w:tcW w:w="863" w:type="dxa"/>
            <w:shd w:val="clear" w:color="auto" w:fill="F2F2F2" w:themeFill="background1" w:themeFillShade="F2"/>
            <w:vAlign w:val="bottom"/>
          </w:tcPr>
          <w:p w:rsidR="00823E1F" w:rsidRPr="00E011A2" w:rsidRDefault="00823E1F" w:rsidP="00823E1F">
            <w:pPr>
              <w:rPr>
                <w:sz w:val="20"/>
                <w:szCs w:val="20"/>
              </w:rPr>
            </w:pPr>
            <w:r w:rsidRPr="00E011A2">
              <w:rPr>
                <w:rFonts w:cs="Arial"/>
                <w:color w:val="ED7D31"/>
                <w:sz w:val="20"/>
                <w:szCs w:val="20"/>
              </w:rPr>
              <w:t> </w:t>
            </w:r>
          </w:p>
        </w:tc>
        <w:tc>
          <w:tcPr>
            <w:tcW w:w="863" w:type="dxa"/>
            <w:shd w:val="clear" w:color="auto" w:fill="F2F2F2" w:themeFill="background1" w:themeFillShade="F2"/>
            <w:vAlign w:val="bottom"/>
          </w:tcPr>
          <w:p w:rsidR="00823E1F" w:rsidRPr="00E011A2" w:rsidRDefault="00823E1F" w:rsidP="00823E1F">
            <w:pPr>
              <w:rPr>
                <w:sz w:val="20"/>
                <w:szCs w:val="20"/>
              </w:rPr>
            </w:pPr>
            <w:r w:rsidRPr="00E011A2">
              <w:rPr>
                <w:rFonts w:cs="Arial"/>
                <w:sz w:val="20"/>
                <w:szCs w:val="20"/>
              </w:rPr>
              <w:t> </w:t>
            </w:r>
          </w:p>
        </w:tc>
        <w:tc>
          <w:tcPr>
            <w:tcW w:w="530" w:type="dxa"/>
            <w:shd w:val="clear" w:color="auto" w:fill="F2F2F2" w:themeFill="background1" w:themeFillShade="F2"/>
            <w:vAlign w:val="bottom"/>
          </w:tcPr>
          <w:p w:rsidR="00823E1F" w:rsidRPr="00E011A2" w:rsidRDefault="00823E1F" w:rsidP="00823E1F">
            <w:pPr>
              <w:rPr>
                <w:sz w:val="20"/>
                <w:szCs w:val="20"/>
              </w:rPr>
            </w:pPr>
            <w:r w:rsidRPr="00E011A2">
              <w:rPr>
                <w:rFonts w:cs="Arial"/>
                <w:color w:val="ED7D31"/>
                <w:sz w:val="20"/>
                <w:szCs w:val="20"/>
              </w:rPr>
              <w:t> </w:t>
            </w:r>
          </w:p>
        </w:tc>
        <w:tc>
          <w:tcPr>
            <w:tcW w:w="530" w:type="dxa"/>
            <w:shd w:val="clear" w:color="auto" w:fill="F2F2F2" w:themeFill="background1" w:themeFillShade="F2"/>
            <w:vAlign w:val="bottom"/>
          </w:tcPr>
          <w:p w:rsidR="00823E1F" w:rsidRPr="00E011A2" w:rsidRDefault="00823E1F" w:rsidP="00823E1F">
            <w:pPr>
              <w:rPr>
                <w:sz w:val="20"/>
                <w:szCs w:val="20"/>
              </w:rPr>
            </w:pPr>
            <w:r w:rsidRPr="00E011A2">
              <w:rPr>
                <w:rFonts w:cs="Arial"/>
                <w:sz w:val="20"/>
                <w:szCs w:val="20"/>
              </w:rPr>
              <w:t> </w:t>
            </w:r>
          </w:p>
        </w:tc>
      </w:tr>
      <w:tr w:rsidR="00823E1F" w:rsidRPr="00E011A2" w:rsidTr="005402AA">
        <w:trPr>
          <w:trHeight w:val="170"/>
        </w:trPr>
        <w:tc>
          <w:tcPr>
            <w:tcW w:w="1701" w:type="dxa"/>
            <w:shd w:val="clear" w:color="000000" w:fill="F2F2F2"/>
            <w:noWrap/>
            <w:vAlign w:val="bottom"/>
            <w:hideMark/>
          </w:tcPr>
          <w:p w:rsidR="00823E1F" w:rsidRPr="00E011A2" w:rsidRDefault="00823E1F" w:rsidP="00823E1F">
            <w:pPr>
              <w:rPr>
                <w:rFonts w:cs="Arial"/>
                <w:color w:val="ED7D31"/>
                <w:sz w:val="20"/>
                <w:szCs w:val="20"/>
              </w:rPr>
            </w:pPr>
            <w:r w:rsidRPr="00E011A2">
              <w:rPr>
                <w:rFonts w:cs="Arial"/>
                <w:color w:val="ED7D31"/>
                <w:sz w:val="20"/>
                <w:szCs w:val="20"/>
              </w:rPr>
              <w:t>80.001- 90.000</w:t>
            </w:r>
          </w:p>
        </w:tc>
        <w:tc>
          <w:tcPr>
            <w:tcW w:w="863" w:type="dxa"/>
            <w:shd w:val="clear" w:color="auto" w:fill="F2F2F2" w:themeFill="background1" w:themeFillShade="F2"/>
            <w:noWrap/>
            <w:vAlign w:val="bottom"/>
            <w:hideMark/>
          </w:tcPr>
          <w:p w:rsidR="00823E1F" w:rsidRPr="00E011A2" w:rsidRDefault="00823E1F" w:rsidP="00823E1F">
            <w:pPr>
              <w:rPr>
                <w:rFonts w:cs="Arial"/>
                <w:color w:val="ED7D31"/>
                <w:sz w:val="20"/>
                <w:szCs w:val="20"/>
              </w:rPr>
            </w:pPr>
            <w:r w:rsidRPr="00E011A2">
              <w:rPr>
                <w:rFonts w:cs="Arial"/>
                <w:color w:val="ED7D31"/>
                <w:sz w:val="20"/>
                <w:szCs w:val="20"/>
              </w:rPr>
              <w:t>5’347</w:t>
            </w:r>
          </w:p>
        </w:tc>
        <w:tc>
          <w:tcPr>
            <w:tcW w:w="863" w:type="dxa"/>
            <w:shd w:val="clear" w:color="auto" w:fill="F2F2F2" w:themeFill="background1" w:themeFillShade="F2"/>
            <w:noWrap/>
            <w:vAlign w:val="bottom"/>
            <w:hideMark/>
          </w:tcPr>
          <w:p w:rsidR="00823E1F" w:rsidRPr="00E011A2" w:rsidRDefault="00823E1F" w:rsidP="00823E1F">
            <w:pPr>
              <w:rPr>
                <w:rFonts w:cs="Arial"/>
                <w:color w:val="ED7D31"/>
                <w:sz w:val="20"/>
                <w:szCs w:val="20"/>
              </w:rPr>
            </w:pPr>
            <w:r w:rsidRPr="00E011A2">
              <w:rPr>
                <w:rFonts w:cs="Arial"/>
                <w:color w:val="ED7D31"/>
                <w:sz w:val="20"/>
                <w:szCs w:val="20"/>
              </w:rPr>
              <w:t> </w:t>
            </w:r>
          </w:p>
        </w:tc>
        <w:tc>
          <w:tcPr>
            <w:tcW w:w="863" w:type="dxa"/>
            <w:shd w:val="clear" w:color="auto" w:fill="F2F2F2" w:themeFill="background1" w:themeFillShade="F2"/>
            <w:noWrap/>
            <w:vAlign w:val="bottom"/>
            <w:hideMark/>
          </w:tcPr>
          <w:p w:rsidR="00823E1F" w:rsidRPr="00E011A2" w:rsidRDefault="00823E1F" w:rsidP="00823E1F">
            <w:pPr>
              <w:rPr>
                <w:rFonts w:cs="Arial"/>
                <w:sz w:val="20"/>
                <w:szCs w:val="20"/>
              </w:rPr>
            </w:pPr>
            <w:r w:rsidRPr="00E011A2">
              <w:rPr>
                <w:rFonts w:cs="Arial"/>
                <w:sz w:val="20"/>
                <w:szCs w:val="20"/>
              </w:rPr>
              <w:t> </w:t>
            </w:r>
          </w:p>
        </w:tc>
        <w:tc>
          <w:tcPr>
            <w:tcW w:w="752" w:type="dxa"/>
            <w:shd w:val="clear" w:color="auto" w:fill="F2F2F2" w:themeFill="background1" w:themeFillShade="F2"/>
            <w:noWrap/>
            <w:vAlign w:val="bottom"/>
            <w:hideMark/>
          </w:tcPr>
          <w:p w:rsidR="00823E1F" w:rsidRPr="00E011A2" w:rsidRDefault="00823E1F" w:rsidP="00823E1F">
            <w:pPr>
              <w:rPr>
                <w:rFonts w:cs="Arial"/>
                <w:color w:val="ED7D31"/>
                <w:sz w:val="20"/>
                <w:szCs w:val="20"/>
              </w:rPr>
            </w:pPr>
            <w:r w:rsidRPr="00E011A2">
              <w:rPr>
                <w:rFonts w:cs="Arial"/>
                <w:color w:val="ED7D31"/>
                <w:sz w:val="20"/>
                <w:szCs w:val="20"/>
              </w:rPr>
              <w:t> </w:t>
            </w:r>
          </w:p>
        </w:tc>
        <w:tc>
          <w:tcPr>
            <w:tcW w:w="709" w:type="dxa"/>
            <w:shd w:val="clear" w:color="auto" w:fill="F2F2F2" w:themeFill="background1" w:themeFillShade="F2"/>
            <w:noWrap/>
            <w:vAlign w:val="bottom"/>
            <w:hideMark/>
          </w:tcPr>
          <w:p w:rsidR="00823E1F" w:rsidRPr="00E011A2" w:rsidRDefault="00823E1F" w:rsidP="00823E1F">
            <w:pPr>
              <w:rPr>
                <w:rFonts w:cs="Arial"/>
                <w:sz w:val="20"/>
                <w:szCs w:val="20"/>
              </w:rPr>
            </w:pPr>
            <w:r w:rsidRPr="00E011A2">
              <w:rPr>
                <w:rFonts w:cs="Arial"/>
                <w:sz w:val="20"/>
                <w:szCs w:val="20"/>
              </w:rPr>
              <w:t> </w:t>
            </w:r>
          </w:p>
        </w:tc>
        <w:tc>
          <w:tcPr>
            <w:tcW w:w="863" w:type="dxa"/>
            <w:shd w:val="clear" w:color="auto" w:fill="F2F2F2" w:themeFill="background1" w:themeFillShade="F2"/>
            <w:vAlign w:val="bottom"/>
          </w:tcPr>
          <w:p w:rsidR="00823E1F" w:rsidRPr="00E011A2" w:rsidRDefault="00823E1F" w:rsidP="00823E1F">
            <w:pPr>
              <w:rPr>
                <w:sz w:val="20"/>
                <w:szCs w:val="20"/>
              </w:rPr>
            </w:pPr>
            <w:r w:rsidRPr="00E011A2">
              <w:rPr>
                <w:rFonts w:cs="Arial"/>
                <w:color w:val="ED7D31"/>
                <w:sz w:val="20"/>
                <w:szCs w:val="20"/>
              </w:rPr>
              <w:t>6’668</w:t>
            </w:r>
          </w:p>
        </w:tc>
        <w:tc>
          <w:tcPr>
            <w:tcW w:w="863" w:type="dxa"/>
            <w:shd w:val="clear" w:color="auto" w:fill="F2F2F2" w:themeFill="background1" w:themeFillShade="F2"/>
            <w:vAlign w:val="bottom"/>
          </w:tcPr>
          <w:p w:rsidR="00823E1F" w:rsidRPr="00E011A2" w:rsidRDefault="00823E1F" w:rsidP="00823E1F">
            <w:pPr>
              <w:rPr>
                <w:sz w:val="20"/>
                <w:szCs w:val="20"/>
              </w:rPr>
            </w:pPr>
            <w:r w:rsidRPr="00E011A2">
              <w:rPr>
                <w:rFonts w:cs="Arial"/>
                <w:color w:val="ED7D31"/>
                <w:sz w:val="20"/>
                <w:szCs w:val="20"/>
              </w:rPr>
              <w:t> </w:t>
            </w:r>
          </w:p>
        </w:tc>
        <w:tc>
          <w:tcPr>
            <w:tcW w:w="863" w:type="dxa"/>
            <w:shd w:val="clear" w:color="auto" w:fill="F2F2F2" w:themeFill="background1" w:themeFillShade="F2"/>
            <w:vAlign w:val="bottom"/>
          </w:tcPr>
          <w:p w:rsidR="00823E1F" w:rsidRPr="00E011A2" w:rsidRDefault="00823E1F" w:rsidP="00823E1F">
            <w:pPr>
              <w:rPr>
                <w:sz w:val="20"/>
                <w:szCs w:val="20"/>
              </w:rPr>
            </w:pPr>
            <w:r w:rsidRPr="00E011A2">
              <w:rPr>
                <w:rFonts w:cs="Arial"/>
                <w:sz w:val="20"/>
                <w:szCs w:val="20"/>
              </w:rPr>
              <w:t> </w:t>
            </w:r>
          </w:p>
        </w:tc>
        <w:tc>
          <w:tcPr>
            <w:tcW w:w="530" w:type="dxa"/>
            <w:shd w:val="clear" w:color="auto" w:fill="F2F2F2" w:themeFill="background1" w:themeFillShade="F2"/>
            <w:vAlign w:val="bottom"/>
          </w:tcPr>
          <w:p w:rsidR="00823E1F" w:rsidRPr="00E011A2" w:rsidRDefault="00823E1F" w:rsidP="00823E1F">
            <w:pPr>
              <w:rPr>
                <w:sz w:val="20"/>
                <w:szCs w:val="20"/>
              </w:rPr>
            </w:pPr>
            <w:r w:rsidRPr="00E011A2">
              <w:rPr>
                <w:rFonts w:cs="Arial"/>
                <w:color w:val="ED7D31"/>
                <w:sz w:val="20"/>
                <w:szCs w:val="20"/>
              </w:rPr>
              <w:t> </w:t>
            </w:r>
          </w:p>
        </w:tc>
        <w:tc>
          <w:tcPr>
            <w:tcW w:w="530" w:type="dxa"/>
            <w:shd w:val="clear" w:color="auto" w:fill="F2F2F2" w:themeFill="background1" w:themeFillShade="F2"/>
            <w:vAlign w:val="bottom"/>
          </w:tcPr>
          <w:p w:rsidR="00823E1F" w:rsidRPr="00E011A2" w:rsidRDefault="00823E1F" w:rsidP="00823E1F">
            <w:pPr>
              <w:rPr>
                <w:sz w:val="20"/>
                <w:szCs w:val="20"/>
              </w:rPr>
            </w:pPr>
            <w:r w:rsidRPr="00E011A2">
              <w:rPr>
                <w:rFonts w:cs="Arial"/>
                <w:sz w:val="20"/>
                <w:szCs w:val="20"/>
              </w:rPr>
              <w:t> </w:t>
            </w:r>
          </w:p>
        </w:tc>
      </w:tr>
      <w:tr w:rsidR="00823E1F" w:rsidRPr="00E011A2" w:rsidTr="005402AA">
        <w:trPr>
          <w:trHeight w:val="170"/>
        </w:trPr>
        <w:tc>
          <w:tcPr>
            <w:tcW w:w="1701" w:type="dxa"/>
            <w:shd w:val="clear" w:color="000000" w:fill="F2F2F2"/>
            <w:noWrap/>
            <w:vAlign w:val="bottom"/>
            <w:hideMark/>
          </w:tcPr>
          <w:p w:rsidR="00823E1F" w:rsidRPr="00E011A2" w:rsidRDefault="00823E1F" w:rsidP="00823E1F">
            <w:pPr>
              <w:rPr>
                <w:rFonts w:cs="Arial"/>
                <w:color w:val="ED7D31"/>
                <w:sz w:val="20"/>
                <w:szCs w:val="20"/>
              </w:rPr>
            </w:pPr>
            <w:r w:rsidRPr="00E011A2">
              <w:rPr>
                <w:rFonts w:cs="Arial"/>
                <w:color w:val="ED7D31"/>
                <w:sz w:val="20"/>
                <w:szCs w:val="20"/>
              </w:rPr>
              <w:t>90.001-100.000</w:t>
            </w:r>
          </w:p>
        </w:tc>
        <w:tc>
          <w:tcPr>
            <w:tcW w:w="863" w:type="dxa"/>
            <w:shd w:val="clear" w:color="auto" w:fill="F2F2F2" w:themeFill="background1" w:themeFillShade="F2"/>
            <w:noWrap/>
            <w:vAlign w:val="bottom"/>
            <w:hideMark/>
          </w:tcPr>
          <w:p w:rsidR="00823E1F" w:rsidRPr="00E011A2" w:rsidRDefault="00823E1F" w:rsidP="00823E1F">
            <w:pPr>
              <w:rPr>
                <w:rFonts w:cs="Arial"/>
                <w:color w:val="ED7D31"/>
                <w:sz w:val="20"/>
                <w:szCs w:val="20"/>
              </w:rPr>
            </w:pPr>
            <w:r w:rsidRPr="00E011A2">
              <w:rPr>
                <w:rFonts w:cs="Arial"/>
                <w:color w:val="ED7D31"/>
                <w:sz w:val="20"/>
                <w:szCs w:val="20"/>
              </w:rPr>
              <w:t>3’616</w:t>
            </w:r>
          </w:p>
        </w:tc>
        <w:tc>
          <w:tcPr>
            <w:tcW w:w="863" w:type="dxa"/>
            <w:shd w:val="clear" w:color="auto" w:fill="F2F2F2" w:themeFill="background1" w:themeFillShade="F2"/>
            <w:noWrap/>
            <w:vAlign w:val="bottom"/>
            <w:hideMark/>
          </w:tcPr>
          <w:p w:rsidR="00823E1F" w:rsidRPr="00E011A2" w:rsidRDefault="00823E1F" w:rsidP="00823E1F">
            <w:pPr>
              <w:rPr>
                <w:rFonts w:cs="Arial"/>
                <w:color w:val="ED7D31"/>
                <w:sz w:val="20"/>
                <w:szCs w:val="20"/>
              </w:rPr>
            </w:pPr>
            <w:r w:rsidRPr="00E011A2">
              <w:rPr>
                <w:rFonts w:cs="Arial"/>
                <w:color w:val="ED7D31"/>
                <w:sz w:val="20"/>
                <w:szCs w:val="20"/>
              </w:rPr>
              <w:t>44’842</w:t>
            </w:r>
          </w:p>
        </w:tc>
        <w:tc>
          <w:tcPr>
            <w:tcW w:w="863" w:type="dxa"/>
            <w:shd w:val="clear" w:color="auto" w:fill="F2F2F2" w:themeFill="background1" w:themeFillShade="F2"/>
            <w:noWrap/>
            <w:vAlign w:val="bottom"/>
            <w:hideMark/>
          </w:tcPr>
          <w:p w:rsidR="00823E1F" w:rsidRPr="00E011A2" w:rsidRDefault="00823E1F" w:rsidP="00823E1F">
            <w:pPr>
              <w:rPr>
                <w:rFonts w:cs="Arial"/>
                <w:sz w:val="20"/>
                <w:szCs w:val="20"/>
              </w:rPr>
            </w:pPr>
            <w:r w:rsidRPr="00E011A2">
              <w:rPr>
                <w:rFonts w:cs="Arial"/>
                <w:sz w:val="20"/>
                <w:szCs w:val="20"/>
              </w:rPr>
              <w:t> </w:t>
            </w:r>
          </w:p>
        </w:tc>
        <w:tc>
          <w:tcPr>
            <w:tcW w:w="752" w:type="dxa"/>
            <w:shd w:val="clear" w:color="auto" w:fill="F2F2F2" w:themeFill="background1" w:themeFillShade="F2"/>
            <w:noWrap/>
            <w:vAlign w:val="bottom"/>
            <w:hideMark/>
          </w:tcPr>
          <w:p w:rsidR="00823E1F" w:rsidRPr="00E011A2" w:rsidRDefault="00823E1F" w:rsidP="00823E1F">
            <w:pPr>
              <w:rPr>
                <w:rFonts w:cs="Arial"/>
                <w:color w:val="ED7D31"/>
                <w:sz w:val="20"/>
                <w:szCs w:val="20"/>
              </w:rPr>
            </w:pPr>
            <w:r w:rsidRPr="00E011A2">
              <w:rPr>
                <w:rFonts w:cs="Arial"/>
                <w:color w:val="ED7D31"/>
                <w:sz w:val="20"/>
                <w:szCs w:val="20"/>
              </w:rPr>
              <w:t>24.3</w:t>
            </w:r>
          </w:p>
        </w:tc>
        <w:tc>
          <w:tcPr>
            <w:tcW w:w="709" w:type="dxa"/>
            <w:shd w:val="clear" w:color="auto" w:fill="F2F2F2" w:themeFill="background1" w:themeFillShade="F2"/>
            <w:noWrap/>
            <w:vAlign w:val="bottom"/>
            <w:hideMark/>
          </w:tcPr>
          <w:p w:rsidR="00823E1F" w:rsidRPr="00E011A2" w:rsidRDefault="00823E1F" w:rsidP="00823E1F">
            <w:pPr>
              <w:rPr>
                <w:rFonts w:cs="Arial"/>
                <w:sz w:val="20"/>
                <w:szCs w:val="20"/>
              </w:rPr>
            </w:pPr>
            <w:r w:rsidRPr="00E011A2">
              <w:rPr>
                <w:rFonts w:cs="Arial"/>
                <w:sz w:val="20"/>
                <w:szCs w:val="20"/>
              </w:rPr>
              <w:t> </w:t>
            </w:r>
          </w:p>
        </w:tc>
        <w:tc>
          <w:tcPr>
            <w:tcW w:w="863" w:type="dxa"/>
            <w:shd w:val="clear" w:color="auto" w:fill="F2F2F2" w:themeFill="background1" w:themeFillShade="F2"/>
            <w:vAlign w:val="bottom"/>
          </w:tcPr>
          <w:p w:rsidR="00823E1F" w:rsidRPr="00E011A2" w:rsidRDefault="00823E1F" w:rsidP="00823E1F">
            <w:pPr>
              <w:rPr>
                <w:sz w:val="20"/>
                <w:szCs w:val="20"/>
              </w:rPr>
            </w:pPr>
            <w:r w:rsidRPr="00E011A2">
              <w:rPr>
                <w:rFonts w:cs="Arial"/>
                <w:color w:val="ED7D31"/>
                <w:sz w:val="20"/>
                <w:szCs w:val="20"/>
              </w:rPr>
              <w:t>4’930</w:t>
            </w:r>
          </w:p>
        </w:tc>
        <w:tc>
          <w:tcPr>
            <w:tcW w:w="863" w:type="dxa"/>
            <w:shd w:val="clear" w:color="auto" w:fill="F2F2F2" w:themeFill="background1" w:themeFillShade="F2"/>
            <w:vAlign w:val="bottom"/>
          </w:tcPr>
          <w:p w:rsidR="00823E1F" w:rsidRPr="00E011A2" w:rsidRDefault="00823E1F" w:rsidP="00823E1F">
            <w:pPr>
              <w:rPr>
                <w:sz w:val="20"/>
                <w:szCs w:val="20"/>
              </w:rPr>
            </w:pPr>
            <w:r w:rsidRPr="00E011A2">
              <w:rPr>
                <w:rFonts w:cs="Arial"/>
                <w:color w:val="ED7D31"/>
                <w:sz w:val="20"/>
                <w:szCs w:val="20"/>
              </w:rPr>
              <w:t>52’393</w:t>
            </w:r>
          </w:p>
        </w:tc>
        <w:tc>
          <w:tcPr>
            <w:tcW w:w="863" w:type="dxa"/>
            <w:shd w:val="clear" w:color="auto" w:fill="F2F2F2" w:themeFill="background1" w:themeFillShade="F2"/>
            <w:vAlign w:val="bottom"/>
          </w:tcPr>
          <w:p w:rsidR="00823E1F" w:rsidRPr="00E011A2" w:rsidRDefault="00823E1F" w:rsidP="00823E1F">
            <w:pPr>
              <w:rPr>
                <w:sz w:val="20"/>
                <w:szCs w:val="20"/>
              </w:rPr>
            </w:pPr>
            <w:r w:rsidRPr="00E011A2">
              <w:rPr>
                <w:rFonts w:cs="Arial"/>
                <w:sz w:val="20"/>
                <w:szCs w:val="20"/>
              </w:rPr>
              <w:t> </w:t>
            </w:r>
          </w:p>
        </w:tc>
        <w:tc>
          <w:tcPr>
            <w:tcW w:w="530" w:type="dxa"/>
            <w:shd w:val="clear" w:color="auto" w:fill="F2F2F2" w:themeFill="background1" w:themeFillShade="F2"/>
            <w:vAlign w:val="bottom"/>
          </w:tcPr>
          <w:p w:rsidR="00823E1F" w:rsidRPr="00E011A2" w:rsidRDefault="00823E1F" w:rsidP="00823E1F">
            <w:pPr>
              <w:rPr>
                <w:sz w:val="20"/>
                <w:szCs w:val="20"/>
              </w:rPr>
            </w:pPr>
            <w:r w:rsidRPr="00E011A2">
              <w:rPr>
                <w:rFonts w:cs="Arial"/>
                <w:color w:val="ED7D31"/>
                <w:sz w:val="20"/>
                <w:szCs w:val="20"/>
              </w:rPr>
              <w:t>25.6</w:t>
            </w:r>
          </w:p>
        </w:tc>
        <w:tc>
          <w:tcPr>
            <w:tcW w:w="530" w:type="dxa"/>
            <w:shd w:val="clear" w:color="auto" w:fill="F2F2F2" w:themeFill="background1" w:themeFillShade="F2"/>
            <w:vAlign w:val="bottom"/>
          </w:tcPr>
          <w:p w:rsidR="00823E1F" w:rsidRPr="00E011A2" w:rsidRDefault="00823E1F" w:rsidP="00823E1F">
            <w:pPr>
              <w:rPr>
                <w:sz w:val="20"/>
                <w:szCs w:val="20"/>
              </w:rPr>
            </w:pPr>
            <w:r w:rsidRPr="00E011A2">
              <w:rPr>
                <w:rFonts w:cs="Arial"/>
                <w:sz w:val="20"/>
                <w:szCs w:val="20"/>
              </w:rPr>
              <w:t> </w:t>
            </w:r>
          </w:p>
        </w:tc>
      </w:tr>
      <w:tr w:rsidR="00823E1F" w:rsidRPr="00E011A2" w:rsidTr="005402AA">
        <w:trPr>
          <w:trHeight w:val="170"/>
        </w:trPr>
        <w:tc>
          <w:tcPr>
            <w:tcW w:w="1701" w:type="dxa"/>
            <w:shd w:val="clear" w:color="000000" w:fill="F2F2F2"/>
            <w:noWrap/>
            <w:vAlign w:val="bottom"/>
            <w:hideMark/>
          </w:tcPr>
          <w:p w:rsidR="00823E1F" w:rsidRPr="00E011A2" w:rsidRDefault="00823E1F" w:rsidP="00823E1F">
            <w:pPr>
              <w:rPr>
                <w:rFonts w:cs="Arial"/>
                <w:color w:val="FF0000"/>
                <w:sz w:val="20"/>
                <w:szCs w:val="20"/>
              </w:rPr>
            </w:pPr>
            <w:r w:rsidRPr="00E011A2">
              <w:rPr>
                <w:rFonts w:cs="Arial"/>
                <w:color w:val="FF0000"/>
                <w:sz w:val="20"/>
                <w:szCs w:val="20"/>
              </w:rPr>
              <w:t>100.001-150.000</w:t>
            </w:r>
          </w:p>
        </w:tc>
        <w:tc>
          <w:tcPr>
            <w:tcW w:w="863" w:type="dxa"/>
            <w:shd w:val="clear" w:color="auto" w:fill="F2F2F2" w:themeFill="background1" w:themeFillShade="F2"/>
            <w:noWrap/>
            <w:vAlign w:val="bottom"/>
            <w:hideMark/>
          </w:tcPr>
          <w:p w:rsidR="00823E1F" w:rsidRPr="00E011A2" w:rsidRDefault="00823E1F" w:rsidP="00823E1F">
            <w:pPr>
              <w:rPr>
                <w:rFonts w:cs="Arial"/>
                <w:color w:val="FF0000"/>
                <w:sz w:val="20"/>
                <w:szCs w:val="20"/>
              </w:rPr>
            </w:pPr>
            <w:r w:rsidRPr="00E011A2">
              <w:rPr>
                <w:rFonts w:cs="Arial"/>
                <w:color w:val="FF0000"/>
                <w:sz w:val="20"/>
                <w:szCs w:val="20"/>
              </w:rPr>
              <w:t>8’164</w:t>
            </w:r>
          </w:p>
        </w:tc>
        <w:tc>
          <w:tcPr>
            <w:tcW w:w="863" w:type="dxa"/>
            <w:shd w:val="clear" w:color="auto" w:fill="F2F2F2" w:themeFill="background1" w:themeFillShade="F2"/>
            <w:noWrap/>
            <w:vAlign w:val="bottom"/>
            <w:hideMark/>
          </w:tcPr>
          <w:p w:rsidR="00823E1F" w:rsidRPr="00E011A2" w:rsidRDefault="00823E1F" w:rsidP="00823E1F">
            <w:pPr>
              <w:rPr>
                <w:rFonts w:cs="Arial"/>
                <w:color w:val="FF0000"/>
                <w:sz w:val="20"/>
                <w:szCs w:val="20"/>
              </w:rPr>
            </w:pPr>
            <w:r w:rsidRPr="00E011A2">
              <w:rPr>
                <w:rFonts w:cs="Arial"/>
                <w:color w:val="FF0000"/>
                <w:sz w:val="20"/>
                <w:szCs w:val="20"/>
              </w:rPr>
              <w:t> </w:t>
            </w:r>
          </w:p>
        </w:tc>
        <w:tc>
          <w:tcPr>
            <w:tcW w:w="863" w:type="dxa"/>
            <w:shd w:val="clear" w:color="auto" w:fill="F2F2F2" w:themeFill="background1" w:themeFillShade="F2"/>
            <w:noWrap/>
            <w:vAlign w:val="bottom"/>
            <w:hideMark/>
          </w:tcPr>
          <w:p w:rsidR="00823E1F" w:rsidRPr="00E011A2" w:rsidRDefault="00823E1F" w:rsidP="00823E1F">
            <w:pPr>
              <w:rPr>
                <w:rFonts w:cs="Arial"/>
                <w:sz w:val="20"/>
                <w:szCs w:val="20"/>
              </w:rPr>
            </w:pPr>
            <w:r w:rsidRPr="00E011A2">
              <w:rPr>
                <w:rFonts w:cs="Arial"/>
                <w:sz w:val="20"/>
                <w:szCs w:val="20"/>
              </w:rPr>
              <w:t>59’538</w:t>
            </w:r>
          </w:p>
        </w:tc>
        <w:tc>
          <w:tcPr>
            <w:tcW w:w="752" w:type="dxa"/>
            <w:shd w:val="clear" w:color="auto" w:fill="F2F2F2" w:themeFill="background1" w:themeFillShade="F2"/>
            <w:noWrap/>
            <w:vAlign w:val="bottom"/>
            <w:hideMark/>
          </w:tcPr>
          <w:p w:rsidR="00823E1F" w:rsidRPr="00E011A2" w:rsidRDefault="00823E1F" w:rsidP="00823E1F">
            <w:pPr>
              <w:rPr>
                <w:rFonts w:cs="Arial"/>
                <w:color w:val="FF0000"/>
                <w:sz w:val="20"/>
                <w:szCs w:val="20"/>
              </w:rPr>
            </w:pPr>
            <w:r w:rsidRPr="00E011A2">
              <w:rPr>
                <w:rFonts w:cs="Arial"/>
                <w:color w:val="FF0000"/>
                <w:sz w:val="20"/>
                <w:szCs w:val="20"/>
              </w:rPr>
              <w:t> </w:t>
            </w:r>
          </w:p>
        </w:tc>
        <w:tc>
          <w:tcPr>
            <w:tcW w:w="709" w:type="dxa"/>
            <w:shd w:val="clear" w:color="auto" w:fill="F2F2F2" w:themeFill="background1" w:themeFillShade="F2"/>
            <w:noWrap/>
            <w:vAlign w:val="bottom"/>
            <w:hideMark/>
          </w:tcPr>
          <w:p w:rsidR="00823E1F" w:rsidRPr="00E011A2" w:rsidRDefault="00823E1F" w:rsidP="00823E1F">
            <w:pPr>
              <w:rPr>
                <w:rFonts w:cs="Arial"/>
                <w:sz w:val="20"/>
                <w:szCs w:val="20"/>
              </w:rPr>
            </w:pPr>
            <w:r w:rsidRPr="00E011A2">
              <w:rPr>
                <w:rFonts w:cs="Arial"/>
                <w:sz w:val="20"/>
                <w:szCs w:val="20"/>
              </w:rPr>
              <w:t>32.3</w:t>
            </w:r>
          </w:p>
        </w:tc>
        <w:tc>
          <w:tcPr>
            <w:tcW w:w="863" w:type="dxa"/>
            <w:shd w:val="clear" w:color="auto" w:fill="F2F2F2" w:themeFill="background1" w:themeFillShade="F2"/>
            <w:vAlign w:val="bottom"/>
          </w:tcPr>
          <w:p w:rsidR="00823E1F" w:rsidRPr="00E011A2" w:rsidRDefault="00823E1F" w:rsidP="00823E1F">
            <w:pPr>
              <w:rPr>
                <w:sz w:val="20"/>
                <w:szCs w:val="20"/>
              </w:rPr>
            </w:pPr>
            <w:r w:rsidRPr="00E011A2">
              <w:rPr>
                <w:rFonts w:cs="Arial"/>
                <w:color w:val="FF0000"/>
                <w:sz w:val="20"/>
                <w:szCs w:val="20"/>
              </w:rPr>
              <w:t>11’408</w:t>
            </w:r>
          </w:p>
        </w:tc>
        <w:tc>
          <w:tcPr>
            <w:tcW w:w="863" w:type="dxa"/>
            <w:shd w:val="clear" w:color="auto" w:fill="F2F2F2" w:themeFill="background1" w:themeFillShade="F2"/>
            <w:vAlign w:val="bottom"/>
          </w:tcPr>
          <w:p w:rsidR="00823E1F" w:rsidRPr="00E011A2" w:rsidRDefault="00823E1F" w:rsidP="00823E1F">
            <w:pPr>
              <w:rPr>
                <w:sz w:val="20"/>
                <w:szCs w:val="20"/>
              </w:rPr>
            </w:pPr>
            <w:r w:rsidRPr="00E011A2">
              <w:rPr>
                <w:rFonts w:cs="Arial"/>
                <w:color w:val="FF0000"/>
                <w:sz w:val="20"/>
                <w:szCs w:val="20"/>
              </w:rPr>
              <w:t> </w:t>
            </w:r>
          </w:p>
        </w:tc>
        <w:tc>
          <w:tcPr>
            <w:tcW w:w="863" w:type="dxa"/>
            <w:shd w:val="clear" w:color="auto" w:fill="F2F2F2" w:themeFill="background1" w:themeFillShade="F2"/>
            <w:vAlign w:val="bottom"/>
          </w:tcPr>
          <w:p w:rsidR="00823E1F" w:rsidRPr="00E011A2" w:rsidRDefault="00823E1F" w:rsidP="00823E1F">
            <w:pPr>
              <w:rPr>
                <w:sz w:val="20"/>
                <w:szCs w:val="20"/>
              </w:rPr>
            </w:pPr>
            <w:r w:rsidRPr="00E011A2">
              <w:rPr>
                <w:rFonts w:cs="Arial"/>
                <w:sz w:val="20"/>
                <w:szCs w:val="20"/>
              </w:rPr>
              <w:t>72’743</w:t>
            </w:r>
          </w:p>
        </w:tc>
        <w:tc>
          <w:tcPr>
            <w:tcW w:w="530" w:type="dxa"/>
            <w:shd w:val="clear" w:color="auto" w:fill="F2F2F2" w:themeFill="background1" w:themeFillShade="F2"/>
            <w:vAlign w:val="bottom"/>
          </w:tcPr>
          <w:p w:rsidR="00823E1F" w:rsidRPr="00E011A2" w:rsidRDefault="00823E1F" w:rsidP="00823E1F">
            <w:pPr>
              <w:rPr>
                <w:sz w:val="20"/>
                <w:szCs w:val="20"/>
              </w:rPr>
            </w:pPr>
            <w:r w:rsidRPr="00E011A2">
              <w:rPr>
                <w:rFonts w:cs="Arial"/>
                <w:color w:val="FF0000"/>
                <w:sz w:val="20"/>
                <w:szCs w:val="20"/>
              </w:rPr>
              <w:t> </w:t>
            </w:r>
          </w:p>
        </w:tc>
        <w:tc>
          <w:tcPr>
            <w:tcW w:w="530" w:type="dxa"/>
            <w:shd w:val="clear" w:color="auto" w:fill="F2F2F2" w:themeFill="background1" w:themeFillShade="F2"/>
            <w:vAlign w:val="bottom"/>
          </w:tcPr>
          <w:p w:rsidR="00823E1F" w:rsidRPr="00E011A2" w:rsidRDefault="00823E1F" w:rsidP="00823E1F">
            <w:pPr>
              <w:rPr>
                <w:sz w:val="20"/>
                <w:szCs w:val="20"/>
              </w:rPr>
            </w:pPr>
            <w:r w:rsidRPr="00E011A2">
              <w:rPr>
                <w:rFonts w:cs="Arial"/>
                <w:sz w:val="20"/>
                <w:szCs w:val="20"/>
              </w:rPr>
              <w:t>35.5</w:t>
            </w:r>
          </w:p>
        </w:tc>
      </w:tr>
      <w:tr w:rsidR="00823E1F" w:rsidRPr="00E011A2" w:rsidTr="005402AA">
        <w:trPr>
          <w:trHeight w:val="170"/>
        </w:trPr>
        <w:tc>
          <w:tcPr>
            <w:tcW w:w="1701" w:type="dxa"/>
            <w:shd w:val="clear" w:color="000000" w:fill="F2F2F2"/>
            <w:noWrap/>
            <w:vAlign w:val="bottom"/>
            <w:hideMark/>
          </w:tcPr>
          <w:p w:rsidR="00823E1F" w:rsidRPr="00E011A2" w:rsidRDefault="00823E1F" w:rsidP="00823E1F">
            <w:pPr>
              <w:rPr>
                <w:rFonts w:cs="Arial"/>
                <w:color w:val="FF0000"/>
                <w:sz w:val="20"/>
                <w:szCs w:val="20"/>
              </w:rPr>
            </w:pPr>
            <w:r w:rsidRPr="00E011A2">
              <w:rPr>
                <w:rFonts w:cs="Arial"/>
                <w:color w:val="FF0000"/>
                <w:sz w:val="20"/>
                <w:szCs w:val="20"/>
              </w:rPr>
              <w:t>150.001-200.000</w:t>
            </w:r>
          </w:p>
        </w:tc>
        <w:tc>
          <w:tcPr>
            <w:tcW w:w="863" w:type="dxa"/>
            <w:shd w:val="clear" w:color="auto" w:fill="F2F2F2" w:themeFill="background1" w:themeFillShade="F2"/>
            <w:noWrap/>
            <w:vAlign w:val="bottom"/>
            <w:hideMark/>
          </w:tcPr>
          <w:p w:rsidR="00823E1F" w:rsidRPr="00E011A2" w:rsidRDefault="00823E1F" w:rsidP="00823E1F">
            <w:pPr>
              <w:rPr>
                <w:rFonts w:cs="Arial"/>
                <w:color w:val="FF0000"/>
                <w:sz w:val="20"/>
                <w:szCs w:val="20"/>
              </w:rPr>
            </w:pPr>
            <w:r w:rsidRPr="00E011A2">
              <w:rPr>
                <w:rFonts w:cs="Arial"/>
                <w:color w:val="FF0000"/>
                <w:sz w:val="20"/>
                <w:szCs w:val="20"/>
              </w:rPr>
              <w:t>2’893</w:t>
            </w:r>
          </w:p>
        </w:tc>
        <w:tc>
          <w:tcPr>
            <w:tcW w:w="863" w:type="dxa"/>
            <w:shd w:val="clear" w:color="auto" w:fill="F2F2F2" w:themeFill="background1" w:themeFillShade="F2"/>
            <w:noWrap/>
            <w:vAlign w:val="bottom"/>
            <w:hideMark/>
          </w:tcPr>
          <w:p w:rsidR="00823E1F" w:rsidRPr="00E011A2" w:rsidRDefault="00823E1F" w:rsidP="00823E1F">
            <w:pPr>
              <w:rPr>
                <w:rFonts w:cs="Arial"/>
                <w:color w:val="FF0000"/>
                <w:sz w:val="20"/>
                <w:szCs w:val="20"/>
              </w:rPr>
            </w:pPr>
            <w:r w:rsidRPr="00E011A2">
              <w:rPr>
                <w:rFonts w:cs="Arial"/>
                <w:color w:val="FF0000"/>
                <w:sz w:val="20"/>
                <w:szCs w:val="20"/>
              </w:rPr>
              <w:t> </w:t>
            </w:r>
          </w:p>
        </w:tc>
        <w:tc>
          <w:tcPr>
            <w:tcW w:w="863" w:type="dxa"/>
            <w:shd w:val="clear" w:color="auto" w:fill="F2F2F2" w:themeFill="background1" w:themeFillShade="F2"/>
            <w:noWrap/>
            <w:vAlign w:val="bottom"/>
            <w:hideMark/>
          </w:tcPr>
          <w:p w:rsidR="00823E1F" w:rsidRPr="00E011A2" w:rsidRDefault="00823E1F" w:rsidP="00823E1F">
            <w:pPr>
              <w:rPr>
                <w:rFonts w:cs="Arial"/>
                <w:sz w:val="20"/>
                <w:szCs w:val="20"/>
              </w:rPr>
            </w:pPr>
            <w:r w:rsidRPr="00E011A2">
              <w:rPr>
                <w:rFonts w:cs="Arial"/>
                <w:sz w:val="20"/>
                <w:szCs w:val="20"/>
              </w:rPr>
              <w:t> </w:t>
            </w:r>
          </w:p>
        </w:tc>
        <w:tc>
          <w:tcPr>
            <w:tcW w:w="752" w:type="dxa"/>
            <w:shd w:val="clear" w:color="auto" w:fill="F2F2F2" w:themeFill="background1" w:themeFillShade="F2"/>
            <w:noWrap/>
            <w:vAlign w:val="bottom"/>
            <w:hideMark/>
          </w:tcPr>
          <w:p w:rsidR="00823E1F" w:rsidRPr="00E011A2" w:rsidRDefault="00823E1F" w:rsidP="00823E1F">
            <w:pPr>
              <w:rPr>
                <w:rFonts w:cs="Arial"/>
                <w:color w:val="FF0000"/>
                <w:sz w:val="20"/>
                <w:szCs w:val="20"/>
              </w:rPr>
            </w:pPr>
            <w:r w:rsidRPr="00E011A2">
              <w:rPr>
                <w:rFonts w:cs="Arial"/>
                <w:color w:val="FF0000"/>
                <w:sz w:val="20"/>
                <w:szCs w:val="20"/>
              </w:rPr>
              <w:t> </w:t>
            </w:r>
          </w:p>
        </w:tc>
        <w:tc>
          <w:tcPr>
            <w:tcW w:w="709" w:type="dxa"/>
            <w:shd w:val="clear" w:color="auto" w:fill="F2F2F2" w:themeFill="background1" w:themeFillShade="F2"/>
            <w:noWrap/>
            <w:vAlign w:val="bottom"/>
            <w:hideMark/>
          </w:tcPr>
          <w:p w:rsidR="00823E1F" w:rsidRPr="00E011A2" w:rsidRDefault="00823E1F" w:rsidP="00823E1F">
            <w:pPr>
              <w:rPr>
                <w:rFonts w:cs="Arial"/>
                <w:sz w:val="20"/>
                <w:szCs w:val="20"/>
              </w:rPr>
            </w:pPr>
            <w:r w:rsidRPr="00E011A2">
              <w:rPr>
                <w:rFonts w:cs="Arial"/>
                <w:sz w:val="20"/>
                <w:szCs w:val="20"/>
              </w:rPr>
              <w:t> </w:t>
            </w:r>
          </w:p>
        </w:tc>
        <w:tc>
          <w:tcPr>
            <w:tcW w:w="863" w:type="dxa"/>
            <w:shd w:val="clear" w:color="auto" w:fill="F2F2F2" w:themeFill="background1" w:themeFillShade="F2"/>
            <w:vAlign w:val="bottom"/>
          </w:tcPr>
          <w:p w:rsidR="00823E1F" w:rsidRPr="00E011A2" w:rsidRDefault="00823E1F" w:rsidP="00823E1F">
            <w:pPr>
              <w:rPr>
                <w:sz w:val="20"/>
                <w:szCs w:val="20"/>
              </w:rPr>
            </w:pPr>
            <w:r w:rsidRPr="00E011A2">
              <w:rPr>
                <w:rFonts w:cs="Arial"/>
                <w:color w:val="FF0000"/>
                <w:sz w:val="20"/>
                <w:szCs w:val="20"/>
              </w:rPr>
              <w:t>3’653</w:t>
            </w:r>
          </w:p>
        </w:tc>
        <w:tc>
          <w:tcPr>
            <w:tcW w:w="863" w:type="dxa"/>
            <w:shd w:val="clear" w:color="auto" w:fill="F2F2F2" w:themeFill="background1" w:themeFillShade="F2"/>
            <w:vAlign w:val="bottom"/>
          </w:tcPr>
          <w:p w:rsidR="00823E1F" w:rsidRPr="00E011A2" w:rsidRDefault="00823E1F" w:rsidP="00823E1F">
            <w:pPr>
              <w:rPr>
                <w:sz w:val="20"/>
                <w:szCs w:val="20"/>
              </w:rPr>
            </w:pPr>
            <w:r w:rsidRPr="00E011A2">
              <w:rPr>
                <w:rFonts w:cs="Arial"/>
                <w:color w:val="FF0000"/>
                <w:sz w:val="20"/>
                <w:szCs w:val="20"/>
              </w:rPr>
              <w:t> </w:t>
            </w:r>
          </w:p>
        </w:tc>
        <w:tc>
          <w:tcPr>
            <w:tcW w:w="863" w:type="dxa"/>
            <w:shd w:val="clear" w:color="auto" w:fill="F2F2F2" w:themeFill="background1" w:themeFillShade="F2"/>
            <w:vAlign w:val="bottom"/>
          </w:tcPr>
          <w:p w:rsidR="00823E1F" w:rsidRPr="00E011A2" w:rsidRDefault="00823E1F" w:rsidP="00823E1F">
            <w:pPr>
              <w:rPr>
                <w:sz w:val="20"/>
                <w:szCs w:val="20"/>
              </w:rPr>
            </w:pPr>
            <w:r w:rsidRPr="00E011A2">
              <w:rPr>
                <w:rFonts w:cs="Arial"/>
                <w:sz w:val="20"/>
                <w:szCs w:val="20"/>
              </w:rPr>
              <w:t> </w:t>
            </w:r>
          </w:p>
        </w:tc>
        <w:tc>
          <w:tcPr>
            <w:tcW w:w="530" w:type="dxa"/>
            <w:shd w:val="clear" w:color="auto" w:fill="F2F2F2" w:themeFill="background1" w:themeFillShade="F2"/>
            <w:vAlign w:val="bottom"/>
          </w:tcPr>
          <w:p w:rsidR="00823E1F" w:rsidRPr="00E011A2" w:rsidRDefault="00823E1F" w:rsidP="00823E1F">
            <w:pPr>
              <w:rPr>
                <w:sz w:val="20"/>
                <w:szCs w:val="20"/>
              </w:rPr>
            </w:pPr>
          </w:p>
        </w:tc>
        <w:tc>
          <w:tcPr>
            <w:tcW w:w="530" w:type="dxa"/>
            <w:shd w:val="clear" w:color="auto" w:fill="F2F2F2" w:themeFill="background1" w:themeFillShade="F2"/>
            <w:vAlign w:val="bottom"/>
          </w:tcPr>
          <w:p w:rsidR="00823E1F" w:rsidRPr="00E011A2" w:rsidRDefault="00823E1F" w:rsidP="00823E1F">
            <w:pPr>
              <w:rPr>
                <w:sz w:val="20"/>
                <w:szCs w:val="20"/>
              </w:rPr>
            </w:pPr>
            <w:r w:rsidRPr="00E011A2">
              <w:rPr>
                <w:rFonts w:cs="Arial"/>
                <w:sz w:val="20"/>
                <w:szCs w:val="20"/>
              </w:rPr>
              <w:t> </w:t>
            </w:r>
          </w:p>
        </w:tc>
      </w:tr>
      <w:tr w:rsidR="00823E1F" w:rsidRPr="00E011A2" w:rsidTr="005402AA">
        <w:trPr>
          <w:trHeight w:val="170"/>
        </w:trPr>
        <w:tc>
          <w:tcPr>
            <w:tcW w:w="1701" w:type="dxa"/>
            <w:shd w:val="clear" w:color="000000" w:fill="F2F2F2"/>
            <w:noWrap/>
            <w:vAlign w:val="bottom"/>
            <w:hideMark/>
          </w:tcPr>
          <w:p w:rsidR="00823E1F" w:rsidRPr="00E011A2" w:rsidRDefault="00823E1F" w:rsidP="00823E1F">
            <w:pPr>
              <w:rPr>
                <w:rFonts w:cs="Arial"/>
                <w:color w:val="FF0000"/>
                <w:sz w:val="20"/>
                <w:szCs w:val="20"/>
              </w:rPr>
            </w:pPr>
            <w:r w:rsidRPr="00E011A2">
              <w:rPr>
                <w:rFonts w:cs="Arial"/>
                <w:color w:val="FF0000"/>
                <w:sz w:val="20"/>
                <w:szCs w:val="20"/>
              </w:rPr>
              <w:t>Oltre 200.000</w:t>
            </w:r>
          </w:p>
        </w:tc>
        <w:tc>
          <w:tcPr>
            <w:tcW w:w="863" w:type="dxa"/>
            <w:shd w:val="clear" w:color="auto" w:fill="F2F2F2" w:themeFill="background1" w:themeFillShade="F2"/>
            <w:noWrap/>
            <w:vAlign w:val="bottom"/>
            <w:hideMark/>
          </w:tcPr>
          <w:p w:rsidR="00823E1F" w:rsidRPr="00E011A2" w:rsidRDefault="00823E1F" w:rsidP="00823E1F">
            <w:pPr>
              <w:rPr>
                <w:rFonts w:cs="Arial"/>
                <w:color w:val="FF0000"/>
                <w:sz w:val="20"/>
                <w:szCs w:val="20"/>
              </w:rPr>
            </w:pPr>
            <w:r w:rsidRPr="00E011A2">
              <w:rPr>
                <w:rFonts w:cs="Arial"/>
                <w:color w:val="FF0000"/>
                <w:sz w:val="20"/>
                <w:szCs w:val="20"/>
              </w:rPr>
              <w:t>3’639</w:t>
            </w:r>
          </w:p>
        </w:tc>
        <w:tc>
          <w:tcPr>
            <w:tcW w:w="863" w:type="dxa"/>
            <w:shd w:val="clear" w:color="auto" w:fill="F2F2F2" w:themeFill="background1" w:themeFillShade="F2"/>
            <w:noWrap/>
            <w:vAlign w:val="bottom"/>
            <w:hideMark/>
          </w:tcPr>
          <w:p w:rsidR="00823E1F" w:rsidRPr="00E011A2" w:rsidRDefault="00823E1F" w:rsidP="00823E1F">
            <w:pPr>
              <w:rPr>
                <w:rFonts w:cs="Arial"/>
                <w:color w:val="FF0000"/>
                <w:sz w:val="20"/>
                <w:szCs w:val="20"/>
              </w:rPr>
            </w:pPr>
            <w:r w:rsidRPr="00E011A2">
              <w:rPr>
                <w:rFonts w:cs="Arial"/>
                <w:color w:val="FF0000"/>
                <w:sz w:val="20"/>
                <w:szCs w:val="20"/>
              </w:rPr>
              <w:t>14’696</w:t>
            </w:r>
          </w:p>
        </w:tc>
        <w:tc>
          <w:tcPr>
            <w:tcW w:w="863" w:type="dxa"/>
            <w:shd w:val="clear" w:color="auto" w:fill="F2F2F2" w:themeFill="background1" w:themeFillShade="F2"/>
            <w:noWrap/>
            <w:vAlign w:val="bottom"/>
            <w:hideMark/>
          </w:tcPr>
          <w:p w:rsidR="00823E1F" w:rsidRPr="00E011A2" w:rsidRDefault="00823E1F" w:rsidP="00823E1F">
            <w:pPr>
              <w:rPr>
                <w:rFonts w:cs="Arial"/>
                <w:sz w:val="20"/>
                <w:szCs w:val="20"/>
              </w:rPr>
            </w:pPr>
            <w:r w:rsidRPr="00E011A2">
              <w:rPr>
                <w:rFonts w:cs="Arial"/>
                <w:sz w:val="20"/>
                <w:szCs w:val="20"/>
              </w:rPr>
              <w:t> </w:t>
            </w:r>
          </w:p>
        </w:tc>
        <w:tc>
          <w:tcPr>
            <w:tcW w:w="752" w:type="dxa"/>
            <w:shd w:val="clear" w:color="auto" w:fill="F2F2F2" w:themeFill="background1" w:themeFillShade="F2"/>
            <w:noWrap/>
            <w:vAlign w:val="bottom"/>
            <w:hideMark/>
          </w:tcPr>
          <w:p w:rsidR="00823E1F" w:rsidRPr="00E011A2" w:rsidRDefault="00823E1F" w:rsidP="00823E1F">
            <w:pPr>
              <w:rPr>
                <w:rFonts w:cs="Arial"/>
                <w:color w:val="FF0000"/>
                <w:sz w:val="20"/>
                <w:szCs w:val="20"/>
              </w:rPr>
            </w:pPr>
            <w:r w:rsidRPr="00E011A2">
              <w:rPr>
                <w:rFonts w:cs="Arial"/>
                <w:color w:val="FF0000"/>
                <w:sz w:val="20"/>
                <w:szCs w:val="20"/>
              </w:rPr>
              <w:t>8.0</w:t>
            </w:r>
          </w:p>
        </w:tc>
        <w:tc>
          <w:tcPr>
            <w:tcW w:w="709" w:type="dxa"/>
            <w:shd w:val="clear" w:color="auto" w:fill="F2F2F2" w:themeFill="background1" w:themeFillShade="F2"/>
            <w:noWrap/>
            <w:vAlign w:val="bottom"/>
            <w:hideMark/>
          </w:tcPr>
          <w:p w:rsidR="00823E1F" w:rsidRPr="00E011A2" w:rsidRDefault="00823E1F" w:rsidP="00823E1F">
            <w:pPr>
              <w:rPr>
                <w:rFonts w:cs="Arial"/>
                <w:sz w:val="20"/>
                <w:szCs w:val="20"/>
              </w:rPr>
            </w:pPr>
            <w:r w:rsidRPr="00E011A2">
              <w:rPr>
                <w:rFonts w:cs="Arial"/>
                <w:sz w:val="20"/>
                <w:szCs w:val="20"/>
              </w:rPr>
              <w:t> </w:t>
            </w:r>
          </w:p>
        </w:tc>
        <w:tc>
          <w:tcPr>
            <w:tcW w:w="863" w:type="dxa"/>
            <w:shd w:val="clear" w:color="auto" w:fill="F2F2F2" w:themeFill="background1" w:themeFillShade="F2"/>
            <w:vAlign w:val="bottom"/>
          </w:tcPr>
          <w:p w:rsidR="00823E1F" w:rsidRPr="00E011A2" w:rsidRDefault="00823E1F" w:rsidP="00823E1F">
            <w:pPr>
              <w:rPr>
                <w:sz w:val="20"/>
                <w:szCs w:val="20"/>
              </w:rPr>
            </w:pPr>
            <w:r w:rsidRPr="00E011A2">
              <w:rPr>
                <w:rFonts w:cs="Arial"/>
                <w:color w:val="FF0000"/>
                <w:sz w:val="20"/>
                <w:szCs w:val="20"/>
              </w:rPr>
              <w:t>5’289</w:t>
            </w:r>
          </w:p>
        </w:tc>
        <w:tc>
          <w:tcPr>
            <w:tcW w:w="863" w:type="dxa"/>
            <w:shd w:val="clear" w:color="auto" w:fill="F2F2F2" w:themeFill="background1" w:themeFillShade="F2"/>
            <w:vAlign w:val="bottom"/>
          </w:tcPr>
          <w:p w:rsidR="00823E1F" w:rsidRPr="00E011A2" w:rsidRDefault="00823E1F" w:rsidP="00823E1F">
            <w:pPr>
              <w:rPr>
                <w:sz w:val="20"/>
                <w:szCs w:val="20"/>
              </w:rPr>
            </w:pPr>
            <w:r w:rsidRPr="00E011A2">
              <w:rPr>
                <w:rFonts w:cs="Arial"/>
                <w:color w:val="FF0000"/>
                <w:sz w:val="20"/>
                <w:szCs w:val="20"/>
              </w:rPr>
              <w:t>20’350</w:t>
            </w:r>
          </w:p>
        </w:tc>
        <w:tc>
          <w:tcPr>
            <w:tcW w:w="863" w:type="dxa"/>
            <w:shd w:val="clear" w:color="auto" w:fill="F2F2F2" w:themeFill="background1" w:themeFillShade="F2"/>
            <w:vAlign w:val="bottom"/>
          </w:tcPr>
          <w:p w:rsidR="00823E1F" w:rsidRPr="00E011A2" w:rsidRDefault="00823E1F" w:rsidP="00823E1F">
            <w:pPr>
              <w:rPr>
                <w:sz w:val="20"/>
                <w:szCs w:val="20"/>
              </w:rPr>
            </w:pPr>
            <w:r w:rsidRPr="00E011A2">
              <w:rPr>
                <w:rFonts w:cs="Arial"/>
                <w:sz w:val="20"/>
                <w:szCs w:val="20"/>
              </w:rPr>
              <w:t> </w:t>
            </w:r>
          </w:p>
        </w:tc>
        <w:tc>
          <w:tcPr>
            <w:tcW w:w="530" w:type="dxa"/>
            <w:shd w:val="clear" w:color="auto" w:fill="F2F2F2" w:themeFill="background1" w:themeFillShade="F2"/>
            <w:vAlign w:val="bottom"/>
          </w:tcPr>
          <w:p w:rsidR="00823E1F" w:rsidRPr="00E011A2" w:rsidRDefault="00823E1F" w:rsidP="00823E1F">
            <w:pPr>
              <w:rPr>
                <w:sz w:val="20"/>
                <w:szCs w:val="20"/>
              </w:rPr>
            </w:pPr>
            <w:r w:rsidRPr="00E011A2">
              <w:rPr>
                <w:rFonts w:cs="Arial"/>
                <w:color w:val="FF0000"/>
                <w:sz w:val="20"/>
                <w:szCs w:val="20"/>
              </w:rPr>
              <w:t>9.9</w:t>
            </w:r>
          </w:p>
        </w:tc>
        <w:tc>
          <w:tcPr>
            <w:tcW w:w="530" w:type="dxa"/>
            <w:shd w:val="clear" w:color="auto" w:fill="F2F2F2" w:themeFill="background1" w:themeFillShade="F2"/>
            <w:vAlign w:val="bottom"/>
          </w:tcPr>
          <w:p w:rsidR="00823E1F" w:rsidRPr="00E011A2" w:rsidRDefault="00823E1F" w:rsidP="00823E1F">
            <w:pPr>
              <w:rPr>
                <w:sz w:val="20"/>
                <w:szCs w:val="20"/>
              </w:rPr>
            </w:pPr>
            <w:r w:rsidRPr="00E011A2">
              <w:rPr>
                <w:rFonts w:cs="Arial"/>
                <w:sz w:val="20"/>
                <w:szCs w:val="20"/>
              </w:rPr>
              <w:t> </w:t>
            </w:r>
          </w:p>
        </w:tc>
      </w:tr>
      <w:tr w:rsidR="00823E1F" w:rsidRPr="00E011A2" w:rsidTr="005402AA">
        <w:trPr>
          <w:trHeight w:val="170"/>
        </w:trPr>
        <w:tc>
          <w:tcPr>
            <w:tcW w:w="1701" w:type="dxa"/>
            <w:shd w:val="clear" w:color="000000" w:fill="F2F2F2"/>
            <w:noWrap/>
            <w:vAlign w:val="bottom"/>
            <w:hideMark/>
          </w:tcPr>
          <w:p w:rsidR="00823E1F" w:rsidRPr="00E011A2" w:rsidRDefault="00823E1F" w:rsidP="00823E1F">
            <w:pPr>
              <w:rPr>
                <w:rFonts w:cs="Arial"/>
                <w:b/>
                <w:bCs/>
                <w:color w:val="000000"/>
                <w:sz w:val="20"/>
                <w:szCs w:val="20"/>
              </w:rPr>
            </w:pPr>
            <w:r w:rsidRPr="00E011A2">
              <w:rPr>
                <w:rFonts w:cs="Arial"/>
                <w:b/>
                <w:bCs/>
                <w:color w:val="000000"/>
                <w:sz w:val="20"/>
                <w:szCs w:val="20"/>
              </w:rPr>
              <w:t> Totali</w:t>
            </w:r>
          </w:p>
        </w:tc>
        <w:tc>
          <w:tcPr>
            <w:tcW w:w="863" w:type="dxa"/>
            <w:shd w:val="clear" w:color="auto" w:fill="F2F2F2" w:themeFill="background1" w:themeFillShade="F2"/>
            <w:noWrap/>
            <w:vAlign w:val="bottom"/>
            <w:hideMark/>
          </w:tcPr>
          <w:p w:rsidR="00823E1F" w:rsidRPr="00E011A2" w:rsidRDefault="00823E1F" w:rsidP="00823E1F">
            <w:pPr>
              <w:rPr>
                <w:rFonts w:cs="Arial"/>
                <w:b/>
                <w:bCs/>
                <w:color w:val="000000"/>
                <w:sz w:val="20"/>
                <w:szCs w:val="20"/>
              </w:rPr>
            </w:pPr>
            <w:r w:rsidRPr="00E011A2">
              <w:rPr>
                <w:rFonts w:cs="Arial"/>
                <w:b/>
                <w:bCs/>
                <w:color w:val="000000"/>
                <w:sz w:val="20"/>
                <w:szCs w:val="20"/>
              </w:rPr>
              <w:t>184’147</w:t>
            </w:r>
          </w:p>
        </w:tc>
        <w:tc>
          <w:tcPr>
            <w:tcW w:w="863" w:type="dxa"/>
            <w:shd w:val="clear" w:color="auto" w:fill="F2F2F2" w:themeFill="background1" w:themeFillShade="F2"/>
            <w:noWrap/>
            <w:vAlign w:val="bottom"/>
            <w:hideMark/>
          </w:tcPr>
          <w:p w:rsidR="00823E1F" w:rsidRPr="00E011A2" w:rsidRDefault="00823E1F" w:rsidP="00823E1F">
            <w:pPr>
              <w:rPr>
                <w:rFonts w:cs="Arial"/>
                <w:b/>
                <w:bCs/>
                <w:color w:val="000000"/>
                <w:sz w:val="20"/>
                <w:szCs w:val="20"/>
              </w:rPr>
            </w:pPr>
            <w:r w:rsidRPr="00E011A2">
              <w:rPr>
                <w:rFonts w:cs="Arial"/>
                <w:b/>
                <w:bCs/>
                <w:color w:val="000000"/>
                <w:sz w:val="20"/>
                <w:szCs w:val="20"/>
              </w:rPr>
              <w:t>184’147</w:t>
            </w:r>
          </w:p>
        </w:tc>
        <w:tc>
          <w:tcPr>
            <w:tcW w:w="863" w:type="dxa"/>
            <w:shd w:val="clear" w:color="auto" w:fill="F2F2F2" w:themeFill="background1" w:themeFillShade="F2"/>
            <w:noWrap/>
            <w:vAlign w:val="bottom"/>
            <w:hideMark/>
          </w:tcPr>
          <w:p w:rsidR="00823E1F" w:rsidRPr="00E011A2" w:rsidRDefault="00823E1F" w:rsidP="00823E1F">
            <w:pPr>
              <w:rPr>
                <w:rFonts w:cs="Arial"/>
                <w:b/>
                <w:bCs/>
                <w:color w:val="000000"/>
                <w:sz w:val="20"/>
                <w:szCs w:val="20"/>
              </w:rPr>
            </w:pPr>
            <w:r w:rsidRPr="00E011A2">
              <w:rPr>
                <w:rFonts w:cs="Arial"/>
                <w:b/>
                <w:bCs/>
                <w:color w:val="000000"/>
                <w:sz w:val="20"/>
                <w:szCs w:val="20"/>
              </w:rPr>
              <w:t>184’147</w:t>
            </w:r>
          </w:p>
        </w:tc>
        <w:tc>
          <w:tcPr>
            <w:tcW w:w="752" w:type="dxa"/>
            <w:shd w:val="clear" w:color="auto" w:fill="F2F2F2" w:themeFill="background1" w:themeFillShade="F2"/>
            <w:noWrap/>
            <w:vAlign w:val="bottom"/>
            <w:hideMark/>
          </w:tcPr>
          <w:p w:rsidR="00823E1F" w:rsidRPr="00E011A2" w:rsidRDefault="00823E1F" w:rsidP="00823E1F">
            <w:pPr>
              <w:rPr>
                <w:rFonts w:cs="Arial"/>
                <w:b/>
                <w:bCs/>
                <w:color w:val="000000"/>
                <w:sz w:val="20"/>
                <w:szCs w:val="20"/>
              </w:rPr>
            </w:pPr>
            <w:r w:rsidRPr="00E011A2">
              <w:rPr>
                <w:rFonts w:cs="Arial"/>
                <w:b/>
                <w:bCs/>
                <w:color w:val="000000"/>
                <w:sz w:val="20"/>
                <w:szCs w:val="20"/>
              </w:rPr>
              <w:t>100.00</w:t>
            </w:r>
          </w:p>
        </w:tc>
        <w:tc>
          <w:tcPr>
            <w:tcW w:w="709" w:type="dxa"/>
            <w:shd w:val="clear" w:color="auto" w:fill="F2F2F2" w:themeFill="background1" w:themeFillShade="F2"/>
            <w:noWrap/>
            <w:vAlign w:val="bottom"/>
            <w:hideMark/>
          </w:tcPr>
          <w:p w:rsidR="00823E1F" w:rsidRPr="00E011A2" w:rsidRDefault="00823E1F" w:rsidP="00823E1F">
            <w:pPr>
              <w:rPr>
                <w:rFonts w:cs="Arial"/>
                <w:b/>
                <w:bCs/>
                <w:color w:val="000000"/>
                <w:sz w:val="20"/>
                <w:szCs w:val="20"/>
              </w:rPr>
            </w:pPr>
            <w:r w:rsidRPr="00E011A2">
              <w:rPr>
                <w:rFonts w:cs="Arial"/>
                <w:b/>
                <w:bCs/>
                <w:color w:val="000000"/>
                <w:sz w:val="20"/>
                <w:szCs w:val="20"/>
              </w:rPr>
              <w:t>100</w:t>
            </w:r>
          </w:p>
        </w:tc>
        <w:tc>
          <w:tcPr>
            <w:tcW w:w="863" w:type="dxa"/>
            <w:shd w:val="clear" w:color="auto" w:fill="F2F2F2" w:themeFill="background1" w:themeFillShade="F2"/>
            <w:vAlign w:val="bottom"/>
          </w:tcPr>
          <w:p w:rsidR="00823E1F" w:rsidRPr="00E011A2" w:rsidRDefault="00823E1F" w:rsidP="00823E1F">
            <w:pPr>
              <w:rPr>
                <w:b/>
                <w:bCs/>
                <w:sz w:val="20"/>
                <w:szCs w:val="20"/>
              </w:rPr>
            </w:pPr>
            <w:r w:rsidRPr="00E011A2">
              <w:rPr>
                <w:rFonts w:cs="Arial"/>
                <w:b/>
                <w:bCs/>
                <w:color w:val="000000"/>
                <w:sz w:val="20"/>
                <w:szCs w:val="20"/>
              </w:rPr>
              <w:t>204’698</w:t>
            </w:r>
          </w:p>
        </w:tc>
        <w:tc>
          <w:tcPr>
            <w:tcW w:w="863" w:type="dxa"/>
            <w:shd w:val="clear" w:color="auto" w:fill="F2F2F2" w:themeFill="background1" w:themeFillShade="F2"/>
            <w:vAlign w:val="bottom"/>
          </w:tcPr>
          <w:p w:rsidR="00823E1F" w:rsidRPr="00E011A2" w:rsidRDefault="00823E1F" w:rsidP="00823E1F">
            <w:pPr>
              <w:rPr>
                <w:b/>
                <w:bCs/>
                <w:sz w:val="20"/>
                <w:szCs w:val="20"/>
              </w:rPr>
            </w:pPr>
            <w:r w:rsidRPr="00E011A2">
              <w:rPr>
                <w:rFonts w:cs="Arial"/>
                <w:b/>
                <w:bCs/>
                <w:color w:val="000000"/>
                <w:sz w:val="20"/>
                <w:szCs w:val="20"/>
              </w:rPr>
              <w:t>204’698</w:t>
            </w:r>
          </w:p>
        </w:tc>
        <w:tc>
          <w:tcPr>
            <w:tcW w:w="863" w:type="dxa"/>
            <w:shd w:val="clear" w:color="auto" w:fill="F2F2F2" w:themeFill="background1" w:themeFillShade="F2"/>
            <w:vAlign w:val="bottom"/>
          </w:tcPr>
          <w:p w:rsidR="00823E1F" w:rsidRPr="00E011A2" w:rsidRDefault="00823E1F" w:rsidP="00823E1F">
            <w:pPr>
              <w:rPr>
                <w:b/>
                <w:bCs/>
                <w:sz w:val="20"/>
                <w:szCs w:val="20"/>
              </w:rPr>
            </w:pPr>
            <w:r w:rsidRPr="00E011A2">
              <w:rPr>
                <w:rFonts w:cs="Arial"/>
                <w:b/>
                <w:bCs/>
                <w:color w:val="000000"/>
                <w:sz w:val="20"/>
                <w:szCs w:val="20"/>
              </w:rPr>
              <w:t>204’698</w:t>
            </w:r>
          </w:p>
        </w:tc>
        <w:tc>
          <w:tcPr>
            <w:tcW w:w="530" w:type="dxa"/>
            <w:shd w:val="clear" w:color="auto" w:fill="F2F2F2" w:themeFill="background1" w:themeFillShade="F2"/>
            <w:vAlign w:val="bottom"/>
          </w:tcPr>
          <w:p w:rsidR="00823E1F" w:rsidRPr="00E011A2" w:rsidRDefault="00823E1F" w:rsidP="00823E1F">
            <w:pPr>
              <w:rPr>
                <w:rFonts w:cs="Arial"/>
                <w:b/>
                <w:bCs/>
                <w:color w:val="000000"/>
                <w:sz w:val="20"/>
                <w:szCs w:val="20"/>
              </w:rPr>
            </w:pPr>
            <w:r w:rsidRPr="00E011A2">
              <w:rPr>
                <w:rFonts w:cs="Arial"/>
                <w:b/>
                <w:bCs/>
                <w:color w:val="000000"/>
                <w:sz w:val="20"/>
                <w:szCs w:val="20"/>
              </w:rPr>
              <w:t>100</w:t>
            </w:r>
          </w:p>
        </w:tc>
        <w:tc>
          <w:tcPr>
            <w:tcW w:w="530" w:type="dxa"/>
            <w:shd w:val="clear" w:color="auto" w:fill="F2F2F2" w:themeFill="background1" w:themeFillShade="F2"/>
            <w:vAlign w:val="bottom"/>
          </w:tcPr>
          <w:p w:rsidR="00823E1F" w:rsidRPr="00E011A2" w:rsidRDefault="00823E1F" w:rsidP="00823E1F">
            <w:pPr>
              <w:rPr>
                <w:b/>
                <w:bCs/>
                <w:sz w:val="20"/>
                <w:szCs w:val="20"/>
              </w:rPr>
            </w:pPr>
            <w:r w:rsidRPr="00E011A2">
              <w:rPr>
                <w:rFonts w:cs="Arial"/>
                <w:b/>
                <w:bCs/>
                <w:color w:val="000000"/>
                <w:sz w:val="20"/>
                <w:szCs w:val="20"/>
              </w:rPr>
              <w:t>100</w:t>
            </w:r>
          </w:p>
        </w:tc>
      </w:tr>
    </w:tbl>
    <w:p w:rsidR="00823E1F" w:rsidRPr="00D27487" w:rsidRDefault="00823E1F" w:rsidP="00823E1F">
      <w:pPr>
        <w:autoSpaceDE w:val="0"/>
        <w:autoSpaceDN w:val="0"/>
        <w:adjustRightInd w:val="0"/>
        <w:rPr>
          <w:rFonts w:cs="Arial"/>
          <w:lang w:eastAsia="it-CH"/>
        </w:rPr>
      </w:pPr>
      <w:r w:rsidRPr="00D27487">
        <w:rPr>
          <w:rFonts w:cs="Arial"/>
          <w:lang w:eastAsia="it-CH"/>
        </w:rPr>
        <w:lastRenderedPageBreak/>
        <w:t>Paragonando invece i dati di 2006 e 2017 per quanto riguarda l</w:t>
      </w:r>
      <w:r>
        <w:rPr>
          <w:rFonts w:cs="Arial"/>
          <w:lang w:eastAsia="it-CH"/>
        </w:rPr>
        <w:t>'</w:t>
      </w:r>
      <w:r w:rsidRPr="00D27487">
        <w:rPr>
          <w:rFonts w:cs="Arial"/>
          <w:lang w:eastAsia="it-CH"/>
        </w:rPr>
        <w:t>evoluzione degli introiti fiscali aggregati per fasce di contribuenti, rileviamo che la fascia medio-bassa (verde) ha segnato una flessione percentuale passando dal 16% al 12% degli introiti complessivi, la fascia medio-alta (arancio) ha anche segnato una flessione passando dal 32% al 29%, mentre la fascia dei benestanti (rossa) ha segnato un incremento dal 52% al 59%.</w:t>
      </w:r>
      <w:r>
        <w:rPr>
          <w:rFonts w:cs="Arial"/>
          <w:lang w:eastAsia="it-CH"/>
        </w:rPr>
        <w:t xml:space="preserve"> </w:t>
      </w:r>
    </w:p>
    <w:tbl>
      <w:tblPr>
        <w:tblW w:w="7309" w:type="dxa"/>
        <w:tblCellMar>
          <w:left w:w="70" w:type="dxa"/>
          <w:right w:w="70" w:type="dxa"/>
        </w:tblCellMar>
        <w:tblLook w:val="04A0" w:firstRow="1" w:lastRow="0" w:firstColumn="1" w:lastColumn="0" w:noHBand="0" w:noVBand="1"/>
      </w:tblPr>
      <w:tblGrid>
        <w:gridCol w:w="1843"/>
        <w:gridCol w:w="1134"/>
        <w:gridCol w:w="1019"/>
        <w:gridCol w:w="567"/>
        <w:gridCol w:w="1119"/>
        <w:gridCol w:w="1119"/>
        <w:gridCol w:w="508"/>
      </w:tblGrid>
      <w:tr w:rsidR="00823E1F" w:rsidRPr="00E011A2" w:rsidTr="005402AA">
        <w:trPr>
          <w:trHeight w:val="285"/>
        </w:trPr>
        <w:tc>
          <w:tcPr>
            <w:tcW w:w="7309" w:type="dxa"/>
            <w:gridSpan w:val="7"/>
            <w:shd w:val="clear" w:color="000000" w:fill="F2F2F2"/>
            <w:noWrap/>
            <w:vAlign w:val="bottom"/>
            <w:hideMark/>
          </w:tcPr>
          <w:p w:rsidR="00823E1F" w:rsidRPr="00E32927" w:rsidRDefault="00823E1F" w:rsidP="00823E1F">
            <w:pPr>
              <w:rPr>
                <w:rFonts w:cs="Arial"/>
                <w:color w:val="000000"/>
                <w:sz w:val="20"/>
                <w:szCs w:val="20"/>
                <w:lang w:eastAsia="fr-CH"/>
              </w:rPr>
            </w:pPr>
          </w:p>
          <w:p w:rsidR="00823E1F" w:rsidRPr="00E32927" w:rsidRDefault="00823E1F" w:rsidP="00823E1F">
            <w:pPr>
              <w:rPr>
                <w:rFonts w:cs="Arial"/>
                <w:b/>
                <w:bCs/>
                <w:color w:val="000000"/>
                <w:sz w:val="20"/>
                <w:szCs w:val="20"/>
              </w:rPr>
            </w:pPr>
            <w:r w:rsidRPr="00E32927">
              <w:rPr>
                <w:rFonts w:cs="Arial"/>
                <w:b/>
                <w:bCs/>
                <w:color w:val="000000"/>
                <w:sz w:val="20"/>
                <w:szCs w:val="20"/>
              </w:rPr>
              <w:t>Confronto distribuzione introiti fiscali delle persone fisiche tra 2006 e 2017</w:t>
            </w:r>
          </w:p>
          <w:p w:rsidR="00823E1F" w:rsidRPr="00E32927" w:rsidRDefault="00823E1F" w:rsidP="00823E1F">
            <w:pPr>
              <w:rPr>
                <w:rFonts w:cs="Arial"/>
                <w:b/>
                <w:bCs/>
                <w:color w:val="000000"/>
                <w:sz w:val="20"/>
                <w:szCs w:val="20"/>
              </w:rPr>
            </w:pPr>
            <w:r w:rsidRPr="00E32927">
              <w:rPr>
                <w:rFonts w:cs="Arial"/>
                <w:b/>
                <w:bCs/>
                <w:color w:val="000000"/>
                <w:sz w:val="20"/>
                <w:szCs w:val="20"/>
              </w:rPr>
              <w:t>(migliaia di CHF)</w:t>
            </w:r>
          </w:p>
          <w:p w:rsidR="00823E1F" w:rsidRPr="00E32927" w:rsidRDefault="00823E1F" w:rsidP="00823E1F">
            <w:pPr>
              <w:rPr>
                <w:rFonts w:cs="Arial"/>
                <w:b/>
                <w:bCs/>
                <w:color w:val="000000"/>
                <w:sz w:val="20"/>
                <w:szCs w:val="20"/>
              </w:rPr>
            </w:pPr>
          </w:p>
          <w:p w:rsidR="00823E1F" w:rsidRPr="00E32927" w:rsidRDefault="00823E1F" w:rsidP="00823E1F">
            <w:pPr>
              <w:rPr>
                <w:rFonts w:cs="Arial"/>
                <w:b/>
                <w:bCs/>
                <w:color w:val="000000"/>
                <w:sz w:val="20"/>
                <w:szCs w:val="20"/>
              </w:rPr>
            </w:pPr>
          </w:p>
        </w:tc>
      </w:tr>
      <w:tr w:rsidR="00823E1F" w:rsidRPr="00E011A2" w:rsidTr="005402AA">
        <w:trPr>
          <w:trHeight w:val="170"/>
        </w:trPr>
        <w:tc>
          <w:tcPr>
            <w:tcW w:w="1843" w:type="dxa"/>
            <w:shd w:val="clear" w:color="auto" w:fill="F2F2F2" w:themeFill="background1" w:themeFillShade="F2"/>
            <w:noWrap/>
            <w:vAlign w:val="bottom"/>
            <w:hideMark/>
          </w:tcPr>
          <w:p w:rsidR="00823E1F" w:rsidRPr="00E32927" w:rsidRDefault="00823E1F" w:rsidP="00823E1F">
            <w:pPr>
              <w:rPr>
                <w:rFonts w:cs="Arial"/>
                <w:b/>
                <w:bCs/>
                <w:color w:val="000000"/>
                <w:sz w:val="20"/>
                <w:szCs w:val="20"/>
              </w:rPr>
            </w:pPr>
            <w:r w:rsidRPr="00E32927">
              <w:rPr>
                <w:rFonts w:cs="Arial"/>
                <w:b/>
                <w:bCs/>
                <w:color w:val="000000"/>
                <w:sz w:val="20"/>
                <w:szCs w:val="20"/>
              </w:rPr>
              <w:t> </w:t>
            </w:r>
          </w:p>
        </w:tc>
        <w:tc>
          <w:tcPr>
            <w:tcW w:w="2720" w:type="dxa"/>
            <w:gridSpan w:val="3"/>
            <w:shd w:val="clear" w:color="auto" w:fill="F2F2F2" w:themeFill="background1" w:themeFillShade="F2"/>
            <w:noWrap/>
            <w:vAlign w:val="bottom"/>
            <w:hideMark/>
          </w:tcPr>
          <w:p w:rsidR="00823E1F" w:rsidRPr="00E32927" w:rsidRDefault="00823E1F" w:rsidP="00823E1F">
            <w:pPr>
              <w:rPr>
                <w:rFonts w:cs="Arial"/>
                <w:b/>
                <w:bCs/>
                <w:color w:val="000000"/>
                <w:sz w:val="20"/>
                <w:szCs w:val="20"/>
              </w:rPr>
            </w:pPr>
            <w:r w:rsidRPr="00E32927">
              <w:rPr>
                <w:rFonts w:cs="Arial"/>
                <w:b/>
                <w:bCs/>
                <w:color w:val="000000"/>
                <w:sz w:val="20"/>
                <w:szCs w:val="20"/>
              </w:rPr>
              <w:t>2006</w:t>
            </w:r>
          </w:p>
        </w:tc>
        <w:tc>
          <w:tcPr>
            <w:tcW w:w="2746" w:type="dxa"/>
            <w:gridSpan w:val="3"/>
            <w:shd w:val="clear" w:color="auto" w:fill="F2F2F2" w:themeFill="background1" w:themeFillShade="F2"/>
            <w:vAlign w:val="bottom"/>
          </w:tcPr>
          <w:p w:rsidR="00823E1F" w:rsidRPr="00E32927" w:rsidRDefault="00823E1F" w:rsidP="00823E1F">
            <w:pPr>
              <w:rPr>
                <w:rFonts w:cs="Arial"/>
                <w:b/>
                <w:bCs/>
                <w:sz w:val="20"/>
                <w:szCs w:val="20"/>
              </w:rPr>
            </w:pPr>
            <w:r w:rsidRPr="00E32927">
              <w:rPr>
                <w:rFonts w:cs="Arial"/>
                <w:b/>
                <w:bCs/>
                <w:color w:val="000000"/>
                <w:sz w:val="20"/>
                <w:szCs w:val="20"/>
              </w:rPr>
              <w:t>2017</w:t>
            </w:r>
          </w:p>
        </w:tc>
      </w:tr>
      <w:tr w:rsidR="00823E1F" w:rsidRPr="00E011A2" w:rsidTr="005402AA">
        <w:trPr>
          <w:trHeight w:val="170"/>
        </w:trPr>
        <w:tc>
          <w:tcPr>
            <w:tcW w:w="1843" w:type="dxa"/>
            <w:shd w:val="clear" w:color="000000" w:fill="F2F2F2"/>
            <w:noWrap/>
            <w:vAlign w:val="bottom"/>
            <w:hideMark/>
          </w:tcPr>
          <w:p w:rsidR="00823E1F" w:rsidRPr="00E32927" w:rsidRDefault="00823E1F" w:rsidP="00823E1F">
            <w:pPr>
              <w:rPr>
                <w:rFonts w:cs="Arial"/>
                <w:b/>
                <w:bCs/>
                <w:color w:val="000000"/>
                <w:sz w:val="20"/>
                <w:szCs w:val="20"/>
              </w:rPr>
            </w:pPr>
            <w:r w:rsidRPr="00E32927">
              <w:rPr>
                <w:rFonts w:cs="Arial"/>
                <w:b/>
                <w:bCs/>
                <w:color w:val="000000"/>
                <w:sz w:val="20"/>
                <w:szCs w:val="20"/>
              </w:rPr>
              <w:t>Fasce contribuenti</w:t>
            </w:r>
          </w:p>
        </w:tc>
        <w:tc>
          <w:tcPr>
            <w:tcW w:w="1134" w:type="dxa"/>
            <w:shd w:val="clear" w:color="auto" w:fill="F2F2F2" w:themeFill="background1" w:themeFillShade="F2"/>
            <w:noWrap/>
            <w:vAlign w:val="bottom"/>
            <w:hideMark/>
          </w:tcPr>
          <w:p w:rsidR="00823E1F" w:rsidRPr="00E32927" w:rsidRDefault="00823E1F" w:rsidP="00823E1F">
            <w:pPr>
              <w:rPr>
                <w:rFonts w:cs="Arial"/>
                <w:b/>
                <w:bCs/>
                <w:color w:val="000000"/>
                <w:sz w:val="20"/>
                <w:szCs w:val="20"/>
              </w:rPr>
            </w:pPr>
            <w:r w:rsidRPr="00E32927">
              <w:rPr>
                <w:rFonts w:cs="Arial"/>
                <w:b/>
                <w:bCs/>
                <w:color w:val="000000"/>
                <w:sz w:val="20"/>
                <w:szCs w:val="20"/>
              </w:rPr>
              <w:t>Tot</w:t>
            </w:r>
          </w:p>
        </w:tc>
        <w:tc>
          <w:tcPr>
            <w:tcW w:w="1019" w:type="dxa"/>
            <w:shd w:val="clear" w:color="auto" w:fill="F2F2F2" w:themeFill="background1" w:themeFillShade="F2"/>
            <w:noWrap/>
            <w:vAlign w:val="bottom"/>
            <w:hideMark/>
          </w:tcPr>
          <w:p w:rsidR="00823E1F" w:rsidRPr="00E32927" w:rsidRDefault="00823E1F" w:rsidP="00823E1F">
            <w:pPr>
              <w:rPr>
                <w:rFonts w:cs="Arial"/>
                <w:b/>
                <w:bCs/>
                <w:color w:val="000000"/>
                <w:sz w:val="20"/>
                <w:szCs w:val="20"/>
              </w:rPr>
            </w:pPr>
            <w:r w:rsidRPr="00E32927">
              <w:rPr>
                <w:rFonts w:cs="Arial"/>
                <w:b/>
                <w:bCs/>
                <w:color w:val="000000"/>
                <w:sz w:val="20"/>
                <w:szCs w:val="20"/>
              </w:rPr>
              <w:t>Tot</w:t>
            </w:r>
          </w:p>
        </w:tc>
        <w:tc>
          <w:tcPr>
            <w:tcW w:w="567" w:type="dxa"/>
            <w:shd w:val="clear" w:color="auto" w:fill="F2F2F2" w:themeFill="background1" w:themeFillShade="F2"/>
            <w:noWrap/>
            <w:vAlign w:val="bottom"/>
            <w:hideMark/>
          </w:tcPr>
          <w:p w:rsidR="00823E1F" w:rsidRPr="00E32927" w:rsidRDefault="00823E1F" w:rsidP="00823E1F">
            <w:pPr>
              <w:rPr>
                <w:rFonts w:cs="Arial"/>
                <w:b/>
                <w:bCs/>
                <w:color w:val="000000"/>
                <w:sz w:val="20"/>
                <w:szCs w:val="20"/>
              </w:rPr>
            </w:pPr>
            <w:r w:rsidRPr="00E32927">
              <w:rPr>
                <w:rFonts w:cs="Arial"/>
                <w:b/>
                <w:bCs/>
                <w:color w:val="000000"/>
                <w:sz w:val="20"/>
                <w:szCs w:val="20"/>
              </w:rPr>
              <w:t>%</w:t>
            </w:r>
          </w:p>
        </w:tc>
        <w:tc>
          <w:tcPr>
            <w:tcW w:w="1119" w:type="dxa"/>
            <w:shd w:val="clear" w:color="auto" w:fill="F2F2F2" w:themeFill="background1" w:themeFillShade="F2"/>
            <w:vAlign w:val="bottom"/>
          </w:tcPr>
          <w:p w:rsidR="00823E1F" w:rsidRPr="00E32927" w:rsidRDefault="00823E1F" w:rsidP="00823E1F">
            <w:pPr>
              <w:rPr>
                <w:rFonts w:cs="Arial"/>
                <w:b/>
                <w:bCs/>
                <w:sz w:val="20"/>
                <w:szCs w:val="20"/>
              </w:rPr>
            </w:pPr>
            <w:r w:rsidRPr="00E32927">
              <w:rPr>
                <w:rFonts w:cs="Arial"/>
                <w:b/>
                <w:bCs/>
                <w:color w:val="000000"/>
                <w:sz w:val="20"/>
                <w:szCs w:val="20"/>
              </w:rPr>
              <w:t>Tot</w:t>
            </w:r>
          </w:p>
        </w:tc>
        <w:tc>
          <w:tcPr>
            <w:tcW w:w="1119" w:type="dxa"/>
            <w:shd w:val="clear" w:color="auto" w:fill="F2F2F2" w:themeFill="background1" w:themeFillShade="F2"/>
            <w:vAlign w:val="bottom"/>
          </w:tcPr>
          <w:p w:rsidR="00823E1F" w:rsidRPr="00E32927" w:rsidRDefault="00823E1F" w:rsidP="00823E1F">
            <w:pPr>
              <w:rPr>
                <w:rFonts w:cs="Arial"/>
                <w:b/>
                <w:bCs/>
                <w:sz w:val="20"/>
                <w:szCs w:val="20"/>
              </w:rPr>
            </w:pPr>
            <w:r w:rsidRPr="00E32927">
              <w:rPr>
                <w:rFonts w:cs="Arial"/>
                <w:b/>
                <w:bCs/>
                <w:color w:val="000000"/>
                <w:sz w:val="20"/>
                <w:szCs w:val="20"/>
              </w:rPr>
              <w:t>Tot</w:t>
            </w:r>
          </w:p>
        </w:tc>
        <w:tc>
          <w:tcPr>
            <w:tcW w:w="508" w:type="dxa"/>
            <w:shd w:val="clear" w:color="auto" w:fill="F2F2F2" w:themeFill="background1" w:themeFillShade="F2"/>
            <w:vAlign w:val="bottom"/>
          </w:tcPr>
          <w:p w:rsidR="00823E1F" w:rsidRPr="00E32927" w:rsidRDefault="00823E1F" w:rsidP="00823E1F">
            <w:pPr>
              <w:rPr>
                <w:rFonts w:cs="Arial"/>
                <w:b/>
                <w:bCs/>
                <w:sz w:val="20"/>
                <w:szCs w:val="20"/>
              </w:rPr>
            </w:pPr>
            <w:r w:rsidRPr="00E32927">
              <w:rPr>
                <w:rFonts w:cs="Arial"/>
                <w:b/>
                <w:bCs/>
                <w:color w:val="000000"/>
                <w:sz w:val="20"/>
                <w:szCs w:val="20"/>
              </w:rPr>
              <w:t>%</w:t>
            </w:r>
          </w:p>
        </w:tc>
      </w:tr>
      <w:tr w:rsidR="00823E1F" w:rsidRPr="00E011A2" w:rsidTr="005402AA">
        <w:trPr>
          <w:trHeight w:val="170"/>
        </w:trPr>
        <w:tc>
          <w:tcPr>
            <w:tcW w:w="1843" w:type="dxa"/>
            <w:shd w:val="clear" w:color="000000" w:fill="F2F2F2"/>
            <w:noWrap/>
            <w:vAlign w:val="bottom"/>
            <w:hideMark/>
          </w:tcPr>
          <w:p w:rsidR="00823E1F" w:rsidRPr="00E32927" w:rsidRDefault="00823E1F" w:rsidP="00823E1F">
            <w:pPr>
              <w:rPr>
                <w:rFonts w:cs="Arial"/>
                <w:color w:val="4472C4"/>
                <w:sz w:val="20"/>
                <w:szCs w:val="20"/>
              </w:rPr>
            </w:pPr>
            <w:r w:rsidRPr="00E32927">
              <w:rPr>
                <w:rFonts w:cs="Arial"/>
                <w:color w:val="4472C4"/>
                <w:sz w:val="20"/>
                <w:szCs w:val="20"/>
              </w:rPr>
              <w:t>Esenti</w:t>
            </w:r>
          </w:p>
        </w:tc>
        <w:tc>
          <w:tcPr>
            <w:tcW w:w="1134" w:type="dxa"/>
            <w:shd w:val="clear" w:color="auto" w:fill="F2F2F2" w:themeFill="background1" w:themeFillShade="F2"/>
            <w:noWrap/>
            <w:vAlign w:val="bottom"/>
            <w:hideMark/>
          </w:tcPr>
          <w:p w:rsidR="00823E1F" w:rsidRPr="00E32927" w:rsidRDefault="00823E1F" w:rsidP="00823E1F">
            <w:pPr>
              <w:rPr>
                <w:rFonts w:cs="Arial"/>
                <w:color w:val="4472C4"/>
                <w:sz w:val="20"/>
                <w:szCs w:val="20"/>
              </w:rPr>
            </w:pPr>
            <w:r w:rsidRPr="00E32927">
              <w:rPr>
                <w:rFonts w:cs="Arial"/>
                <w:color w:val="4472C4"/>
                <w:sz w:val="20"/>
                <w:szCs w:val="20"/>
              </w:rPr>
              <w:t>0.0</w:t>
            </w:r>
          </w:p>
        </w:tc>
        <w:tc>
          <w:tcPr>
            <w:tcW w:w="1019" w:type="dxa"/>
            <w:shd w:val="clear" w:color="auto" w:fill="F2F2F2" w:themeFill="background1" w:themeFillShade="F2"/>
            <w:noWrap/>
            <w:vAlign w:val="bottom"/>
            <w:hideMark/>
          </w:tcPr>
          <w:p w:rsidR="00823E1F" w:rsidRPr="00E32927" w:rsidRDefault="00823E1F" w:rsidP="00823E1F">
            <w:pPr>
              <w:rPr>
                <w:rFonts w:cs="Arial"/>
                <w:color w:val="4472C4"/>
                <w:sz w:val="20"/>
                <w:szCs w:val="20"/>
              </w:rPr>
            </w:pPr>
            <w:r w:rsidRPr="00E32927">
              <w:rPr>
                <w:rFonts w:cs="Arial"/>
                <w:color w:val="4472C4"/>
                <w:sz w:val="20"/>
                <w:szCs w:val="20"/>
              </w:rPr>
              <w:t> </w:t>
            </w:r>
          </w:p>
        </w:tc>
        <w:tc>
          <w:tcPr>
            <w:tcW w:w="567" w:type="dxa"/>
            <w:shd w:val="clear" w:color="auto" w:fill="F2F2F2" w:themeFill="background1" w:themeFillShade="F2"/>
            <w:noWrap/>
            <w:vAlign w:val="bottom"/>
            <w:hideMark/>
          </w:tcPr>
          <w:p w:rsidR="00823E1F" w:rsidRPr="00E32927" w:rsidRDefault="00823E1F" w:rsidP="00823E1F">
            <w:pPr>
              <w:rPr>
                <w:rFonts w:cs="Arial"/>
                <w:color w:val="4472C4"/>
                <w:sz w:val="20"/>
                <w:szCs w:val="20"/>
              </w:rPr>
            </w:pPr>
            <w:r w:rsidRPr="00E32927">
              <w:rPr>
                <w:rFonts w:cs="Arial"/>
                <w:color w:val="4472C4"/>
                <w:sz w:val="20"/>
                <w:szCs w:val="20"/>
              </w:rPr>
              <w:t> </w:t>
            </w:r>
          </w:p>
        </w:tc>
        <w:tc>
          <w:tcPr>
            <w:tcW w:w="1119" w:type="dxa"/>
            <w:shd w:val="clear" w:color="auto" w:fill="F2F2F2" w:themeFill="background1" w:themeFillShade="F2"/>
            <w:vAlign w:val="bottom"/>
          </w:tcPr>
          <w:p w:rsidR="00823E1F" w:rsidRPr="00E32927" w:rsidRDefault="00823E1F" w:rsidP="00823E1F">
            <w:pPr>
              <w:rPr>
                <w:rFonts w:cs="Arial"/>
                <w:sz w:val="20"/>
                <w:szCs w:val="20"/>
              </w:rPr>
            </w:pPr>
            <w:r w:rsidRPr="00E32927">
              <w:rPr>
                <w:rFonts w:cs="Arial"/>
                <w:color w:val="4472C4"/>
                <w:sz w:val="20"/>
                <w:szCs w:val="20"/>
              </w:rPr>
              <w:t>0.0</w:t>
            </w:r>
          </w:p>
        </w:tc>
        <w:tc>
          <w:tcPr>
            <w:tcW w:w="1119" w:type="dxa"/>
            <w:shd w:val="clear" w:color="auto" w:fill="F2F2F2" w:themeFill="background1" w:themeFillShade="F2"/>
            <w:vAlign w:val="bottom"/>
          </w:tcPr>
          <w:p w:rsidR="00823E1F" w:rsidRPr="00E32927" w:rsidRDefault="00823E1F" w:rsidP="00823E1F">
            <w:pPr>
              <w:rPr>
                <w:rFonts w:cs="Arial"/>
                <w:sz w:val="20"/>
                <w:szCs w:val="20"/>
              </w:rPr>
            </w:pPr>
            <w:r w:rsidRPr="00E32927">
              <w:rPr>
                <w:rFonts w:cs="Arial"/>
                <w:color w:val="4472C4"/>
                <w:sz w:val="20"/>
                <w:szCs w:val="20"/>
              </w:rPr>
              <w:t> </w:t>
            </w:r>
          </w:p>
        </w:tc>
        <w:tc>
          <w:tcPr>
            <w:tcW w:w="508" w:type="dxa"/>
            <w:shd w:val="clear" w:color="auto" w:fill="F2F2F2" w:themeFill="background1" w:themeFillShade="F2"/>
            <w:vAlign w:val="bottom"/>
          </w:tcPr>
          <w:p w:rsidR="00823E1F" w:rsidRPr="00E32927" w:rsidRDefault="00823E1F" w:rsidP="00823E1F">
            <w:pPr>
              <w:rPr>
                <w:rFonts w:cs="Arial"/>
                <w:sz w:val="20"/>
                <w:szCs w:val="20"/>
              </w:rPr>
            </w:pPr>
            <w:r w:rsidRPr="00E32927">
              <w:rPr>
                <w:rFonts w:cs="Arial"/>
                <w:color w:val="4472C4"/>
                <w:sz w:val="20"/>
                <w:szCs w:val="20"/>
              </w:rPr>
              <w:t> </w:t>
            </w:r>
          </w:p>
        </w:tc>
      </w:tr>
      <w:tr w:rsidR="00823E1F" w:rsidRPr="00E011A2" w:rsidTr="005402AA">
        <w:trPr>
          <w:trHeight w:val="170"/>
        </w:trPr>
        <w:tc>
          <w:tcPr>
            <w:tcW w:w="1843" w:type="dxa"/>
            <w:shd w:val="clear" w:color="000000" w:fill="F2F2F2"/>
            <w:noWrap/>
            <w:vAlign w:val="bottom"/>
            <w:hideMark/>
          </w:tcPr>
          <w:p w:rsidR="00823E1F" w:rsidRPr="00E32927" w:rsidRDefault="00823E1F" w:rsidP="00823E1F">
            <w:pPr>
              <w:rPr>
                <w:rFonts w:cs="Arial"/>
                <w:color w:val="00B050"/>
                <w:sz w:val="20"/>
                <w:szCs w:val="20"/>
              </w:rPr>
            </w:pPr>
            <w:r w:rsidRPr="00E32927">
              <w:rPr>
                <w:rFonts w:cs="Arial"/>
                <w:color w:val="00B050"/>
                <w:sz w:val="20"/>
                <w:szCs w:val="20"/>
              </w:rPr>
              <w:t>Fino a 20.000</w:t>
            </w:r>
          </w:p>
        </w:tc>
        <w:tc>
          <w:tcPr>
            <w:tcW w:w="1134" w:type="dxa"/>
            <w:shd w:val="clear" w:color="auto" w:fill="F2F2F2" w:themeFill="background1" w:themeFillShade="F2"/>
            <w:noWrap/>
            <w:vAlign w:val="bottom"/>
            <w:hideMark/>
          </w:tcPr>
          <w:p w:rsidR="00823E1F" w:rsidRPr="00E32927" w:rsidRDefault="00823E1F" w:rsidP="00823E1F">
            <w:pPr>
              <w:rPr>
                <w:rFonts w:cs="Arial"/>
                <w:color w:val="00B050"/>
                <w:sz w:val="20"/>
                <w:szCs w:val="20"/>
              </w:rPr>
            </w:pPr>
            <w:r w:rsidRPr="00E32927">
              <w:rPr>
                <w:rFonts w:cs="Arial"/>
                <w:color w:val="00B050"/>
                <w:sz w:val="20"/>
                <w:szCs w:val="20"/>
              </w:rPr>
              <w:t>3’343.9</w:t>
            </w:r>
          </w:p>
        </w:tc>
        <w:tc>
          <w:tcPr>
            <w:tcW w:w="1019" w:type="dxa"/>
            <w:shd w:val="clear" w:color="auto" w:fill="F2F2F2" w:themeFill="background1" w:themeFillShade="F2"/>
            <w:noWrap/>
            <w:vAlign w:val="bottom"/>
            <w:hideMark/>
          </w:tcPr>
          <w:p w:rsidR="00823E1F" w:rsidRPr="00E32927" w:rsidRDefault="00823E1F" w:rsidP="00823E1F">
            <w:pPr>
              <w:rPr>
                <w:rFonts w:cs="Arial"/>
                <w:color w:val="00B050"/>
                <w:sz w:val="20"/>
                <w:szCs w:val="20"/>
              </w:rPr>
            </w:pPr>
            <w:r w:rsidRPr="00E32927">
              <w:rPr>
                <w:rFonts w:cs="Arial"/>
                <w:color w:val="00B050"/>
                <w:sz w:val="20"/>
                <w:szCs w:val="20"/>
              </w:rPr>
              <w:t> </w:t>
            </w:r>
          </w:p>
        </w:tc>
        <w:tc>
          <w:tcPr>
            <w:tcW w:w="567" w:type="dxa"/>
            <w:shd w:val="clear" w:color="auto" w:fill="F2F2F2" w:themeFill="background1" w:themeFillShade="F2"/>
            <w:noWrap/>
            <w:vAlign w:val="bottom"/>
            <w:hideMark/>
          </w:tcPr>
          <w:p w:rsidR="00823E1F" w:rsidRPr="00E32927" w:rsidRDefault="00823E1F" w:rsidP="00823E1F">
            <w:pPr>
              <w:rPr>
                <w:rFonts w:cs="Arial"/>
                <w:color w:val="00B050"/>
                <w:sz w:val="20"/>
                <w:szCs w:val="20"/>
              </w:rPr>
            </w:pPr>
            <w:r w:rsidRPr="00E32927">
              <w:rPr>
                <w:rFonts w:cs="Arial"/>
                <w:color w:val="00B050"/>
                <w:sz w:val="20"/>
                <w:szCs w:val="20"/>
              </w:rPr>
              <w:t> </w:t>
            </w:r>
          </w:p>
        </w:tc>
        <w:tc>
          <w:tcPr>
            <w:tcW w:w="1119" w:type="dxa"/>
            <w:shd w:val="clear" w:color="auto" w:fill="F2F2F2" w:themeFill="background1" w:themeFillShade="F2"/>
            <w:vAlign w:val="bottom"/>
          </w:tcPr>
          <w:p w:rsidR="00823E1F" w:rsidRPr="00E32927" w:rsidRDefault="00823E1F" w:rsidP="00823E1F">
            <w:pPr>
              <w:rPr>
                <w:rFonts w:cs="Arial"/>
                <w:sz w:val="20"/>
                <w:szCs w:val="20"/>
              </w:rPr>
            </w:pPr>
            <w:r w:rsidRPr="00E32927">
              <w:rPr>
                <w:rFonts w:cs="Arial"/>
                <w:color w:val="00B050"/>
                <w:sz w:val="20"/>
                <w:szCs w:val="20"/>
              </w:rPr>
              <w:t>2’780.2</w:t>
            </w:r>
          </w:p>
        </w:tc>
        <w:tc>
          <w:tcPr>
            <w:tcW w:w="1119" w:type="dxa"/>
            <w:shd w:val="clear" w:color="auto" w:fill="F2F2F2" w:themeFill="background1" w:themeFillShade="F2"/>
            <w:vAlign w:val="bottom"/>
          </w:tcPr>
          <w:p w:rsidR="00823E1F" w:rsidRPr="00E32927" w:rsidRDefault="00823E1F" w:rsidP="00823E1F">
            <w:pPr>
              <w:rPr>
                <w:rFonts w:cs="Arial"/>
                <w:sz w:val="20"/>
                <w:szCs w:val="20"/>
              </w:rPr>
            </w:pPr>
            <w:r w:rsidRPr="00E32927">
              <w:rPr>
                <w:rFonts w:cs="Arial"/>
                <w:color w:val="00B050"/>
                <w:sz w:val="20"/>
                <w:szCs w:val="20"/>
              </w:rPr>
              <w:t> </w:t>
            </w:r>
          </w:p>
        </w:tc>
        <w:tc>
          <w:tcPr>
            <w:tcW w:w="508" w:type="dxa"/>
            <w:shd w:val="clear" w:color="auto" w:fill="F2F2F2" w:themeFill="background1" w:themeFillShade="F2"/>
            <w:vAlign w:val="bottom"/>
          </w:tcPr>
          <w:p w:rsidR="00823E1F" w:rsidRPr="00E32927" w:rsidRDefault="00823E1F" w:rsidP="00823E1F">
            <w:pPr>
              <w:rPr>
                <w:rFonts w:cs="Arial"/>
                <w:sz w:val="20"/>
                <w:szCs w:val="20"/>
              </w:rPr>
            </w:pPr>
            <w:r w:rsidRPr="00E32927">
              <w:rPr>
                <w:rFonts w:cs="Arial"/>
                <w:color w:val="00B050"/>
                <w:sz w:val="20"/>
                <w:szCs w:val="20"/>
              </w:rPr>
              <w:t> </w:t>
            </w:r>
          </w:p>
        </w:tc>
      </w:tr>
      <w:tr w:rsidR="00823E1F" w:rsidRPr="00E011A2" w:rsidTr="005402AA">
        <w:trPr>
          <w:trHeight w:val="170"/>
        </w:trPr>
        <w:tc>
          <w:tcPr>
            <w:tcW w:w="1843" w:type="dxa"/>
            <w:shd w:val="clear" w:color="000000" w:fill="F2F2F2"/>
            <w:noWrap/>
            <w:vAlign w:val="bottom"/>
            <w:hideMark/>
          </w:tcPr>
          <w:p w:rsidR="00823E1F" w:rsidRPr="00E32927" w:rsidRDefault="00823E1F" w:rsidP="00823E1F">
            <w:pPr>
              <w:rPr>
                <w:rFonts w:cs="Arial"/>
                <w:color w:val="00B050"/>
                <w:sz w:val="20"/>
                <w:szCs w:val="20"/>
              </w:rPr>
            </w:pPr>
            <w:r w:rsidRPr="00E32927">
              <w:rPr>
                <w:rFonts w:cs="Arial"/>
                <w:color w:val="00B050"/>
                <w:sz w:val="20"/>
                <w:szCs w:val="20"/>
              </w:rPr>
              <w:t>20.001- 30.000</w:t>
            </w:r>
          </w:p>
        </w:tc>
        <w:tc>
          <w:tcPr>
            <w:tcW w:w="1134" w:type="dxa"/>
            <w:shd w:val="clear" w:color="auto" w:fill="F2F2F2" w:themeFill="background1" w:themeFillShade="F2"/>
            <w:noWrap/>
            <w:vAlign w:val="bottom"/>
            <w:hideMark/>
          </w:tcPr>
          <w:p w:rsidR="00823E1F" w:rsidRPr="00E32927" w:rsidRDefault="00823E1F" w:rsidP="00823E1F">
            <w:pPr>
              <w:rPr>
                <w:rFonts w:cs="Arial"/>
                <w:color w:val="00B050"/>
                <w:sz w:val="20"/>
                <w:szCs w:val="20"/>
              </w:rPr>
            </w:pPr>
            <w:r w:rsidRPr="00E32927">
              <w:rPr>
                <w:rFonts w:cs="Arial"/>
                <w:color w:val="00B050"/>
                <w:sz w:val="20"/>
                <w:szCs w:val="20"/>
              </w:rPr>
              <w:t>13’179.9</w:t>
            </w:r>
          </w:p>
        </w:tc>
        <w:tc>
          <w:tcPr>
            <w:tcW w:w="1019" w:type="dxa"/>
            <w:shd w:val="clear" w:color="auto" w:fill="F2F2F2" w:themeFill="background1" w:themeFillShade="F2"/>
            <w:noWrap/>
            <w:vAlign w:val="bottom"/>
            <w:hideMark/>
          </w:tcPr>
          <w:p w:rsidR="00823E1F" w:rsidRPr="00E32927" w:rsidRDefault="00823E1F" w:rsidP="00823E1F">
            <w:pPr>
              <w:rPr>
                <w:rFonts w:cs="Arial"/>
                <w:color w:val="00B050"/>
                <w:sz w:val="20"/>
                <w:szCs w:val="20"/>
              </w:rPr>
            </w:pPr>
            <w:r w:rsidRPr="00E32927">
              <w:rPr>
                <w:rFonts w:cs="Arial"/>
                <w:color w:val="00B050"/>
                <w:sz w:val="20"/>
                <w:szCs w:val="20"/>
              </w:rPr>
              <w:t> </w:t>
            </w:r>
          </w:p>
        </w:tc>
        <w:tc>
          <w:tcPr>
            <w:tcW w:w="567" w:type="dxa"/>
            <w:shd w:val="clear" w:color="auto" w:fill="F2F2F2" w:themeFill="background1" w:themeFillShade="F2"/>
            <w:noWrap/>
            <w:vAlign w:val="bottom"/>
            <w:hideMark/>
          </w:tcPr>
          <w:p w:rsidR="00823E1F" w:rsidRPr="00E32927" w:rsidRDefault="00823E1F" w:rsidP="00823E1F">
            <w:pPr>
              <w:rPr>
                <w:rFonts w:cs="Arial"/>
                <w:color w:val="00B050"/>
                <w:sz w:val="20"/>
                <w:szCs w:val="20"/>
              </w:rPr>
            </w:pPr>
            <w:r w:rsidRPr="00E32927">
              <w:rPr>
                <w:rFonts w:cs="Arial"/>
                <w:color w:val="00B050"/>
                <w:sz w:val="20"/>
                <w:szCs w:val="20"/>
              </w:rPr>
              <w:t> </w:t>
            </w:r>
          </w:p>
        </w:tc>
        <w:tc>
          <w:tcPr>
            <w:tcW w:w="1119" w:type="dxa"/>
            <w:shd w:val="clear" w:color="auto" w:fill="F2F2F2" w:themeFill="background1" w:themeFillShade="F2"/>
            <w:vAlign w:val="bottom"/>
          </w:tcPr>
          <w:p w:rsidR="00823E1F" w:rsidRPr="00E32927" w:rsidRDefault="00823E1F" w:rsidP="00823E1F">
            <w:pPr>
              <w:rPr>
                <w:rFonts w:cs="Arial"/>
                <w:sz w:val="20"/>
                <w:szCs w:val="20"/>
              </w:rPr>
            </w:pPr>
            <w:r w:rsidRPr="00E32927">
              <w:rPr>
                <w:rFonts w:cs="Arial"/>
                <w:color w:val="00B050"/>
                <w:sz w:val="20"/>
                <w:szCs w:val="20"/>
              </w:rPr>
              <w:t>11’194.5</w:t>
            </w:r>
          </w:p>
        </w:tc>
        <w:tc>
          <w:tcPr>
            <w:tcW w:w="1119" w:type="dxa"/>
            <w:shd w:val="clear" w:color="auto" w:fill="F2F2F2" w:themeFill="background1" w:themeFillShade="F2"/>
            <w:vAlign w:val="bottom"/>
          </w:tcPr>
          <w:p w:rsidR="00823E1F" w:rsidRPr="00E32927" w:rsidRDefault="00823E1F" w:rsidP="00823E1F">
            <w:pPr>
              <w:rPr>
                <w:rFonts w:cs="Arial"/>
                <w:sz w:val="20"/>
                <w:szCs w:val="20"/>
              </w:rPr>
            </w:pPr>
            <w:r w:rsidRPr="00E32927">
              <w:rPr>
                <w:rFonts w:cs="Arial"/>
                <w:color w:val="00B050"/>
                <w:sz w:val="20"/>
                <w:szCs w:val="20"/>
              </w:rPr>
              <w:t> </w:t>
            </w:r>
          </w:p>
        </w:tc>
        <w:tc>
          <w:tcPr>
            <w:tcW w:w="508" w:type="dxa"/>
            <w:shd w:val="clear" w:color="auto" w:fill="F2F2F2" w:themeFill="background1" w:themeFillShade="F2"/>
            <w:vAlign w:val="bottom"/>
          </w:tcPr>
          <w:p w:rsidR="00823E1F" w:rsidRPr="00E32927" w:rsidRDefault="00823E1F" w:rsidP="00823E1F">
            <w:pPr>
              <w:rPr>
                <w:rFonts w:cs="Arial"/>
                <w:sz w:val="20"/>
                <w:szCs w:val="20"/>
              </w:rPr>
            </w:pPr>
            <w:r w:rsidRPr="00E32927">
              <w:rPr>
                <w:rFonts w:cs="Arial"/>
                <w:color w:val="00B050"/>
                <w:sz w:val="20"/>
                <w:szCs w:val="20"/>
              </w:rPr>
              <w:t> </w:t>
            </w:r>
          </w:p>
        </w:tc>
      </w:tr>
      <w:tr w:rsidR="00823E1F" w:rsidRPr="00E011A2" w:rsidTr="005402AA">
        <w:trPr>
          <w:trHeight w:val="170"/>
        </w:trPr>
        <w:tc>
          <w:tcPr>
            <w:tcW w:w="1843" w:type="dxa"/>
            <w:shd w:val="clear" w:color="000000" w:fill="F2F2F2"/>
            <w:noWrap/>
            <w:vAlign w:val="bottom"/>
            <w:hideMark/>
          </w:tcPr>
          <w:p w:rsidR="00823E1F" w:rsidRPr="00E32927" w:rsidRDefault="00823E1F" w:rsidP="00823E1F">
            <w:pPr>
              <w:rPr>
                <w:rFonts w:cs="Arial"/>
                <w:color w:val="00B050"/>
                <w:sz w:val="20"/>
                <w:szCs w:val="20"/>
              </w:rPr>
            </w:pPr>
            <w:r w:rsidRPr="00E32927">
              <w:rPr>
                <w:rFonts w:cs="Arial"/>
                <w:color w:val="00B050"/>
                <w:sz w:val="20"/>
                <w:szCs w:val="20"/>
              </w:rPr>
              <w:t>30.001- 40.000</w:t>
            </w:r>
          </w:p>
        </w:tc>
        <w:tc>
          <w:tcPr>
            <w:tcW w:w="1134" w:type="dxa"/>
            <w:shd w:val="clear" w:color="auto" w:fill="F2F2F2" w:themeFill="background1" w:themeFillShade="F2"/>
            <w:noWrap/>
            <w:vAlign w:val="bottom"/>
            <w:hideMark/>
          </w:tcPr>
          <w:p w:rsidR="00823E1F" w:rsidRPr="00E32927" w:rsidRDefault="00823E1F" w:rsidP="00823E1F">
            <w:pPr>
              <w:rPr>
                <w:rFonts w:cs="Arial"/>
                <w:color w:val="00B050"/>
                <w:sz w:val="20"/>
                <w:szCs w:val="20"/>
              </w:rPr>
            </w:pPr>
            <w:r w:rsidRPr="00E32927">
              <w:rPr>
                <w:rFonts w:cs="Arial"/>
                <w:color w:val="00B050"/>
                <w:sz w:val="20"/>
                <w:szCs w:val="20"/>
              </w:rPr>
              <w:t>30’025.9</w:t>
            </w:r>
          </w:p>
        </w:tc>
        <w:tc>
          <w:tcPr>
            <w:tcW w:w="1019" w:type="dxa"/>
            <w:shd w:val="clear" w:color="auto" w:fill="F2F2F2" w:themeFill="background1" w:themeFillShade="F2"/>
            <w:noWrap/>
            <w:vAlign w:val="bottom"/>
            <w:hideMark/>
          </w:tcPr>
          <w:p w:rsidR="00823E1F" w:rsidRPr="00E32927" w:rsidRDefault="00823E1F" w:rsidP="00823E1F">
            <w:pPr>
              <w:rPr>
                <w:rFonts w:cs="Arial"/>
                <w:color w:val="00B050"/>
                <w:sz w:val="20"/>
                <w:szCs w:val="20"/>
              </w:rPr>
            </w:pPr>
            <w:r w:rsidRPr="00E32927">
              <w:rPr>
                <w:rFonts w:cs="Arial"/>
                <w:color w:val="00B050"/>
                <w:sz w:val="20"/>
                <w:szCs w:val="20"/>
              </w:rPr>
              <w:t> </w:t>
            </w:r>
          </w:p>
        </w:tc>
        <w:tc>
          <w:tcPr>
            <w:tcW w:w="567" w:type="dxa"/>
            <w:shd w:val="clear" w:color="auto" w:fill="F2F2F2" w:themeFill="background1" w:themeFillShade="F2"/>
            <w:noWrap/>
            <w:vAlign w:val="bottom"/>
            <w:hideMark/>
          </w:tcPr>
          <w:p w:rsidR="00823E1F" w:rsidRPr="00E32927" w:rsidRDefault="00823E1F" w:rsidP="00823E1F">
            <w:pPr>
              <w:rPr>
                <w:rFonts w:cs="Arial"/>
                <w:color w:val="00B050"/>
                <w:sz w:val="20"/>
                <w:szCs w:val="20"/>
              </w:rPr>
            </w:pPr>
            <w:r w:rsidRPr="00E32927">
              <w:rPr>
                <w:rFonts w:cs="Arial"/>
                <w:color w:val="00B050"/>
                <w:sz w:val="20"/>
                <w:szCs w:val="20"/>
              </w:rPr>
              <w:t> </w:t>
            </w:r>
          </w:p>
        </w:tc>
        <w:tc>
          <w:tcPr>
            <w:tcW w:w="1119" w:type="dxa"/>
            <w:shd w:val="clear" w:color="auto" w:fill="F2F2F2" w:themeFill="background1" w:themeFillShade="F2"/>
            <w:vAlign w:val="bottom"/>
          </w:tcPr>
          <w:p w:rsidR="00823E1F" w:rsidRPr="00E32927" w:rsidRDefault="00823E1F" w:rsidP="00823E1F">
            <w:pPr>
              <w:rPr>
                <w:rFonts w:cs="Arial"/>
                <w:sz w:val="20"/>
                <w:szCs w:val="20"/>
              </w:rPr>
            </w:pPr>
            <w:r w:rsidRPr="00E32927">
              <w:rPr>
                <w:rFonts w:cs="Arial"/>
                <w:color w:val="00B050"/>
                <w:sz w:val="20"/>
                <w:szCs w:val="20"/>
              </w:rPr>
              <w:t>27’379.4</w:t>
            </w:r>
          </w:p>
        </w:tc>
        <w:tc>
          <w:tcPr>
            <w:tcW w:w="1119" w:type="dxa"/>
            <w:shd w:val="clear" w:color="auto" w:fill="F2F2F2" w:themeFill="background1" w:themeFillShade="F2"/>
            <w:vAlign w:val="bottom"/>
          </w:tcPr>
          <w:p w:rsidR="00823E1F" w:rsidRPr="00E32927" w:rsidRDefault="00823E1F" w:rsidP="00823E1F">
            <w:pPr>
              <w:rPr>
                <w:rFonts w:cs="Arial"/>
                <w:sz w:val="20"/>
                <w:szCs w:val="20"/>
              </w:rPr>
            </w:pPr>
            <w:r w:rsidRPr="00E32927">
              <w:rPr>
                <w:rFonts w:cs="Arial"/>
                <w:color w:val="00B050"/>
                <w:sz w:val="20"/>
                <w:szCs w:val="20"/>
              </w:rPr>
              <w:t> </w:t>
            </w:r>
          </w:p>
        </w:tc>
        <w:tc>
          <w:tcPr>
            <w:tcW w:w="508" w:type="dxa"/>
            <w:shd w:val="clear" w:color="auto" w:fill="F2F2F2" w:themeFill="background1" w:themeFillShade="F2"/>
            <w:vAlign w:val="bottom"/>
          </w:tcPr>
          <w:p w:rsidR="00823E1F" w:rsidRPr="00E32927" w:rsidRDefault="00823E1F" w:rsidP="00823E1F">
            <w:pPr>
              <w:rPr>
                <w:rFonts w:cs="Arial"/>
                <w:sz w:val="20"/>
                <w:szCs w:val="20"/>
              </w:rPr>
            </w:pPr>
            <w:r w:rsidRPr="00E32927">
              <w:rPr>
                <w:rFonts w:cs="Arial"/>
                <w:color w:val="00B050"/>
                <w:sz w:val="20"/>
                <w:szCs w:val="20"/>
              </w:rPr>
              <w:t> </w:t>
            </w:r>
          </w:p>
        </w:tc>
      </w:tr>
      <w:tr w:rsidR="00823E1F" w:rsidRPr="00E011A2" w:rsidTr="005402AA">
        <w:trPr>
          <w:trHeight w:val="170"/>
        </w:trPr>
        <w:tc>
          <w:tcPr>
            <w:tcW w:w="1843" w:type="dxa"/>
            <w:shd w:val="clear" w:color="000000" w:fill="F2F2F2"/>
            <w:noWrap/>
            <w:vAlign w:val="bottom"/>
            <w:hideMark/>
          </w:tcPr>
          <w:p w:rsidR="00823E1F" w:rsidRPr="00E32927" w:rsidRDefault="00823E1F" w:rsidP="00823E1F">
            <w:pPr>
              <w:rPr>
                <w:rFonts w:cs="Arial"/>
                <w:color w:val="00B050"/>
                <w:sz w:val="20"/>
                <w:szCs w:val="20"/>
              </w:rPr>
            </w:pPr>
            <w:r w:rsidRPr="00E32927">
              <w:rPr>
                <w:rFonts w:cs="Arial"/>
                <w:color w:val="00B050"/>
                <w:sz w:val="20"/>
                <w:szCs w:val="20"/>
              </w:rPr>
              <w:t>40.001- 50.000</w:t>
            </w:r>
          </w:p>
        </w:tc>
        <w:tc>
          <w:tcPr>
            <w:tcW w:w="1134" w:type="dxa"/>
            <w:shd w:val="clear" w:color="auto" w:fill="F2F2F2" w:themeFill="background1" w:themeFillShade="F2"/>
            <w:noWrap/>
            <w:vAlign w:val="bottom"/>
            <w:hideMark/>
          </w:tcPr>
          <w:p w:rsidR="00823E1F" w:rsidRPr="00E32927" w:rsidRDefault="00823E1F" w:rsidP="00823E1F">
            <w:pPr>
              <w:rPr>
                <w:rFonts w:cs="Arial"/>
                <w:color w:val="00B050"/>
                <w:sz w:val="20"/>
                <w:szCs w:val="20"/>
              </w:rPr>
            </w:pPr>
            <w:r w:rsidRPr="00E32927">
              <w:rPr>
                <w:rFonts w:cs="Arial"/>
                <w:color w:val="00B050"/>
                <w:sz w:val="20"/>
                <w:szCs w:val="20"/>
              </w:rPr>
              <w:t>44’297.9</w:t>
            </w:r>
          </w:p>
        </w:tc>
        <w:tc>
          <w:tcPr>
            <w:tcW w:w="1019" w:type="dxa"/>
            <w:shd w:val="clear" w:color="auto" w:fill="F2F2F2" w:themeFill="background1" w:themeFillShade="F2"/>
            <w:noWrap/>
            <w:vAlign w:val="bottom"/>
            <w:hideMark/>
          </w:tcPr>
          <w:p w:rsidR="00823E1F" w:rsidRPr="00E32927" w:rsidRDefault="00823E1F" w:rsidP="00823E1F">
            <w:pPr>
              <w:rPr>
                <w:rFonts w:cs="Arial"/>
                <w:color w:val="00B050"/>
                <w:sz w:val="20"/>
                <w:szCs w:val="20"/>
              </w:rPr>
            </w:pPr>
            <w:r w:rsidRPr="00E32927">
              <w:rPr>
                <w:rFonts w:cs="Arial"/>
                <w:color w:val="00B050"/>
                <w:sz w:val="20"/>
                <w:szCs w:val="20"/>
              </w:rPr>
              <w:t>90’847.6</w:t>
            </w:r>
          </w:p>
        </w:tc>
        <w:tc>
          <w:tcPr>
            <w:tcW w:w="567" w:type="dxa"/>
            <w:shd w:val="clear" w:color="auto" w:fill="F2F2F2" w:themeFill="background1" w:themeFillShade="F2"/>
            <w:noWrap/>
            <w:vAlign w:val="bottom"/>
            <w:hideMark/>
          </w:tcPr>
          <w:p w:rsidR="00823E1F" w:rsidRPr="00E32927" w:rsidRDefault="00823E1F" w:rsidP="00823E1F">
            <w:pPr>
              <w:rPr>
                <w:rFonts w:cs="Arial"/>
                <w:color w:val="00B050"/>
                <w:sz w:val="20"/>
                <w:szCs w:val="20"/>
              </w:rPr>
            </w:pPr>
            <w:r w:rsidRPr="00E32927">
              <w:rPr>
                <w:rFonts w:cs="Arial"/>
                <w:color w:val="00B050"/>
                <w:sz w:val="20"/>
                <w:szCs w:val="20"/>
              </w:rPr>
              <w:t>16</w:t>
            </w:r>
          </w:p>
        </w:tc>
        <w:tc>
          <w:tcPr>
            <w:tcW w:w="1119" w:type="dxa"/>
            <w:shd w:val="clear" w:color="auto" w:fill="F2F2F2" w:themeFill="background1" w:themeFillShade="F2"/>
            <w:vAlign w:val="bottom"/>
          </w:tcPr>
          <w:p w:rsidR="00823E1F" w:rsidRPr="00E32927" w:rsidRDefault="00823E1F" w:rsidP="00823E1F">
            <w:pPr>
              <w:rPr>
                <w:rFonts w:cs="Arial"/>
                <w:sz w:val="20"/>
                <w:szCs w:val="20"/>
              </w:rPr>
            </w:pPr>
            <w:r w:rsidRPr="00E32927">
              <w:rPr>
                <w:rFonts w:cs="Arial"/>
                <w:color w:val="00B050"/>
                <w:sz w:val="20"/>
                <w:szCs w:val="20"/>
              </w:rPr>
              <w:t>42’774.5</w:t>
            </w:r>
          </w:p>
        </w:tc>
        <w:tc>
          <w:tcPr>
            <w:tcW w:w="1119" w:type="dxa"/>
            <w:shd w:val="clear" w:color="auto" w:fill="F2F2F2" w:themeFill="background1" w:themeFillShade="F2"/>
            <w:vAlign w:val="bottom"/>
          </w:tcPr>
          <w:p w:rsidR="00823E1F" w:rsidRPr="00E32927" w:rsidRDefault="00823E1F" w:rsidP="00823E1F">
            <w:pPr>
              <w:rPr>
                <w:rFonts w:cs="Arial"/>
                <w:sz w:val="20"/>
                <w:szCs w:val="20"/>
              </w:rPr>
            </w:pPr>
            <w:r w:rsidRPr="00E32927">
              <w:rPr>
                <w:rFonts w:cs="Arial"/>
                <w:color w:val="00B050"/>
                <w:sz w:val="20"/>
                <w:szCs w:val="20"/>
              </w:rPr>
              <w:t>84’128.6</w:t>
            </w:r>
          </w:p>
        </w:tc>
        <w:tc>
          <w:tcPr>
            <w:tcW w:w="508" w:type="dxa"/>
            <w:shd w:val="clear" w:color="auto" w:fill="F2F2F2" w:themeFill="background1" w:themeFillShade="F2"/>
            <w:vAlign w:val="bottom"/>
          </w:tcPr>
          <w:p w:rsidR="00823E1F" w:rsidRPr="00E32927" w:rsidRDefault="00823E1F" w:rsidP="00823E1F">
            <w:pPr>
              <w:rPr>
                <w:rFonts w:cs="Arial"/>
                <w:sz w:val="20"/>
                <w:szCs w:val="20"/>
              </w:rPr>
            </w:pPr>
            <w:r w:rsidRPr="00E32927">
              <w:rPr>
                <w:rFonts w:cs="Arial"/>
                <w:color w:val="00B050"/>
                <w:sz w:val="20"/>
                <w:szCs w:val="20"/>
              </w:rPr>
              <w:t>12</w:t>
            </w:r>
          </w:p>
        </w:tc>
      </w:tr>
      <w:tr w:rsidR="00823E1F" w:rsidRPr="00E011A2" w:rsidTr="005402AA">
        <w:trPr>
          <w:trHeight w:val="170"/>
        </w:trPr>
        <w:tc>
          <w:tcPr>
            <w:tcW w:w="1843" w:type="dxa"/>
            <w:shd w:val="clear" w:color="000000" w:fill="F2F2F2"/>
            <w:noWrap/>
            <w:vAlign w:val="bottom"/>
            <w:hideMark/>
          </w:tcPr>
          <w:p w:rsidR="00823E1F" w:rsidRPr="00E32927" w:rsidRDefault="00823E1F" w:rsidP="00823E1F">
            <w:pPr>
              <w:rPr>
                <w:rFonts w:cs="Arial"/>
                <w:color w:val="ED7D31"/>
                <w:sz w:val="20"/>
                <w:szCs w:val="20"/>
              </w:rPr>
            </w:pPr>
            <w:r w:rsidRPr="00E32927">
              <w:rPr>
                <w:rFonts w:cs="Arial"/>
                <w:color w:val="ED7D31"/>
                <w:sz w:val="20"/>
                <w:szCs w:val="20"/>
              </w:rPr>
              <w:t>50.001- 60.000</w:t>
            </w:r>
          </w:p>
        </w:tc>
        <w:tc>
          <w:tcPr>
            <w:tcW w:w="1134" w:type="dxa"/>
            <w:shd w:val="clear" w:color="auto" w:fill="F2F2F2" w:themeFill="background1" w:themeFillShade="F2"/>
            <w:noWrap/>
            <w:vAlign w:val="bottom"/>
            <w:hideMark/>
          </w:tcPr>
          <w:p w:rsidR="00823E1F" w:rsidRPr="00E32927" w:rsidRDefault="00823E1F" w:rsidP="00823E1F">
            <w:pPr>
              <w:rPr>
                <w:rFonts w:cs="Arial"/>
                <w:color w:val="ED7D31"/>
                <w:sz w:val="20"/>
                <w:szCs w:val="20"/>
              </w:rPr>
            </w:pPr>
            <w:r w:rsidRPr="00E32927">
              <w:rPr>
                <w:rFonts w:cs="Arial"/>
                <w:color w:val="ED7D31"/>
                <w:sz w:val="20"/>
                <w:szCs w:val="20"/>
              </w:rPr>
              <w:t>46’913.0</w:t>
            </w:r>
          </w:p>
        </w:tc>
        <w:tc>
          <w:tcPr>
            <w:tcW w:w="1019" w:type="dxa"/>
            <w:shd w:val="clear" w:color="auto" w:fill="F2F2F2" w:themeFill="background1" w:themeFillShade="F2"/>
            <w:noWrap/>
            <w:vAlign w:val="bottom"/>
            <w:hideMark/>
          </w:tcPr>
          <w:p w:rsidR="00823E1F" w:rsidRPr="00E32927" w:rsidRDefault="00823E1F" w:rsidP="00823E1F">
            <w:pPr>
              <w:rPr>
                <w:rFonts w:cs="Arial"/>
                <w:color w:val="ED7D31"/>
                <w:sz w:val="20"/>
                <w:szCs w:val="20"/>
              </w:rPr>
            </w:pPr>
            <w:r w:rsidRPr="00E32927">
              <w:rPr>
                <w:rFonts w:cs="Arial"/>
                <w:color w:val="ED7D31"/>
                <w:sz w:val="20"/>
                <w:szCs w:val="20"/>
              </w:rPr>
              <w:t> </w:t>
            </w:r>
          </w:p>
        </w:tc>
        <w:tc>
          <w:tcPr>
            <w:tcW w:w="567" w:type="dxa"/>
            <w:shd w:val="clear" w:color="auto" w:fill="F2F2F2" w:themeFill="background1" w:themeFillShade="F2"/>
            <w:noWrap/>
            <w:vAlign w:val="bottom"/>
            <w:hideMark/>
          </w:tcPr>
          <w:p w:rsidR="00823E1F" w:rsidRPr="00E32927" w:rsidRDefault="00823E1F" w:rsidP="00823E1F">
            <w:pPr>
              <w:rPr>
                <w:rFonts w:cs="Arial"/>
                <w:color w:val="ED7D31"/>
                <w:sz w:val="20"/>
                <w:szCs w:val="20"/>
              </w:rPr>
            </w:pPr>
            <w:r w:rsidRPr="00E32927">
              <w:rPr>
                <w:rFonts w:cs="Arial"/>
                <w:color w:val="ED7D31"/>
                <w:sz w:val="20"/>
                <w:szCs w:val="20"/>
              </w:rPr>
              <w:t> </w:t>
            </w:r>
          </w:p>
        </w:tc>
        <w:tc>
          <w:tcPr>
            <w:tcW w:w="1119" w:type="dxa"/>
            <w:shd w:val="clear" w:color="auto" w:fill="F2F2F2" w:themeFill="background1" w:themeFillShade="F2"/>
            <w:vAlign w:val="bottom"/>
          </w:tcPr>
          <w:p w:rsidR="00823E1F" w:rsidRPr="00E32927" w:rsidRDefault="00823E1F" w:rsidP="00823E1F">
            <w:pPr>
              <w:rPr>
                <w:rFonts w:cs="Arial"/>
                <w:sz w:val="20"/>
                <w:szCs w:val="20"/>
              </w:rPr>
            </w:pPr>
            <w:r w:rsidRPr="00E32927">
              <w:rPr>
                <w:rFonts w:cs="Arial"/>
                <w:color w:val="ED7D31"/>
                <w:sz w:val="20"/>
                <w:szCs w:val="20"/>
              </w:rPr>
              <w:t>50’129.2</w:t>
            </w:r>
          </w:p>
        </w:tc>
        <w:tc>
          <w:tcPr>
            <w:tcW w:w="1119" w:type="dxa"/>
            <w:shd w:val="clear" w:color="auto" w:fill="F2F2F2" w:themeFill="background1" w:themeFillShade="F2"/>
            <w:vAlign w:val="bottom"/>
          </w:tcPr>
          <w:p w:rsidR="00823E1F" w:rsidRPr="00E32927" w:rsidRDefault="00823E1F" w:rsidP="00823E1F">
            <w:pPr>
              <w:rPr>
                <w:rFonts w:cs="Arial"/>
                <w:sz w:val="20"/>
                <w:szCs w:val="20"/>
              </w:rPr>
            </w:pPr>
            <w:r w:rsidRPr="00E32927">
              <w:rPr>
                <w:rFonts w:cs="Arial"/>
                <w:color w:val="ED7D31"/>
                <w:sz w:val="20"/>
                <w:szCs w:val="20"/>
              </w:rPr>
              <w:t> </w:t>
            </w:r>
          </w:p>
        </w:tc>
        <w:tc>
          <w:tcPr>
            <w:tcW w:w="508" w:type="dxa"/>
            <w:shd w:val="clear" w:color="auto" w:fill="F2F2F2" w:themeFill="background1" w:themeFillShade="F2"/>
            <w:vAlign w:val="bottom"/>
          </w:tcPr>
          <w:p w:rsidR="00823E1F" w:rsidRPr="00E32927" w:rsidRDefault="00823E1F" w:rsidP="00823E1F">
            <w:pPr>
              <w:rPr>
                <w:rFonts w:cs="Arial"/>
                <w:sz w:val="20"/>
                <w:szCs w:val="20"/>
              </w:rPr>
            </w:pPr>
            <w:r w:rsidRPr="00E32927">
              <w:rPr>
                <w:rFonts w:cs="Arial"/>
                <w:color w:val="ED7D31"/>
                <w:sz w:val="20"/>
                <w:szCs w:val="20"/>
              </w:rPr>
              <w:t> </w:t>
            </w:r>
          </w:p>
        </w:tc>
      </w:tr>
      <w:tr w:rsidR="00823E1F" w:rsidRPr="00E011A2" w:rsidTr="005402AA">
        <w:trPr>
          <w:trHeight w:val="170"/>
        </w:trPr>
        <w:tc>
          <w:tcPr>
            <w:tcW w:w="1843" w:type="dxa"/>
            <w:shd w:val="clear" w:color="000000" w:fill="F2F2F2"/>
            <w:noWrap/>
            <w:vAlign w:val="bottom"/>
            <w:hideMark/>
          </w:tcPr>
          <w:p w:rsidR="00823E1F" w:rsidRPr="00E32927" w:rsidRDefault="00823E1F" w:rsidP="00823E1F">
            <w:pPr>
              <w:rPr>
                <w:rFonts w:cs="Arial"/>
                <w:color w:val="ED7D31"/>
                <w:sz w:val="20"/>
                <w:szCs w:val="20"/>
              </w:rPr>
            </w:pPr>
            <w:r w:rsidRPr="00E32927">
              <w:rPr>
                <w:rFonts w:cs="Arial"/>
                <w:color w:val="ED7D31"/>
                <w:sz w:val="20"/>
                <w:szCs w:val="20"/>
              </w:rPr>
              <w:t>60.001- 70.000</w:t>
            </w:r>
          </w:p>
        </w:tc>
        <w:tc>
          <w:tcPr>
            <w:tcW w:w="1134" w:type="dxa"/>
            <w:shd w:val="clear" w:color="auto" w:fill="F2F2F2" w:themeFill="background1" w:themeFillShade="F2"/>
            <w:noWrap/>
            <w:vAlign w:val="bottom"/>
            <w:hideMark/>
          </w:tcPr>
          <w:p w:rsidR="00823E1F" w:rsidRPr="00E32927" w:rsidRDefault="00823E1F" w:rsidP="00823E1F">
            <w:pPr>
              <w:rPr>
                <w:rFonts w:cs="Arial"/>
                <w:color w:val="ED7D31"/>
                <w:sz w:val="20"/>
                <w:szCs w:val="20"/>
              </w:rPr>
            </w:pPr>
            <w:r w:rsidRPr="00E32927">
              <w:rPr>
                <w:rFonts w:cs="Arial"/>
                <w:color w:val="ED7D31"/>
                <w:sz w:val="20"/>
                <w:szCs w:val="20"/>
              </w:rPr>
              <w:t>43’709.4</w:t>
            </w:r>
          </w:p>
        </w:tc>
        <w:tc>
          <w:tcPr>
            <w:tcW w:w="1019" w:type="dxa"/>
            <w:shd w:val="clear" w:color="auto" w:fill="F2F2F2" w:themeFill="background1" w:themeFillShade="F2"/>
            <w:noWrap/>
            <w:vAlign w:val="bottom"/>
            <w:hideMark/>
          </w:tcPr>
          <w:p w:rsidR="00823E1F" w:rsidRPr="00E32927" w:rsidRDefault="00823E1F" w:rsidP="00823E1F">
            <w:pPr>
              <w:rPr>
                <w:rFonts w:cs="Arial"/>
                <w:color w:val="ED7D31"/>
                <w:sz w:val="20"/>
                <w:szCs w:val="20"/>
              </w:rPr>
            </w:pPr>
            <w:r w:rsidRPr="00E32927">
              <w:rPr>
                <w:rFonts w:cs="Arial"/>
                <w:color w:val="ED7D31"/>
                <w:sz w:val="20"/>
                <w:szCs w:val="20"/>
              </w:rPr>
              <w:t> </w:t>
            </w:r>
          </w:p>
        </w:tc>
        <w:tc>
          <w:tcPr>
            <w:tcW w:w="567" w:type="dxa"/>
            <w:shd w:val="clear" w:color="auto" w:fill="F2F2F2" w:themeFill="background1" w:themeFillShade="F2"/>
            <w:noWrap/>
            <w:vAlign w:val="bottom"/>
            <w:hideMark/>
          </w:tcPr>
          <w:p w:rsidR="00823E1F" w:rsidRPr="00E32927" w:rsidRDefault="00823E1F" w:rsidP="00823E1F">
            <w:pPr>
              <w:rPr>
                <w:rFonts w:cs="Arial"/>
                <w:color w:val="ED7D31"/>
                <w:sz w:val="20"/>
                <w:szCs w:val="20"/>
              </w:rPr>
            </w:pPr>
            <w:r w:rsidRPr="00E32927">
              <w:rPr>
                <w:rFonts w:cs="Arial"/>
                <w:color w:val="ED7D31"/>
                <w:sz w:val="20"/>
                <w:szCs w:val="20"/>
              </w:rPr>
              <w:t> </w:t>
            </w:r>
          </w:p>
        </w:tc>
        <w:tc>
          <w:tcPr>
            <w:tcW w:w="1119" w:type="dxa"/>
            <w:shd w:val="clear" w:color="auto" w:fill="F2F2F2" w:themeFill="background1" w:themeFillShade="F2"/>
            <w:vAlign w:val="bottom"/>
          </w:tcPr>
          <w:p w:rsidR="00823E1F" w:rsidRPr="00E32927" w:rsidRDefault="00823E1F" w:rsidP="00823E1F">
            <w:pPr>
              <w:rPr>
                <w:rFonts w:cs="Arial"/>
                <w:sz w:val="20"/>
                <w:szCs w:val="20"/>
              </w:rPr>
            </w:pPr>
            <w:r w:rsidRPr="00E32927">
              <w:rPr>
                <w:rFonts w:cs="Arial"/>
                <w:color w:val="ED7D31"/>
                <w:sz w:val="20"/>
                <w:szCs w:val="20"/>
              </w:rPr>
              <w:t>47’283.4</w:t>
            </w:r>
          </w:p>
        </w:tc>
        <w:tc>
          <w:tcPr>
            <w:tcW w:w="1119" w:type="dxa"/>
            <w:shd w:val="clear" w:color="auto" w:fill="F2F2F2" w:themeFill="background1" w:themeFillShade="F2"/>
            <w:vAlign w:val="bottom"/>
          </w:tcPr>
          <w:p w:rsidR="00823E1F" w:rsidRPr="00E32927" w:rsidRDefault="00823E1F" w:rsidP="00823E1F">
            <w:pPr>
              <w:rPr>
                <w:rFonts w:cs="Arial"/>
                <w:sz w:val="20"/>
                <w:szCs w:val="20"/>
              </w:rPr>
            </w:pPr>
            <w:r w:rsidRPr="00E32927">
              <w:rPr>
                <w:rFonts w:cs="Arial"/>
                <w:color w:val="ED7D31"/>
                <w:sz w:val="20"/>
                <w:szCs w:val="20"/>
              </w:rPr>
              <w:t> </w:t>
            </w:r>
          </w:p>
        </w:tc>
        <w:tc>
          <w:tcPr>
            <w:tcW w:w="508" w:type="dxa"/>
            <w:shd w:val="clear" w:color="auto" w:fill="F2F2F2" w:themeFill="background1" w:themeFillShade="F2"/>
            <w:vAlign w:val="bottom"/>
          </w:tcPr>
          <w:p w:rsidR="00823E1F" w:rsidRPr="00E32927" w:rsidRDefault="00823E1F" w:rsidP="00823E1F">
            <w:pPr>
              <w:rPr>
                <w:rFonts w:cs="Arial"/>
                <w:sz w:val="20"/>
                <w:szCs w:val="20"/>
              </w:rPr>
            </w:pPr>
            <w:r w:rsidRPr="00E32927">
              <w:rPr>
                <w:rFonts w:cs="Arial"/>
                <w:color w:val="ED7D31"/>
                <w:sz w:val="20"/>
                <w:szCs w:val="20"/>
              </w:rPr>
              <w:t> </w:t>
            </w:r>
          </w:p>
        </w:tc>
      </w:tr>
      <w:tr w:rsidR="00823E1F" w:rsidRPr="00E011A2" w:rsidTr="005402AA">
        <w:trPr>
          <w:trHeight w:val="170"/>
        </w:trPr>
        <w:tc>
          <w:tcPr>
            <w:tcW w:w="1843" w:type="dxa"/>
            <w:shd w:val="clear" w:color="000000" w:fill="F2F2F2"/>
            <w:noWrap/>
            <w:vAlign w:val="bottom"/>
            <w:hideMark/>
          </w:tcPr>
          <w:p w:rsidR="00823E1F" w:rsidRPr="00E32927" w:rsidRDefault="00823E1F" w:rsidP="00823E1F">
            <w:pPr>
              <w:rPr>
                <w:rFonts w:cs="Arial"/>
                <w:color w:val="ED7D31"/>
                <w:sz w:val="20"/>
                <w:szCs w:val="20"/>
              </w:rPr>
            </w:pPr>
            <w:r w:rsidRPr="00E32927">
              <w:rPr>
                <w:rFonts w:cs="Arial"/>
                <w:color w:val="ED7D31"/>
                <w:sz w:val="20"/>
                <w:szCs w:val="20"/>
              </w:rPr>
              <w:t>70.001- 80.000</w:t>
            </w:r>
          </w:p>
        </w:tc>
        <w:tc>
          <w:tcPr>
            <w:tcW w:w="1134" w:type="dxa"/>
            <w:shd w:val="clear" w:color="auto" w:fill="F2F2F2" w:themeFill="background1" w:themeFillShade="F2"/>
            <w:noWrap/>
            <w:vAlign w:val="bottom"/>
            <w:hideMark/>
          </w:tcPr>
          <w:p w:rsidR="00823E1F" w:rsidRPr="00E32927" w:rsidRDefault="00823E1F" w:rsidP="00823E1F">
            <w:pPr>
              <w:rPr>
                <w:rFonts w:cs="Arial"/>
                <w:color w:val="ED7D31"/>
                <w:sz w:val="20"/>
                <w:szCs w:val="20"/>
              </w:rPr>
            </w:pPr>
            <w:r w:rsidRPr="00E32927">
              <w:rPr>
                <w:rFonts w:cs="Arial"/>
                <w:color w:val="ED7D31"/>
                <w:sz w:val="20"/>
                <w:szCs w:val="20"/>
              </w:rPr>
              <w:t>37’398.0</w:t>
            </w:r>
          </w:p>
        </w:tc>
        <w:tc>
          <w:tcPr>
            <w:tcW w:w="1019" w:type="dxa"/>
            <w:shd w:val="clear" w:color="auto" w:fill="F2F2F2" w:themeFill="background1" w:themeFillShade="F2"/>
            <w:noWrap/>
            <w:vAlign w:val="bottom"/>
            <w:hideMark/>
          </w:tcPr>
          <w:p w:rsidR="00823E1F" w:rsidRPr="00E32927" w:rsidRDefault="00823E1F" w:rsidP="00823E1F">
            <w:pPr>
              <w:rPr>
                <w:rFonts w:cs="Arial"/>
                <w:color w:val="ED7D31"/>
                <w:sz w:val="20"/>
                <w:szCs w:val="20"/>
              </w:rPr>
            </w:pPr>
            <w:r w:rsidRPr="00E32927">
              <w:rPr>
                <w:rFonts w:cs="Arial"/>
                <w:color w:val="ED7D31"/>
                <w:sz w:val="20"/>
                <w:szCs w:val="20"/>
              </w:rPr>
              <w:t> </w:t>
            </w:r>
          </w:p>
        </w:tc>
        <w:tc>
          <w:tcPr>
            <w:tcW w:w="567" w:type="dxa"/>
            <w:shd w:val="clear" w:color="auto" w:fill="F2F2F2" w:themeFill="background1" w:themeFillShade="F2"/>
            <w:noWrap/>
            <w:vAlign w:val="bottom"/>
            <w:hideMark/>
          </w:tcPr>
          <w:p w:rsidR="00823E1F" w:rsidRPr="00E32927" w:rsidRDefault="00823E1F" w:rsidP="00823E1F">
            <w:pPr>
              <w:rPr>
                <w:rFonts w:cs="Arial"/>
                <w:color w:val="ED7D31"/>
                <w:sz w:val="20"/>
                <w:szCs w:val="20"/>
              </w:rPr>
            </w:pPr>
            <w:r w:rsidRPr="00E32927">
              <w:rPr>
                <w:rFonts w:cs="Arial"/>
                <w:color w:val="ED7D31"/>
                <w:sz w:val="20"/>
                <w:szCs w:val="20"/>
              </w:rPr>
              <w:t> </w:t>
            </w:r>
          </w:p>
        </w:tc>
        <w:tc>
          <w:tcPr>
            <w:tcW w:w="1119" w:type="dxa"/>
            <w:shd w:val="clear" w:color="auto" w:fill="F2F2F2" w:themeFill="background1" w:themeFillShade="F2"/>
            <w:vAlign w:val="bottom"/>
          </w:tcPr>
          <w:p w:rsidR="00823E1F" w:rsidRPr="00E32927" w:rsidRDefault="00823E1F" w:rsidP="00823E1F">
            <w:pPr>
              <w:rPr>
                <w:rFonts w:cs="Arial"/>
                <w:sz w:val="20"/>
                <w:szCs w:val="20"/>
              </w:rPr>
            </w:pPr>
            <w:r w:rsidRPr="00E32927">
              <w:rPr>
                <w:rFonts w:cs="Arial"/>
                <w:color w:val="ED7D31"/>
                <w:sz w:val="20"/>
                <w:szCs w:val="20"/>
              </w:rPr>
              <w:t>42’954.7</w:t>
            </w:r>
          </w:p>
        </w:tc>
        <w:tc>
          <w:tcPr>
            <w:tcW w:w="1119" w:type="dxa"/>
            <w:shd w:val="clear" w:color="auto" w:fill="F2F2F2" w:themeFill="background1" w:themeFillShade="F2"/>
            <w:vAlign w:val="bottom"/>
          </w:tcPr>
          <w:p w:rsidR="00823E1F" w:rsidRPr="00E32927" w:rsidRDefault="00823E1F" w:rsidP="00823E1F">
            <w:pPr>
              <w:rPr>
                <w:rFonts w:cs="Arial"/>
                <w:sz w:val="20"/>
                <w:szCs w:val="20"/>
              </w:rPr>
            </w:pPr>
            <w:r w:rsidRPr="00E32927">
              <w:rPr>
                <w:rFonts w:cs="Arial"/>
                <w:color w:val="ED7D31"/>
                <w:sz w:val="20"/>
                <w:szCs w:val="20"/>
              </w:rPr>
              <w:t> </w:t>
            </w:r>
          </w:p>
        </w:tc>
        <w:tc>
          <w:tcPr>
            <w:tcW w:w="508" w:type="dxa"/>
            <w:shd w:val="clear" w:color="auto" w:fill="F2F2F2" w:themeFill="background1" w:themeFillShade="F2"/>
            <w:vAlign w:val="bottom"/>
          </w:tcPr>
          <w:p w:rsidR="00823E1F" w:rsidRPr="00E32927" w:rsidRDefault="00823E1F" w:rsidP="00823E1F">
            <w:pPr>
              <w:rPr>
                <w:rFonts w:cs="Arial"/>
                <w:sz w:val="20"/>
                <w:szCs w:val="20"/>
              </w:rPr>
            </w:pPr>
            <w:r w:rsidRPr="00E32927">
              <w:rPr>
                <w:rFonts w:cs="Arial"/>
                <w:color w:val="ED7D31"/>
                <w:sz w:val="20"/>
                <w:szCs w:val="20"/>
              </w:rPr>
              <w:t> </w:t>
            </w:r>
          </w:p>
        </w:tc>
      </w:tr>
      <w:tr w:rsidR="00823E1F" w:rsidRPr="00E011A2" w:rsidTr="005402AA">
        <w:trPr>
          <w:trHeight w:val="170"/>
        </w:trPr>
        <w:tc>
          <w:tcPr>
            <w:tcW w:w="1843" w:type="dxa"/>
            <w:shd w:val="clear" w:color="000000" w:fill="F2F2F2"/>
            <w:noWrap/>
            <w:vAlign w:val="bottom"/>
            <w:hideMark/>
          </w:tcPr>
          <w:p w:rsidR="00823E1F" w:rsidRPr="00E32927" w:rsidRDefault="00823E1F" w:rsidP="00823E1F">
            <w:pPr>
              <w:rPr>
                <w:rFonts w:cs="Arial"/>
                <w:color w:val="ED7D31"/>
                <w:sz w:val="20"/>
                <w:szCs w:val="20"/>
              </w:rPr>
            </w:pPr>
            <w:r w:rsidRPr="00E32927">
              <w:rPr>
                <w:rFonts w:cs="Arial"/>
                <w:color w:val="ED7D31"/>
                <w:sz w:val="20"/>
                <w:szCs w:val="20"/>
              </w:rPr>
              <w:t>80.001- 90.000</w:t>
            </w:r>
          </w:p>
        </w:tc>
        <w:tc>
          <w:tcPr>
            <w:tcW w:w="1134" w:type="dxa"/>
            <w:shd w:val="clear" w:color="auto" w:fill="F2F2F2" w:themeFill="background1" w:themeFillShade="F2"/>
            <w:noWrap/>
            <w:vAlign w:val="bottom"/>
            <w:hideMark/>
          </w:tcPr>
          <w:p w:rsidR="00823E1F" w:rsidRPr="00E32927" w:rsidRDefault="00823E1F" w:rsidP="00823E1F">
            <w:pPr>
              <w:rPr>
                <w:rFonts w:cs="Arial"/>
                <w:color w:val="ED7D31"/>
                <w:sz w:val="20"/>
                <w:szCs w:val="20"/>
              </w:rPr>
            </w:pPr>
            <w:r w:rsidRPr="00E32927">
              <w:rPr>
                <w:rFonts w:cs="Arial"/>
                <w:color w:val="ED7D31"/>
                <w:sz w:val="20"/>
                <w:szCs w:val="20"/>
              </w:rPr>
              <w:t>30’811.4</w:t>
            </w:r>
          </w:p>
        </w:tc>
        <w:tc>
          <w:tcPr>
            <w:tcW w:w="1019" w:type="dxa"/>
            <w:shd w:val="clear" w:color="auto" w:fill="F2F2F2" w:themeFill="background1" w:themeFillShade="F2"/>
            <w:noWrap/>
            <w:vAlign w:val="bottom"/>
            <w:hideMark/>
          </w:tcPr>
          <w:p w:rsidR="00823E1F" w:rsidRPr="00E32927" w:rsidRDefault="00823E1F" w:rsidP="00823E1F">
            <w:pPr>
              <w:rPr>
                <w:rFonts w:cs="Arial"/>
                <w:color w:val="ED7D31"/>
                <w:sz w:val="20"/>
                <w:szCs w:val="20"/>
              </w:rPr>
            </w:pPr>
            <w:r w:rsidRPr="00E32927">
              <w:rPr>
                <w:rFonts w:cs="Arial"/>
                <w:color w:val="ED7D31"/>
                <w:sz w:val="20"/>
                <w:szCs w:val="20"/>
              </w:rPr>
              <w:t> </w:t>
            </w:r>
          </w:p>
        </w:tc>
        <w:tc>
          <w:tcPr>
            <w:tcW w:w="567" w:type="dxa"/>
            <w:shd w:val="clear" w:color="auto" w:fill="F2F2F2" w:themeFill="background1" w:themeFillShade="F2"/>
            <w:noWrap/>
            <w:vAlign w:val="bottom"/>
            <w:hideMark/>
          </w:tcPr>
          <w:p w:rsidR="00823E1F" w:rsidRPr="00E32927" w:rsidRDefault="00823E1F" w:rsidP="00823E1F">
            <w:pPr>
              <w:rPr>
                <w:rFonts w:cs="Arial"/>
                <w:color w:val="ED7D31"/>
                <w:sz w:val="20"/>
                <w:szCs w:val="20"/>
              </w:rPr>
            </w:pPr>
            <w:r w:rsidRPr="00E32927">
              <w:rPr>
                <w:rFonts w:cs="Arial"/>
                <w:color w:val="ED7D31"/>
                <w:sz w:val="20"/>
                <w:szCs w:val="20"/>
              </w:rPr>
              <w:t> </w:t>
            </w:r>
          </w:p>
        </w:tc>
        <w:tc>
          <w:tcPr>
            <w:tcW w:w="1119" w:type="dxa"/>
            <w:shd w:val="clear" w:color="auto" w:fill="F2F2F2" w:themeFill="background1" w:themeFillShade="F2"/>
            <w:vAlign w:val="bottom"/>
          </w:tcPr>
          <w:p w:rsidR="00823E1F" w:rsidRPr="00E32927" w:rsidRDefault="00823E1F" w:rsidP="00823E1F">
            <w:pPr>
              <w:rPr>
                <w:rFonts w:cs="Arial"/>
                <w:sz w:val="20"/>
                <w:szCs w:val="20"/>
              </w:rPr>
            </w:pPr>
            <w:r w:rsidRPr="00E32927">
              <w:rPr>
                <w:rFonts w:cs="Arial"/>
                <w:color w:val="ED7D31"/>
                <w:sz w:val="20"/>
                <w:szCs w:val="20"/>
              </w:rPr>
              <w:t>36’244.5</w:t>
            </w:r>
          </w:p>
        </w:tc>
        <w:tc>
          <w:tcPr>
            <w:tcW w:w="1119" w:type="dxa"/>
            <w:shd w:val="clear" w:color="auto" w:fill="F2F2F2" w:themeFill="background1" w:themeFillShade="F2"/>
            <w:vAlign w:val="bottom"/>
          </w:tcPr>
          <w:p w:rsidR="00823E1F" w:rsidRPr="00E32927" w:rsidRDefault="00823E1F" w:rsidP="00823E1F">
            <w:pPr>
              <w:rPr>
                <w:rFonts w:cs="Arial"/>
                <w:sz w:val="20"/>
                <w:szCs w:val="20"/>
              </w:rPr>
            </w:pPr>
            <w:r w:rsidRPr="00E32927">
              <w:rPr>
                <w:rFonts w:cs="Arial"/>
                <w:color w:val="ED7D31"/>
                <w:sz w:val="20"/>
                <w:szCs w:val="20"/>
              </w:rPr>
              <w:t> </w:t>
            </w:r>
          </w:p>
        </w:tc>
        <w:tc>
          <w:tcPr>
            <w:tcW w:w="508" w:type="dxa"/>
            <w:shd w:val="clear" w:color="auto" w:fill="F2F2F2" w:themeFill="background1" w:themeFillShade="F2"/>
            <w:vAlign w:val="bottom"/>
          </w:tcPr>
          <w:p w:rsidR="00823E1F" w:rsidRPr="00E32927" w:rsidRDefault="00823E1F" w:rsidP="00823E1F">
            <w:pPr>
              <w:rPr>
                <w:rFonts w:cs="Arial"/>
                <w:sz w:val="20"/>
                <w:szCs w:val="20"/>
              </w:rPr>
            </w:pPr>
            <w:r w:rsidRPr="00E32927">
              <w:rPr>
                <w:rFonts w:cs="Arial"/>
                <w:color w:val="ED7D31"/>
                <w:sz w:val="20"/>
                <w:szCs w:val="20"/>
              </w:rPr>
              <w:t> </w:t>
            </w:r>
          </w:p>
        </w:tc>
      </w:tr>
      <w:tr w:rsidR="00823E1F" w:rsidRPr="00E011A2" w:rsidTr="005402AA">
        <w:trPr>
          <w:trHeight w:val="170"/>
        </w:trPr>
        <w:tc>
          <w:tcPr>
            <w:tcW w:w="1843" w:type="dxa"/>
            <w:shd w:val="clear" w:color="000000" w:fill="F2F2F2"/>
            <w:noWrap/>
            <w:vAlign w:val="bottom"/>
            <w:hideMark/>
          </w:tcPr>
          <w:p w:rsidR="00823E1F" w:rsidRPr="00E32927" w:rsidRDefault="00823E1F" w:rsidP="00823E1F">
            <w:pPr>
              <w:rPr>
                <w:rFonts w:cs="Arial"/>
                <w:color w:val="ED7D31"/>
                <w:sz w:val="20"/>
                <w:szCs w:val="20"/>
              </w:rPr>
            </w:pPr>
            <w:r w:rsidRPr="00E32927">
              <w:rPr>
                <w:rFonts w:cs="Arial"/>
                <w:color w:val="ED7D31"/>
                <w:sz w:val="20"/>
                <w:szCs w:val="20"/>
              </w:rPr>
              <w:t>90.001-100.000</w:t>
            </w:r>
          </w:p>
        </w:tc>
        <w:tc>
          <w:tcPr>
            <w:tcW w:w="1134" w:type="dxa"/>
            <w:shd w:val="clear" w:color="auto" w:fill="F2F2F2" w:themeFill="background1" w:themeFillShade="F2"/>
            <w:noWrap/>
            <w:vAlign w:val="bottom"/>
            <w:hideMark/>
          </w:tcPr>
          <w:p w:rsidR="00823E1F" w:rsidRPr="00E32927" w:rsidRDefault="00823E1F" w:rsidP="00823E1F">
            <w:pPr>
              <w:rPr>
                <w:rFonts w:cs="Arial"/>
                <w:color w:val="ED7D31"/>
                <w:sz w:val="20"/>
                <w:szCs w:val="20"/>
              </w:rPr>
            </w:pPr>
            <w:r w:rsidRPr="00E32927">
              <w:rPr>
                <w:rFonts w:cs="Arial"/>
                <w:color w:val="ED7D31"/>
                <w:sz w:val="20"/>
                <w:szCs w:val="20"/>
              </w:rPr>
              <w:t>25’185.8</w:t>
            </w:r>
          </w:p>
        </w:tc>
        <w:tc>
          <w:tcPr>
            <w:tcW w:w="1019" w:type="dxa"/>
            <w:shd w:val="clear" w:color="auto" w:fill="F2F2F2" w:themeFill="background1" w:themeFillShade="F2"/>
            <w:noWrap/>
            <w:vAlign w:val="bottom"/>
            <w:hideMark/>
          </w:tcPr>
          <w:p w:rsidR="00823E1F" w:rsidRPr="00E32927" w:rsidRDefault="00823E1F" w:rsidP="00823E1F">
            <w:pPr>
              <w:rPr>
                <w:rFonts w:cs="Arial"/>
                <w:color w:val="ED7D31"/>
                <w:sz w:val="20"/>
                <w:szCs w:val="20"/>
              </w:rPr>
            </w:pPr>
            <w:r w:rsidRPr="00E32927">
              <w:rPr>
                <w:rFonts w:cs="Arial"/>
                <w:color w:val="ED7D31"/>
                <w:sz w:val="20"/>
                <w:szCs w:val="20"/>
              </w:rPr>
              <w:t>184’017.6</w:t>
            </w:r>
          </w:p>
        </w:tc>
        <w:tc>
          <w:tcPr>
            <w:tcW w:w="567" w:type="dxa"/>
            <w:shd w:val="clear" w:color="auto" w:fill="F2F2F2" w:themeFill="background1" w:themeFillShade="F2"/>
            <w:noWrap/>
            <w:vAlign w:val="bottom"/>
            <w:hideMark/>
          </w:tcPr>
          <w:p w:rsidR="00823E1F" w:rsidRPr="00E32927" w:rsidRDefault="00823E1F" w:rsidP="00823E1F">
            <w:pPr>
              <w:rPr>
                <w:rFonts w:cs="Arial"/>
                <w:color w:val="ED7D31"/>
                <w:sz w:val="20"/>
                <w:szCs w:val="20"/>
              </w:rPr>
            </w:pPr>
            <w:r w:rsidRPr="00E32927">
              <w:rPr>
                <w:rFonts w:cs="Arial"/>
                <w:color w:val="ED7D31"/>
                <w:sz w:val="20"/>
                <w:szCs w:val="20"/>
              </w:rPr>
              <w:t>32</w:t>
            </w:r>
          </w:p>
        </w:tc>
        <w:tc>
          <w:tcPr>
            <w:tcW w:w="1119" w:type="dxa"/>
            <w:shd w:val="clear" w:color="auto" w:fill="F2F2F2" w:themeFill="background1" w:themeFillShade="F2"/>
            <w:vAlign w:val="bottom"/>
          </w:tcPr>
          <w:p w:rsidR="00823E1F" w:rsidRPr="00E32927" w:rsidRDefault="00823E1F" w:rsidP="00823E1F">
            <w:pPr>
              <w:rPr>
                <w:rFonts w:cs="Arial"/>
                <w:sz w:val="20"/>
                <w:szCs w:val="20"/>
              </w:rPr>
            </w:pPr>
            <w:r w:rsidRPr="00E32927">
              <w:rPr>
                <w:rFonts w:cs="Arial"/>
                <w:color w:val="ED7D31"/>
                <w:sz w:val="20"/>
                <w:szCs w:val="20"/>
              </w:rPr>
              <w:t>32’397.0</w:t>
            </w:r>
          </w:p>
        </w:tc>
        <w:tc>
          <w:tcPr>
            <w:tcW w:w="1119" w:type="dxa"/>
            <w:shd w:val="clear" w:color="auto" w:fill="F2F2F2" w:themeFill="background1" w:themeFillShade="F2"/>
            <w:vAlign w:val="bottom"/>
          </w:tcPr>
          <w:p w:rsidR="00823E1F" w:rsidRPr="00E32927" w:rsidRDefault="00823E1F" w:rsidP="00823E1F">
            <w:pPr>
              <w:rPr>
                <w:rFonts w:cs="Arial"/>
                <w:sz w:val="20"/>
                <w:szCs w:val="20"/>
              </w:rPr>
            </w:pPr>
            <w:r w:rsidRPr="00E32927">
              <w:rPr>
                <w:rFonts w:cs="Arial"/>
                <w:color w:val="ED7D31"/>
                <w:sz w:val="20"/>
                <w:szCs w:val="20"/>
              </w:rPr>
              <w:t>209’008.7</w:t>
            </w:r>
          </w:p>
        </w:tc>
        <w:tc>
          <w:tcPr>
            <w:tcW w:w="508" w:type="dxa"/>
            <w:shd w:val="clear" w:color="auto" w:fill="F2F2F2" w:themeFill="background1" w:themeFillShade="F2"/>
            <w:vAlign w:val="bottom"/>
          </w:tcPr>
          <w:p w:rsidR="00823E1F" w:rsidRPr="00E32927" w:rsidRDefault="00823E1F" w:rsidP="00823E1F">
            <w:pPr>
              <w:rPr>
                <w:rFonts w:cs="Arial"/>
                <w:sz w:val="20"/>
                <w:szCs w:val="20"/>
              </w:rPr>
            </w:pPr>
            <w:r w:rsidRPr="00E32927">
              <w:rPr>
                <w:rFonts w:cs="Arial"/>
                <w:color w:val="ED7D31"/>
                <w:sz w:val="20"/>
                <w:szCs w:val="20"/>
              </w:rPr>
              <w:t>29</w:t>
            </w:r>
          </w:p>
        </w:tc>
      </w:tr>
      <w:tr w:rsidR="00823E1F" w:rsidRPr="00E011A2" w:rsidTr="005402AA">
        <w:trPr>
          <w:trHeight w:val="170"/>
        </w:trPr>
        <w:tc>
          <w:tcPr>
            <w:tcW w:w="1843" w:type="dxa"/>
            <w:shd w:val="clear" w:color="000000" w:fill="F2F2F2"/>
            <w:noWrap/>
            <w:vAlign w:val="bottom"/>
            <w:hideMark/>
          </w:tcPr>
          <w:p w:rsidR="00823E1F" w:rsidRPr="00E32927" w:rsidRDefault="00823E1F" w:rsidP="00823E1F">
            <w:pPr>
              <w:rPr>
                <w:rFonts w:cs="Arial"/>
                <w:color w:val="FF0000"/>
                <w:sz w:val="20"/>
                <w:szCs w:val="20"/>
              </w:rPr>
            </w:pPr>
            <w:r w:rsidRPr="00E32927">
              <w:rPr>
                <w:rFonts w:cs="Arial"/>
                <w:color w:val="FF0000"/>
                <w:sz w:val="20"/>
                <w:szCs w:val="20"/>
              </w:rPr>
              <w:t>100.001-150.000</w:t>
            </w:r>
          </w:p>
        </w:tc>
        <w:tc>
          <w:tcPr>
            <w:tcW w:w="1134" w:type="dxa"/>
            <w:shd w:val="clear" w:color="auto" w:fill="F2F2F2" w:themeFill="background1" w:themeFillShade="F2"/>
            <w:noWrap/>
            <w:vAlign w:val="bottom"/>
            <w:hideMark/>
          </w:tcPr>
          <w:p w:rsidR="00823E1F" w:rsidRPr="00E32927" w:rsidRDefault="00823E1F" w:rsidP="00823E1F">
            <w:pPr>
              <w:rPr>
                <w:rFonts w:cs="Arial"/>
                <w:color w:val="FF0000"/>
                <w:sz w:val="20"/>
                <w:szCs w:val="20"/>
              </w:rPr>
            </w:pPr>
            <w:r w:rsidRPr="00E32927">
              <w:rPr>
                <w:rFonts w:cs="Arial"/>
                <w:color w:val="FF0000"/>
                <w:sz w:val="20"/>
                <w:szCs w:val="20"/>
              </w:rPr>
              <w:t>80’413.8</w:t>
            </w:r>
          </w:p>
        </w:tc>
        <w:tc>
          <w:tcPr>
            <w:tcW w:w="1019" w:type="dxa"/>
            <w:shd w:val="clear" w:color="auto" w:fill="F2F2F2" w:themeFill="background1" w:themeFillShade="F2"/>
            <w:noWrap/>
            <w:vAlign w:val="bottom"/>
            <w:hideMark/>
          </w:tcPr>
          <w:p w:rsidR="00823E1F" w:rsidRPr="00E32927" w:rsidRDefault="00823E1F" w:rsidP="00823E1F">
            <w:pPr>
              <w:rPr>
                <w:rFonts w:cs="Arial"/>
                <w:color w:val="FF0000"/>
                <w:sz w:val="20"/>
                <w:szCs w:val="20"/>
              </w:rPr>
            </w:pPr>
            <w:r w:rsidRPr="00E32927">
              <w:rPr>
                <w:rFonts w:cs="Arial"/>
                <w:color w:val="FF0000"/>
                <w:sz w:val="20"/>
                <w:szCs w:val="20"/>
              </w:rPr>
              <w:t> </w:t>
            </w:r>
          </w:p>
        </w:tc>
        <w:tc>
          <w:tcPr>
            <w:tcW w:w="567" w:type="dxa"/>
            <w:shd w:val="clear" w:color="auto" w:fill="F2F2F2" w:themeFill="background1" w:themeFillShade="F2"/>
            <w:noWrap/>
            <w:vAlign w:val="bottom"/>
            <w:hideMark/>
          </w:tcPr>
          <w:p w:rsidR="00823E1F" w:rsidRPr="00E32927" w:rsidRDefault="00823E1F" w:rsidP="00823E1F">
            <w:pPr>
              <w:rPr>
                <w:rFonts w:cs="Arial"/>
                <w:color w:val="FF0000"/>
                <w:sz w:val="20"/>
                <w:szCs w:val="20"/>
              </w:rPr>
            </w:pPr>
            <w:r w:rsidRPr="00E32927">
              <w:rPr>
                <w:rFonts w:cs="Arial"/>
                <w:color w:val="FF0000"/>
                <w:sz w:val="20"/>
                <w:szCs w:val="20"/>
              </w:rPr>
              <w:t> </w:t>
            </w:r>
          </w:p>
        </w:tc>
        <w:tc>
          <w:tcPr>
            <w:tcW w:w="1119" w:type="dxa"/>
            <w:shd w:val="clear" w:color="auto" w:fill="F2F2F2" w:themeFill="background1" w:themeFillShade="F2"/>
            <w:vAlign w:val="bottom"/>
          </w:tcPr>
          <w:p w:rsidR="00823E1F" w:rsidRPr="00E32927" w:rsidRDefault="00823E1F" w:rsidP="00823E1F">
            <w:pPr>
              <w:rPr>
                <w:rFonts w:cs="Arial"/>
                <w:sz w:val="20"/>
                <w:szCs w:val="20"/>
              </w:rPr>
            </w:pPr>
            <w:r w:rsidRPr="00E32927">
              <w:rPr>
                <w:rFonts w:cs="Arial"/>
                <w:color w:val="FF0000"/>
                <w:sz w:val="20"/>
                <w:szCs w:val="20"/>
              </w:rPr>
              <w:t>108’067.8</w:t>
            </w:r>
          </w:p>
        </w:tc>
        <w:tc>
          <w:tcPr>
            <w:tcW w:w="1119" w:type="dxa"/>
            <w:shd w:val="clear" w:color="auto" w:fill="F2F2F2" w:themeFill="background1" w:themeFillShade="F2"/>
            <w:vAlign w:val="bottom"/>
          </w:tcPr>
          <w:p w:rsidR="00823E1F" w:rsidRPr="00E32927" w:rsidRDefault="00823E1F" w:rsidP="00823E1F">
            <w:pPr>
              <w:rPr>
                <w:rFonts w:cs="Arial"/>
                <w:sz w:val="20"/>
                <w:szCs w:val="20"/>
              </w:rPr>
            </w:pPr>
            <w:r w:rsidRPr="00E32927">
              <w:rPr>
                <w:rFonts w:cs="Arial"/>
                <w:color w:val="FF0000"/>
                <w:sz w:val="20"/>
                <w:szCs w:val="20"/>
              </w:rPr>
              <w:t> </w:t>
            </w:r>
          </w:p>
        </w:tc>
        <w:tc>
          <w:tcPr>
            <w:tcW w:w="508" w:type="dxa"/>
            <w:shd w:val="clear" w:color="auto" w:fill="F2F2F2" w:themeFill="background1" w:themeFillShade="F2"/>
            <w:vAlign w:val="bottom"/>
          </w:tcPr>
          <w:p w:rsidR="00823E1F" w:rsidRPr="00E32927" w:rsidRDefault="00823E1F" w:rsidP="00823E1F">
            <w:pPr>
              <w:rPr>
                <w:rFonts w:cs="Arial"/>
                <w:sz w:val="20"/>
                <w:szCs w:val="20"/>
              </w:rPr>
            </w:pPr>
            <w:r w:rsidRPr="00E32927">
              <w:rPr>
                <w:rFonts w:cs="Arial"/>
                <w:color w:val="FF0000"/>
                <w:sz w:val="20"/>
                <w:szCs w:val="20"/>
              </w:rPr>
              <w:t> </w:t>
            </w:r>
          </w:p>
        </w:tc>
      </w:tr>
      <w:tr w:rsidR="00823E1F" w:rsidRPr="00E011A2" w:rsidTr="005402AA">
        <w:trPr>
          <w:trHeight w:val="170"/>
        </w:trPr>
        <w:tc>
          <w:tcPr>
            <w:tcW w:w="1843" w:type="dxa"/>
            <w:shd w:val="clear" w:color="000000" w:fill="F2F2F2"/>
            <w:noWrap/>
            <w:vAlign w:val="bottom"/>
            <w:hideMark/>
          </w:tcPr>
          <w:p w:rsidR="00823E1F" w:rsidRPr="00E32927" w:rsidRDefault="00823E1F" w:rsidP="00823E1F">
            <w:pPr>
              <w:rPr>
                <w:rFonts w:cs="Arial"/>
                <w:color w:val="FF0000"/>
                <w:sz w:val="20"/>
                <w:szCs w:val="20"/>
              </w:rPr>
            </w:pPr>
            <w:r w:rsidRPr="00E32927">
              <w:rPr>
                <w:rFonts w:cs="Arial"/>
                <w:color w:val="FF0000"/>
                <w:sz w:val="20"/>
                <w:szCs w:val="20"/>
              </w:rPr>
              <w:t>150.001-200.000</w:t>
            </w:r>
          </w:p>
        </w:tc>
        <w:tc>
          <w:tcPr>
            <w:tcW w:w="1134" w:type="dxa"/>
            <w:shd w:val="clear" w:color="auto" w:fill="F2F2F2" w:themeFill="background1" w:themeFillShade="F2"/>
            <w:noWrap/>
            <w:vAlign w:val="bottom"/>
            <w:hideMark/>
          </w:tcPr>
          <w:p w:rsidR="00823E1F" w:rsidRPr="00E32927" w:rsidRDefault="00823E1F" w:rsidP="00823E1F">
            <w:pPr>
              <w:rPr>
                <w:rFonts w:cs="Arial"/>
                <w:color w:val="FF0000"/>
                <w:sz w:val="20"/>
                <w:szCs w:val="20"/>
              </w:rPr>
            </w:pPr>
            <w:r w:rsidRPr="00E32927">
              <w:rPr>
                <w:rFonts w:cs="Arial"/>
                <w:color w:val="FF0000"/>
                <w:sz w:val="20"/>
                <w:szCs w:val="20"/>
              </w:rPr>
              <w:t>46’524.1</w:t>
            </w:r>
          </w:p>
        </w:tc>
        <w:tc>
          <w:tcPr>
            <w:tcW w:w="1019" w:type="dxa"/>
            <w:shd w:val="clear" w:color="auto" w:fill="F2F2F2" w:themeFill="background1" w:themeFillShade="F2"/>
            <w:noWrap/>
            <w:vAlign w:val="bottom"/>
            <w:hideMark/>
          </w:tcPr>
          <w:p w:rsidR="00823E1F" w:rsidRPr="00E32927" w:rsidRDefault="00823E1F" w:rsidP="00823E1F">
            <w:pPr>
              <w:rPr>
                <w:rFonts w:cs="Arial"/>
                <w:color w:val="FF0000"/>
                <w:sz w:val="20"/>
                <w:szCs w:val="20"/>
              </w:rPr>
            </w:pPr>
            <w:r w:rsidRPr="00E32927">
              <w:rPr>
                <w:rFonts w:cs="Arial"/>
                <w:color w:val="FF0000"/>
                <w:sz w:val="20"/>
                <w:szCs w:val="20"/>
              </w:rPr>
              <w:t> </w:t>
            </w:r>
          </w:p>
        </w:tc>
        <w:tc>
          <w:tcPr>
            <w:tcW w:w="567" w:type="dxa"/>
            <w:shd w:val="clear" w:color="auto" w:fill="F2F2F2" w:themeFill="background1" w:themeFillShade="F2"/>
            <w:noWrap/>
            <w:vAlign w:val="bottom"/>
            <w:hideMark/>
          </w:tcPr>
          <w:p w:rsidR="00823E1F" w:rsidRPr="00E32927" w:rsidRDefault="00823E1F" w:rsidP="00823E1F">
            <w:pPr>
              <w:rPr>
                <w:rFonts w:cs="Arial"/>
                <w:color w:val="FF0000"/>
                <w:sz w:val="20"/>
                <w:szCs w:val="20"/>
              </w:rPr>
            </w:pPr>
            <w:r w:rsidRPr="00E32927">
              <w:rPr>
                <w:rFonts w:cs="Arial"/>
                <w:color w:val="FF0000"/>
                <w:sz w:val="20"/>
                <w:szCs w:val="20"/>
              </w:rPr>
              <w:t> </w:t>
            </w:r>
          </w:p>
        </w:tc>
        <w:tc>
          <w:tcPr>
            <w:tcW w:w="1119" w:type="dxa"/>
            <w:shd w:val="clear" w:color="auto" w:fill="F2F2F2" w:themeFill="background1" w:themeFillShade="F2"/>
            <w:vAlign w:val="bottom"/>
          </w:tcPr>
          <w:p w:rsidR="00823E1F" w:rsidRPr="00E32927" w:rsidRDefault="00823E1F" w:rsidP="00823E1F">
            <w:pPr>
              <w:rPr>
                <w:rFonts w:cs="Arial"/>
                <w:sz w:val="20"/>
                <w:szCs w:val="20"/>
              </w:rPr>
            </w:pPr>
            <w:r w:rsidRPr="00E32927">
              <w:rPr>
                <w:rFonts w:cs="Arial"/>
                <w:color w:val="FF0000"/>
                <w:sz w:val="20"/>
                <w:szCs w:val="20"/>
              </w:rPr>
              <w:t>56’313.3</w:t>
            </w:r>
          </w:p>
        </w:tc>
        <w:tc>
          <w:tcPr>
            <w:tcW w:w="1119" w:type="dxa"/>
            <w:shd w:val="clear" w:color="auto" w:fill="F2F2F2" w:themeFill="background1" w:themeFillShade="F2"/>
            <w:vAlign w:val="bottom"/>
          </w:tcPr>
          <w:p w:rsidR="00823E1F" w:rsidRPr="00E32927" w:rsidRDefault="00823E1F" w:rsidP="00823E1F">
            <w:pPr>
              <w:rPr>
                <w:rFonts w:cs="Arial"/>
                <w:sz w:val="20"/>
                <w:szCs w:val="20"/>
              </w:rPr>
            </w:pPr>
            <w:r w:rsidRPr="00E32927">
              <w:rPr>
                <w:rFonts w:cs="Arial"/>
                <w:color w:val="FF0000"/>
                <w:sz w:val="20"/>
                <w:szCs w:val="20"/>
              </w:rPr>
              <w:t> </w:t>
            </w:r>
          </w:p>
        </w:tc>
        <w:tc>
          <w:tcPr>
            <w:tcW w:w="508" w:type="dxa"/>
            <w:shd w:val="clear" w:color="auto" w:fill="F2F2F2" w:themeFill="background1" w:themeFillShade="F2"/>
            <w:vAlign w:val="bottom"/>
          </w:tcPr>
          <w:p w:rsidR="00823E1F" w:rsidRPr="00E32927" w:rsidRDefault="00823E1F" w:rsidP="00823E1F">
            <w:pPr>
              <w:rPr>
                <w:rFonts w:cs="Arial"/>
                <w:sz w:val="20"/>
                <w:szCs w:val="20"/>
              </w:rPr>
            </w:pPr>
            <w:r w:rsidRPr="00E32927">
              <w:rPr>
                <w:rFonts w:cs="Arial"/>
                <w:color w:val="FF0000"/>
                <w:sz w:val="20"/>
                <w:szCs w:val="20"/>
              </w:rPr>
              <w:t> </w:t>
            </w:r>
          </w:p>
        </w:tc>
      </w:tr>
      <w:tr w:rsidR="00823E1F" w:rsidRPr="00E011A2" w:rsidTr="005402AA">
        <w:trPr>
          <w:trHeight w:val="170"/>
        </w:trPr>
        <w:tc>
          <w:tcPr>
            <w:tcW w:w="1843" w:type="dxa"/>
            <w:shd w:val="clear" w:color="000000" w:fill="F2F2F2"/>
            <w:noWrap/>
            <w:vAlign w:val="bottom"/>
            <w:hideMark/>
          </w:tcPr>
          <w:p w:rsidR="00823E1F" w:rsidRPr="00E32927" w:rsidRDefault="00823E1F" w:rsidP="00823E1F">
            <w:pPr>
              <w:rPr>
                <w:rFonts w:cs="Arial"/>
                <w:color w:val="FF0000"/>
                <w:sz w:val="20"/>
                <w:szCs w:val="20"/>
              </w:rPr>
            </w:pPr>
            <w:r w:rsidRPr="00E32927">
              <w:rPr>
                <w:rFonts w:cs="Arial"/>
                <w:color w:val="FF0000"/>
                <w:sz w:val="20"/>
                <w:szCs w:val="20"/>
              </w:rPr>
              <w:t>Oltre 200.000</w:t>
            </w:r>
          </w:p>
        </w:tc>
        <w:tc>
          <w:tcPr>
            <w:tcW w:w="1134" w:type="dxa"/>
            <w:shd w:val="clear" w:color="auto" w:fill="F2F2F2" w:themeFill="background1" w:themeFillShade="F2"/>
            <w:noWrap/>
            <w:vAlign w:val="bottom"/>
            <w:hideMark/>
          </w:tcPr>
          <w:p w:rsidR="00823E1F" w:rsidRPr="00E32927" w:rsidRDefault="00823E1F" w:rsidP="00823E1F">
            <w:pPr>
              <w:rPr>
                <w:rFonts w:cs="Arial"/>
                <w:color w:val="FF0000"/>
                <w:sz w:val="20"/>
                <w:szCs w:val="20"/>
              </w:rPr>
            </w:pPr>
            <w:r w:rsidRPr="00E32927">
              <w:rPr>
                <w:rFonts w:cs="Arial"/>
                <w:color w:val="FF0000"/>
                <w:sz w:val="20"/>
                <w:szCs w:val="20"/>
              </w:rPr>
              <w:t>166’933.3</w:t>
            </w:r>
          </w:p>
        </w:tc>
        <w:tc>
          <w:tcPr>
            <w:tcW w:w="1019" w:type="dxa"/>
            <w:shd w:val="clear" w:color="auto" w:fill="F2F2F2" w:themeFill="background1" w:themeFillShade="F2"/>
            <w:noWrap/>
            <w:vAlign w:val="bottom"/>
            <w:hideMark/>
          </w:tcPr>
          <w:p w:rsidR="00823E1F" w:rsidRPr="00E32927" w:rsidRDefault="00823E1F" w:rsidP="00823E1F">
            <w:pPr>
              <w:rPr>
                <w:rFonts w:cs="Arial"/>
                <w:color w:val="FF0000"/>
                <w:sz w:val="20"/>
                <w:szCs w:val="20"/>
              </w:rPr>
            </w:pPr>
            <w:r w:rsidRPr="00E32927">
              <w:rPr>
                <w:rFonts w:cs="Arial"/>
                <w:color w:val="FF0000"/>
                <w:sz w:val="20"/>
                <w:szCs w:val="20"/>
              </w:rPr>
              <w:t>293’871.2</w:t>
            </w:r>
          </w:p>
        </w:tc>
        <w:tc>
          <w:tcPr>
            <w:tcW w:w="567" w:type="dxa"/>
            <w:shd w:val="clear" w:color="auto" w:fill="F2F2F2" w:themeFill="background1" w:themeFillShade="F2"/>
            <w:noWrap/>
            <w:vAlign w:val="bottom"/>
            <w:hideMark/>
          </w:tcPr>
          <w:p w:rsidR="00823E1F" w:rsidRPr="00E32927" w:rsidRDefault="00823E1F" w:rsidP="00823E1F">
            <w:pPr>
              <w:rPr>
                <w:rFonts w:cs="Arial"/>
                <w:color w:val="FF0000"/>
                <w:sz w:val="20"/>
                <w:szCs w:val="20"/>
              </w:rPr>
            </w:pPr>
            <w:r w:rsidRPr="00E32927">
              <w:rPr>
                <w:rFonts w:cs="Arial"/>
                <w:color w:val="FF0000"/>
                <w:sz w:val="20"/>
                <w:szCs w:val="20"/>
              </w:rPr>
              <w:t>52</w:t>
            </w:r>
          </w:p>
        </w:tc>
        <w:tc>
          <w:tcPr>
            <w:tcW w:w="1119" w:type="dxa"/>
            <w:shd w:val="clear" w:color="auto" w:fill="F2F2F2" w:themeFill="background1" w:themeFillShade="F2"/>
            <w:vAlign w:val="bottom"/>
          </w:tcPr>
          <w:p w:rsidR="00823E1F" w:rsidRPr="00E32927" w:rsidRDefault="00823E1F" w:rsidP="00823E1F">
            <w:pPr>
              <w:rPr>
                <w:rFonts w:cs="Arial"/>
                <w:sz w:val="20"/>
                <w:szCs w:val="20"/>
              </w:rPr>
            </w:pPr>
            <w:r w:rsidRPr="00E32927">
              <w:rPr>
                <w:rFonts w:cs="Arial"/>
                <w:color w:val="FF0000"/>
                <w:sz w:val="20"/>
                <w:szCs w:val="20"/>
              </w:rPr>
              <w:t>253’940.5</w:t>
            </w:r>
          </w:p>
        </w:tc>
        <w:tc>
          <w:tcPr>
            <w:tcW w:w="1119" w:type="dxa"/>
            <w:shd w:val="clear" w:color="auto" w:fill="F2F2F2" w:themeFill="background1" w:themeFillShade="F2"/>
            <w:vAlign w:val="bottom"/>
          </w:tcPr>
          <w:p w:rsidR="00823E1F" w:rsidRPr="00E32927" w:rsidRDefault="00823E1F" w:rsidP="00823E1F">
            <w:pPr>
              <w:rPr>
                <w:rFonts w:cs="Arial"/>
                <w:sz w:val="20"/>
                <w:szCs w:val="20"/>
              </w:rPr>
            </w:pPr>
            <w:r w:rsidRPr="00E32927">
              <w:rPr>
                <w:rFonts w:cs="Arial"/>
                <w:color w:val="FF0000"/>
                <w:sz w:val="20"/>
                <w:szCs w:val="20"/>
              </w:rPr>
              <w:t>418’321.6</w:t>
            </w:r>
          </w:p>
        </w:tc>
        <w:tc>
          <w:tcPr>
            <w:tcW w:w="508" w:type="dxa"/>
            <w:shd w:val="clear" w:color="auto" w:fill="F2F2F2" w:themeFill="background1" w:themeFillShade="F2"/>
            <w:vAlign w:val="bottom"/>
          </w:tcPr>
          <w:p w:rsidR="00823E1F" w:rsidRPr="00E32927" w:rsidRDefault="00823E1F" w:rsidP="00823E1F">
            <w:pPr>
              <w:rPr>
                <w:rFonts w:cs="Arial"/>
                <w:sz w:val="20"/>
                <w:szCs w:val="20"/>
              </w:rPr>
            </w:pPr>
            <w:r w:rsidRPr="00E32927">
              <w:rPr>
                <w:rFonts w:cs="Arial"/>
                <w:color w:val="FF0000"/>
                <w:sz w:val="20"/>
                <w:szCs w:val="20"/>
              </w:rPr>
              <w:t>59</w:t>
            </w:r>
          </w:p>
        </w:tc>
      </w:tr>
      <w:tr w:rsidR="00823E1F" w:rsidRPr="00E011A2" w:rsidTr="005402AA">
        <w:trPr>
          <w:trHeight w:val="170"/>
        </w:trPr>
        <w:tc>
          <w:tcPr>
            <w:tcW w:w="1843" w:type="dxa"/>
            <w:shd w:val="clear" w:color="000000" w:fill="F2F2F2"/>
            <w:noWrap/>
            <w:vAlign w:val="bottom"/>
            <w:hideMark/>
          </w:tcPr>
          <w:p w:rsidR="00823E1F" w:rsidRPr="00E011A2" w:rsidRDefault="00823E1F" w:rsidP="00823E1F">
            <w:pPr>
              <w:rPr>
                <w:rFonts w:cs="Arial"/>
                <w:b/>
                <w:bCs/>
                <w:color w:val="000000"/>
                <w:sz w:val="22"/>
              </w:rPr>
            </w:pPr>
            <w:r w:rsidRPr="00E011A2">
              <w:rPr>
                <w:rFonts w:cs="Arial"/>
                <w:b/>
                <w:bCs/>
                <w:color w:val="000000"/>
                <w:sz w:val="22"/>
              </w:rPr>
              <w:t> Totali</w:t>
            </w:r>
          </w:p>
        </w:tc>
        <w:tc>
          <w:tcPr>
            <w:tcW w:w="1134" w:type="dxa"/>
            <w:shd w:val="clear" w:color="000000" w:fill="F2F2F2"/>
            <w:noWrap/>
            <w:vAlign w:val="bottom"/>
            <w:hideMark/>
          </w:tcPr>
          <w:p w:rsidR="00823E1F" w:rsidRPr="00E011A2" w:rsidRDefault="00823E1F" w:rsidP="00823E1F">
            <w:pPr>
              <w:rPr>
                <w:rFonts w:cs="Arial"/>
                <w:b/>
                <w:bCs/>
                <w:color w:val="000000"/>
                <w:sz w:val="22"/>
              </w:rPr>
            </w:pPr>
            <w:r w:rsidRPr="00E011A2">
              <w:rPr>
                <w:rFonts w:cs="Arial"/>
                <w:b/>
                <w:bCs/>
                <w:color w:val="000000"/>
                <w:sz w:val="22"/>
              </w:rPr>
              <w:t>568’736.4</w:t>
            </w:r>
          </w:p>
        </w:tc>
        <w:tc>
          <w:tcPr>
            <w:tcW w:w="1019" w:type="dxa"/>
            <w:shd w:val="clear" w:color="000000" w:fill="F2F2F2"/>
            <w:noWrap/>
            <w:vAlign w:val="bottom"/>
            <w:hideMark/>
          </w:tcPr>
          <w:p w:rsidR="00823E1F" w:rsidRPr="00E011A2" w:rsidRDefault="00823E1F" w:rsidP="00823E1F">
            <w:pPr>
              <w:rPr>
                <w:rFonts w:cs="Arial"/>
                <w:b/>
                <w:bCs/>
                <w:color w:val="000000"/>
                <w:sz w:val="22"/>
              </w:rPr>
            </w:pPr>
            <w:r w:rsidRPr="00E011A2">
              <w:rPr>
                <w:rFonts w:cs="Arial"/>
                <w:b/>
                <w:bCs/>
                <w:color w:val="000000"/>
                <w:sz w:val="22"/>
              </w:rPr>
              <w:t>568’736</w:t>
            </w:r>
          </w:p>
        </w:tc>
        <w:tc>
          <w:tcPr>
            <w:tcW w:w="567" w:type="dxa"/>
            <w:shd w:val="clear" w:color="000000" w:fill="F2F2F2"/>
            <w:noWrap/>
            <w:vAlign w:val="bottom"/>
            <w:hideMark/>
          </w:tcPr>
          <w:p w:rsidR="00823E1F" w:rsidRPr="00E011A2" w:rsidRDefault="00823E1F" w:rsidP="00823E1F">
            <w:pPr>
              <w:rPr>
                <w:rFonts w:cs="Arial"/>
                <w:b/>
                <w:bCs/>
                <w:color w:val="000000"/>
                <w:sz w:val="22"/>
              </w:rPr>
            </w:pPr>
            <w:r w:rsidRPr="00E011A2">
              <w:rPr>
                <w:rFonts w:cs="Arial"/>
                <w:b/>
                <w:bCs/>
                <w:color w:val="000000"/>
                <w:sz w:val="22"/>
              </w:rPr>
              <w:t>100</w:t>
            </w:r>
          </w:p>
        </w:tc>
        <w:tc>
          <w:tcPr>
            <w:tcW w:w="1119" w:type="dxa"/>
            <w:shd w:val="clear" w:color="auto" w:fill="F2F2F2" w:themeFill="background1" w:themeFillShade="F2"/>
            <w:vAlign w:val="bottom"/>
          </w:tcPr>
          <w:p w:rsidR="00823E1F" w:rsidRPr="00E011A2" w:rsidRDefault="00823E1F" w:rsidP="00823E1F">
            <w:pPr>
              <w:rPr>
                <w:b/>
                <w:bCs/>
                <w:sz w:val="22"/>
              </w:rPr>
            </w:pPr>
            <w:r w:rsidRPr="00E011A2">
              <w:rPr>
                <w:rFonts w:cs="Arial"/>
                <w:b/>
                <w:bCs/>
                <w:color w:val="000000"/>
                <w:sz w:val="22"/>
              </w:rPr>
              <w:t>711’458.9</w:t>
            </w:r>
          </w:p>
        </w:tc>
        <w:tc>
          <w:tcPr>
            <w:tcW w:w="1119" w:type="dxa"/>
            <w:shd w:val="clear" w:color="auto" w:fill="F2F2F2" w:themeFill="background1" w:themeFillShade="F2"/>
            <w:vAlign w:val="bottom"/>
          </w:tcPr>
          <w:p w:rsidR="00823E1F" w:rsidRPr="00E011A2" w:rsidRDefault="00823E1F" w:rsidP="00823E1F">
            <w:pPr>
              <w:rPr>
                <w:b/>
                <w:bCs/>
                <w:sz w:val="22"/>
              </w:rPr>
            </w:pPr>
            <w:r w:rsidRPr="00E011A2">
              <w:rPr>
                <w:rFonts w:cs="Arial"/>
                <w:b/>
                <w:bCs/>
                <w:color w:val="000000"/>
                <w:sz w:val="22"/>
              </w:rPr>
              <w:t>711’458.9</w:t>
            </w:r>
          </w:p>
        </w:tc>
        <w:tc>
          <w:tcPr>
            <w:tcW w:w="508" w:type="dxa"/>
            <w:shd w:val="clear" w:color="auto" w:fill="F2F2F2" w:themeFill="background1" w:themeFillShade="F2"/>
            <w:vAlign w:val="bottom"/>
          </w:tcPr>
          <w:p w:rsidR="00823E1F" w:rsidRPr="00E011A2" w:rsidRDefault="00823E1F" w:rsidP="00823E1F">
            <w:pPr>
              <w:rPr>
                <w:b/>
                <w:bCs/>
                <w:sz w:val="22"/>
              </w:rPr>
            </w:pPr>
            <w:r w:rsidRPr="00E011A2">
              <w:rPr>
                <w:rFonts w:cs="Arial"/>
                <w:b/>
                <w:bCs/>
                <w:color w:val="000000"/>
                <w:sz w:val="22"/>
              </w:rPr>
              <w:t>100</w:t>
            </w:r>
          </w:p>
        </w:tc>
      </w:tr>
    </w:tbl>
    <w:p w:rsidR="00823E1F" w:rsidRPr="00E011A2" w:rsidRDefault="00823E1F" w:rsidP="00823E1F">
      <w:pPr>
        <w:autoSpaceDE w:val="0"/>
        <w:autoSpaceDN w:val="0"/>
        <w:adjustRightInd w:val="0"/>
        <w:rPr>
          <w:rFonts w:cs="Arial"/>
          <w:sz w:val="22"/>
          <w:lang w:eastAsia="it-CH"/>
        </w:rPr>
      </w:pPr>
    </w:p>
    <w:p w:rsidR="00823E1F" w:rsidRDefault="00823E1F" w:rsidP="00823E1F">
      <w:pPr>
        <w:autoSpaceDE w:val="0"/>
        <w:autoSpaceDN w:val="0"/>
        <w:adjustRightInd w:val="0"/>
        <w:rPr>
          <w:rFonts w:cs="Arial"/>
          <w:lang w:eastAsia="it-CH"/>
        </w:rPr>
      </w:pPr>
      <w:r w:rsidRPr="00D27487">
        <w:rPr>
          <w:rFonts w:cs="Arial"/>
          <w:lang w:eastAsia="it-CH"/>
        </w:rPr>
        <w:t xml:space="preserve">Calcolando </w:t>
      </w:r>
      <w:r>
        <w:rPr>
          <w:rFonts w:cs="Arial"/>
          <w:lang w:eastAsia="it-CH"/>
        </w:rPr>
        <w:t>l'</w:t>
      </w:r>
      <w:r w:rsidRPr="00D27487">
        <w:rPr>
          <w:rFonts w:cs="Arial"/>
          <w:lang w:eastAsia="it-CH"/>
        </w:rPr>
        <w:t>introito fiscale medio per contribuente di ogni fascia aggregata, rileviamo che i contribuenti del ceto medio-basso (verdi) e quelli del medio-alto (arancio) hanno visto diminuire leggermente il loro esborso fiscale, probabilmente non perché hanno beneficiato di sgravi fiscali, bensì perché hanno avuto redditi più bassi. Mentre l</w:t>
      </w:r>
      <w:r>
        <w:rPr>
          <w:rFonts w:cs="Arial"/>
          <w:lang w:eastAsia="it-CH"/>
        </w:rPr>
        <w:t>'</w:t>
      </w:r>
      <w:r w:rsidRPr="00D27487">
        <w:rPr>
          <w:rFonts w:cs="Arial"/>
          <w:lang w:eastAsia="it-CH"/>
        </w:rPr>
        <w:t>esborso fiscale della fascia benestante (rosso) ha invece segnato un marcato aumento</w:t>
      </w:r>
      <w:r w:rsidRPr="00D27487">
        <w:rPr>
          <w:rStyle w:val="Rimandonotaapidipagina"/>
          <w:rFonts w:cs="Arial"/>
          <w:lang w:eastAsia="it-CH"/>
        </w:rPr>
        <w:footnoteReference w:id="14"/>
      </w:r>
      <w:r w:rsidRPr="00D27487">
        <w:rPr>
          <w:rFonts w:cs="Arial"/>
          <w:lang w:eastAsia="it-CH"/>
        </w:rPr>
        <w:t xml:space="preserve">. Calcolando invece </w:t>
      </w:r>
      <w:r>
        <w:rPr>
          <w:rFonts w:cs="Arial"/>
          <w:lang w:eastAsia="it-CH"/>
        </w:rPr>
        <w:t>l'</w:t>
      </w:r>
      <w:r w:rsidRPr="00D27487">
        <w:rPr>
          <w:rFonts w:cs="Arial"/>
          <w:lang w:eastAsia="it-CH"/>
        </w:rPr>
        <w:t>esborso fiscale pro-capite del totale dei contribuenti, osserviamo che quello del 2017 è più alto di quello del 2006.</w:t>
      </w:r>
      <w:r>
        <w:rPr>
          <w:rFonts w:cs="Arial"/>
          <w:lang w:eastAsia="it-CH"/>
        </w:rPr>
        <w:t xml:space="preserve"> </w:t>
      </w:r>
    </w:p>
    <w:p w:rsidR="00E32927" w:rsidRPr="00D27487" w:rsidRDefault="00E32927" w:rsidP="00823E1F">
      <w:pPr>
        <w:autoSpaceDE w:val="0"/>
        <w:autoSpaceDN w:val="0"/>
        <w:adjustRightInd w:val="0"/>
        <w:rPr>
          <w:rFonts w:cs="Arial"/>
          <w:lang w:eastAsia="it-CH"/>
        </w:rPr>
      </w:pPr>
    </w:p>
    <w:p w:rsidR="00823E1F" w:rsidRPr="00D27487" w:rsidRDefault="00823E1F" w:rsidP="00823E1F">
      <w:pPr>
        <w:autoSpaceDE w:val="0"/>
        <w:autoSpaceDN w:val="0"/>
        <w:adjustRightInd w:val="0"/>
        <w:rPr>
          <w:rFonts w:cs="Arial"/>
          <w:lang w:eastAsia="it-CH"/>
        </w:rPr>
      </w:pPr>
      <w:r w:rsidRPr="00D27487">
        <w:rPr>
          <w:rFonts w:cs="Arial"/>
          <w:lang w:eastAsia="it-CH"/>
        </w:rPr>
        <w:t xml:space="preserve">Medio-basso </w:t>
      </w:r>
      <w:r w:rsidRPr="00D27487">
        <w:rPr>
          <w:rFonts w:cs="Arial"/>
          <w:lang w:eastAsia="it-CH"/>
        </w:rPr>
        <w:tab/>
      </w:r>
      <w:r w:rsidRPr="00D27487">
        <w:rPr>
          <w:rFonts w:cs="Arial"/>
          <w:lang w:eastAsia="it-CH"/>
        </w:rPr>
        <w:tab/>
      </w:r>
      <w:r w:rsidRPr="00D27487">
        <w:rPr>
          <w:rFonts w:cs="Arial"/>
          <w:lang w:eastAsia="it-CH"/>
        </w:rPr>
        <w:tab/>
        <w:t xml:space="preserve">2006: 1104 CHF </w:t>
      </w:r>
      <w:r w:rsidRPr="00D27487">
        <w:rPr>
          <w:rFonts w:cs="Arial"/>
          <w:lang w:eastAsia="it-CH"/>
        </w:rPr>
        <w:tab/>
      </w:r>
      <w:r w:rsidRPr="00D27487">
        <w:rPr>
          <w:rFonts w:cs="Arial"/>
          <w:lang w:eastAsia="it-CH"/>
        </w:rPr>
        <w:tab/>
        <w:t>2017: 1086 CHF</w:t>
      </w:r>
    </w:p>
    <w:p w:rsidR="00823E1F" w:rsidRPr="00D27487" w:rsidRDefault="00823E1F" w:rsidP="00823E1F">
      <w:pPr>
        <w:autoSpaceDE w:val="0"/>
        <w:autoSpaceDN w:val="0"/>
        <w:adjustRightInd w:val="0"/>
        <w:rPr>
          <w:rFonts w:cs="Arial"/>
          <w:lang w:eastAsia="it-CH"/>
        </w:rPr>
      </w:pPr>
      <w:r w:rsidRPr="00D27487">
        <w:rPr>
          <w:rFonts w:cs="Arial"/>
          <w:lang w:eastAsia="it-CH"/>
        </w:rPr>
        <w:t>Medio-alto</w:t>
      </w:r>
      <w:r w:rsidRPr="00D27487">
        <w:rPr>
          <w:rFonts w:cs="Arial"/>
          <w:lang w:eastAsia="it-CH"/>
        </w:rPr>
        <w:tab/>
      </w:r>
      <w:r w:rsidRPr="00D27487">
        <w:rPr>
          <w:rFonts w:cs="Arial"/>
          <w:lang w:eastAsia="it-CH"/>
        </w:rPr>
        <w:tab/>
      </w:r>
      <w:r w:rsidRPr="00D27487">
        <w:rPr>
          <w:rFonts w:cs="Arial"/>
          <w:lang w:eastAsia="it-CH"/>
        </w:rPr>
        <w:tab/>
      </w:r>
      <w:r>
        <w:rPr>
          <w:rFonts w:cs="Arial"/>
          <w:lang w:eastAsia="it-CH"/>
        </w:rPr>
        <w:tab/>
      </w:r>
      <w:r w:rsidRPr="00D27487">
        <w:rPr>
          <w:rFonts w:cs="Arial"/>
          <w:lang w:eastAsia="it-CH"/>
        </w:rPr>
        <w:t xml:space="preserve">2006: 4104 CHF </w:t>
      </w:r>
      <w:r w:rsidRPr="00D27487">
        <w:rPr>
          <w:rFonts w:cs="Arial"/>
          <w:lang w:eastAsia="it-CH"/>
        </w:rPr>
        <w:tab/>
      </w:r>
      <w:r w:rsidRPr="00D27487">
        <w:rPr>
          <w:rFonts w:cs="Arial"/>
          <w:lang w:eastAsia="it-CH"/>
        </w:rPr>
        <w:tab/>
        <w:t>2017: 3989 CHF</w:t>
      </w:r>
    </w:p>
    <w:p w:rsidR="00823E1F" w:rsidRPr="00D27487" w:rsidRDefault="00823E1F" w:rsidP="00823E1F">
      <w:pPr>
        <w:autoSpaceDE w:val="0"/>
        <w:autoSpaceDN w:val="0"/>
        <w:adjustRightInd w:val="0"/>
        <w:rPr>
          <w:rFonts w:cs="Arial"/>
          <w:lang w:eastAsia="it-CH"/>
        </w:rPr>
      </w:pPr>
      <w:r w:rsidRPr="00D27487">
        <w:rPr>
          <w:rFonts w:cs="Arial"/>
          <w:lang w:eastAsia="it-CH"/>
        </w:rPr>
        <w:t>Benestanti</w:t>
      </w:r>
      <w:r w:rsidRPr="00D27487">
        <w:rPr>
          <w:rFonts w:cs="Arial"/>
          <w:lang w:eastAsia="it-CH"/>
        </w:rPr>
        <w:tab/>
      </w:r>
      <w:r w:rsidRPr="00D27487">
        <w:rPr>
          <w:rFonts w:cs="Arial"/>
          <w:lang w:eastAsia="it-CH"/>
        </w:rPr>
        <w:tab/>
      </w:r>
      <w:r w:rsidRPr="00D27487">
        <w:rPr>
          <w:rFonts w:cs="Arial"/>
          <w:lang w:eastAsia="it-CH"/>
        </w:rPr>
        <w:tab/>
      </w:r>
      <w:r>
        <w:rPr>
          <w:rFonts w:cs="Arial"/>
          <w:lang w:eastAsia="it-CH"/>
        </w:rPr>
        <w:tab/>
      </w:r>
      <w:r w:rsidRPr="00D27487">
        <w:rPr>
          <w:rFonts w:cs="Arial"/>
          <w:lang w:eastAsia="it-CH"/>
        </w:rPr>
        <w:t xml:space="preserve">2006: 19’997 CHF </w:t>
      </w:r>
      <w:r w:rsidRPr="00D27487">
        <w:rPr>
          <w:rFonts w:cs="Arial"/>
          <w:lang w:eastAsia="it-CH"/>
        </w:rPr>
        <w:tab/>
      </w:r>
      <w:r w:rsidRPr="00D27487">
        <w:rPr>
          <w:rFonts w:cs="Arial"/>
          <w:lang w:eastAsia="it-CH"/>
        </w:rPr>
        <w:tab/>
        <w:t>2017: 20</w:t>
      </w:r>
      <w:r>
        <w:rPr>
          <w:rFonts w:cs="Arial"/>
          <w:lang w:eastAsia="it-CH"/>
        </w:rPr>
        <w:t>'</w:t>
      </w:r>
      <w:r w:rsidRPr="00D27487">
        <w:rPr>
          <w:rFonts w:cs="Arial"/>
          <w:lang w:eastAsia="it-CH"/>
        </w:rPr>
        <w:t>556 CHF</w:t>
      </w:r>
    </w:p>
    <w:p w:rsidR="00823E1F" w:rsidRPr="00D27487" w:rsidRDefault="00823E1F" w:rsidP="00823E1F">
      <w:pPr>
        <w:autoSpaceDE w:val="0"/>
        <w:autoSpaceDN w:val="0"/>
        <w:adjustRightInd w:val="0"/>
        <w:rPr>
          <w:rFonts w:cs="Arial"/>
          <w:b/>
          <w:bCs/>
          <w:lang w:eastAsia="it-CH"/>
        </w:rPr>
      </w:pPr>
      <w:r w:rsidRPr="00D27487">
        <w:rPr>
          <w:rFonts w:cs="Arial"/>
          <w:b/>
          <w:bCs/>
          <w:lang w:eastAsia="it-CH"/>
        </w:rPr>
        <w:t>Totale contribuenti</w:t>
      </w:r>
      <w:r w:rsidRPr="00D27487">
        <w:rPr>
          <w:rFonts w:cs="Arial"/>
          <w:b/>
          <w:bCs/>
          <w:lang w:eastAsia="it-CH"/>
        </w:rPr>
        <w:tab/>
      </w:r>
      <w:r w:rsidRPr="00D27487">
        <w:rPr>
          <w:rFonts w:cs="Arial"/>
          <w:b/>
          <w:bCs/>
          <w:lang w:eastAsia="it-CH"/>
        </w:rPr>
        <w:tab/>
      </w:r>
      <w:r>
        <w:rPr>
          <w:rFonts w:cs="Arial"/>
          <w:b/>
          <w:bCs/>
          <w:lang w:eastAsia="it-CH"/>
        </w:rPr>
        <w:t>2006: 3'088 CHF</w:t>
      </w:r>
      <w:r>
        <w:rPr>
          <w:rFonts w:cs="Arial"/>
          <w:b/>
          <w:bCs/>
          <w:lang w:eastAsia="it-CH"/>
        </w:rPr>
        <w:tab/>
      </w:r>
      <w:r>
        <w:rPr>
          <w:rFonts w:cs="Arial"/>
          <w:b/>
          <w:bCs/>
          <w:lang w:eastAsia="it-CH"/>
        </w:rPr>
        <w:tab/>
        <w:t>2017: 3'</w:t>
      </w:r>
      <w:r w:rsidRPr="00D27487">
        <w:rPr>
          <w:rFonts w:cs="Arial"/>
          <w:b/>
          <w:bCs/>
          <w:lang w:eastAsia="it-CH"/>
        </w:rPr>
        <w:t>476 CHF</w:t>
      </w:r>
    </w:p>
    <w:p w:rsidR="00E32927" w:rsidRDefault="00E32927" w:rsidP="00823E1F">
      <w:pPr>
        <w:autoSpaceDE w:val="0"/>
        <w:autoSpaceDN w:val="0"/>
        <w:adjustRightInd w:val="0"/>
        <w:rPr>
          <w:rFonts w:cs="Arial"/>
          <w:lang w:eastAsia="it-CH"/>
        </w:rPr>
      </w:pPr>
    </w:p>
    <w:p w:rsidR="00823E1F" w:rsidRPr="00D27487" w:rsidRDefault="00823E1F" w:rsidP="00823E1F">
      <w:pPr>
        <w:autoSpaceDE w:val="0"/>
        <w:autoSpaceDN w:val="0"/>
        <w:adjustRightInd w:val="0"/>
        <w:rPr>
          <w:rFonts w:cs="Arial"/>
          <w:lang w:eastAsia="it-CH"/>
        </w:rPr>
      </w:pPr>
      <w:r w:rsidRPr="00D27487">
        <w:rPr>
          <w:rFonts w:cs="Arial"/>
          <w:lang w:eastAsia="it-CH"/>
        </w:rPr>
        <w:t>Infine, possiamo anche osservare che se nel 2006 il 67.7% dei contribuenti (esentasse più ceto medio-basso) provvedeva al 16% degli introiti fiscali complessivo delle persone fisiche, nel 2017 questo stesso segmento che costituiva il 64.5% di tutti i contribuenti provvedeva a solo il 12% degli introiti. Invece, nel 2006, la fascia medio-alta e benestante che costituiva il 32.3% dei contribuenti, provvedeva al</w:t>
      </w:r>
      <w:r>
        <w:rPr>
          <w:rFonts w:cs="Arial"/>
          <w:lang w:eastAsia="it-CH"/>
        </w:rPr>
        <w:t>l'</w:t>
      </w:r>
      <w:r w:rsidRPr="00D27487">
        <w:rPr>
          <w:rFonts w:cs="Arial"/>
          <w:lang w:eastAsia="it-CH"/>
        </w:rPr>
        <w:t>84% degli introiti fiscali, mentre nel 2017 lo stesso segmento costituiva il 35.5% e provvedeva all</w:t>
      </w:r>
      <w:r>
        <w:rPr>
          <w:rFonts w:cs="Arial"/>
          <w:lang w:eastAsia="it-CH"/>
        </w:rPr>
        <w:t>'</w:t>
      </w:r>
      <w:r w:rsidRPr="00D27487">
        <w:rPr>
          <w:rFonts w:cs="Arial"/>
          <w:lang w:eastAsia="it-CH"/>
        </w:rPr>
        <w:t>88% degli introiti complessivi.</w:t>
      </w:r>
      <w:r>
        <w:rPr>
          <w:rFonts w:cs="Arial"/>
          <w:lang w:eastAsia="it-CH"/>
        </w:rPr>
        <w:t xml:space="preserve"> </w:t>
      </w:r>
    </w:p>
    <w:p w:rsidR="00823E1F" w:rsidRPr="00D27487" w:rsidRDefault="00823E1F" w:rsidP="00823E1F">
      <w:pPr>
        <w:autoSpaceDE w:val="0"/>
        <w:autoSpaceDN w:val="0"/>
        <w:adjustRightInd w:val="0"/>
        <w:rPr>
          <w:rFonts w:cs="Arial"/>
          <w:lang w:eastAsia="it-CH"/>
        </w:rPr>
      </w:pPr>
    </w:p>
    <w:p w:rsidR="00424DD2" w:rsidRDefault="00823E1F" w:rsidP="00E32927">
      <w:pPr>
        <w:autoSpaceDE w:val="0"/>
        <w:autoSpaceDN w:val="0"/>
        <w:adjustRightInd w:val="0"/>
        <w:rPr>
          <w:rFonts w:cs="Arial"/>
          <w:b/>
          <w:bCs/>
          <w:i/>
          <w:lang w:eastAsia="it-CH"/>
        </w:rPr>
        <w:sectPr w:rsidR="00424DD2" w:rsidSect="00F242E5">
          <w:pgSz w:w="11906" w:h="16838"/>
          <w:pgMar w:top="1134" w:right="1134" w:bottom="1134" w:left="1134" w:header="709" w:footer="567" w:gutter="0"/>
          <w:cols w:space="708"/>
          <w:docGrid w:linePitch="360"/>
        </w:sectPr>
      </w:pPr>
      <w:r w:rsidRPr="00D27487">
        <w:rPr>
          <w:rFonts w:cs="Arial"/>
          <w:b/>
          <w:bCs/>
          <w:lang w:eastAsia="it-CH"/>
        </w:rPr>
        <w:t xml:space="preserve">I dati sopra esposti mostrano che la crescita economica descritta nello studio del BAK Economics non è andata a favore di tutti. Infatti, invece di sostenere le fasce medio-basse, la crescita registrata ha segnato soprattutto un marcato aumento degli esentasse, ha tendenzialmente ridotto i redditi delle fasce medio-basse ed ha </w:t>
      </w:r>
      <w:r w:rsidR="00424DD2">
        <w:rPr>
          <w:rFonts w:cs="Arial"/>
          <w:b/>
          <w:bCs/>
          <w:lang w:eastAsia="it-CH"/>
        </w:rPr>
        <w:br/>
      </w:r>
    </w:p>
    <w:p w:rsidR="00823E1F" w:rsidRPr="00D27487" w:rsidRDefault="00823E1F" w:rsidP="00E32927">
      <w:pPr>
        <w:autoSpaceDE w:val="0"/>
        <w:autoSpaceDN w:val="0"/>
        <w:adjustRightInd w:val="0"/>
        <w:rPr>
          <w:rFonts w:cs="Arial"/>
          <w:b/>
          <w:bCs/>
          <w:lang w:eastAsia="it-CH"/>
        </w:rPr>
      </w:pPr>
      <w:r w:rsidRPr="00D27487">
        <w:rPr>
          <w:rFonts w:cs="Arial"/>
          <w:b/>
          <w:bCs/>
          <w:lang w:eastAsia="it-CH"/>
        </w:rPr>
        <w:lastRenderedPageBreak/>
        <w:t xml:space="preserve">decisamente favorito la fascia dei benestanti, segnatamente quella dei redditi sopra i </w:t>
      </w:r>
      <w:r w:rsidR="00AD21D0">
        <w:rPr>
          <w:rFonts w:cs="Arial"/>
          <w:b/>
          <w:bCs/>
          <w:lang w:eastAsia="it-CH"/>
        </w:rPr>
        <w:t xml:space="preserve">fr. </w:t>
      </w:r>
      <w:r w:rsidRPr="00D27487">
        <w:rPr>
          <w:rFonts w:cs="Arial"/>
          <w:b/>
          <w:bCs/>
          <w:lang w:eastAsia="it-CH"/>
        </w:rPr>
        <w:t xml:space="preserve">200'000, </w:t>
      </w:r>
      <w:r>
        <w:rPr>
          <w:rFonts w:cs="Arial"/>
          <w:b/>
          <w:bCs/>
          <w:lang w:eastAsia="it-CH"/>
        </w:rPr>
        <w:t>l'</w:t>
      </w:r>
      <w:r w:rsidRPr="00D27487">
        <w:rPr>
          <w:rFonts w:cs="Arial"/>
          <w:b/>
          <w:bCs/>
          <w:lang w:eastAsia="it-CH"/>
        </w:rPr>
        <w:t>unica che ha visto crescere il proprio reddito imponibile pro-capite medio. Si è assistito pertanto a una distribuzione iniqua della ricchezza che sta polarizzando la nostra società con una tendenza che negli anni si mostra costante. Questi dati attestano che la desiderata politica di sostenibilità in questo caso sociale, di cui una delle caratteristiche tipiche è la ridistribuzione equa della ricchezza</w:t>
      </w:r>
      <w:r w:rsidRPr="00D27487">
        <w:rPr>
          <w:rStyle w:val="Rimandonotaapidipagina"/>
          <w:rFonts w:cs="Arial"/>
          <w:b/>
          <w:bCs/>
          <w:lang w:eastAsia="it-CH"/>
        </w:rPr>
        <w:footnoteReference w:id="15"/>
      </w:r>
      <w:r w:rsidRPr="00D27487">
        <w:rPr>
          <w:rFonts w:cs="Arial"/>
          <w:b/>
          <w:bCs/>
          <w:lang w:eastAsia="it-CH"/>
        </w:rPr>
        <w:t>, non sta funzionando. Come poi questa continua polarizzazione delle retribuzioni, in particolare l</w:t>
      </w:r>
      <w:r>
        <w:rPr>
          <w:rFonts w:cs="Arial"/>
          <w:b/>
          <w:bCs/>
          <w:lang w:eastAsia="it-CH"/>
        </w:rPr>
        <w:t>'</w:t>
      </w:r>
      <w:r w:rsidRPr="00D27487">
        <w:rPr>
          <w:rFonts w:cs="Arial"/>
          <w:b/>
          <w:bCs/>
          <w:lang w:eastAsia="it-CH"/>
        </w:rPr>
        <w:t>aumento continuo degli esentasse, retroagisce sugli aspetti sociali e ambientali (salute, sicurezza sociale, possibilità di formazione, possibilità di essere ecologico, …) è proprio materia di analisi che bisogna poter documentare</w:t>
      </w:r>
      <w:r w:rsidRPr="00D27487">
        <w:rPr>
          <w:rStyle w:val="Rimandonotaapidipagina"/>
          <w:rFonts w:cs="Arial"/>
          <w:b/>
          <w:bCs/>
          <w:lang w:eastAsia="it-CH"/>
        </w:rPr>
        <w:footnoteReference w:id="16"/>
      </w:r>
      <w:r w:rsidRPr="00D27487">
        <w:rPr>
          <w:rFonts w:cs="Arial"/>
          <w:b/>
          <w:bCs/>
          <w:lang w:eastAsia="it-CH"/>
        </w:rPr>
        <w:t xml:space="preserve">. </w:t>
      </w:r>
    </w:p>
    <w:p w:rsidR="00823E1F" w:rsidRDefault="00823E1F" w:rsidP="00823E1F">
      <w:pPr>
        <w:autoSpaceDE w:val="0"/>
        <w:autoSpaceDN w:val="0"/>
        <w:adjustRightInd w:val="0"/>
        <w:rPr>
          <w:rFonts w:cs="Arial"/>
          <w:b/>
          <w:bCs/>
          <w:lang w:eastAsia="it-CH"/>
        </w:rPr>
      </w:pPr>
    </w:p>
    <w:p w:rsidR="00823E1F" w:rsidRPr="00D27487" w:rsidRDefault="00E32927" w:rsidP="00E32927">
      <w:pPr>
        <w:pStyle w:val="Titolo3"/>
      </w:pPr>
      <w:bookmarkStart w:id="17" w:name="_Toc63332032"/>
      <w:r>
        <w:t>5.3.3</w:t>
      </w:r>
      <w:r>
        <w:tab/>
      </w:r>
      <w:r w:rsidR="00823E1F" w:rsidRPr="00D27487">
        <w:t>Indicatore sull’evoluzione del numero degli occupati secondo tipo di permesso</w:t>
      </w:r>
      <w:r w:rsidR="00823E1F" w:rsidRPr="00D27487">
        <w:rPr>
          <w:rStyle w:val="Rimandonotaapidipagina"/>
          <w:rFonts w:cs="Arial"/>
          <w:szCs w:val="24"/>
          <w:lang w:eastAsia="it-CH"/>
        </w:rPr>
        <w:footnoteReference w:id="17"/>
      </w:r>
      <w:bookmarkEnd w:id="17"/>
    </w:p>
    <w:p w:rsidR="00E32927" w:rsidRPr="00D27487" w:rsidRDefault="00823E1F" w:rsidP="00823E1F">
      <w:pPr>
        <w:autoSpaceDE w:val="0"/>
        <w:autoSpaceDN w:val="0"/>
        <w:adjustRightInd w:val="0"/>
        <w:rPr>
          <w:rFonts w:cs="Arial"/>
          <w:lang w:eastAsia="it-CH"/>
        </w:rPr>
      </w:pPr>
      <w:r w:rsidRPr="00D27487">
        <w:rPr>
          <w:rFonts w:cs="Arial"/>
          <w:lang w:eastAsia="it-CH"/>
        </w:rPr>
        <w:t>Se consideriamo l’evoluzione nel periodo dal 2006 al 2019 del numero di occupati secondo lo statuto di lavoro possiamo osservare la seguente rappresentazione grafica:</w:t>
      </w:r>
    </w:p>
    <w:p w:rsidR="00E32927" w:rsidRDefault="00317280" w:rsidP="00823E1F">
      <w:pPr>
        <w:autoSpaceDE w:val="0"/>
        <w:autoSpaceDN w:val="0"/>
        <w:adjustRightInd w:val="0"/>
        <w:rPr>
          <w:rFonts w:cs="Arial"/>
          <w:lang w:eastAsia="it-CH"/>
        </w:rPr>
      </w:pPr>
      <w:r w:rsidRPr="00D27487">
        <w:rPr>
          <w:noProof/>
          <w:lang w:eastAsia="it-CH"/>
        </w:rPr>
        <w:drawing>
          <wp:anchor distT="0" distB="0" distL="114300" distR="114300" simplePos="0" relativeHeight="251665408" behindDoc="0" locked="0" layoutInCell="1" allowOverlap="1" wp14:anchorId="5A245473" wp14:editId="3EC8A7EE">
            <wp:simplePos x="0" y="0"/>
            <wp:positionH relativeFrom="margin">
              <wp:posOffset>47625</wp:posOffset>
            </wp:positionH>
            <wp:positionV relativeFrom="paragraph">
              <wp:posOffset>339090</wp:posOffset>
            </wp:positionV>
            <wp:extent cx="5995670" cy="3052445"/>
            <wp:effectExtent l="0" t="0" r="5080" b="14605"/>
            <wp:wrapSquare wrapText="bothSides"/>
            <wp:docPr id="17" name="Grafico 17">
              <a:extLst xmlns:a="http://schemas.openxmlformats.org/drawingml/2006/main">
                <a:ext uri="{FF2B5EF4-FFF2-40B4-BE49-F238E27FC236}">
                  <a16:creationId xmlns:a16="http://schemas.microsoft.com/office/drawing/2014/main" id="{D78A0A6F-2F08-4E9E-85BA-30AD3268E8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rsidR="00E32927" w:rsidRDefault="00E32927" w:rsidP="00823E1F">
      <w:pPr>
        <w:autoSpaceDE w:val="0"/>
        <w:autoSpaceDN w:val="0"/>
        <w:adjustRightInd w:val="0"/>
        <w:rPr>
          <w:rFonts w:cs="Arial"/>
          <w:lang w:eastAsia="it-CH"/>
        </w:rPr>
      </w:pPr>
    </w:p>
    <w:p w:rsidR="00823E1F" w:rsidRDefault="00823E1F" w:rsidP="00823E1F">
      <w:pPr>
        <w:autoSpaceDE w:val="0"/>
        <w:autoSpaceDN w:val="0"/>
        <w:adjustRightInd w:val="0"/>
        <w:rPr>
          <w:rFonts w:cs="Arial"/>
          <w:lang w:eastAsia="it-CH"/>
        </w:rPr>
      </w:pPr>
      <w:r w:rsidRPr="00D27487">
        <w:rPr>
          <w:rFonts w:cs="Arial"/>
          <w:lang w:eastAsia="it-CH"/>
        </w:rPr>
        <w:t>I dati sugli occupati suddivisi per tipo di permesso indicano un leggero aumento complessivo degli occupati svizzeri tra il 2006 e il 2017, con però un drastico calo relativo al 2019. Nello stesso arco di tempo gli occupati stranieri domiciliati sono leggermente diminuiti e quelli dimoranti raddoppiati. Praticamente raddoppiato nello stesso periodo, anche il numero di frontalieri. Nel 2006 vi erano ca. 188'600 addetti e nel 2017 ve n’erano 238'800, con un balzo di ca. 50'200 addetti, di cui il 60% assorbiti da frontalieri (30</w:t>
      </w:r>
      <w:r>
        <w:rPr>
          <w:rFonts w:cs="Arial"/>
          <w:lang w:eastAsia="it-CH"/>
        </w:rPr>
        <w:t>'</w:t>
      </w:r>
      <w:r w:rsidRPr="00D27487">
        <w:rPr>
          <w:rFonts w:cs="Arial"/>
          <w:lang w:eastAsia="it-CH"/>
        </w:rPr>
        <w:t>200), mentre un altro 26% assorbito da stranieri dimoranti (13</w:t>
      </w:r>
      <w:r>
        <w:rPr>
          <w:rFonts w:cs="Arial"/>
          <w:lang w:eastAsia="it-CH"/>
        </w:rPr>
        <w:t>'</w:t>
      </w:r>
      <w:r w:rsidRPr="00D27487">
        <w:rPr>
          <w:rFonts w:cs="Arial"/>
          <w:lang w:eastAsia="it-CH"/>
        </w:rPr>
        <w:t>200).</w:t>
      </w:r>
      <w:r>
        <w:rPr>
          <w:rFonts w:cs="Arial"/>
          <w:lang w:eastAsia="it-CH"/>
        </w:rPr>
        <w:t xml:space="preserve"> </w:t>
      </w:r>
    </w:p>
    <w:p w:rsidR="00E32927" w:rsidRPr="00D27487" w:rsidRDefault="00E32927" w:rsidP="00823E1F">
      <w:pPr>
        <w:autoSpaceDE w:val="0"/>
        <w:autoSpaceDN w:val="0"/>
        <w:adjustRightInd w:val="0"/>
        <w:rPr>
          <w:rFonts w:cs="Arial"/>
          <w:lang w:eastAsia="it-CH"/>
        </w:rPr>
      </w:pPr>
    </w:p>
    <w:p w:rsidR="00424DD2" w:rsidRDefault="00823E1F" w:rsidP="00823E1F">
      <w:pPr>
        <w:autoSpaceDE w:val="0"/>
        <w:autoSpaceDN w:val="0"/>
        <w:adjustRightInd w:val="0"/>
        <w:rPr>
          <w:rFonts w:cs="Arial"/>
          <w:b/>
          <w:bCs/>
          <w:lang w:eastAsia="it-CH"/>
        </w:rPr>
        <w:sectPr w:rsidR="00424DD2" w:rsidSect="00F242E5">
          <w:pgSz w:w="11906" w:h="16838"/>
          <w:pgMar w:top="1134" w:right="1134" w:bottom="1134" w:left="1134" w:header="709" w:footer="567" w:gutter="0"/>
          <w:cols w:space="708"/>
          <w:docGrid w:linePitch="360"/>
        </w:sectPr>
      </w:pPr>
      <w:r w:rsidRPr="00D27487">
        <w:rPr>
          <w:rFonts w:cs="Arial"/>
          <w:b/>
          <w:bCs/>
          <w:lang w:eastAsia="it-CH"/>
        </w:rPr>
        <w:t>Questi dati mostrano che la crescita economica e soprattutto la creazione di nuovi posti di lavoro è stata alimentata co</w:t>
      </w:r>
      <w:r>
        <w:rPr>
          <w:rFonts w:cs="Arial"/>
          <w:b/>
          <w:bCs/>
          <w:lang w:eastAsia="it-CH"/>
        </w:rPr>
        <w:t>n forza lavoro proveniente dall'</w:t>
      </w:r>
      <w:r w:rsidRPr="00D27487">
        <w:rPr>
          <w:rFonts w:cs="Arial"/>
          <w:b/>
          <w:bCs/>
          <w:lang w:eastAsia="it-CH"/>
        </w:rPr>
        <w:t xml:space="preserve">estero (frontalieri </w:t>
      </w:r>
      <w:r w:rsidR="00424DD2">
        <w:rPr>
          <w:rFonts w:cs="Arial"/>
          <w:b/>
          <w:bCs/>
          <w:lang w:eastAsia="it-CH"/>
        </w:rPr>
        <w:br/>
      </w:r>
    </w:p>
    <w:p w:rsidR="00823E1F" w:rsidRPr="00D27487" w:rsidRDefault="00823E1F" w:rsidP="00823E1F">
      <w:pPr>
        <w:autoSpaceDE w:val="0"/>
        <w:autoSpaceDN w:val="0"/>
        <w:adjustRightInd w:val="0"/>
        <w:rPr>
          <w:rFonts w:cs="Arial"/>
          <w:b/>
          <w:bCs/>
          <w:lang w:eastAsia="it-CH"/>
        </w:rPr>
      </w:pPr>
      <w:r w:rsidRPr="00D27487">
        <w:rPr>
          <w:rFonts w:cs="Arial"/>
          <w:b/>
          <w:bCs/>
          <w:lang w:eastAsia="it-CH"/>
        </w:rPr>
        <w:lastRenderedPageBreak/>
        <w:t>e dimoranti) e non con persone formate e domiciliate nel Cantone. Nel 2019 gli addetti svizzeri hanno segnato addirittura una drastica diminuzione di ca. 6'700 unità e gli stranieri domiciliati tendenzialmente ristagnano. Certamente questa forza lavoro ha incrementato il PIL cantonale (che come abbiamo visto si è però ripartito iniquamente), ma ci si potrebbe chiedere se questa dinamica non sia poi la stessa che spinge alla cosiddetta fuga dei cervelli, al dumping dei salari</w:t>
      </w:r>
      <w:r>
        <w:rPr>
          <w:rFonts w:cs="Arial"/>
          <w:b/>
          <w:bCs/>
          <w:lang w:eastAsia="it-CH"/>
        </w:rPr>
        <w:t xml:space="preserve"> e all'</w:t>
      </w:r>
      <w:r w:rsidRPr="00D27487">
        <w:rPr>
          <w:rFonts w:cs="Arial"/>
          <w:b/>
          <w:bCs/>
          <w:lang w:eastAsia="it-CH"/>
        </w:rPr>
        <w:t>esasperazione del clima politico. Quanto si guadagna da una parte e si perde dall</w:t>
      </w:r>
      <w:r>
        <w:rPr>
          <w:rFonts w:cs="Arial"/>
          <w:b/>
          <w:bCs/>
          <w:lang w:eastAsia="it-CH"/>
        </w:rPr>
        <w:t>'</w:t>
      </w:r>
      <w:r w:rsidRPr="00D27487">
        <w:rPr>
          <w:rFonts w:cs="Arial"/>
          <w:b/>
          <w:bCs/>
          <w:lang w:eastAsia="it-CH"/>
        </w:rPr>
        <w:t xml:space="preserve">altra? Anche questo è sicuramente oggetto di ricerca nel senso propugnato dalla mozione. </w:t>
      </w:r>
    </w:p>
    <w:p w:rsidR="00823E1F" w:rsidRDefault="00823E1F" w:rsidP="00823E1F">
      <w:pPr>
        <w:autoSpaceDE w:val="0"/>
        <w:autoSpaceDN w:val="0"/>
        <w:adjustRightInd w:val="0"/>
        <w:rPr>
          <w:rFonts w:cs="Arial"/>
          <w:b/>
          <w:bCs/>
          <w:lang w:eastAsia="it-CH"/>
        </w:rPr>
      </w:pPr>
    </w:p>
    <w:p w:rsidR="00823E1F" w:rsidRPr="00D27487" w:rsidRDefault="00E32927" w:rsidP="00E32927">
      <w:pPr>
        <w:pStyle w:val="Titolo3"/>
      </w:pPr>
      <w:bookmarkStart w:id="18" w:name="_Toc63332033"/>
      <w:r>
        <w:t>5.3.4</w:t>
      </w:r>
      <w:r>
        <w:tab/>
      </w:r>
      <w:r w:rsidR="00823E1F" w:rsidRPr="00D27487">
        <w:t>Evoluzione degli occupati interinali</w:t>
      </w:r>
      <w:bookmarkEnd w:id="18"/>
    </w:p>
    <w:p w:rsidR="00317280" w:rsidRPr="00D27487" w:rsidRDefault="00823E1F" w:rsidP="00823E1F">
      <w:pPr>
        <w:autoSpaceDE w:val="0"/>
        <w:autoSpaceDN w:val="0"/>
        <w:adjustRightInd w:val="0"/>
        <w:ind w:left="-11"/>
        <w:rPr>
          <w:rFonts w:cs="Arial"/>
          <w:lang w:eastAsia="it-CH"/>
        </w:rPr>
      </w:pPr>
      <w:r w:rsidRPr="00D27487">
        <w:rPr>
          <w:rFonts w:cs="Arial"/>
          <w:lang w:eastAsia="it-CH"/>
        </w:rPr>
        <w:t>Considerando ora gli addetti con impiego interinale tra il 2006 e il 2017</w:t>
      </w:r>
      <w:r w:rsidRPr="00D27487">
        <w:rPr>
          <w:rStyle w:val="Rimandonotaapidipagina"/>
          <w:rFonts w:cs="Arial"/>
          <w:lang w:eastAsia="it-CH"/>
        </w:rPr>
        <w:footnoteReference w:id="18"/>
      </w:r>
      <w:r w:rsidRPr="00D27487">
        <w:rPr>
          <w:rFonts w:cs="Arial"/>
          <w:lang w:eastAsia="it-CH"/>
        </w:rPr>
        <w:t>, troviamo la seguente rappresentazione grafica:</w:t>
      </w:r>
    </w:p>
    <w:p w:rsidR="00E32927" w:rsidRDefault="00317280" w:rsidP="00823E1F">
      <w:pPr>
        <w:autoSpaceDE w:val="0"/>
        <w:autoSpaceDN w:val="0"/>
        <w:adjustRightInd w:val="0"/>
        <w:ind w:left="-11"/>
        <w:rPr>
          <w:rFonts w:cs="Arial"/>
          <w:lang w:eastAsia="it-CH"/>
        </w:rPr>
      </w:pPr>
      <w:r w:rsidRPr="00D27487">
        <w:rPr>
          <w:b/>
          <w:bCs/>
          <w:noProof/>
          <w:lang w:eastAsia="it-CH"/>
        </w:rPr>
        <w:drawing>
          <wp:anchor distT="0" distB="0" distL="114300" distR="114300" simplePos="0" relativeHeight="251666432" behindDoc="0" locked="0" layoutInCell="1" allowOverlap="1" wp14:anchorId="32DF1B5F" wp14:editId="3429D10C">
            <wp:simplePos x="0" y="0"/>
            <wp:positionH relativeFrom="margin">
              <wp:posOffset>-6985</wp:posOffset>
            </wp:positionH>
            <wp:positionV relativeFrom="paragraph">
              <wp:posOffset>249555</wp:posOffset>
            </wp:positionV>
            <wp:extent cx="6005195" cy="2404745"/>
            <wp:effectExtent l="0" t="0" r="14605" b="14605"/>
            <wp:wrapSquare wrapText="bothSides"/>
            <wp:docPr id="18" name="Grafico 18">
              <a:extLst xmlns:a="http://schemas.openxmlformats.org/drawingml/2006/main">
                <a:ext uri="{FF2B5EF4-FFF2-40B4-BE49-F238E27FC236}">
                  <a16:creationId xmlns:a16="http://schemas.microsoft.com/office/drawing/2014/main" id="{D177D9FA-7DB3-493C-A884-3127F916AD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rsidR="00823E1F" w:rsidRDefault="00823E1F" w:rsidP="00A37231">
      <w:pPr>
        <w:autoSpaceDE w:val="0"/>
        <w:autoSpaceDN w:val="0"/>
        <w:adjustRightInd w:val="0"/>
        <w:spacing w:before="240"/>
        <w:ind w:left="-11"/>
        <w:rPr>
          <w:rFonts w:cs="Arial"/>
          <w:lang w:eastAsia="it-CH"/>
        </w:rPr>
      </w:pPr>
      <w:r w:rsidRPr="00D27487">
        <w:rPr>
          <w:rFonts w:cs="Arial"/>
          <w:lang w:eastAsia="it-CH"/>
        </w:rPr>
        <w:t xml:space="preserve">Possiamo notare che con il passare degli anni il lavoro interinale è stato utilizzato in maniera più massiccia. Se nel 2000 i lavoratori interinali erano, anche se di poco, a maggioranza svizzera, dal 2003 in avanti, la porzione straniera ha viepiù assunto la quota maggioritaria, fino ad essere la parte chiaramente preponderante, mentre quella svizzera è calata leggermente. </w:t>
      </w:r>
    </w:p>
    <w:p w:rsidR="00E32927" w:rsidRPr="00D27487" w:rsidRDefault="00E32927" w:rsidP="00823E1F">
      <w:pPr>
        <w:autoSpaceDE w:val="0"/>
        <w:autoSpaceDN w:val="0"/>
        <w:adjustRightInd w:val="0"/>
        <w:ind w:left="-11"/>
        <w:rPr>
          <w:rFonts w:cs="Arial"/>
          <w:lang w:eastAsia="it-CH"/>
        </w:rPr>
      </w:pPr>
    </w:p>
    <w:p w:rsidR="00823E1F" w:rsidRDefault="00823E1F" w:rsidP="00823E1F">
      <w:pPr>
        <w:autoSpaceDE w:val="0"/>
        <w:autoSpaceDN w:val="0"/>
        <w:adjustRightInd w:val="0"/>
        <w:ind w:left="-11"/>
        <w:rPr>
          <w:rFonts w:cs="Arial"/>
          <w:b/>
          <w:bCs/>
          <w:lang w:eastAsia="it-CH"/>
        </w:rPr>
      </w:pPr>
      <w:r w:rsidRPr="00D27487">
        <w:rPr>
          <w:rFonts w:cs="Arial"/>
          <w:b/>
          <w:bCs/>
          <w:lang w:eastAsia="it-CH"/>
        </w:rPr>
        <w:t>Questi dati mostrano la tendenza ad avvalersi in maniera crescente di personale con contratti più precari, sfruttando maggiormente la forza lavoro straniera. Questa precarizzazione, che presenta una continua tendenza a crescere, non è certamente neanche essa nello spirito della sostenibilità sociale desiderata. Come retroagisce questa precarizzazione sul tessuto sociale, salute sul lavoro, esternalità economiche, …? Anche questo deve essere oggetto di attenta ricerca.</w:t>
      </w:r>
      <w:r>
        <w:rPr>
          <w:rFonts w:cs="Arial"/>
          <w:b/>
          <w:bCs/>
          <w:lang w:eastAsia="it-CH"/>
        </w:rPr>
        <w:t xml:space="preserve"> </w:t>
      </w:r>
    </w:p>
    <w:p w:rsidR="00317280" w:rsidRDefault="00317280" w:rsidP="00823E1F">
      <w:pPr>
        <w:autoSpaceDE w:val="0"/>
        <w:autoSpaceDN w:val="0"/>
        <w:adjustRightInd w:val="0"/>
        <w:ind w:left="-11"/>
        <w:rPr>
          <w:rFonts w:cs="Arial"/>
          <w:b/>
          <w:bCs/>
          <w:lang w:eastAsia="it-CH"/>
        </w:rPr>
      </w:pPr>
    </w:p>
    <w:p w:rsidR="00317280" w:rsidRDefault="00317280">
      <w:pPr>
        <w:jc w:val="left"/>
        <w:rPr>
          <w:rFonts w:cs="Arial"/>
          <w:lang w:eastAsia="it-CH"/>
        </w:rPr>
      </w:pPr>
      <w:r>
        <w:rPr>
          <w:rFonts w:cs="Arial"/>
          <w:lang w:eastAsia="it-CH"/>
        </w:rPr>
        <w:br w:type="page"/>
      </w:r>
    </w:p>
    <w:p w:rsidR="00823E1F" w:rsidRPr="00D27487" w:rsidRDefault="00317280" w:rsidP="00317280">
      <w:pPr>
        <w:pStyle w:val="Titolo3"/>
      </w:pPr>
      <w:bookmarkStart w:id="19" w:name="_Toc63332034"/>
      <w:r>
        <w:lastRenderedPageBreak/>
        <w:t>5.3.5</w:t>
      </w:r>
      <w:r>
        <w:tab/>
      </w:r>
      <w:r w:rsidR="00823E1F" w:rsidRPr="00D27487">
        <w:t>Indicatore sulla sostenibilità ambientale: impronta ecologica</w:t>
      </w:r>
      <w:bookmarkEnd w:id="19"/>
      <w:r w:rsidR="00823E1F" w:rsidRPr="00D27487">
        <w:t xml:space="preserve"> </w:t>
      </w:r>
    </w:p>
    <w:p w:rsidR="00823E1F" w:rsidRDefault="00823E1F" w:rsidP="00823E1F">
      <w:pPr>
        <w:autoSpaceDE w:val="0"/>
        <w:autoSpaceDN w:val="0"/>
        <w:adjustRightInd w:val="0"/>
        <w:rPr>
          <w:rFonts w:cs="Arial"/>
          <w:lang w:eastAsia="it-CH"/>
        </w:rPr>
      </w:pPr>
      <w:r w:rsidRPr="00D27487">
        <w:rPr>
          <w:noProof/>
          <w:lang w:eastAsia="it-CH"/>
        </w:rPr>
        <w:drawing>
          <wp:anchor distT="0" distB="0" distL="114300" distR="114300" simplePos="0" relativeHeight="251667456" behindDoc="1" locked="0" layoutInCell="1" allowOverlap="1" wp14:anchorId="4345826A" wp14:editId="5CA8FA2B">
            <wp:simplePos x="0" y="0"/>
            <wp:positionH relativeFrom="column">
              <wp:posOffset>-81915</wp:posOffset>
            </wp:positionH>
            <wp:positionV relativeFrom="paragraph">
              <wp:posOffset>541020</wp:posOffset>
            </wp:positionV>
            <wp:extent cx="3526790" cy="2657475"/>
            <wp:effectExtent l="0" t="0" r="0" b="9525"/>
            <wp:wrapTight wrapText="bothSides">
              <wp:wrapPolygon edited="0">
                <wp:start x="0" y="0"/>
                <wp:lineTo x="0" y="21523"/>
                <wp:lineTo x="21468" y="21523"/>
                <wp:lineTo x="21468" y="0"/>
                <wp:lineTo x="0" y="0"/>
              </wp:wrapPolygon>
            </wp:wrapTight>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2022" t="26498" r="25290" b="13963"/>
                    <a:stretch/>
                  </pic:blipFill>
                  <pic:spPr bwMode="auto">
                    <a:xfrm>
                      <a:off x="0" y="0"/>
                      <a:ext cx="3526790" cy="2657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27487">
        <w:rPr>
          <w:rFonts w:cs="Arial"/>
          <w:lang w:eastAsia="it-CH"/>
        </w:rPr>
        <w:t>Da uno studio svolto nel 2008 dall’Osservatorio dello sviluppo territoriale</w:t>
      </w:r>
      <w:r w:rsidRPr="00D27487">
        <w:rPr>
          <w:rStyle w:val="Rimandonotaapidipagina"/>
          <w:rFonts w:cs="Arial"/>
          <w:lang w:eastAsia="it-CH"/>
        </w:rPr>
        <w:footnoteReference w:id="19"/>
      </w:r>
      <w:r w:rsidRPr="00D27487">
        <w:rPr>
          <w:rFonts w:cs="Arial"/>
          <w:lang w:eastAsia="it-CH"/>
        </w:rPr>
        <w:t xml:space="preserve"> dell’USI risultava che l’impronta ecologica</w:t>
      </w:r>
      <w:r w:rsidRPr="00D27487">
        <w:rPr>
          <w:rStyle w:val="Rimandonotaapidipagina"/>
          <w:rFonts w:cs="Arial"/>
          <w:lang w:eastAsia="it-CH"/>
        </w:rPr>
        <w:footnoteReference w:id="20"/>
      </w:r>
      <w:r w:rsidRPr="00D27487">
        <w:rPr>
          <w:rFonts w:cs="Arial"/>
          <w:lang w:eastAsia="it-CH"/>
        </w:rPr>
        <w:t xml:space="preserve"> del Canton Ticino era di 4.4 ettari globali pro capite, mentre la biocapacità – ovvero il terreno a disposizione di ogni persona per ricavare risorse e assorbire scarti in modo che esso si possa rigenerare – era di 2.1 ettari globali. A titolo di paragone i valori dell’intera Svizzera sono un’impronta di 4.7 ettari globali pro capite per una biocapacità di 1.6 ettari globali.</w:t>
      </w:r>
    </w:p>
    <w:p w:rsidR="00317280" w:rsidRPr="00D27487" w:rsidRDefault="00317280" w:rsidP="00823E1F">
      <w:pPr>
        <w:autoSpaceDE w:val="0"/>
        <w:autoSpaceDN w:val="0"/>
        <w:adjustRightInd w:val="0"/>
        <w:rPr>
          <w:rFonts w:cs="Arial"/>
          <w:lang w:eastAsia="it-CH"/>
        </w:rPr>
      </w:pPr>
    </w:p>
    <w:p w:rsidR="00823E1F" w:rsidRDefault="00823E1F" w:rsidP="00823E1F">
      <w:pPr>
        <w:autoSpaceDE w:val="0"/>
        <w:autoSpaceDN w:val="0"/>
        <w:adjustRightInd w:val="0"/>
        <w:rPr>
          <w:noProof/>
        </w:rPr>
      </w:pPr>
      <w:r w:rsidRPr="00D27487">
        <w:rPr>
          <w:rFonts w:cs="Arial"/>
          <w:lang w:eastAsia="it-CH"/>
        </w:rPr>
        <w:t>Sebbene l’impronta ecologica cantonale sia migliore di quella svizzera, in Ticino ognuno di noi consuma mediamente comunque il doppio di quello che ha a disposizione, andando ad attingere alle capacità di altri territori e a quello delle future generazioni.</w:t>
      </w:r>
      <w:r w:rsidRPr="00D27487">
        <w:rPr>
          <w:noProof/>
        </w:rPr>
        <w:t xml:space="preserve"> </w:t>
      </w:r>
    </w:p>
    <w:p w:rsidR="00317280" w:rsidRPr="00D27487" w:rsidRDefault="00317280" w:rsidP="00823E1F">
      <w:pPr>
        <w:autoSpaceDE w:val="0"/>
        <w:autoSpaceDN w:val="0"/>
        <w:adjustRightInd w:val="0"/>
        <w:rPr>
          <w:rFonts w:cs="Arial"/>
          <w:lang w:eastAsia="it-CH"/>
        </w:rPr>
      </w:pPr>
    </w:p>
    <w:p w:rsidR="00823E1F" w:rsidRDefault="00823E1F" w:rsidP="00823E1F">
      <w:pPr>
        <w:autoSpaceDE w:val="0"/>
        <w:autoSpaceDN w:val="0"/>
        <w:adjustRightInd w:val="0"/>
        <w:rPr>
          <w:rFonts w:cs="Arial"/>
          <w:b/>
          <w:bCs/>
          <w:lang w:eastAsia="it-CH"/>
        </w:rPr>
      </w:pPr>
      <w:r w:rsidRPr="00D27487">
        <w:rPr>
          <w:rFonts w:cs="Arial"/>
          <w:b/>
          <w:bCs/>
          <w:lang w:eastAsia="it-CH"/>
        </w:rPr>
        <w:t>Questo indicatore inerente alla sostenibilità ambientale del Cantone</w:t>
      </w:r>
      <w:r w:rsidRPr="00D27487">
        <w:rPr>
          <w:rStyle w:val="Rimandonotaapidipagina"/>
          <w:rFonts w:cs="Arial"/>
          <w:b/>
          <w:bCs/>
          <w:lang w:eastAsia="it-CH"/>
        </w:rPr>
        <w:footnoteReference w:id="21"/>
      </w:r>
      <w:r w:rsidRPr="00D27487">
        <w:rPr>
          <w:rFonts w:cs="Arial"/>
          <w:b/>
          <w:bCs/>
          <w:lang w:eastAsia="it-CH"/>
        </w:rPr>
        <w:t>, mostra chiaramente che partiamo da una situazione di insostenibilità, ovvero siamo fuori dai nostri confini praticabili e legittimi di sostenibilità. Se il trend è al miglioramento o meno, non è dato sapere per mancanza di ricerche aggiornate. Ciò significa però che per rientrare nei confini della sostenibilità, continuando ad attirare contenuti economici da fuori (questa perlomeno è la narrazione ancora vigente</w:t>
      </w:r>
      <w:r w:rsidRPr="00D27487">
        <w:rPr>
          <w:rStyle w:val="Rimandonotaapidipagina"/>
          <w:rFonts w:cs="Arial"/>
          <w:b/>
          <w:bCs/>
          <w:lang w:eastAsia="it-CH"/>
        </w:rPr>
        <w:footnoteReference w:id="22"/>
      </w:r>
      <w:r w:rsidRPr="00D27487">
        <w:rPr>
          <w:rFonts w:cs="Arial"/>
          <w:b/>
          <w:bCs/>
          <w:lang w:eastAsia="it-CH"/>
        </w:rPr>
        <w:t>), questi devono essere completamente immateriali, ovvero senza carichi ecologici</w:t>
      </w:r>
      <w:r w:rsidRPr="00D27487">
        <w:rPr>
          <w:rStyle w:val="Rimandonotaapidipagina"/>
          <w:rFonts w:cs="Arial"/>
          <w:b/>
          <w:bCs/>
          <w:lang w:eastAsia="it-CH"/>
        </w:rPr>
        <w:footnoteReference w:id="23"/>
      </w:r>
      <w:r w:rsidRPr="00D27487">
        <w:rPr>
          <w:rFonts w:cs="Arial"/>
          <w:b/>
          <w:bCs/>
          <w:lang w:eastAsia="it-CH"/>
        </w:rPr>
        <w:t xml:space="preserve">. Al contempo però bisogna anche </w:t>
      </w:r>
      <w:r>
        <w:rPr>
          <w:rFonts w:cs="Arial"/>
          <w:b/>
          <w:bCs/>
          <w:lang w:eastAsia="it-CH"/>
        </w:rPr>
        <w:t>"</w:t>
      </w:r>
      <w:r w:rsidRPr="00D27487">
        <w:rPr>
          <w:rFonts w:cs="Arial"/>
          <w:b/>
          <w:bCs/>
          <w:lang w:eastAsia="it-CH"/>
        </w:rPr>
        <w:t>ristrutturare il debito</w:t>
      </w:r>
      <w:r>
        <w:rPr>
          <w:rFonts w:cs="Arial"/>
          <w:b/>
          <w:bCs/>
          <w:lang w:eastAsia="it-CH"/>
        </w:rPr>
        <w:t>"</w:t>
      </w:r>
      <w:r w:rsidRPr="00D27487">
        <w:rPr>
          <w:rFonts w:cs="Arial"/>
          <w:b/>
          <w:bCs/>
          <w:lang w:eastAsia="it-CH"/>
        </w:rPr>
        <w:t xml:space="preserve"> di sostenibilità del tessuto esistente. Avere a disposizione ricerche con dati oggettivi è anche in questo caso indispensabile per affrontare la sfida di rientrare entro i confini della sostenibilità.</w:t>
      </w:r>
      <w:r>
        <w:rPr>
          <w:rFonts w:cs="Arial"/>
          <w:b/>
          <w:bCs/>
          <w:lang w:eastAsia="it-CH"/>
        </w:rPr>
        <w:t xml:space="preserve"> </w:t>
      </w:r>
    </w:p>
    <w:p w:rsidR="00317280" w:rsidRDefault="00317280" w:rsidP="00823E1F">
      <w:pPr>
        <w:autoSpaceDE w:val="0"/>
        <w:autoSpaceDN w:val="0"/>
        <w:adjustRightInd w:val="0"/>
        <w:rPr>
          <w:rFonts w:cs="Arial"/>
          <w:b/>
          <w:bCs/>
          <w:lang w:eastAsia="it-CH"/>
        </w:rPr>
      </w:pPr>
    </w:p>
    <w:p w:rsidR="00317280" w:rsidRDefault="00317280">
      <w:pPr>
        <w:jc w:val="left"/>
        <w:rPr>
          <w:rFonts w:cs="Arial"/>
          <w:b/>
          <w:bCs/>
          <w:lang w:eastAsia="it-CH"/>
        </w:rPr>
      </w:pPr>
      <w:r>
        <w:rPr>
          <w:rFonts w:cs="Arial"/>
          <w:b/>
          <w:bCs/>
          <w:lang w:eastAsia="it-CH"/>
        </w:rPr>
        <w:br w:type="page"/>
      </w:r>
    </w:p>
    <w:p w:rsidR="00823E1F" w:rsidRPr="00D27487" w:rsidRDefault="00317280" w:rsidP="00317280">
      <w:pPr>
        <w:pStyle w:val="Titolo3"/>
      </w:pPr>
      <w:bookmarkStart w:id="20" w:name="_Toc63332035"/>
      <w:r>
        <w:lastRenderedPageBreak/>
        <w:t>5.3.6</w:t>
      </w:r>
      <w:r>
        <w:tab/>
      </w:r>
      <w:r w:rsidR="00823E1F" w:rsidRPr="00D27487">
        <w:t>Evoluzione dell’uso del territorio</w:t>
      </w:r>
      <w:r w:rsidR="00823E1F" w:rsidRPr="00D27487">
        <w:rPr>
          <w:rStyle w:val="Rimandonotaapidipagina"/>
          <w:rFonts w:cs="Arial"/>
          <w:szCs w:val="24"/>
          <w:u w:val="single"/>
          <w:lang w:eastAsia="it-CH"/>
        </w:rPr>
        <w:footnoteReference w:id="24"/>
      </w:r>
      <w:bookmarkEnd w:id="20"/>
    </w:p>
    <w:p w:rsidR="00823E1F" w:rsidRDefault="00823E1F" w:rsidP="00823E1F">
      <w:pPr>
        <w:autoSpaceDE w:val="0"/>
        <w:autoSpaceDN w:val="0"/>
        <w:adjustRightInd w:val="0"/>
        <w:rPr>
          <w:rFonts w:cs="Arial"/>
          <w:lang w:eastAsia="it-CH"/>
        </w:rPr>
      </w:pPr>
      <w:r w:rsidRPr="00D27487">
        <w:rPr>
          <w:rFonts w:cs="Arial"/>
          <w:lang w:eastAsia="it-CH"/>
        </w:rPr>
        <w:t>Riferendoci per terminare alle statistiche sul</w:t>
      </w:r>
      <w:r>
        <w:rPr>
          <w:rFonts w:cs="Arial"/>
          <w:lang w:eastAsia="it-CH"/>
        </w:rPr>
        <w:t>l'</w:t>
      </w:r>
      <w:r w:rsidRPr="00D27487">
        <w:rPr>
          <w:rFonts w:cs="Arial"/>
          <w:lang w:eastAsia="it-CH"/>
        </w:rPr>
        <w:t>uso del suolo secondo le varie tipologie di superfici, un indicatore cert</w:t>
      </w:r>
      <w:r>
        <w:rPr>
          <w:rFonts w:cs="Arial"/>
          <w:lang w:eastAsia="it-CH"/>
        </w:rPr>
        <w:t>amente più preciso rispetto all'</w:t>
      </w:r>
      <w:r w:rsidRPr="00D27487">
        <w:rPr>
          <w:rFonts w:cs="Arial"/>
          <w:lang w:eastAsia="it-CH"/>
        </w:rPr>
        <w:t xml:space="preserve">impronta ecologica, possiamo osservare </w:t>
      </w:r>
      <w:r>
        <w:rPr>
          <w:rFonts w:cs="Arial"/>
          <w:lang w:eastAsia="it-CH"/>
        </w:rPr>
        <w:t>l'evoluzione nell'</w:t>
      </w:r>
      <w:r w:rsidRPr="00D27487">
        <w:rPr>
          <w:rFonts w:cs="Arial"/>
          <w:lang w:eastAsia="it-CH"/>
        </w:rPr>
        <w:t xml:space="preserve">uso del suolo. </w:t>
      </w:r>
    </w:p>
    <w:tbl>
      <w:tblPr>
        <w:tblW w:w="10007" w:type="dxa"/>
        <w:tblCellMar>
          <w:left w:w="70" w:type="dxa"/>
          <w:right w:w="70" w:type="dxa"/>
        </w:tblCellMar>
        <w:tblLook w:val="04A0" w:firstRow="1" w:lastRow="0" w:firstColumn="1" w:lastColumn="0" w:noHBand="0" w:noVBand="1"/>
      </w:tblPr>
      <w:tblGrid>
        <w:gridCol w:w="2252"/>
        <w:gridCol w:w="863"/>
        <w:gridCol w:w="863"/>
        <w:gridCol w:w="863"/>
        <w:gridCol w:w="896"/>
        <w:gridCol w:w="726"/>
        <w:gridCol w:w="709"/>
        <w:gridCol w:w="709"/>
        <w:gridCol w:w="708"/>
        <w:gridCol w:w="709"/>
        <w:gridCol w:w="709"/>
      </w:tblGrid>
      <w:tr w:rsidR="00823E1F" w:rsidRPr="002105C5" w:rsidTr="00A37231">
        <w:trPr>
          <w:trHeight w:val="285"/>
        </w:trPr>
        <w:tc>
          <w:tcPr>
            <w:tcW w:w="2252"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sz w:val="20"/>
                <w:szCs w:val="20"/>
                <w:lang w:eastAsia="fr-CH"/>
              </w:rPr>
            </w:pPr>
          </w:p>
          <w:p w:rsidR="00823E1F" w:rsidRPr="00317280" w:rsidRDefault="00823E1F" w:rsidP="00823E1F">
            <w:pPr>
              <w:rPr>
                <w:rFonts w:cs="Arial"/>
                <w:b/>
                <w:bCs/>
                <w:sz w:val="20"/>
                <w:szCs w:val="20"/>
                <w:lang w:eastAsia="fr-CH"/>
              </w:rPr>
            </w:pPr>
            <w:r w:rsidRPr="00317280">
              <w:rPr>
                <w:rFonts w:cs="Arial"/>
                <w:b/>
                <w:bCs/>
                <w:sz w:val="20"/>
                <w:szCs w:val="20"/>
                <w:lang w:eastAsia="fr-CH"/>
              </w:rPr>
              <w:t>Tipo di superficie</w:t>
            </w:r>
          </w:p>
          <w:p w:rsidR="00823E1F" w:rsidRPr="00317280" w:rsidRDefault="00823E1F" w:rsidP="00823E1F">
            <w:pPr>
              <w:rPr>
                <w:rFonts w:cs="Arial"/>
                <w:sz w:val="20"/>
                <w:szCs w:val="20"/>
                <w:lang w:eastAsia="fr-CH"/>
              </w:rPr>
            </w:pPr>
          </w:p>
          <w:p w:rsidR="00823E1F" w:rsidRPr="00317280" w:rsidRDefault="00823E1F" w:rsidP="00823E1F">
            <w:pPr>
              <w:rPr>
                <w:rFonts w:cs="Arial"/>
                <w:sz w:val="20"/>
                <w:szCs w:val="20"/>
                <w:lang w:eastAsia="fr-CH"/>
              </w:rPr>
            </w:pPr>
          </w:p>
        </w:tc>
        <w:tc>
          <w:tcPr>
            <w:tcW w:w="3485" w:type="dxa"/>
            <w:gridSpan w:val="4"/>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Rilevamenti</w:t>
            </w:r>
          </w:p>
          <w:p w:rsidR="00823E1F" w:rsidRPr="00317280" w:rsidRDefault="00823E1F" w:rsidP="00823E1F">
            <w:pPr>
              <w:rPr>
                <w:rFonts w:cs="Arial"/>
                <w:b/>
                <w:bCs/>
                <w:color w:val="000000"/>
                <w:sz w:val="20"/>
                <w:szCs w:val="20"/>
              </w:rPr>
            </w:pPr>
          </w:p>
          <w:p w:rsidR="00823E1F" w:rsidRPr="00317280" w:rsidRDefault="00823E1F" w:rsidP="00823E1F">
            <w:pPr>
              <w:rPr>
                <w:rFonts w:cs="Arial"/>
                <w:sz w:val="20"/>
                <w:szCs w:val="20"/>
              </w:rPr>
            </w:pPr>
          </w:p>
        </w:tc>
        <w:tc>
          <w:tcPr>
            <w:tcW w:w="2144" w:type="dxa"/>
            <w:gridSpan w:val="3"/>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Variazione totale</w:t>
            </w:r>
          </w:p>
          <w:p w:rsidR="00823E1F" w:rsidRPr="00317280" w:rsidRDefault="00823E1F" w:rsidP="00823E1F">
            <w:pPr>
              <w:rPr>
                <w:rFonts w:cs="Arial"/>
                <w:b/>
                <w:bCs/>
                <w:color w:val="000000"/>
                <w:sz w:val="20"/>
                <w:szCs w:val="20"/>
              </w:rPr>
            </w:pPr>
          </w:p>
          <w:p w:rsidR="00823E1F" w:rsidRPr="00317280" w:rsidRDefault="00823E1F" w:rsidP="00823E1F">
            <w:pPr>
              <w:rPr>
                <w:rFonts w:cs="Arial"/>
                <w:b/>
                <w:bCs/>
                <w:color w:val="000000"/>
                <w:sz w:val="20"/>
                <w:szCs w:val="20"/>
              </w:rPr>
            </w:pPr>
          </w:p>
        </w:tc>
        <w:tc>
          <w:tcPr>
            <w:tcW w:w="2126" w:type="dxa"/>
            <w:gridSpan w:val="3"/>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Variaz. annuale media</w:t>
            </w:r>
          </w:p>
          <w:p w:rsidR="00823E1F" w:rsidRPr="00317280" w:rsidRDefault="00823E1F" w:rsidP="00823E1F">
            <w:pPr>
              <w:rPr>
                <w:rFonts w:cs="Arial"/>
                <w:b/>
                <w:bCs/>
                <w:color w:val="000000"/>
                <w:sz w:val="20"/>
                <w:szCs w:val="20"/>
              </w:rPr>
            </w:pPr>
          </w:p>
          <w:p w:rsidR="00823E1F" w:rsidRPr="00317280" w:rsidRDefault="00823E1F" w:rsidP="00823E1F">
            <w:pPr>
              <w:rPr>
                <w:rFonts w:cs="Arial"/>
                <w:b/>
                <w:bCs/>
                <w:color w:val="000000"/>
                <w:sz w:val="20"/>
                <w:szCs w:val="20"/>
              </w:rPr>
            </w:pPr>
          </w:p>
        </w:tc>
      </w:tr>
      <w:tr w:rsidR="00823E1F" w:rsidRPr="002105C5" w:rsidTr="00A37231">
        <w:trPr>
          <w:trHeight w:val="285"/>
        </w:trPr>
        <w:tc>
          <w:tcPr>
            <w:tcW w:w="2252"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b/>
                <w:bCs/>
                <w:sz w:val="20"/>
                <w:szCs w:val="20"/>
              </w:rPr>
            </w:pPr>
          </w:p>
        </w:tc>
        <w:tc>
          <w:tcPr>
            <w:tcW w:w="863"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1979/85</w:t>
            </w:r>
          </w:p>
        </w:tc>
        <w:tc>
          <w:tcPr>
            <w:tcW w:w="863"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1992/97</w:t>
            </w:r>
          </w:p>
        </w:tc>
        <w:tc>
          <w:tcPr>
            <w:tcW w:w="863"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2004/09</w:t>
            </w:r>
          </w:p>
        </w:tc>
        <w:tc>
          <w:tcPr>
            <w:tcW w:w="896"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2013/18</w:t>
            </w:r>
          </w:p>
        </w:tc>
        <w:tc>
          <w:tcPr>
            <w:tcW w:w="726"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85-97</w:t>
            </w:r>
          </w:p>
        </w:tc>
        <w:tc>
          <w:tcPr>
            <w:tcW w:w="709"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97-09</w:t>
            </w:r>
          </w:p>
        </w:tc>
        <w:tc>
          <w:tcPr>
            <w:tcW w:w="709"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09-18</w:t>
            </w:r>
          </w:p>
        </w:tc>
        <w:tc>
          <w:tcPr>
            <w:tcW w:w="708"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85-97</w:t>
            </w:r>
          </w:p>
        </w:tc>
        <w:tc>
          <w:tcPr>
            <w:tcW w:w="709"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97-09</w:t>
            </w:r>
          </w:p>
        </w:tc>
        <w:tc>
          <w:tcPr>
            <w:tcW w:w="709"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09-18</w:t>
            </w:r>
          </w:p>
        </w:tc>
      </w:tr>
      <w:tr w:rsidR="00823E1F" w:rsidRPr="002105C5" w:rsidTr="00A37231">
        <w:trPr>
          <w:trHeight w:val="360"/>
        </w:trPr>
        <w:tc>
          <w:tcPr>
            <w:tcW w:w="2252"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Pianura</w:t>
            </w:r>
          </w:p>
        </w:tc>
        <w:tc>
          <w:tcPr>
            <w:tcW w:w="863"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ettari</w:t>
            </w:r>
          </w:p>
        </w:tc>
        <w:tc>
          <w:tcPr>
            <w:tcW w:w="863"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b/>
                <w:bCs/>
                <w:sz w:val="20"/>
                <w:szCs w:val="20"/>
              </w:rPr>
            </w:pPr>
            <w:r w:rsidRPr="00317280">
              <w:rPr>
                <w:rFonts w:cs="Arial"/>
                <w:b/>
                <w:bCs/>
                <w:sz w:val="20"/>
                <w:szCs w:val="20"/>
              </w:rPr>
              <w:t>ettari</w:t>
            </w:r>
          </w:p>
        </w:tc>
        <w:tc>
          <w:tcPr>
            <w:tcW w:w="863"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b/>
                <w:bCs/>
                <w:sz w:val="20"/>
                <w:szCs w:val="20"/>
              </w:rPr>
            </w:pPr>
            <w:r w:rsidRPr="00317280">
              <w:rPr>
                <w:rFonts w:cs="Arial"/>
                <w:b/>
                <w:bCs/>
                <w:sz w:val="20"/>
                <w:szCs w:val="20"/>
              </w:rPr>
              <w:t>ettari</w:t>
            </w:r>
          </w:p>
        </w:tc>
        <w:tc>
          <w:tcPr>
            <w:tcW w:w="896"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b/>
                <w:bCs/>
                <w:sz w:val="20"/>
                <w:szCs w:val="20"/>
              </w:rPr>
            </w:pPr>
            <w:r w:rsidRPr="00317280">
              <w:rPr>
                <w:rFonts w:cs="Arial"/>
                <w:b/>
                <w:bCs/>
                <w:sz w:val="20"/>
                <w:szCs w:val="20"/>
              </w:rPr>
              <w:t>ettari</w:t>
            </w:r>
          </w:p>
        </w:tc>
        <w:tc>
          <w:tcPr>
            <w:tcW w:w="726"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b/>
                <w:bCs/>
                <w:sz w:val="20"/>
                <w:szCs w:val="20"/>
              </w:rPr>
            </w:pPr>
            <w:r w:rsidRPr="00317280">
              <w:rPr>
                <w:rFonts w:cs="Arial"/>
                <w:b/>
                <w:bCs/>
                <w:sz w:val="20"/>
                <w:szCs w:val="20"/>
              </w:rPr>
              <w:t>ettari</w:t>
            </w:r>
          </w:p>
        </w:tc>
        <w:tc>
          <w:tcPr>
            <w:tcW w:w="709"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b/>
                <w:bCs/>
                <w:sz w:val="20"/>
                <w:szCs w:val="20"/>
              </w:rPr>
            </w:pPr>
            <w:r w:rsidRPr="00317280">
              <w:rPr>
                <w:rFonts w:cs="Arial"/>
                <w:b/>
                <w:bCs/>
                <w:sz w:val="20"/>
                <w:szCs w:val="20"/>
              </w:rPr>
              <w:t>ettari</w:t>
            </w:r>
          </w:p>
        </w:tc>
        <w:tc>
          <w:tcPr>
            <w:tcW w:w="709"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b/>
                <w:bCs/>
                <w:sz w:val="20"/>
                <w:szCs w:val="20"/>
              </w:rPr>
            </w:pPr>
            <w:r w:rsidRPr="00317280">
              <w:rPr>
                <w:rFonts w:cs="Arial"/>
                <w:b/>
                <w:bCs/>
                <w:sz w:val="20"/>
                <w:szCs w:val="20"/>
              </w:rPr>
              <w:t>ettari</w:t>
            </w:r>
          </w:p>
        </w:tc>
        <w:tc>
          <w:tcPr>
            <w:tcW w:w="708"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b/>
                <w:bCs/>
                <w:sz w:val="20"/>
                <w:szCs w:val="20"/>
              </w:rPr>
            </w:pPr>
            <w:r w:rsidRPr="00317280">
              <w:rPr>
                <w:rFonts w:cs="Arial"/>
                <w:b/>
                <w:bCs/>
                <w:sz w:val="20"/>
                <w:szCs w:val="20"/>
              </w:rPr>
              <w:t>ettari</w:t>
            </w:r>
          </w:p>
        </w:tc>
        <w:tc>
          <w:tcPr>
            <w:tcW w:w="709"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b/>
                <w:bCs/>
                <w:sz w:val="20"/>
                <w:szCs w:val="20"/>
              </w:rPr>
            </w:pPr>
            <w:r w:rsidRPr="00317280">
              <w:rPr>
                <w:rFonts w:cs="Arial"/>
                <w:b/>
                <w:bCs/>
                <w:sz w:val="20"/>
                <w:szCs w:val="20"/>
              </w:rPr>
              <w:t>ettari</w:t>
            </w:r>
          </w:p>
        </w:tc>
        <w:tc>
          <w:tcPr>
            <w:tcW w:w="709"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b/>
                <w:bCs/>
                <w:sz w:val="20"/>
                <w:szCs w:val="20"/>
              </w:rPr>
            </w:pPr>
            <w:r w:rsidRPr="00317280">
              <w:rPr>
                <w:rFonts w:cs="Arial"/>
                <w:b/>
                <w:bCs/>
                <w:sz w:val="20"/>
                <w:szCs w:val="20"/>
              </w:rPr>
              <w:t>ettari</w:t>
            </w:r>
          </w:p>
        </w:tc>
      </w:tr>
      <w:tr w:rsidR="00823E1F" w:rsidRPr="002105C5" w:rsidTr="00A37231">
        <w:trPr>
          <w:trHeight w:val="285"/>
        </w:trPr>
        <w:tc>
          <w:tcPr>
            <w:tcW w:w="2252"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superfici d'insediamento</w:t>
            </w:r>
          </w:p>
        </w:tc>
        <w:tc>
          <w:tcPr>
            <w:tcW w:w="863"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9682</w:t>
            </w:r>
          </w:p>
        </w:tc>
        <w:tc>
          <w:tcPr>
            <w:tcW w:w="863"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11072</w:t>
            </w:r>
          </w:p>
        </w:tc>
        <w:tc>
          <w:tcPr>
            <w:tcW w:w="863"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11843</w:t>
            </w:r>
          </w:p>
        </w:tc>
        <w:tc>
          <w:tcPr>
            <w:tcW w:w="896"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12328</w:t>
            </w:r>
          </w:p>
        </w:tc>
        <w:tc>
          <w:tcPr>
            <w:tcW w:w="726"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1390</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771</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485</w:t>
            </w:r>
          </w:p>
        </w:tc>
        <w:tc>
          <w:tcPr>
            <w:tcW w:w="708"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116</w:t>
            </w:r>
          </w:p>
        </w:tc>
        <w:tc>
          <w:tcPr>
            <w:tcW w:w="709"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64</w:t>
            </w:r>
          </w:p>
        </w:tc>
        <w:tc>
          <w:tcPr>
            <w:tcW w:w="709"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54</w:t>
            </w:r>
          </w:p>
        </w:tc>
      </w:tr>
      <w:tr w:rsidR="00823E1F" w:rsidRPr="002105C5" w:rsidTr="00A37231">
        <w:trPr>
          <w:trHeight w:val="285"/>
        </w:trPr>
        <w:tc>
          <w:tcPr>
            <w:tcW w:w="2252"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superfici agricole</w:t>
            </w:r>
          </w:p>
        </w:tc>
        <w:tc>
          <w:tcPr>
            <w:tcW w:w="863"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8505</w:t>
            </w:r>
          </w:p>
        </w:tc>
        <w:tc>
          <w:tcPr>
            <w:tcW w:w="863"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7360</w:t>
            </w:r>
          </w:p>
        </w:tc>
        <w:tc>
          <w:tcPr>
            <w:tcW w:w="863"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6887</w:t>
            </w:r>
          </w:p>
        </w:tc>
        <w:tc>
          <w:tcPr>
            <w:tcW w:w="896"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6463</w:t>
            </w:r>
          </w:p>
        </w:tc>
        <w:tc>
          <w:tcPr>
            <w:tcW w:w="726"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-1145</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-473</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-424</w:t>
            </w:r>
          </w:p>
        </w:tc>
        <w:tc>
          <w:tcPr>
            <w:tcW w:w="708"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-95</w:t>
            </w:r>
          </w:p>
        </w:tc>
        <w:tc>
          <w:tcPr>
            <w:tcW w:w="709"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-39</w:t>
            </w:r>
          </w:p>
        </w:tc>
        <w:tc>
          <w:tcPr>
            <w:tcW w:w="709"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-47</w:t>
            </w:r>
          </w:p>
        </w:tc>
      </w:tr>
      <w:tr w:rsidR="00823E1F" w:rsidRPr="002105C5" w:rsidTr="00A37231">
        <w:trPr>
          <w:trHeight w:val="285"/>
        </w:trPr>
        <w:tc>
          <w:tcPr>
            <w:tcW w:w="2252"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superfici boscate</w:t>
            </w:r>
          </w:p>
        </w:tc>
        <w:tc>
          <w:tcPr>
            <w:tcW w:w="863"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12811</w:t>
            </w:r>
          </w:p>
        </w:tc>
        <w:tc>
          <w:tcPr>
            <w:tcW w:w="863"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12812</w:t>
            </w:r>
          </w:p>
        </w:tc>
        <w:tc>
          <w:tcPr>
            <w:tcW w:w="863"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12681</w:t>
            </w:r>
          </w:p>
        </w:tc>
        <w:tc>
          <w:tcPr>
            <w:tcW w:w="896"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12806</w:t>
            </w:r>
          </w:p>
        </w:tc>
        <w:tc>
          <w:tcPr>
            <w:tcW w:w="726"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1</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-131</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125</w:t>
            </w:r>
          </w:p>
        </w:tc>
        <w:tc>
          <w:tcPr>
            <w:tcW w:w="708"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0</w:t>
            </w:r>
          </w:p>
        </w:tc>
        <w:tc>
          <w:tcPr>
            <w:tcW w:w="709"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-11</w:t>
            </w:r>
          </w:p>
        </w:tc>
        <w:tc>
          <w:tcPr>
            <w:tcW w:w="709"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14</w:t>
            </w:r>
          </w:p>
        </w:tc>
      </w:tr>
      <w:tr w:rsidR="00823E1F" w:rsidRPr="002105C5" w:rsidTr="00A37231">
        <w:trPr>
          <w:trHeight w:val="285"/>
        </w:trPr>
        <w:tc>
          <w:tcPr>
            <w:tcW w:w="2252"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superfici improduttive</w:t>
            </w:r>
          </w:p>
        </w:tc>
        <w:tc>
          <w:tcPr>
            <w:tcW w:w="863"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9554</w:t>
            </w:r>
          </w:p>
        </w:tc>
        <w:tc>
          <w:tcPr>
            <w:tcW w:w="863"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9308</w:t>
            </w:r>
          </w:p>
        </w:tc>
        <w:tc>
          <w:tcPr>
            <w:tcW w:w="863"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9141</w:t>
            </w:r>
          </w:p>
        </w:tc>
        <w:tc>
          <w:tcPr>
            <w:tcW w:w="896"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8955</w:t>
            </w:r>
          </w:p>
        </w:tc>
        <w:tc>
          <w:tcPr>
            <w:tcW w:w="726"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-246</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-167</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-186</w:t>
            </w:r>
          </w:p>
        </w:tc>
        <w:tc>
          <w:tcPr>
            <w:tcW w:w="708"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-21</w:t>
            </w:r>
          </w:p>
        </w:tc>
        <w:tc>
          <w:tcPr>
            <w:tcW w:w="709"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-14</w:t>
            </w:r>
          </w:p>
        </w:tc>
        <w:tc>
          <w:tcPr>
            <w:tcW w:w="709"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-21</w:t>
            </w:r>
          </w:p>
        </w:tc>
      </w:tr>
      <w:tr w:rsidR="00823E1F" w:rsidRPr="002105C5" w:rsidTr="00A37231">
        <w:trPr>
          <w:trHeight w:val="285"/>
        </w:trPr>
        <w:tc>
          <w:tcPr>
            <w:tcW w:w="2252"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b/>
                <w:bCs/>
                <w:color w:val="00B0F0"/>
                <w:sz w:val="20"/>
                <w:szCs w:val="20"/>
              </w:rPr>
            </w:pPr>
          </w:p>
        </w:tc>
        <w:tc>
          <w:tcPr>
            <w:tcW w:w="863" w:type="dxa"/>
            <w:tcBorders>
              <w:top w:val="nil"/>
              <w:left w:val="nil"/>
              <w:bottom w:val="nil"/>
              <w:right w:val="nil"/>
            </w:tcBorders>
            <w:shd w:val="clear" w:color="000000" w:fill="F2F2F2"/>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40552</w:t>
            </w:r>
          </w:p>
        </w:tc>
        <w:tc>
          <w:tcPr>
            <w:tcW w:w="863" w:type="dxa"/>
            <w:tcBorders>
              <w:top w:val="nil"/>
              <w:left w:val="nil"/>
              <w:bottom w:val="nil"/>
              <w:right w:val="nil"/>
            </w:tcBorders>
            <w:shd w:val="clear" w:color="000000" w:fill="F2F2F2"/>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40552</w:t>
            </w:r>
          </w:p>
        </w:tc>
        <w:tc>
          <w:tcPr>
            <w:tcW w:w="863" w:type="dxa"/>
            <w:tcBorders>
              <w:top w:val="nil"/>
              <w:left w:val="nil"/>
              <w:bottom w:val="nil"/>
              <w:right w:val="nil"/>
            </w:tcBorders>
            <w:shd w:val="clear" w:color="000000" w:fill="F2F2F2"/>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40552</w:t>
            </w:r>
          </w:p>
        </w:tc>
        <w:tc>
          <w:tcPr>
            <w:tcW w:w="896" w:type="dxa"/>
            <w:tcBorders>
              <w:top w:val="nil"/>
              <w:left w:val="nil"/>
              <w:bottom w:val="nil"/>
              <w:right w:val="nil"/>
            </w:tcBorders>
            <w:shd w:val="clear" w:color="000000" w:fill="F2F2F2"/>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40552</w:t>
            </w:r>
          </w:p>
        </w:tc>
        <w:tc>
          <w:tcPr>
            <w:tcW w:w="726"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0</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0</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0</w:t>
            </w:r>
          </w:p>
        </w:tc>
        <w:tc>
          <w:tcPr>
            <w:tcW w:w="708" w:type="dxa"/>
            <w:tcBorders>
              <w:top w:val="nil"/>
              <w:left w:val="nil"/>
              <w:bottom w:val="nil"/>
              <w:right w:val="nil"/>
            </w:tcBorders>
            <w:shd w:val="clear" w:color="000000" w:fill="F2F2F2"/>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0</w:t>
            </w:r>
          </w:p>
        </w:tc>
        <w:tc>
          <w:tcPr>
            <w:tcW w:w="709" w:type="dxa"/>
            <w:tcBorders>
              <w:top w:val="nil"/>
              <w:left w:val="nil"/>
              <w:bottom w:val="nil"/>
              <w:right w:val="nil"/>
            </w:tcBorders>
            <w:shd w:val="clear" w:color="000000" w:fill="F2F2F2"/>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0</w:t>
            </w:r>
          </w:p>
        </w:tc>
        <w:tc>
          <w:tcPr>
            <w:tcW w:w="709" w:type="dxa"/>
            <w:tcBorders>
              <w:top w:val="nil"/>
              <w:left w:val="nil"/>
              <w:bottom w:val="nil"/>
              <w:right w:val="nil"/>
            </w:tcBorders>
            <w:shd w:val="clear" w:color="000000" w:fill="F2F2F2"/>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0</w:t>
            </w:r>
          </w:p>
        </w:tc>
      </w:tr>
      <w:tr w:rsidR="00823E1F" w:rsidRPr="002105C5" w:rsidTr="00A37231">
        <w:trPr>
          <w:trHeight w:val="360"/>
        </w:trPr>
        <w:tc>
          <w:tcPr>
            <w:tcW w:w="2252"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Montagna</w:t>
            </w:r>
          </w:p>
        </w:tc>
        <w:tc>
          <w:tcPr>
            <w:tcW w:w="863"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000000"/>
                <w:sz w:val="20"/>
                <w:szCs w:val="20"/>
              </w:rPr>
            </w:pPr>
            <w:r w:rsidRPr="00317280">
              <w:rPr>
                <w:rFonts w:cs="Arial"/>
                <w:color w:val="000000"/>
                <w:sz w:val="20"/>
                <w:szCs w:val="20"/>
              </w:rPr>
              <w:t> </w:t>
            </w:r>
          </w:p>
        </w:tc>
        <w:tc>
          <w:tcPr>
            <w:tcW w:w="863"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000000"/>
                <w:sz w:val="20"/>
                <w:szCs w:val="20"/>
              </w:rPr>
            </w:pPr>
            <w:r w:rsidRPr="00317280">
              <w:rPr>
                <w:rFonts w:cs="Arial"/>
                <w:color w:val="000000"/>
                <w:sz w:val="20"/>
                <w:szCs w:val="20"/>
              </w:rPr>
              <w:t> </w:t>
            </w:r>
          </w:p>
        </w:tc>
        <w:tc>
          <w:tcPr>
            <w:tcW w:w="863"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000000"/>
                <w:sz w:val="20"/>
                <w:szCs w:val="20"/>
              </w:rPr>
            </w:pPr>
            <w:r w:rsidRPr="00317280">
              <w:rPr>
                <w:rFonts w:cs="Arial"/>
                <w:color w:val="000000"/>
                <w:sz w:val="20"/>
                <w:szCs w:val="20"/>
              </w:rPr>
              <w:t> </w:t>
            </w:r>
          </w:p>
        </w:tc>
        <w:tc>
          <w:tcPr>
            <w:tcW w:w="896"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000000"/>
                <w:sz w:val="20"/>
                <w:szCs w:val="20"/>
              </w:rPr>
            </w:pPr>
            <w:r w:rsidRPr="00317280">
              <w:rPr>
                <w:rFonts w:cs="Arial"/>
                <w:color w:val="000000"/>
                <w:sz w:val="20"/>
                <w:szCs w:val="20"/>
              </w:rPr>
              <w:t> </w:t>
            </w:r>
          </w:p>
        </w:tc>
        <w:tc>
          <w:tcPr>
            <w:tcW w:w="726"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0000"/>
                <w:sz w:val="20"/>
                <w:szCs w:val="20"/>
              </w:rPr>
            </w:pPr>
            <w:r w:rsidRPr="00317280">
              <w:rPr>
                <w:rFonts w:cs="Arial"/>
                <w:color w:val="000000"/>
                <w:sz w:val="20"/>
                <w:szCs w:val="20"/>
              </w:rPr>
              <w:t> </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0000"/>
                <w:sz w:val="20"/>
                <w:szCs w:val="20"/>
              </w:rPr>
            </w:pPr>
            <w:r w:rsidRPr="00317280">
              <w:rPr>
                <w:rFonts w:cs="Arial"/>
                <w:color w:val="000000"/>
                <w:sz w:val="20"/>
                <w:szCs w:val="20"/>
              </w:rPr>
              <w:t> </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0000"/>
                <w:sz w:val="20"/>
                <w:szCs w:val="20"/>
              </w:rPr>
            </w:pPr>
            <w:r w:rsidRPr="00317280">
              <w:rPr>
                <w:rFonts w:cs="Arial"/>
                <w:color w:val="000000"/>
                <w:sz w:val="20"/>
                <w:szCs w:val="20"/>
              </w:rPr>
              <w:t> </w:t>
            </w:r>
          </w:p>
        </w:tc>
        <w:tc>
          <w:tcPr>
            <w:tcW w:w="708"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000000"/>
                <w:sz w:val="20"/>
                <w:szCs w:val="20"/>
              </w:rPr>
            </w:pPr>
            <w:r w:rsidRPr="00317280">
              <w:rPr>
                <w:rFonts w:cs="Arial"/>
                <w:color w:val="000000"/>
                <w:sz w:val="20"/>
                <w:szCs w:val="20"/>
              </w:rPr>
              <w:t> </w:t>
            </w:r>
          </w:p>
        </w:tc>
        <w:tc>
          <w:tcPr>
            <w:tcW w:w="709"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000000"/>
                <w:sz w:val="20"/>
                <w:szCs w:val="20"/>
              </w:rPr>
            </w:pPr>
            <w:r w:rsidRPr="00317280">
              <w:rPr>
                <w:rFonts w:cs="Arial"/>
                <w:color w:val="000000"/>
                <w:sz w:val="20"/>
                <w:szCs w:val="20"/>
              </w:rPr>
              <w:t> </w:t>
            </w:r>
          </w:p>
        </w:tc>
        <w:tc>
          <w:tcPr>
            <w:tcW w:w="709"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000000"/>
                <w:sz w:val="20"/>
                <w:szCs w:val="20"/>
              </w:rPr>
            </w:pPr>
            <w:r w:rsidRPr="00317280">
              <w:rPr>
                <w:rFonts w:cs="Arial"/>
                <w:color w:val="000000"/>
                <w:sz w:val="20"/>
                <w:szCs w:val="20"/>
              </w:rPr>
              <w:t> </w:t>
            </w:r>
          </w:p>
        </w:tc>
      </w:tr>
      <w:tr w:rsidR="00823E1F" w:rsidRPr="002105C5" w:rsidTr="00A37231">
        <w:trPr>
          <w:trHeight w:val="285"/>
        </w:trPr>
        <w:tc>
          <w:tcPr>
            <w:tcW w:w="2252"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superfici d'insediamento</w:t>
            </w:r>
          </w:p>
        </w:tc>
        <w:tc>
          <w:tcPr>
            <w:tcW w:w="863"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3375</w:t>
            </w:r>
          </w:p>
        </w:tc>
        <w:tc>
          <w:tcPr>
            <w:tcW w:w="863"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3818</w:t>
            </w:r>
          </w:p>
        </w:tc>
        <w:tc>
          <w:tcPr>
            <w:tcW w:w="863"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4100</w:t>
            </w:r>
          </w:p>
        </w:tc>
        <w:tc>
          <w:tcPr>
            <w:tcW w:w="896"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4235</w:t>
            </w:r>
          </w:p>
        </w:tc>
        <w:tc>
          <w:tcPr>
            <w:tcW w:w="726"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443</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282</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135</w:t>
            </w:r>
          </w:p>
        </w:tc>
        <w:tc>
          <w:tcPr>
            <w:tcW w:w="708"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37</w:t>
            </w:r>
          </w:p>
        </w:tc>
        <w:tc>
          <w:tcPr>
            <w:tcW w:w="709"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24</w:t>
            </w:r>
          </w:p>
        </w:tc>
        <w:tc>
          <w:tcPr>
            <w:tcW w:w="709"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15</w:t>
            </w:r>
          </w:p>
        </w:tc>
      </w:tr>
      <w:tr w:rsidR="00823E1F" w:rsidRPr="002105C5" w:rsidTr="00A37231">
        <w:trPr>
          <w:trHeight w:val="285"/>
        </w:trPr>
        <w:tc>
          <w:tcPr>
            <w:tcW w:w="2252"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superfici agricole</w:t>
            </w:r>
          </w:p>
        </w:tc>
        <w:tc>
          <w:tcPr>
            <w:tcW w:w="863"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34905</w:t>
            </w:r>
          </w:p>
        </w:tc>
        <w:tc>
          <w:tcPr>
            <w:tcW w:w="863"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30984</w:t>
            </w:r>
          </w:p>
        </w:tc>
        <w:tc>
          <w:tcPr>
            <w:tcW w:w="863"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29774</w:t>
            </w:r>
          </w:p>
        </w:tc>
        <w:tc>
          <w:tcPr>
            <w:tcW w:w="896"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28172</w:t>
            </w:r>
          </w:p>
        </w:tc>
        <w:tc>
          <w:tcPr>
            <w:tcW w:w="726"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-3921</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-1210</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-1602</w:t>
            </w:r>
          </w:p>
        </w:tc>
        <w:tc>
          <w:tcPr>
            <w:tcW w:w="708"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-327</w:t>
            </w:r>
          </w:p>
        </w:tc>
        <w:tc>
          <w:tcPr>
            <w:tcW w:w="709"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-101</w:t>
            </w:r>
          </w:p>
        </w:tc>
        <w:tc>
          <w:tcPr>
            <w:tcW w:w="709"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-178</w:t>
            </w:r>
          </w:p>
        </w:tc>
      </w:tr>
      <w:tr w:rsidR="00823E1F" w:rsidRPr="002105C5" w:rsidTr="00A37231">
        <w:trPr>
          <w:trHeight w:val="285"/>
        </w:trPr>
        <w:tc>
          <w:tcPr>
            <w:tcW w:w="2252"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superfici boscate</w:t>
            </w:r>
          </w:p>
        </w:tc>
        <w:tc>
          <w:tcPr>
            <w:tcW w:w="863"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119898</w:t>
            </w:r>
          </w:p>
        </w:tc>
        <w:tc>
          <w:tcPr>
            <w:tcW w:w="863"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125639</w:t>
            </w:r>
          </w:p>
        </w:tc>
        <w:tc>
          <w:tcPr>
            <w:tcW w:w="863"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129837</w:t>
            </w:r>
          </w:p>
        </w:tc>
        <w:tc>
          <w:tcPr>
            <w:tcW w:w="896"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133313</w:t>
            </w:r>
          </w:p>
        </w:tc>
        <w:tc>
          <w:tcPr>
            <w:tcW w:w="726"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5741</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4198</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3476</w:t>
            </w:r>
          </w:p>
        </w:tc>
        <w:tc>
          <w:tcPr>
            <w:tcW w:w="708"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478</w:t>
            </w:r>
          </w:p>
        </w:tc>
        <w:tc>
          <w:tcPr>
            <w:tcW w:w="709"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350</w:t>
            </w:r>
          </w:p>
        </w:tc>
        <w:tc>
          <w:tcPr>
            <w:tcW w:w="709"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386</w:t>
            </w:r>
          </w:p>
        </w:tc>
      </w:tr>
      <w:tr w:rsidR="00823E1F" w:rsidRPr="002105C5" w:rsidTr="00A37231">
        <w:trPr>
          <w:trHeight w:val="285"/>
        </w:trPr>
        <w:tc>
          <w:tcPr>
            <w:tcW w:w="2252"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superfici improduttive</w:t>
            </w:r>
          </w:p>
        </w:tc>
        <w:tc>
          <w:tcPr>
            <w:tcW w:w="863"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82494</w:t>
            </w:r>
          </w:p>
        </w:tc>
        <w:tc>
          <w:tcPr>
            <w:tcW w:w="863"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80231</w:t>
            </w:r>
          </w:p>
        </w:tc>
        <w:tc>
          <w:tcPr>
            <w:tcW w:w="863"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76961</w:t>
            </w:r>
          </w:p>
        </w:tc>
        <w:tc>
          <w:tcPr>
            <w:tcW w:w="896"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74952</w:t>
            </w:r>
          </w:p>
        </w:tc>
        <w:tc>
          <w:tcPr>
            <w:tcW w:w="726"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-2263</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-3270</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-2009</w:t>
            </w:r>
          </w:p>
        </w:tc>
        <w:tc>
          <w:tcPr>
            <w:tcW w:w="708"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-189</w:t>
            </w:r>
          </w:p>
        </w:tc>
        <w:tc>
          <w:tcPr>
            <w:tcW w:w="709"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-273</w:t>
            </w:r>
          </w:p>
        </w:tc>
        <w:tc>
          <w:tcPr>
            <w:tcW w:w="709"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-223</w:t>
            </w:r>
          </w:p>
        </w:tc>
      </w:tr>
      <w:tr w:rsidR="00823E1F" w:rsidRPr="002105C5" w:rsidTr="00A37231">
        <w:trPr>
          <w:trHeight w:val="285"/>
        </w:trPr>
        <w:tc>
          <w:tcPr>
            <w:tcW w:w="2252"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color w:val="00B0F0"/>
                <w:sz w:val="20"/>
                <w:szCs w:val="20"/>
              </w:rPr>
            </w:pPr>
          </w:p>
        </w:tc>
        <w:tc>
          <w:tcPr>
            <w:tcW w:w="863" w:type="dxa"/>
            <w:tcBorders>
              <w:top w:val="nil"/>
              <w:left w:val="nil"/>
              <w:bottom w:val="nil"/>
              <w:right w:val="nil"/>
            </w:tcBorders>
            <w:shd w:val="clear" w:color="000000" w:fill="F2F2F2"/>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240672</w:t>
            </w:r>
          </w:p>
        </w:tc>
        <w:tc>
          <w:tcPr>
            <w:tcW w:w="863" w:type="dxa"/>
            <w:tcBorders>
              <w:top w:val="nil"/>
              <w:left w:val="nil"/>
              <w:bottom w:val="nil"/>
              <w:right w:val="nil"/>
            </w:tcBorders>
            <w:shd w:val="clear" w:color="000000" w:fill="F2F2F2"/>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240672</w:t>
            </w:r>
          </w:p>
        </w:tc>
        <w:tc>
          <w:tcPr>
            <w:tcW w:w="863" w:type="dxa"/>
            <w:tcBorders>
              <w:top w:val="nil"/>
              <w:left w:val="nil"/>
              <w:bottom w:val="nil"/>
              <w:right w:val="nil"/>
            </w:tcBorders>
            <w:shd w:val="clear" w:color="000000" w:fill="F2F2F2"/>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240672</w:t>
            </w:r>
          </w:p>
        </w:tc>
        <w:tc>
          <w:tcPr>
            <w:tcW w:w="896" w:type="dxa"/>
            <w:tcBorders>
              <w:top w:val="nil"/>
              <w:left w:val="nil"/>
              <w:bottom w:val="nil"/>
              <w:right w:val="nil"/>
            </w:tcBorders>
            <w:shd w:val="clear" w:color="000000" w:fill="F2F2F2"/>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240672</w:t>
            </w:r>
          </w:p>
        </w:tc>
        <w:tc>
          <w:tcPr>
            <w:tcW w:w="726"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0</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0</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0</w:t>
            </w:r>
          </w:p>
        </w:tc>
        <w:tc>
          <w:tcPr>
            <w:tcW w:w="708" w:type="dxa"/>
            <w:tcBorders>
              <w:top w:val="nil"/>
              <w:left w:val="nil"/>
              <w:bottom w:val="nil"/>
              <w:right w:val="nil"/>
            </w:tcBorders>
            <w:shd w:val="clear" w:color="000000" w:fill="F2F2F2"/>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0</w:t>
            </w:r>
          </w:p>
        </w:tc>
        <w:tc>
          <w:tcPr>
            <w:tcW w:w="709" w:type="dxa"/>
            <w:tcBorders>
              <w:top w:val="nil"/>
              <w:left w:val="nil"/>
              <w:bottom w:val="nil"/>
              <w:right w:val="nil"/>
            </w:tcBorders>
            <w:shd w:val="clear" w:color="000000" w:fill="F2F2F2"/>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0</w:t>
            </w:r>
          </w:p>
        </w:tc>
        <w:tc>
          <w:tcPr>
            <w:tcW w:w="709" w:type="dxa"/>
            <w:tcBorders>
              <w:top w:val="nil"/>
              <w:left w:val="nil"/>
              <w:bottom w:val="nil"/>
              <w:right w:val="nil"/>
            </w:tcBorders>
            <w:shd w:val="clear" w:color="000000" w:fill="F2F2F2"/>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0</w:t>
            </w:r>
          </w:p>
        </w:tc>
      </w:tr>
      <w:tr w:rsidR="00823E1F" w:rsidRPr="002105C5" w:rsidTr="00A37231">
        <w:trPr>
          <w:trHeight w:val="360"/>
        </w:trPr>
        <w:tc>
          <w:tcPr>
            <w:tcW w:w="2252"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Totale</w:t>
            </w:r>
          </w:p>
        </w:tc>
        <w:tc>
          <w:tcPr>
            <w:tcW w:w="863"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000000"/>
                <w:sz w:val="20"/>
                <w:szCs w:val="20"/>
              </w:rPr>
            </w:pPr>
            <w:r w:rsidRPr="00317280">
              <w:rPr>
                <w:rFonts w:cs="Arial"/>
                <w:color w:val="000000"/>
                <w:sz w:val="20"/>
                <w:szCs w:val="20"/>
              </w:rPr>
              <w:t> </w:t>
            </w:r>
          </w:p>
        </w:tc>
        <w:tc>
          <w:tcPr>
            <w:tcW w:w="863"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000000"/>
                <w:sz w:val="20"/>
                <w:szCs w:val="20"/>
              </w:rPr>
            </w:pPr>
            <w:r w:rsidRPr="00317280">
              <w:rPr>
                <w:rFonts w:cs="Arial"/>
                <w:color w:val="000000"/>
                <w:sz w:val="20"/>
                <w:szCs w:val="20"/>
              </w:rPr>
              <w:t> </w:t>
            </w:r>
          </w:p>
        </w:tc>
        <w:tc>
          <w:tcPr>
            <w:tcW w:w="863"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000000"/>
                <w:sz w:val="20"/>
                <w:szCs w:val="20"/>
              </w:rPr>
            </w:pPr>
            <w:r w:rsidRPr="00317280">
              <w:rPr>
                <w:rFonts w:cs="Arial"/>
                <w:color w:val="000000"/>
                <w:sz w:val="20"/>
                <w:szCs w:val="20"/>
              </w:rPr>
              <w:t> </w:t>
            </w:r>
          </w:p>
        </w:tc>
        <w:tc>
          <w:tcPr>
            <w:tcW w:w="896"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000000"/>
                <w:sz w:val="20"/>
                <w:szCs w:val="20"/>
              </w:rPr>
            </w:pPr>
            <w:r w:rsidRPr="00317280">
              <w:rPr>
                <w:rFonts w:cs="Arial"/>
                <w:color w:val="000000"/>
                <w:sz w:val="20"/>
                <w:szCs w:val="20"/>
              </w:rPr>
              <w:t> </w:t>
            </w:r>
          </w:p>
        </w:tc>
        <w:tc>
          <w:tcPr>
            <w:tcW w:w="726"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0000"/>
                <w:sz w:val="20"/>
                <w:szCs w:val="20"/>
              </w:rPr>
            </w:pPr>
            <w:r w:rsidRPr="00317280">
              <w:rPr>
                <w:rFonts w:cs="Arial"/>
                <w:color w:val="000000"/>
                <w:sz w:val="20"/>
                <w:szCs w:val="20"/>
              </w:rPr>
              <w:t> </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0000"/>
                <w:sz w:val="20"/>
                <w:szCs w:val="20"/>
              </w:rPr>
            </w:pPr>
            <w:r w:rsidRPr="00317280">
              <w:rPr>
                <w:rFonts w:cs="Arial"/>
                <w:color w:val="000000"/>
                <w:sz w:val="20"/>
                <w:szCs w:val="20"/>
              </w:rPr>
              <w:t> </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0000"/>
                <w:sz w:val="20"/>
                <w:szCs w:val="20"/>
              </w:rPr>
            </w:pPr>
            <w:r w:rsidRPr="00317280">
              <w:rPr>
                <w:rFonts w:cs="Arial"/>
                <w:color w:val="000000"/>
                <w:sz w:val="20"/>
                <w:szCs w:val="20"/>
              </w:rPr>
              <w:t> </w:t>
            </w:r>
          </w:p>
        </w:tc>
        <w:tc>
          <w:tcPr>
            <w:tcW w:w="708"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000000"/>
                <w:sz w:val="20"/>
                <w:szCs w:val="20"/>
              </w:rPr>
            </w:pPr>
            <w:r w:rsidRPr="00317280">
              <w:rPr>
                <w:rFonts w:cs="Arial"/>
                <w:color w:val="000000"/>
                <w:sz w:val="20"/>
                <w:szCs w:val="20"/>
              </w:rPr>
              <w:t> </w:t>
            </w:r>
          </w:p>
        </w:tc>
        <w:tc>
          <w:tcPr>
            <w:tcW w:w="709"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000000"/>
                <w:sz w:val="20"/>
                <w:szCs w:val="20"/>
              </w:rPr>
            </w:pPr>
            <w:r w:rsidRPr="00317280">
              <w:rPr>
                <w:rFonts w:cs="Arial"/>
                <w:color w:val="000000"/>
                <w:sz w:val="20"/>
                <w:szCs w:val="20"/>
              </w:rPr>
              <w:t> </w:t>
            </w:r>
          </w:p>
        </w:tc>
        <w:tc>
          <w:tcPr>
            <w:tcW w:w="709"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000000"/>
                <w:sz w:val="20"/>
                <w:szCs w:val="20"/>
              </w:rPr>
            </w:pPr>
            <w:r w:rsidRPr="00317280">
              <w:rPr>
                <w:rFonts w:cs="Arial"/>
                <w:color w:val="000000"/>
                <w:sz w:val="20"/>
                <w:szCs w:val="20"/>
              </w:rPr>
              <w:t> </w:t>
            </w:r>
          </w:p>
        </w:tc>
      </w:tr>
      <w:tr w:rsidR="00823E1F" w:rsidRPr="002105C5" w:rsidTr="00A37231">
        <w:trPr>
          <w:trHeight w:val="285"/>
        </w:trPr>
        <w:tc>
          <w:tcPr>
            <w:tcW w:w="2252"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superfici d'insediamento</w:t>
            </w:r>
          </w:p>
        </w:tc>
        <w:tc>
          <w:tcPr>
            <w:tcW w:w="863"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13057</w:t>
            </w:r>
          </w:p>
        </w:tc>
        <w:tc>
          <w:tcPr>
            <w:tcW w:w="863"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14890</w:t>
            </w:r>
          </w:p>
        </w:tc>
        <w:tc>
          <w:tcPr>
            <w:tcW w:w="863"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15943</w:t>
            </w:r>
          </w:p>
        </w:tc>
        <w:tc>
          <w:tcPr>
            <w:tcW w:w="896"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16563</w:t>
            </w:r>
          </w:p>
        </w:tc>
        <w:tc>
          <w:tcPr>
            <w:tcW w:w="726"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1833</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1053</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620</w:t>
            </w:r>
          </w:p>
        </w:tc>
        <w:tc>
          <w:tcPr>
            <w:tcW w:w="708"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153</w:t>
            </w:r>
          </w:p>
        </w:tc>
        <w:tc>
          <w:tcPr>
            <w:tcW w:w="709"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88</w:t>
            </w:r>
          </w:p>
        </w:tc>
        <w:tc>
          <w:tcPr>
            <w:tcW w:w="709"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69</w:t>
            </w:r>
          </w:p>
        </w:tc>
      </w:tr>
      <w:tr w:rsidR="00823E1F" w:rsidRPr="002105C5" w:rsidTr="00A37231">
        <w:trPr>
          <w:trHeight w:val="285"/>
        </w:trPr>
        <w:tc>
          <w:tcPr>
            <w:tcW w:w="2252"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superfici agricole</w:t>
            </w:r>
          </w:p>
        </w:tc>
        <w:tc>
          <w:tcPr>
            <w:tcW w:w="863"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43410</w:t>
            </w:r>
          </w:p>
        </w:tc>
        <w:tc>
          <w:tcPr>
            <w:tcW w:w="863"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38344</w:t>
            </w:r>
          </w:p>
        </w:tc>
        <w:tc>
          <w:tcPr>
            <w:tcW w:w="863"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36661</w:t>
            </w:r>
          </w:p>
        </w:tc>
        <w:tc>
          <w:tcPr>
            <w:tcW w:w="896"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34635</w:t>
            </w:r>
          </w:p>
        </w:tc>
        <w:tc>
          <w:tcPr>
            <w:tcW w:w="726"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-5066</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-1683</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-2026</w:t>
            </w:r>
          </w:p>
        </w:tc>
        <w:tc>
          <w:tcPr>
            <w:tcW w:w="708"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-422</w:t>
            </w:r>
          </w:p>
        </w:tc>
        <w:tc>
          <w:tcPr>
            <w:tcW w:w="709"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-140</w:t>
            </w:r>
          </w:p>
        </w:tc>
        <w:tc>
          <w:tcPr>
            <w:tcW w:w="709"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-225</w:t>
            </w:r>
          </w:p>
        </w:tc>
      </w:tr>
      <w:tr w:rsidR="00823E1F" w:rsidRPr="002105C5" w:rsidTr="00A37231">
        <w:trPr>
          <w:trHeight w:val="285"/>
        </w:trPr>
        <w:tc>
          <w:tcPr>
            <w:tcW w:w="2252"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superfici boscate</w:t>
            </w:r>
          </w:p>
        </w:tc>
        <w:tc>
          <w:tcPr>
            <w:tcW w:w="863"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132709</w:t>
            </w:r>
          </w:p>
        </w:tc>
        <w:tc>
          <w:tcPr>
            <w:tcW w:w="863"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138451</w:t>
            </w:r>
          </w:p>
        </w:tc>
        <w:tc>
          <w:tcPr>
            <w:tcW w:w="863"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142518</w:t>
            </w:r>
          </w:p>
        </w:tc>
        <w:tc>
          <w:tcPr>
            <w:tcW w:w="896"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146119</w:t>
            </w:r>
          </w:p>
        </w:tc>
        <w:tc>
          <w:tcPr>
            <w:tcW w:w="726"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5742</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4067</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3601</w:t>
            </w:r>
          </w:p>
        </w:tc>
        <w:tc>
          <w:tcPr>
            <w:tcW w:w="708"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479</w:t>
            </w:r>
          </w:p>
        </w:tc>
        <w:tc>
          <w:tcPr>
            <w:tcW w:w="709"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339</w:t>
            </w:r>
          </w:p>
        </w:tc>
        <w:tc>
          <w:tcPr>
            <w:tcW w:w="709"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400</w:t>
            </w:r>
          </w:p>
        </w:tc>
      </w:tr>
      <w:tr w:rsidR="00823E1F" w:rsidRPr="002105C5" w:rsidTr="00A37231">
        <w:trPr>
          <w:trHeight w:val="285"/>
        </w:trPr>
        <w:tc>
          <w:tcPr>
            <w:tcW w:w="2252"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superfici improduttive</w:t>
            </w:r>
          </w:p>
        </w:tc>
        <w:tc>
          <w:tcPr>
            <w:tcW w:w="863"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92048</w:t>
            </w:r>
          </w:p>
        </w:tc>
        <w:tc>
          <w:tcPr>
            <w:tcW w:w="863"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89539</w:t>
            </w:r>
          </w:p>
        </w:tc>
        <w:tc>
          <w:tcPr>
            <w:tcW w:w="863"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86102</w:t>
            </w:r>
          </w:p>
        </w:tc>
        <w:tc>
          <w:tcPr>
            <w:tcW w:w="896"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83907</w:t>
            </w:r>
          </w:p>
        </w:tc>
        <w:tc>
          <w:tcPr>
            <w:tcW w:w="726"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-2509</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-3437</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-2195</w:t>
            </w:r>
          </w:p>
        </w:tc>
        <w:tc>
          <w:tcPr>
            <w:tcW w:w="708"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-209</w:t>
            </w:r>
          </w:p>
        </w:tc>
        <w:tc>
          <w:tcPr>
            <w:tcW w:w="709"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-286</w:t>
            </w:r>
          </w:p>
        </w:tc>
        <w:tc>
          <w:tcPr>
            <w:tcW w:w="709" w:type="dxa"/>
            <w:tcBorders>
              <w:top w:val="nil"/>
              <w:left w:val="nil"/>
              <w:bottom w:val="nil"/>
              <w:right w:val="nil"/>
            </w:tcBorders>
            <w:shd w:val="clear" w:color="000000" w:fill="F2F2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-244</w:t>
            </w:r>
          </w:p>
        </w:tc>
      </w:tr>
      <w:tr w:rsidR="00823E1F" w:rsidRPr="002105C5" w:rsidTr="00A37231">
        <w:trPr>
          <w:trHeight w:val="358"/>
        </w:trPr>
        <w:tc>
          <w:tcPr>
            <w:tcW w:w="2252"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b/>
                <w:bCs/>
                <w:color w:val="00B0F0"/>
                <w:sz w:val="20"/>
                <w:szCs w:val="20"/>
              </w:rPr>
            </w:pPr>
          </w:p>
        </w:tc>
        <w:tc>
          <w:tcPr>
            <w:tcW w:w="863" w:type="dxa"/>
            <w:tcBorders>
              <w:top w:val="nil"/>
              <w:left w:val="nil"/>
              <w:bottom w:val="nil"/>
              <w:right w:val="nil"/>
            </w:tcBorders>
            <w:shd w:val="clear" w:color="000000" w:fill="F2F2F2"/>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281224</w:t>
            </w:r>
          </w:p>
        </w:tc>
        <w:tc>
          <w:tcPr>
            <w:tcW w:w="863" w:type="dxa"/>
            <w:tcBorders>
              <w:top w:val="nil"/>
              <w:left w:val="nil"/>
              <w:bottom w:val="nil"/>
              <w:right w:val="nil"/>
            </w:tcBorders>
            <w:shd w:val="clear" w:color="000000" w:fill="F2F2F2"/>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281224</w:t>
            </w:r>
          </w:p>
        </w:tc>
        <w:tc>
          <w:tcPr>
            <w:tcW w:w="863" w:type="dxa"/>
            <w:tcBorders>
              <w:top w:val="nil"/>
              <w:left w:val="nil"/>
              <w:bottom w:val="nil"/>
              <w:right w:val="nil"/>
            </w:tcBorders>
            <w:shd w:val="clear" w:color="000000" w:fill="F2F2F2"/>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281224</w:t>
            </w:r>
          </w:p>
        </w:tc>
        <w:tc>
          <w:tcPr>
            <w:tcW w:w="896" w:type="dxa"/>
            <w:tcBorders>
              <w:top w:val="nil"/>
              <w:left w:val="nil"/>
              <w:bottom w:val="nil"/>
              <w:right w:val="nil"/>
            </w:tcBorders>
            <w:shd w:val="clear" w:color="000000" w:fill="F2F2F2"/>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281224</w:t>
            </w:r>
          </w:p>
        </w:tc>
        <w:tc>
          <w:tcPr>
            <w:tcW w:w="726"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0</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0</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0</w:t>
            </w:r>
          </w:p>
        </w:tc>
        <w:tc>
          <w:tcPr>
            <w:tcW w:w="708" w:type="dxa"/>
            <w:tcBorders>
              <w:top w:val="nil"/>
              <w:left w:val="nil"/>
              <w:bottom w:val="nil"/>
              <w:right w:val="nil"/>
            </w:tcBorders>
            <w:shd w:val="clear" w:color="000000" w:fill="F2F2F2"/>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0</w:t>
            </w:r>
          </w:p>
        </w:tc>
        <w:tc>
          <w:tcPr>
            <w:tcW w:w="709" w:type="dxa"/>
            <w:tcBorders>
              <w:top w:val="nil"/>
              <w:left w:val="nil"/>
              <w:bottom w:val="nil"/>
              <w:right w:val="nil"/>
            </w:tcBorders>
            <w:shd w:val="clear" w:color="000000" w:fill="F2F2F2"/>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0</w:t>
            </w:r>
          </w:p>
        </w:tc>
        <w:tc>
          <w:tcPr>
            <w:tcW w:w="709" w:type="dxa"/>
            <w:tcBorders>
              <w:top w:val="nil"/>
              <w:left w:val="nil"/>
              <w:bottom w:val="nil"/>
              <w:right w:val="nil"/>
            </w:tcBorders>
            <w:shd w:val="clear" w:color="000000" w:fill="F2F2F2"/>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0</w:t>
            </w:r>
          </w:p>
        </w:tc>
      </w:tr>
    </w:tbl>
    <w:p w:rsidR="00823E1F" w:rsidRPr="00AA04C1" w:rsidRDefault="00823E1F" w:rsidP="00823E1F">
      <w:pPr>
        <w:autoSpaceDE w:val="0"/>
        <w:autoSpaceDN w:val="0"/>
        <w:adjustRightInd w:val="0"/>
        <w:rPr>
          <w:rFonts w:cs="Arial"/>
          <w:sz w:val="20"/>
          <w:szCs w:val="20"/>
          <w:lang w:eastAsia="it-CH"/>
        </w:rPr>
      </w:pPr>
    </w:p>
    <w:p w:rsidR="00823E1F" w:rsidRDefault="00823E1F" w:rsidP="00823E1F">
      <w:pPr>
        <w:autoSpaceDE w:val="0"/>
        <w:autoSpaceDN w:val="0"/>
        <w:adjustRightInd w:val="0"/>
        <w:rPr>
          <w:rFonts w:cs="Arial"/>
          <w:lang w:eastAsia="it-CH"/>
        </w:rPr>
      </w:pPr>
      <w:r w:rsidRPr="00D27487">
        <w:rPr>
          <w:rFonts w:cs="Arial"/>
          <w:lang w:eastAsia="it-CH"/>
        </w:rPr>
        <w:t xml:space="preserve">In generale, dai dati possiamo osservare che le variazioni più importanti sono riscontrate tra il rilevamento 1979/85 e quello del 1992/97. Tra gli altri rilevamenti, dal 1993/97 al 2004/09 e dal 2004/09 al 2009/2018, gli scarti sono invece più contenuti. </w:t>
      </w:r>
    </w:p>
    <w:p w:rsidR="00317280" w:rsidRPr="00D27487" w:rsidRDefault="00317280" w:rsidP="00823E1F">
      <w:pPr>
        <w:autoSpaceDE w:val="0"/>
        <w:autoSpaceDN w:val="0"/>
        <w:adjustRightInd w:val="0"/>
        <w:rPr>
          <w:rFonts w:cs="Arial"/>
          <w:lang w:eastAsia="it-CH"/>
        </w:rPr>
      </w:pPr>
    </w:p>
    <w:p w:rsidR="00823E1F" w:rsidRDefault="00823E1F" w:rsidP="00823E1F">
      <w:pPr>
        <w:autoSpaceDE w:val="0"/>
        <w:autoSpaceDN w:val="0"/>
        <w:adjustRightInd w:val="0"/>
        <w:rPr>
          <w:rFonts w:cs="Arial"/>
          <w:lang w:eastAsia="it-CH"/>
        </w:rPr>
      </w:pPr>
      <w:r w:rsidRPr="00D27487">
        <w:rPr>
          <w:rFonts w:cs="Arial"/>
          <w:lang w:eastAsia="it-CH"/>
        </w:rPr>
        <w:t xml:space="preserve">Per una riflessione più pertinente sulla correlazione tra dinamica socioeconomica e dinamica territoriale dell’ultimo quindicennio è però utile prendere in considerazione gli ultimi due rilevamenti e confrontare le variazioni annuali medie, soprattutto delle superfici di fondovalle (territorio sotto i 500 m.s.l.m.) che rappresentano il territorio più pregiato dove è insediato quasi </w:t>
      </w:r>
      <w:r>
        <w:rPr>
          <w:rFonts w:cs="Arial"/>
          <w:lang w:eastAsia="it-CH"/>
        </w:rPr>
        <w:t>l'</w:t>
      </w:r>
      <w:r w:rsidRPr="00D27487">
        <w:rPr>
          <w:rFonts w:cs="Arial"/>
          <w:lang w:eastAsia="it-CH"/>
        </w:rPr>
        <w:t xml:space="preserve">87% della popolazione cantonale e oltre il 92% dei posti di lavoro. </w:t>
      </w:r>
    </w:p>
    <w:p w:rsidR="00317280" w:rsidRPr="00D27487" w:rsidRDefault="00317280" w:rsidP="00823E1F">
      <w:pPr>
        <w:autoSpaceDE w:val="0"/>
        <w:autoSpaceDN w:val="0"/>
        <w:adjustRightInd w:val="0"/>
        <w:rPr>
          <w:rFonts w:cs="Arial"/>
          <w:lang w:eastAsia="it-CH"/>
        </w:rPr>
      </w:pPr>
    </w:p>
    <w:p w:rsidR="00823E1F" w:rsidRDefault="00823E1F" w:rsidP="00823E1F">
      <w:pPr>
        <w:autoSpaceDE w:val="0"/>
        <w:autoSpaceDN w:val="0"/>
        <w:adjustRightInd w:val="0"/>
        <w:rPr>
          <w:rFonts w:cs="Arial"/>
          <w:lang w:eastAsia="it-CH"/>
        </w:rPr>
      </w:pPr>
      <w:r w:rsidRPr="00D27487">
        <w:rPr>
          <w:rFonts w:cs="Arial"/>
          <w:lang w:eastAsia="it-CH"/>
        </w:rPr>
        <w:t>Da tali dati osserviamo che</w:t>
      </w:r>
      <w:r>
        <w:rPr>
          <w:rFonts w:cs="Arial"/>
          <w:lang w:eastAsia="it-CH"/>
        </w:rPr>
        <w:t xml:space="preserve"> l'aumento dell'uso delle superfici d'insediamento è</w:t>
      </w:r>
      <w:r w:rsidRPr="00D27487">
        <w:rPr>
          <w:rFonts w:cs="Arial"/>
          <w:lang w:eastAsia="it-CH"/>
        </w:rPr>
        <w:t xml:space="preserve"> diminuito nel tempo (anche se non si è arrestato) malgrado l’aumento della popolazione. Dal momento che questa è cresciuta più di quanto sia</w:t>
      </w:r>
      <w:r>
        <w:rPr>
          <w:rFonts w:cs="Arial"/>
          <w:lang w:eastAsia="it-CH"/>
        </w:rPr>
        <w:t xml:space="preserve"> cresciuto l’uso di superfici d'</w:t>
      </w:r>
      <w:r w:rsidRPr="00D27487">
        <w:rPr>
          <w:rFonts w:cs="Arial"/>
          <w:lang w:eastAsia="it-CH"/>
        </w:rPr>
        <w:t>insediamento, ne risulta che l</w:t>
      </w:r>
      <w:r>
        <w:rPr>
          <w:rFonts w:cs="Arial"/>
          <w:lang w:eastAsia="it-CH"/>
        </w:rPr>
        <w:t>'</w:t>
      </w:r>
      <w:r w:rsidRPr="00D27487">
        <w:rPr>
          <w:rFonts w:cs="Arial"/>
          <w:lang w:eastAsia="it-CH"/>
        </w:rPr>
        <w:t xml:space="preserve">uso medio pro-capite </w:t>
      </w:r>
      <w:r>
        <w:rPr>
          <w:rFonts w:cs="Arial"/>
          <w:lang w:eastAsia="it-CH"/>
        </w:rPr>
        <w:t>di superfice d'</w:t>
      </w:r>
      <w:r w:rsidRPr="00D27487">
        <w:rPr>
          <w:rFonts w:cs="Arial"/>
          <w:lang w:eastAsia="it-CH"/>
        </w:rPr>
        <w:t>insediamento sia progressivamente diminuito (come è stato ricordato nel rapporto di maggioranza attraverso le parole di Angelo Rossi).</w:t>
      </w:r>
    </w:p>
    <w:p w:rsidR="00317280" w:rsidRPr="00D27487" w:rsidRDefault="00317280" w:rsidP="00823E1F">
      <w:pPr>
        <w:autoSpaceDE w:val="0"/>
        <w:autoSpaceDN w:val="0"/>
        <w:adjustRightInd w:val="0"/>
        <w:rPr>
          <w:rFonts w:cs="Arial"/>
          <w:lang w:eastAsia="it-CH"/>
        </w:rPr>
      </w:pPr>
    </w:p>
    <w:p w:rsidR="00823E1F" w:rsidRPr="00D27487" w:rsidRDefault="00823E1F" w:rsidP="00823E1F">
      <w:pPr>
        <w:autoSpaceDE w:val="0"/>
        <w:autoSpaceDN w:val="0"/>
        <w:adjustRightInd w:val="0"/>
        <w:rPr>
          <w:rFonts w:cs="Arial"/>
          <w:lang w:eastAsia="it-CH"/>
        </w:rPr>
      </w:pPr>
      <w:r w:rsidRPr="00D27487">
        <w:rPr>
          <w:rFonts w:cs="Arial"/>
          <w:lang w:eastAsia="it-CH"/>
        </w:rPr>
        <w:t>Possiamo inoltre osservare come l</w:t>
      </w:r>
      <w:r>
        <w:rPr>
          <w:rFonts w:cs="Arial"/>
          <w:lang w:eastAsia="it-CH"/>
        </w:rPr>
        <w:t>'</w:t>
      </w:r>
      <w:r w:rsidRPr="00D27487">
        <w:rPr>
          <w:rFonts w:cs="Arial"/>
          <w:lang w:eastAsia="it-CH"/>
        </w:rPr>
        <w:t>aumento di</w:t>
      </w:r>
      <w:r>
        <w:rPr>
          <w:rFonts w:cs="Arial"/>
          <w:lang w:eastAsia="it-CH"/>
        </w:rPr>
        <w:t xml:space="preserve"> superfici d'</w:t>
      </w:r>
      <w:r w:rsidRPr="00D27487">
        <w:rPr>
          <w:rFonts w:cs="Arial"/>
          <w:lang w:eastAsia="it-CH"/>
        </w:rPr>
        <w:t xml:space="preserve">insediamento (edifici e strade) vada soprattutto a scapito delle superfici agricole che nel tempo sono continuamente diminuite. Dopo un drastico rallentamento alla fine del secolo scorso, nei primi due decenni </w:t>
      </w:r>
      <w:r w:rsidRPr="00D27487">
        <w:rPr>
          <w:rFonts w:cs="Arial"/>
          <w:lang w:eastAsia="it-CH"/>
        </w:rPr>
        <w:lastRenderedPageBreak/>
        <w:t xml:space="preserve">di questo secolo </w:t>
      </w:r>
      <w:r>
        <w:rPr>
          <w:rFonts w:cs="Arial"/>
          <w:lang w:eastAsia="it-CH"/>
        </w:rPr>
        <w:t>l'</w:t>
      </w:r>
      <w:r w:rsidRPr="00D27487">
        <w:rPr>
          <w:rFonts w:cs="Arial"/>
          <w:lang w:eastAsia="it-CH"/>
        </w:rPr>
        <w:t xml:space="preserve">erosione delle superfici agricole si è stabilizzata, anche se tra gli ultimi due rilevamenti (2004/2009 e 2013/2018) la diminuzione media annuale (- 47 ha) è riaumentata rispetto alla diminuzione (- 39 ha) tra i precedenti rilevamenti (1992/1997 e 2004/2009). </w:t>
      </w:r>
    </w:p>
    <w:tbl>
      <w:tblPr>
        <w:tblW w:w="10206" w:type="dxa"/>
        <w:tblCellMar>
          <w:left w:w="70" w:type="dxa"/>
          <w:right w:w="70" w:type="dxa"/>
        </w:tblCellMar>
        <w:tblLook w:val="04A0" w:firstRow="1" w:lastRow="0" w:firstColumn="1" w:lastColumn="0" w:noHBand="0" w:noVBand="1"/>
      </w:tblPr>
      <w:tblGrid>
        <w:gridCol w:w="2552"/>
        <w:gridCol w:w="850"/>
        <w:gridCol w:w="851"/>
        <w:gridCol w:w="850"/>
        <w:gridCol w:w="851"/>
        <w:gridCol w:w="13"/>
        <w:gridCol w:w="696"/>
        <w:gridCol w:w="708"/>
        <w:gridCol w:w="709"/>
        <w:gridCol w:w="709"/>
        <w:gridCol w:w="709"/>
        <w:gridCol w:w="708"/>
      </w:tblGrid>
      <w:tr w:rsidR="00823E1F" w:rsidRPr="002105C5" w:rsidTr="00823E1F">
        <w:trPr>
          <w:trHeight w:val="285"/>
        </w:trPr>
        <w:tc>
          <w:tcPr>
            <w:tcW w:w="2552"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sz w:val="20"/>
                <w:szCs w:val="20"/>
                <w:lang w:eastAsia="fr-CH"/>
              </w:rPr>
            </w:pPr>
          </w:p>
          <w:p w:rsidR="00823E1F" w:rsidRPr="00317280" w:rsidRDefault="00823E1F" w:rsidP="00823E1F">
            <w:pPr>
              <w:rPr>
                <w:rFonts w:cs="Arial"/>
                <w:b/>
                <w:bCs/>
                <w:sz w:val="20"/>
                <w:szCs w:val="20"/>
                <w:lang w:eastAsia="fr-CH"/>
              </w:rPr>
            </w:pPr>
            <w:r w:rsidRPr="00317280">
              <w:rPr>
                <w:rFonts w:cs="Arial"/>
                <w:b/>
                <w:bCs/>
                <w:sz w:val="20"/>
                <w:szCs w:val="20"/>
                <w:lang w:eastAsia="fr-CH"/>
              </w:rPr>
              <w:t>Tipo di superficie</w:t>
            </w:r>
          </w:p>
          <w:p w:rsidR="00823E1F" w:rsidRPr="00317280" w:rsidRDefault="00823E1F" w:rsidP="00823E1F">
            <w:pPr>
              <w:rPr>
                <w:rFonts w:cs="Arial"/>
                <w:sz w:val="20"/>
                <w:szCs w:val="20"/>
                <w:lang w:eastAsia="fr-CH"/>
              </w:rPr>
            </w:pPr>
          </w:p>
          <w:p w:rsidR="00823E1F" w:rsidRPr="00317280" w:rsidRDefault="00823E1F" w:rsidP="00823E1F">
            <w:pPr>
              <w:rPr>
                <w:rFonts w:cs="Arial"/>
                <w:sz w:val="20"/>
                <w:szCs w:val="20"/>
                <w:lang w:eastAsia="fr-CH"/>
              </w:rPr>
            </w:pPr>
          </w:p>
        </w:tc>
        <w:tc>
          <w:tcPr>
            <w:tcW w:w="3415" w:type="dxa"/>
            <w:gridSpan w:val="5"/>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Rilevamenti</w:t>
            </w:r>
          </w:p>
          <w:p w:rsidR="00823E1F" w:rsidRPr="00317280" w:rsidRDefault="00823E1F" w:rsidP="00823E1F">
            <w:pPr>
              <w:rPr>
                <w:rFonts w:cs="Arial"/>
                <w:b/>
                <w:bCs/>
                <w:color w:val="000000"/>
                <w:sz w:val="20"/>
                <w:szCs w:val="20"/>
              </w:rPr>
            </w:pPr>
          </w:p>
          <w:p w:rsidR="00823E1F" w:rsidRPr="00317280" w:rsidRDefault="00823E1F" w:rsidP="00823E1F">
            <w:pPr>
              <w:rPr>
                <w:rFonts w:cs="Arial"/>
                <w:sz w:val="20"/>
                <w:szCs w:val="20"/>
              </w:rPr>
            </w:pPr>
          </w:p>
        </w:tc>
        <w:tc>
          <w:tcPr>
            <w:tcW w:w="2113" w:type="dxa"/>
            <w:gridSpan w:val="3"/>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Variaz. tra rilevamenti</w:t>
            </w:r>
          </w:p>
          <w:p w:rsidR="00823E1F" w:rsidRPr="00317280" w:rsidRDefault="00823E1F" w:rsidP="00823E1F">
            <w:pPr>
              <w:rPr>
                <w:rFonts w:cs="Arial"/>
                <w:b/>
                <w:bCs/>
                <w:color w:val="000000"/>
                <w:sz w:val="20"/>
                <w:szCs w:val="20"/>
              </w:rPr>
            </w:pPr>
          </w:p>
          <w:p w:rsidR="00823E1F" w:rsidRPr="00317280" w:rsidRDefault="00823E1F" w:rsidP="00823E1F">
            <w:pPr>
              <w:rPr>
                <w:rFonts w:cs="Arial"/>
                <w:b/>
                <w:bCs/>
                <w:color w:val="000000"/>
                <w:sz w:val="20"/>
                <w:szCs w:val="20"/>
              </w:rPr>
            </w:pPr>
          </w:p>
        </w:tc>
        <w:tc>
          <w:tcPr>
            <w:tcW w:w="2126" w:type="dxa"/>
            <w:gridSpan w:val="3"/>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Variaz. annuale media</w:t>
            </w:r>
          </w:p>
          <w:p w:rsidR="00823E1F" w:rsidRPr="00317280" w:rsidRDefault="00823E1F" w:rsidP="00823E1F">
            <w:pPr>
              <w:rPr>
                <w:rFonts w:cs="Arial"/>
                <w:b/>
                <w:bCs/>
                <w:color w:val="000000"/>
                <w:sz w:val="20"/>
                <w:szCs w:val="20"/>
              </w:rPr>
            </w:pPr>
          </w:p>
          <w:p w:rsidR="00823E1F" w:rsidRPr="00317280" w:rsidRDefault="00823E1F" w:rsidP="00823E1F">
            <w:pPr>
              <w:rPr>
                <w:rFonts w:cs="Arial"/>
                <w:b/>
                <w:bCs/>
                <w:color w:val="000000"/>
                <w:sz w:val="20"/>
                <w:szCs w:val="20"/>
              </w:rPr>
            </w:pPr>
          </w:p>
        </w:tc>
      </w:tr>
      <w:tr w:rsidR="00823E1F" w:rsidRPr="002105C5" w:rsidTr="00823E1F">
        <w:trPr>
          <w:trHeight w:val="285"/>
        </w:trPr>
        <w:tc>
          <w:tcPr>
            <w:tcW w:w="2552"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b/>
                <w:bCs/>
                <w:sz w:val="20"/>
                <w:szCs w:val="20"/>
              </w:rPr>
            </w:pPr>
            <w:r w:rsidRPr="00317280">
              <w:rPr>
                <w:rFonts w:cs="Arial"/>
                <w:b/>
                <w:bCs/>
                <w:sz w:val="20"/>
                <w:szCs w:val="20"/>
              </w:rPr>
              <w:t>Pianura</w:t>
            </w:r>
          </w:p>
        </w:tc>
        <w:tc>
          <w:tcPr>
            <w:tcW w:w="850"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1979-85</w:t>
            </w:r>
          </w:p>
        </w:tc>
        <w:tc>
          <w:tcPr>
            <w:tcW w:w="851"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1992-97</w:t>
            </w:r>
          </w:p>
        </w:tc>
        <w:tc>
          <w:tcPr>
            <w:tcW w:w="850"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2004-09</w:t>
            </w:r>
          </w:p>
        </w:tc>
        <w:tc>
          <w:tcPr>
            <w:tcW w:w="851"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2013-18</w:t>
            </w:r>
          </w:p>
        </w:tc>
        <w:tc>
          <w:tcPr>
            <w:tcW w:w="709" w:type="dxa"/>
            <w:gridSpan w:val="2"/>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85-97</w:t>
            </w:r>
          </w:p>
        </w:tc>
        <w:tc>
          <w:tcPr>
            <w:tcW w:w="708"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97-09</w:t>
            </w:r>
          </w:p>
        </w:tc>
        <w:tc>
          <w:tcPr>
            <w:tcW w:w="709"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09-18</w:t>
            </w:r>
          </w:p>
        </w:tc>
        <w:tc>
          <w:tcPr>
            <w:tcW w:w="709"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85-97</w:t>
            </w:r>
          </w:p>
        </w:tc>
        <w:tc>
          <w:tcPr>
            <w:tcW w:w="709"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97-09</w:t>
            </w:r>
          </w:p>
        </w:tc>
        <w:tc>
          <w:tcPr>
            <w:tcW w:w="708"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09-18</w:t>
            </w:r>
          </w:p>
        </w:tc>
      </w:tr>
      <w:tr w:rsidR="00823E1F" w:rsidRPr="002105C5" w:rsidTr="00823E1F">
        <w:trPr>
          <w:trHeight w:val="285"/>
        </w:trPr>
        <w:tc>
          <w:tcPr>
            <w:tcW w:w="2552"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b/>
                <w:bCs/>
                <w:color w:val="000000"/>
                <w:sz w:val="20"/>
                <w:szCs w:val="20"/>
              </w:rPr>
            </w:pPr>
          </w:p>
        </w:tc>
        <w:tc>
          <w:tcPr>
            <w:tcW w:w="850"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sz w:val="20"/>
                <w:szCs w:val="20"/>
              </w:rPr>
            </w:pPr>
          </w:p>
        </w:tc>
        <w:tc>
          <w:tcPr>
            <w:tcW w:w="851"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sz w:val="20"/>
                <w:szCs w:val="20"/>
              </w:rPr>
            </w:pPr>
          </w:p>
        </w:tc>
        <w:tc>
          <w:tcPr>
            <w:tcW w:w="850"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sz w:val="20"/>
                <w:szCs w:val="20"/>
              </w:rPr>
            </w:pPr>
          </w:p>
        </w:tc>
        <w:tc>
          <w:tcPr>
            <w:tcW w:w="851"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sz w:val="20"/>
                <w:szCs w:val="20"/>
              </w:rPr>
            </w:pPr>
          </w:p>
        </w:tc>
        <w:tc>
          <w:tcPr>
            <w:tcW w:w="709" w:type="dxa"/>
            <w:gridSpan w:val="2"/>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sz w:val="20"/>
                <w:szCs w:val="20"/>
              </w:rPr>
            </w:pPr>
          </w:p>
        </w:tc>
        <w:tc>
          <w:tcPr>
            <w:tcW w:w="708"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sz w:val="20"/>
                <w:szCs w:val="20"/>
              </w:rPr>
            </w:pPr>
          </w:p>
        </w:tc>
        <w:tc>
          <w:tcPr>
            <w:tcW w:w="709"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sz w:val="20"/>
                <w:szCs w:val="20"/>
              </w:rPr>
            </w:pPr>
          </w:p>
        </w:tc>
        <w:tc>
          <w:tcPr>
            <w:tcW w:w="709"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sz w:val="20"/>
                <w:szCs w:val="20"/>
              </w:rPr>
            </w:pPr>
          </w:p>
        </w:tc>
        <w:tc>
          <w:tcPr>
            <w:tcW w:w="709"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sz w:val="20"/>
                <w:szCs w:val="20"/>
              </w:rPr>
            </w:pPr>
          </w:p>
        </w:tc>
        <w:tc>
          <w:tcPr>
            <w:tcW w:w="708"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sz w:val="20"/>
                <w:szCs w:val="20"/>
              </w:rPr>
            </w:pPr>
          </w:p>
        </w:tc>
      </w:tr>
      <w:tr w:rsidR="00823E1F" w:rsidRPr="002105C5" w:rsidTr="00823E1F">
        <w:trPr>
          <w:trHeight w:val="285"/>
        </w:trPr>
        <w:tc>
          <w:tcPr>
            <w:tcW w:w="2552"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Tipologia di superficie</w:t>
            </w:r>
          </w:p>
        </w:tc>
        <w:tc>
          <w:tcPr>
            <w:tcW w:w="850"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ettari</w:t>
            </w:r>
          </w:p>
        </w:tc>
        <w:tc>
          <w:tcPr>
            <w:tcW w:w="851"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ettari</w:t>
            </w:r>
          </w:p>
        </w:tc>
        <w:tc>
          <w:tcPr>
            <w:tcW w:w="850"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ettari</w:t>
            </w:r>
          </w:p>
        </w:tc>
        <w:tc>
          <w:tcPr>
            <w:tcW w:w="851"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ettari</w:t>
            </w:r>
          </w:p>
        </w:tc>
        <w:tc>
          <w:tcPr>
            <w:tcW w:w="709" w:type="dxa"/>
            <w:gridSpan w:val="2"/>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ettari</w:t>
            </w:r>
          </w:p>
        </w:tc>
        <w:tc>
          <w:tcPr>
            <w:tcW w:w="708"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ettari</w:t>
            </w:r>
          </w:p>
        </w:tc>
        <w:tc>
          <w:tcPr>
            <w:tcW w:w="709"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ettari</w:t>
            </w:r>
          </w:p>
        </w:tc>
        <w:tc>
          <w:tcPr>
            <w:tcW w:w="709"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ettari</w:t>
            </w:r>
          </w:p>
        </w:tc>
        <w:tc>
          <w:tcPr>
            <w:tcW w:w="709"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ettari</w:t>
            </w:r>
          </w:p>
        </w:tc>
        <w:tc>
          <w:tcPr>
            <w:tcW w:w="708"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ettari</w:t>
            </w:r>
          </w:p>
        </w:tc>
      </w:tr>
      <w:tr w:rsidR="00823E1F" w:rsidRPr="002105C5" w:rsidTr="00823E1F">
        <w:trPr>
          <w:trHeight w:val="285"/>
        </w:trPr>
        <w:tc>
          <w:tcPr>
            <w:tcW w:w="2552"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Area industriale e artigianale</w:t>
            </w:r>
          </w:p>
        </w:tc>
        <w:tc>
          <w:tcPr>
            <w:tcW w:w="850"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809</w:t>
            </w:r>
          </w:p>
        </w:tc>
        <w:tc>
          <w:tcPr>
            <w:tcW w:w="851"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1001</w:t>
            </w:r>
          </w:p>
        </w:tc>
        <w:tc>
          <w:tcPr>
            <w:tcW w:w="850"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1’073</w:t>
            </w:r>
          </w:p>
        </w:tc>
        <w:tc>
          <w:tcPr>
            <w:tcW w:w="851"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1’126</w:t>
            </w:r>
          </w:p>
        </w:tc>
        <w:tc>
          <w:tcPr>
            <w:tcW w:w="709" w:type="dxa"/>
            <w:gridSpan w:val="2"/>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192.0</w:t>
            </w:r>
          </w:p>
        </w:tc>
        <w:tc>
          <w:tcPr>
            <w:tcW w:w="708"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72.0</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53.0</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16.0</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6.0</w:t>
            </w:r>
          </w:p>
        </w:tc>
        <w:tc>
          <w:tcPr>
            <w:tcW w:w="708"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5.9</w:t>
            </w:r>
          </w:p>
        </w:tc>
      </w:tr>
      <w:tr w:rsidR="00823E1F" w:rsidRPr="002105C5" w:rsidTr="00823E1F">
        <w:trPr>
          <w:trHeight w:val="285"/>
        </w:trPr>
        <w:tc>
          <w:tcPr>
            <w:tcW w:w="2552"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Area edificata</w:t>
            </w:r>
          </w:p>
        </w:tc>
        <w:tc>
          <w:tcPr>
            <w:tcW w:w="850"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4’587</w:t>
            </w:r>
          </w:p>
        </w:tc>
        <w:tc>
          <w:tcPr>
            <w:tcW w:w="851"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5413</w:t>
            </w:r>
          </w:p>
        </w:tc>
        <w:tc>
          <w:tcPr>
            <w:tcW w:w="850"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5’956</w:t>
            </w:r>
          </w:p>
        </w:tc>
        <w:tc>
          <w:tcPr>
            <w:tcW w:w="851"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6’281</w:t>
            </w:r>
          </w:p>
        </w:tc>
        <w:tc>
          <w:tcPr>
            <w:tcW w:w="709" w:type="dxa"/>
            <w:gridSpan w:val="2"/>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826.0</w:t>
            </w:r>
          </w:p>
        </w:tc>
        <w:tc>
          <w:tcPr>
            <w:tcW w:w="708"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543.0</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325.0</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68.8</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45.3</w:t>
            </w:r>
          </w:p>
        </w:tc>
        <w:tc>
          <w:tcPr>
            <w:tcW w:w="708"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36.1</w:t>
            </w:r>
          </w:p>
        </w:tc>
      </w:tr>
      <w:tr w:rsidR="00823E1F" w:rsidRPr="002105C5" w:rsidTr="00823E1F">
        <w:trPr>
          <w:trHeight w:val="285"/>
        </w:trPr>
        <w:tc>
          <w:tcPr>
            <w:tcW w:w="2552"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Superfici del traffico</w:t>
            </w:r>
          </w:p>
        </w:tc>
        <w:tc>
          <w:tcPr>
            <w:tcW w:w="850"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2’608</w:t>
            </w:r>
          </w:p>
        </w:tc>
        <w:tc>
          <w:tcPr>
            <w:tcW w:w="851"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3005</w:t>
            </w:r>
          </w:p>
        </w:tc>
        <w:tc>
          <w:tcPr>
            <w:tcW w:w="850"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3’122</w:t>
            </w:r>
          </w:p>
        </w:tc>
        <w:tc>
          <w:tcPr>
            <w:tcW w:w="851"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3’230</w:t>
            </w:r>
          </w:p>
        </w:tc>
        <w:tc>
          <w:tcPr>
            <w:tcW w:w="709" w:type="dxa"/>
            <w:gridSpan w:val="2"/>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397.0</w:t>
            </w:r>
          </w:p>
        </w:tc>
        <w:tc>
          <w:tcPr>
            <w:tcW w:w="708"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117.0</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108.0</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33.1</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9.8</w:t>
            </w:r>
          </w:p>
        </w:tc>
        <w:tc>
          <w:tcPr>
            <w:tcW w:w="708"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12.0</w:t>
            </w:r>
          </w:p>
        </w:tc>
      </w:tr>
      <w:tr w:rsidR="00823E1F" w:rsidRPr="002105C5" w:rsidTr="00823E1F">
        <w:trPr>
          <w:trHeight w:val="285"/>
        </w:trPr>
        <w:tc>
          <w:tcPr>
            <w:tcW w:w="2552"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Superfici d'insediamento speciali</w:t>
            </w:r>
          </w:p>
        </w:tc>
        <w:tc>
          <w:tcPr>
            <w:tcW w:w="850"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1’037</w:t>
            </w:r>
          </w:p>
        </w:tc>
        <w:tc>
          <w:tcPr>
            <w:tcW w:w="851"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893</w:t>
            </w:r>
          </w:p>
        </w:tc>
        <w:tc>
          <w:tcPr>
            <w:tcW w:w="850"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840</w:t>
            </w:r>
          </w:p>
        </w:tc>
        <w:tc>
          <w:tcPr>
            <w:tcW w:w="851"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825</w:t>
            </w:r>
          </w:p>
        </w:tc>
        <w:tc>
          <w:tcPr>
            <w:tcW w:w="709" w:type="dxa"/>
            <w:gridSpan w:val="2"/>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-144.0</w:t>
            </w:r>
          </w:p>
        </w:tc>
        <w:tc>
          <w:tcPr>
            <w:tcW w:w="708"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-53.0</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-15.0</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-12.0</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-4.4</w:t>
            </w:r>
          </w:p>
        </w:tc>
        <w:tc>
          <w:tcPr>
            <w:tcW w:w="708"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-1.7</w:t>
            </w:r>
          </w:p>
        </w:tc>
      </w:tr>
      <w:tr w:rsidR="00823E1F" w:rsidRPr="002105C5" w:rsidTr="00823E1F">
        <w:trPr>
          <w:trHeight w:val="285"/>
        </w:trPr>
        <w:tc>
          <w:tcPr>
            <w:tcW w:w="2552"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Zone verdi e di riposo</w:t>
            </w:r>
          </w:p>
        </w:tc>
        <w:tc>
          <w:tcPr>
            <w:tcW w:w="850"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641</w:t>
            </w:r>
          </w:p>
        </w:tc>
        <w:tc>
          <w:tcPr>
            <w:tcW w:w="851"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760</w:t>
            </w:r>
          </w:p>
        </w:tc>
        <w:tc>
          <w:tcPr>
            <w:tcW w:w="850"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852</w:t>
            </w:r>
          </w:p>
        </w:tc>
        <w:tc>
          <w:tcPr>
            <w:tcW w:w="851"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866</w:t>
            </w:r>
          </w:p>
        </w:tc>
        <w:tc>
          <w:tcPr>
            <w:tcW w:w="709" w:type="dxa"/>
            <w:gridSpan w:val="2"/>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119.0</w:t>
            </w:r>
          </w:p>
        </w:tc>
        <w:tc>
          <w:tcPr>
            <w:tcW w:w="708"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92.0</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14.0</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9.9</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7.7</w:t>
            </w:r>
          </w:p>
        </w:tc>
        <w:tc>
          <w:tcPr>
            <w:tcW w:w="708"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FF0000"/>
                <w:sz w:val="20"/>
                <w:szCs w:val="20"/>
              </w:rPr>
            </w:pPr>
            <w:r w:rsidRPr="00317280">
              <w:rPr>
                <w:rFonts w:cs="Arial"/>
                <w:color w:val="FF0000"/>
                <w:sz w:val="20"/>
                <w:szCs w:val="20"/>
              </w:rPr>
              <w:t>1.6</w:t>
            </w:r>
          </w:p>
        </w:tc>
      </w:tr>
      <w:tr w:rsidR="00823E1F" w:rsidRPr="002105C5" w:rsidTr="00823E1F">
        <w:trPr>
          <w:trHeight w:val="285"/>
        </w:trPr>
        <w:tc>
          <w:tcPr>
            <w:tcW w:w="2552"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Frutteti, vigneti e orti</w:t>
            </w:r>
          </w:p>
        </w:tc>
        <w:tc>
          <w:tcPr>
            <w:tcW w:w="850"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1’774</w:t>
            </w:r>
          </w:p>
        </w:tc>
        <w:tc>
          <w:tcPr>
            <w:tcW w:w="851"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1710</w:t>
            </w:r>
          </w:p>
        </w:tc>
        <w:tc>
          <w:tcPr>
            <w:tcW w:w="850"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1’590</w:t>
            </w:r>
          </w:p>
        </w:tc>
        <w:tc>
          <w:tcPr>
            <w:tcW w:w="851"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1’571</w:t>
            </w:r>
          </w:p>
        </w:tc>
        <w:tc>
          <w:tcPr>
            <w:tcW w:w="709" w:type="dxa"/>
            <w:gridSpan w:val="2"/>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-64.0</w:t>
            </w:r>
          </w:p>
        </w:tc>
        <w:tc>
          <w:tcPr>
            <w:tcW w:w="708"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-120.0</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-19.0</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-5.3</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-10.0</w:t>
            </w:r>
          </w:p>
        </w:tc>
        <w:tc>
          <w:tcPr>
            <w:tcW w:w="708"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-2.1</w:t>
            </w:r>
          </w:p>
        </w:tc>
      </w:tr>
      <w:tr w:rsidR="00823E1F" w:rsidRPr="002105C5" w:rsidTr="00823E1F">
        <w:trPr>
          <w:trHeight w:val="285"/>
        </w:trPr>
        <w:tc>
          <w:tcPr>
            <w:tcW w:w="2552"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Campi</w:t>
            </w:r>
          </w:p>
        </w:tc>
        <w:tc>
          <w:tcPr>
            <w:tcW w:w="850"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2’893</w:t>
            </w:r>
          </w:p>
        </w:tc>
        <w:tc>
          <w:tcPr>
            <w:tcW w:w="851"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2519</w:t>
            </w:r>
          </w:p>
        </w:tc>
        <w:tc>
          <w:tcPr>
            <w:tcW w:w="850"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2’203</w:t>
            </w:r>
          </w:p>
        </w:tc>
        <w:tc>
          <w:tcPr>
            <w:tcW w:w="851"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1’945</w:t>
            </w:r>
          </w:p>
        </w:tc>
        <w:tc>
          <w:tcPr>
            <w:tcW w:w="709" w:type="dxa"/>
            <w:gridSpan w:val="2"/>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-374.0</w:t>
            </w:r>
          </w:p>
        </w:tc>
        <w:tc>
          <w:tcPr>
            <w:tcW w:w="708"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-316.0</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-258.0</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-31.2</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-26.3</w:t>
            </w:r>
          </w:p>
        </w:tc>
        <w:tc>
          <w:tcPr>
            <w:tcW w:w="708"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-28.7</w:t>
            </w:r>
          </w:p>
        </w:tc>
      </w:tr>
      <w:tr w:rsidR="00823E1F" w:rsidRPr="002105C5" w:rsidTr="00823E1F">
        <w:trPr>
          <w:trHeight w:val="285"/>
        </w:trPr>
        <w:tc>
          <w:tcPr>
            <w:tcW w:w="2552"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Prati naturali e pascoli locali</w:t>
            </w:r>
          </w:p>
        </w:tc>
        <w:tc>
          <w:tcPr>
            <w:tcW w:w="850"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3’833</w:t>
            </w:r>
          </w:p>
        </w:tc>
        <w:tc>
          <w:tcPr>
            <w:tcW w:w="851"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3126</w:t>
            </w:r>
          </w:p>
        </w:tc>
        <w:tc>
          <w:tcPr>
            <w:tcW w:w="850"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3’089</w:t>
            </w:r>
          </w:p>
        </w:tc>
        <w:tc>
          <w:tcPr>
            <w:tcW w:w="851"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2’942</w:t>
            </w:r>
          </w:p>
        </w:tc>
        <w:tc>
          <w:tcPr>
            <w:tcW w:w="709" w:type="dxa"/>
            <w:gridSpan w:val="2"/>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-707.0</w:t>
            </w:r>
          </w:p>
        </w:tc>
        <w:tc>
          <w:tcPr>
            <w:tcW w:w="708"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-37.0</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-147.0</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-58.9</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-3.1</w:t>
            </w:r>
          </w:p>
        </w:tc>
        <w:tc>
          <w:tcPr>
            <w:tcW w:w="708"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-16.3</w:t>
            </w:r>
          </w:p>
        </w:tc>
      </w:tr>
      <w:tr w:rsidR="00823E1F" w:rsidRPr="002105C5" w:rsidTr="00823E1F">
        <w:trPr>
          <w:trHeight w:val="285"/>
        </w:trPr>
        <w:tc>
          <w:tcPr>
            <w:tcW w:w="2552"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Alpeggi</w:t>
            </w:r>
          </w:p>
        </w:tc>
        <w:tc>
          <w:tcPr>
            <w:tcW w:w="850"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5</w:t>
            </w:r>
          </w:p>
        </w:tc>
        <w:tc>
          <w:tcPr>
            <w:tcW w:w="851"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5</w:t>
            </w:r>
          </w:p>
        </w:tc>
        <w:tc>
          <w:tcPr>
            <w:tcW w:w="850"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5</w:t>
            </w:r>
          </w:p>
        </w:tc>
        <w:tc>
          <w:tcPr>
            <w:tcW w:w="851"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5</w:t>
            </w:r>
          </w:p>
        </w:tc>
        <w:tc>
          <w:tcPr>
            <w:tcW w:w="709" w:type="dxa"/>
            <w:gridSpan w:val="2"/>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0.0</w:t>
            </w:r>
          </w:p>
        </w:tc>
        <w:tc>
          <w:tcPr>
            <w:tcW w:w="708"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0.0</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0.0</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0.0</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0.0</w:t>
            </w:r>
          </w:p>
        </w:tc>
        <w:tc>
          <w:tcPr>
            <w:tcW w:w="708"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70AD47" w:themeColor="accent6"/>
                <w:sz w:val="20"/>
                <w:szCs w:val="20"/>
              </w:rPr>
            </w:pPr>
            <w:r w:rsidRPr="00317280">
              <w:rPr>
                <w:rFonts w:cs="Arial"/>
                <w:color w:val="70AD47" w:themeColor="accent6"/>
                <w:sz w:val="20"/>
                <w:szCs w:val="20"/>
              </w:rPr>
              <w:t>0.0</w:t>
            </w:r>
          </w:p>
        </w:tc>
      </w:tr>
      <w:tr w:rsidR="00823E1F" w:rsidRPr="002105C5" w:rsidTr="00823E1F">
        <w:trPr>
          <w:trHeight w:val="285"/>
        </w:trPr>
        <w:tc>
          <w:tcPr>
            <w:tcW w:w="2552"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Bosco (escl. Bosco arbustivo)</w:t>
            </w:r>
          </w:p>
        </w:tc>
        <w:tc>
          <w:tcPr>
            <w:tcW w:w="850"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11’554</w:t>
            </w:r>
          </w:p>
        </w:tc>
        <w:tc>
          <w:tcPr>
            <w:tcW w:w="851"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11763</w:t>
            </w:r>
          </w:p>
        </w:tc>
        <w:tc>
          <w:tcPr>
            <w:tcW w:w="850"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11’726</w:t>
            </w:r>
          </w:p>
        </w:tc>
        <w:tc>
          <w:tcPr>
            <w:tcW w:w="851"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11’922</w:t>
            </w:r>
          </w:p>
        </w:tc>
        <w:tc>
          <w:tcPr>
            <w:tcW w:w="709" w:type="dxa"/>
            <w:gridSpan w:val="2"/>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209.0</w:t>
            </w:r>
          </w:p>
        </w:tc>
        <w:tc>
          <w:tcPr>
            <w:tcW w:w="708"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-37.0</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196.0</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17.4</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-3.1</w:t>
            </w:r>
          </w:p>
        </w:tc>
        <w:tc>
          <w:tcPr>
            <w:tcW w:w="708"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21.8</w:t>
            </w:r>
          </w:p>
        </w:tc>
      </w:tr>
      <w:tr w:rsidR="00823E1F" w:rsidRPr="002105C5" w:rsidTr="00823E1F">
        <w:trPr>
          <w:trHeight w:val="285"/>
        </w:trPr>
        <w:tc>
          <w:tcPr>
            <w:tcW w:w="2552"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Bosco arbustivo</w:t>
            </w:r>
          </w:p>
        </w:tc>
        <w:tc>
          <w:tcPr>
            <w:tcW w:w="850"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156</w:t>
            </w:r>
          </w:p>
        </w:tc>
        <w:tc>
          <w:tcPr>
            <w:tcW w:w="851"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120</w:t>
            </w:r>
          </w:p>
        </w:tc>
        <w:tc>
          <w:tcPr>
            <w:tcW w:w="850"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142</w:t>
            </w:r>
          </w:p>
        </w:tc>
        <w:tc>
          <w:tcPr>
            <w:tcW w:w="851"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99</w:t>
            </w:r>
          </w:p>
        </w:tc>
        <w:tc>
          <w:tcPr>
            <w:tcW w:w="709" w:type="dxa"/>
            <w:gridSpan w:val="2"/>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-36.0</w:t>
            </w:r>
          </w:p>
        </w:tc>
        <w:tc>
          <w:tcPr>
            <w:tcW w:w="708"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22.0</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-43.0</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-3.0</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1.8</w:t>
            </w:r>
          </w:p>
        </w:tc>
        <w:tc>
          <w:tcPr>
            <w:tcW w:w="708"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-4.8</w:t>
            </w:r>
          </w:p>
        </w:tc>
      </w:tr>
      <w:tr w:rsidR="00823E1F" w:rsidRPr="002105C5" w:rsidTr="00823E1F">
        <w:trPr>
          <w:trHeight w:val="285"/>
        </w:trPr>
        <w:tc>
          <w:tcPr>
            <w:tcW w:w="2552"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Boschetto</w:t>
            </w:r>
          </w:p>
        </w:tc>
        <w:tc>
          <w:tcPr>
            <w:tcW w:w="850"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1’101</w:t>
            </w:r>
          </w:p>
        </w:tc>
        <w:tc>
          <w:tcPr>
            <w:tcW w:w="851"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929</w:t>
            </w:r>
          </w:p>
        </w:tc>
        <w:tc>
          <w:tcPr>
            <w:tcW w:w="850"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813</w:t>
            </w:r>
          </w:p>
        </w:tc>
        <w:tc>
          <w:tcPr>
            <w:tcW w:w="851"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785</w:t>
            </w:r>
          </w:p>
        </w:tc>
        <w:tc>
          <w:tcPr>
            <w:tcW w:w="709" w:type="dxa"/>
            <w:gridSpan w:val="2"/>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-172.0</w:t>
            </w:r>
          </w:p>
        </w:tc>
        <w:tc>
          <w:tcPr>
            <w:tcW w:w="708"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-116.0</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-28.0</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-14.3</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-9.7</w:t>
            </w:r>
          </w:p>
        </w:tc>
        <w:tc>
          <w:tcPr>
            <w:tcW w:w="708"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50"/>
                <w:sz w:val="20"/>
                <w:szCs w:val="20"/>
              </w:rPr>
            </w:pPr>
            <w:r w:rsidRPr="00317280">
              <w:rPr>
                <w:rFonts w:cs="Arial"/>
                <w:color w:val="00B050"/>
                <w:sz w:val="20"/>
                <w:szCs w:val="20"/>
              </w:rPr>
              <w:t>-3.1</w:t>
            </w:r>
          </w:p>
        </w:tc>
      </w:tr>
      <w:tr w:rsidR="00823E1F" w:rsidRPr="002105C5" w:rsidTr="00823E1F">
        <w:trPr>
          <w:trHeight w:val="285"/>
        </w:trPr>
        <w:tc>
          <w:tcPr>
            <w:tcW w:w="2552"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Laghi</w:t>
            </w:r>
          </w:p>
        </w:tc>
        <w:tc>
          <w:tcPr>
            <w:tcW w:w="850"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7’326</w:t>
            </w:r>
          </w:p>
        </w:tc>
        <w:tc>
          <w:tcPr>
            <w:tcW w:w="851"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7314</w:t>
            </w:r>
          </w:p>
        </w:tc>
        <w:tc>
          <w:tcPr>
            <w:tcW w:w="850"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7’314</w:t>
            </w:r>
          </w:p>
        </w:tc>
        <w:tc>
          <w:tcPr>
            <w:tcW w:w="851"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7’328</w:t>
            </w:r>
          </w:p>
        </w:tc>
        <w:tc>
          <w:tcPr>
            <w:tcW w:w="709" w:type="dxa"/>
            <w:gridSpan w:val="2"/>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-12.0</w:t>
            </w:r>
          </w:p>
        </w:tc>
        <w:tc>
          <w:tcPr>
            <w:tcW w:w="708"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0.0</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14.0</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-1.0</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0.0</w:t>
            </w:r>
          </w:p>
        </w:tc>
        <w:tc>
          <w:tcPr>
            <w:tcW w:w="708"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1.6</w:t>
            </w:r>
          </w:p>
        </w:tc>
      </w:tr>
      <w:tr w:rsidR="00823E1F" w:rsidRPr="002105C5" w:rsidTr="00823E1F">
        <w:trPr>
          <w:trHeight w:val="285"/>
        </w:trPr>
        <w:tc>
          <w:tcPr>
            <w:tcW w:w="2552"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Corsi d'acqua</w:t>
            </w:r>
          </w:p>
        </w:tc>
        <w:tc>
          <w:tcPr>
            <w:tcW w:w="850"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1’364</w:t>
            </w:r>
          </w:p>
        </w:tc>
        <w:tc>
          <w:tcPr>
            <w:tcW w:w="851"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1300</w:t>
            </w:r>
          </w:p>
        </w:tc>
        <w:tc>
          <w:tcPr>
            <w:tcW w:w="850"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1’239</w:t>
            </w:r>
          </w:p>
        </w:tc>
        <w:tc>
          <w:tcPr>
            <w:tcW w:w="851"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1’153</w:t>
            </w:r>
          </w:p>
        </w:tc>
        <w:tc>
          <w:tcPr>
            <w:tcW w:w="709" w:type="dxa"/>
            <w:gridSpan w:val="2"/>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-64.0</w:t>
            </w:r>
          </w:p>
        </w:tc>
        <w:tc>
          <w:tcPr>
            <w:tcW w:w="708"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-61.0</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-86.0</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-5.3</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-5.1</w:t>
            </w:r>
          </w:p>
        </w:tc>
        <w:tc>
          <w:tcPr>
            <w:tcW w:w="708"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-9.6</w:t>
            </w:r>
          </w:p>
        </w:tc>
      </w:tr>
      <w:tr w:rsidR="00823E1F" w:rsidRPr="002105C5" w:rsidTr="00823E1F">
        <w:trPr>
          <w:trHeight w:val="285"/>
        </w:trPr>
        <w:tc>
          <w:tcPr>
            <w:tcW w:w="2552"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Vegetazione improduttiva</w:t>
            </w:r>
          </w:p>
        </w:tc>
        <w:tc>
          <w:tcPr>
            <w:tcW w:w="850"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712</w:t>
            </w:r>
          </w:p>
        </w:tc>
        <w:tc>
          <w:tcPr>
            <w:tcW w:w="851"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570</w:t>
            </w:r>
          </w:p>
        </w:tc>
        <w:tc>
          <w:tcPr>
            <w:tcW w:w="850"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468</w:t>
            </w:r>
          </w:p>
        </w:tc>
        <w:tc>
          <w:tcPr>
            <w:tcW w:w="851"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361</w:t>
            </w:r>
          </w:p>
        </w:tc>
        <w:tc>
          <w:tcPr>
            <w:tcW w:w="709" w:type="dxa"/>
            <w:gridSpan w:val="2"/>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-142.0</w:t>
            </w:r>
          </w:p>
        </w:tc>
        <w:tc>
          <w:tcPr>
            <w:tcW w:w="708"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-102.0</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-107.0</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-11.8</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-8.5</w:t>
            </w:r>
          </w:p>
        </w:tc>
        <w:tc>
          <w:tcPr>
            <w:tcW w:w="708"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-11.9</w:t>
            </w:r>
          </w:p>
        </w:tc>
      </w:tr>
      <w:tr w:rsidR="00823E1F" w:rsidRPr="002105C5" w:rsidTr="00823E1F">
        <w:trPr>
          <w:trHeight w:val="285"/>
        </w:trPr>
        <w:tc>
          <w:tcPr>
            <w:tcW w:w="2552"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Terreni senza vegetazione</w:t>
            </w:r>
          </w:p>
        </w:tc>
        <w:tc>
          <w:tcPr>
            <w:tcW w:w="850"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152</w:t>
            </w:r>
          </w:p>
        </w:tc>
        <w:tc>
          <w:tcPr>
            <w:tcW w:w="851"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124</w:t>
            </w:r>
          </w:p>
        </w:tc>
        <w:tc>
          <w:tcPr>
            <w:tcW w:w="850"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120</w:t>
            </w:r>
          </w:p>
        </w:tc>
        <w:tc>
          <w:tcPr>
            <w:tcW w:w="851"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113</w:t>
            </w:r>
          </w:p>
        </w:tc>
        <w:tc>
          <w:tcPr>
            <w:tcW w:w="709" w:type="dxa"/>
            <w:gridSpan w:val="2"/>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-28.0</w:t>
            </w:r>
          </w:p>
        </w:tc>
        <w:tc>
          <w:tcPr>
            <w:tcW w:w="708"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-4.0</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-7.0</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-2.3</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-0.3</w:t>
            </w:r>
          </w:p>
        </w:tc>
        <w:tc>
          <w:tcPr>
            <w:tcW w:w="708"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-0.8</w:t>
            </w:r>
          </w:p>
        </w:tc>
      </w:tr>
      <w:tr w:rsidR="00823E1F" w:rsidRPr="002105C5" w:rsidTr="00823E1F">
        <w:trPr>
          <w:trHeight w:val="285"/>
        </w:trPr>
        <w:tc>
          <w:tcPr>
            <w:tcW w:w="2552"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Ghiacciai, nevai</w:t>
            </w:r>
          </w:p>
        </w:tc>
        <w:tc>
          <w:tcPr>
            <w:tcW w:w="850"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0</w:t>
            </w:r>
          </w:p>
        </w:tc>
        <w:tc>
          <w:tcPr>
            <w:tcW w:w="851"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0</w:t>
            </w:r>
          </w:p>
        </w:tc>
        <w:tc>
          <w:tcPr>
            <w:tcW w:w="850"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0</w:t>
            </w:r>
          </w:p>
        </w:tc>
        <w:tc>
          <w:tcPr>
            <w:tcW w:w="851"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0</w:t>
            </w:r>
          </w:p>
        </w:tc>
        <w:tc>
          <w:tcPr>
            <w:tcW w:w="709" w:type="dxa"/>
            <w:gridSpan w:val="2"/>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0.0</w:t>
            </w:r>
          </w:p>
        </w:tc>
        <w:tc>
          <w:tcPr>
            <w:tcW w:w="708"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0.0</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0.0</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0.0</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0.0</w:t>
            </w:r>
          </w:p>
        </w:tc>
        <w:tc>
          <w:tcPr>
            <w:tcW w:w="708"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color w:val="00B0F0"/>
                <w:sz w:val="20"/>
                <w:szCs w:val="20"/>
              </w:rPr>
            </w:pPr>
            <w:r w:rsidRPr="00317280">
              <w:rPr>
                <w:rFonts w:cs="Arial"/>
                <w:color w:val="00B0F0"/>
                <w:sz w:val="20"/>
                <w:szCs w:val="20"/>
              </w:rPr>
              <w:t>0.0</w:t>
            </w:r>
          </w:p>
        </w:tc>
      </w:tr>
      <w:tr w:rsidR="00823E1F" w:rsidRPr="002105C5" w:rsidTr="00823E1F">
        <w:trPr>
          <w:trHeight w:val="285"/>
        </w:trPr>
        <w:tc>
          <w:tcPr>
            <w:tcW w:w="2552" w:type="dxa"/>
            <w:tcBorders>
              <w:top w:val="nil"/>
              <w:left w:val="nil"/>
              <w:bottom w:val="nil"/>
              <w:right w:val="nil"/>
            </w:tcBorders>
            <w:shd w:val="clear" w:color="auto" w:fill="D9D9D9" w:themeFill="background1" w:themeFillShade="D9"/>
            <w:noWrap/>
            <w:vAlign w:val="bottom"/>
            <w:hideMark/>
          </w:tcPr>
          <w:p w:rsidR="00823E1F" w:rsidRPr="00317280" w:rsidRDefault="00823E1F" w:rsidP="00823E1F">
            <w:pPr>
              <w:rPr>
                <w:rFonts w:cs="Arial"/>
                <w:color w:val="000000"/>
                <w:sz w:val="20"/>
                <w:szCs w:val="20"/>
              </w:rPr>
            </w:pPr>
          </w:p>
        </w:tc>
        <w:tc>
          <w:tcPr>
            <w:tcW w:w="850"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40’552</w:t>
            </w:r>
          </w:p>
        </w:tc>
        <w:tc>
          <w:tcPr>
            <w:tcW w:w="851"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40552</w:t>
            </w:r>
          </w:p>
        </w:tc>
        <w:tc>
          <w:tcPr>
            <w:tcW w:w="850"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40’552</w:t>
            </w:r>
          </w:p>
        </w:tc>
        <w:tc>
          <w:tcPr>
            <w:tcW w:w="851"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40’552</w:t>
            </w:r>
          </w:p>
        </w:tc>
        <w:tc>
          <w:tcPr>
            <w:tcW w:w="709" w:type="dxa"/>
            <w:gridSpan w:val="2"/>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0.0</w:t>
            </w:r>
          </w:p>
        </w:tc>
        <w:tc>
          <w:tcPr>
            <w:tcW w:w="708"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0.0</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0.0</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0.0</w:t>
            </w:r>
          </w:p>
        </w:tc>
        <w:tc>
          <w:tcPr>
            <w:tcW w:w="709"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0.0</w:t>
            </w:r>
          </w:p>
        </w:tc>
        <w:tc>
          <w:tcPr>
            <w:tcW w:w="708" w:type="dxa"/>
            <w:tcBorders>
              <w:top w:val="nil"/>
              <w:left w:val="nil"/>
              <w:bottom w:val="nil"/>
              <w:right w:val="nil"/>
            </w:tcBorders>
            <w:shd w:val="clear" w:color="auto" w:fill="F2F2F2" w:themeFill="background1" w:themeFillShade="F2"/>
            <w:noWrap/>
            <w:vAlign w:val="bottom"/>
            <w:hideMark/>
          </w:tcPr>
          <w:p w:rsidR="00823E1F" w:rsidRPr="00317280" w:rsidRDefault="00823E1F" w:rsidP="00823E1F">
            <w:pPr>
              <w:rPr>
                <w:rFonts w:cs="Arial"/>
                <w:b/>
                <w:bCs/>
                <w:color w:val="000000"/>
                <w:sz w:val="20"/>
                <w:szCs w:val="20"/>
              </w:rPr>
            </w:pPr>
            <w:r w:rsidRPr="00317280">
              <w:rPr>
                <w:rFonts w:cs="Arial"/>
                <w:b/>
                <w:bCs/>
                <w:color w:val="000000"/>
                <w:sz w:val="20"/>
                <w:szCs w:val="20"/>
              </w:rPr>
              <w:t>0.0</w:t>
            </w:r>
          </w:p>
        </w:tc>
      </w:tr>
    </w:tbl>
    <w:p w:rsidR="00823E1F" w:rsidRPr="00D27487" w:rsidRDefault="00823E1F" w:rsidP="00823E1F">
      <w:pPr>
        <w:autoSpaceDE w:val="0"/>
        <w:autoSpaceDN w:val="0"/>
        <w:adjustRightInd w:val="0"/>
        <w:rPr>
          <w:rFonts w:cs="Arial"/>
          <w:lang w:eastAsia="it-CH"/>
        </w:rPr>
      </w:pPr>
    </w:p>
    <w:p w:rsidR="00317280" w:rsidRDefault="00823E1F" w:rsidP="00823E1F">
      <w:pPr>
        <w:autoSpaceDE w:val="0"/>
        <w:autoSpaceDN w:val="0"/>
        <w:adjustRightInd w:val="0"/>
        <w:rPr>
          <w:rFonts w:cs="Arial"/>
          <w:lang w:eastAsia="it-CH"/>
        </w:rPr>
      </w:pPr>
      <w:r w:rsidRPr="00D27487">
        <w:rPr>
          <w:rFonts w:cs="Arial"/>
          <w:lang w:eastAsia="it-CH"/>
        </w:rPr>
        <w:t>Andando più nel dettaglio delle superfici, sempre sotto i 500 m.l.m.,</w:t>
      </w:r>
      <w:r>
        <w:rPr>
          <w:rFonts w:cs="Arial"/>
          <w:lang w:eastAsia="it-CH"/>
        </w:rPr>
        <w:t xml:space="preserve"> possiamo vedere che se per l'</w:t>
      </w:r>
      <w:r w:rsidRPr="00D27487">
        <w:rPr>
          <w:rFonts w:cs="Arial"/>
          <w:lang w:eastAsia="it-CH"/>
        </w:rPr>
        <w:t xml:space="preserve">area edificata (fondamentalmente di carattere residenziale/commerciale) vi è un rallentamento del suo estendersi </w:t>
      </w:r>
      <w:r>
        <w:rPr>
          <w:rFonts w:cs="Arial"/>
          <w:lang w:eastAsia="it-CH"/>
        </w:rPr>
        <w:t>dall'</w:t>
      </w:r>
      <w:r w:rsidRPr="00D27487">
        <w:rPr>
          <w:rFonts w:cs="Arial"/>
          <w:lang w:eastAsia="it-CH"/>
        </w:rPr>
        <w:t xml:space="preserve">ultimo rilevamento 2009-2018 (da + 45.3 ha/anno a + 36.1 ha/anno), lo stesso non può essere detto per le aree industriali e artigianali, il cui espandersi non è praticamente diminuito (+ 6.0 ha/anno e + 5.9 ha/anno), così come per le superfici del traffico che sono addirittura aumentate rispetto al rilevamento precedente (da + 9.8 ha/anno a + 12.0 ha/anno), come per contro sono drasticamente diminuite le aree verdi e di riposo (da +7.7 ha/anno a + 1.6 ha/anno). </w:t>
      </w:r>
    </w:p>
    <w:p w:rsidR="00317280" w:rsidRDefault="00317280" w:rsidP="00823E1F">
      <w:pPr>
        <w:autoSpaceDE w:val="0"/>
        <w:autoSpaceDN w:val="0"/>
        <w:adjustRightInd w:val="0"/>
        <w:rPr>
          <w:rFonts w:cs="Arial"/>
          <w:lang w:eastAsia="it-CH"/>
        </w:rPr>
      </w:pPr>
    </w:p>
    <w:p w:rsidR="00823E1F" w:rsidRDefault="00823E1F" w:rsidP="00A37231">
      <w:pPr>
        <w:autoSpaceDE w:val="0"/>
        <w:autoSpaceDN w:val="0"/>
        <w:adjustRightInd w:val="0"/>
        <w:spacing w:after="240"/>
        <w:rPr>
          <w:rFonts w:cs="Arial"/>
          <w:lang w:eastAsia="it-CH"/>
        </w:rPr>
      </w:pPr>
      <w:r w:rsidRPr="00D27487">
        <w:rPr>
          <w:rFonts w:cs="Arial"/>
          <w:lang w:eastAsia="it-CH"/>
        </w:rPr>
        <w:t xml:space="preserve">Per quanto riguarda invece le superfici agricole, </w:t>
      </w:r>
      <w:r>
        <w:rPr>
          <w:rFonts w:cs="Arial"/>
          <w:lang w:eastAsia="it-CH"/>
        </w:rPr>
        <w:t>possiamo osservare, sempre dall'</w:t>
      </w:r>
      <w:r w:rsidRPr="00D27487">
        <w:rPr>
          <w:rFonts w:cs="Arial"/>
          <w:lang w:eastAsia="it-CH"/>
        </w:rPr>
        <w:t>ultimo rilevamento, che soprattutto i campi coltivi continuano a diminuire vistosamente (da - 26.3 ha/anno a - 28.7 ha/anno) quasi a livello degli anni ’80-’90 (- 31.2 ha/anno), mentre la contrazione dei prati na</w:t>
      </w:r>
      <w:r>
        <w:rPr>
          <w:rFonts w:cs="Arial"/>
          <w:lang w:eastAsia="it-CH"/>
        </w:rPr>
        <w:t>turali e pascoli locali ha dall'</w:t>
      </w:r>
      <w:r w:rsidRPr="00D27487">
        <w:rPr>
          <w:rFonts w:cs="Arial"/>
          <w:lang w:eastAsia="it-CH"/>
        </w:rPr>
        <w:t>ultimo rilevamento avuto una nuova impennata (da - 3.1 ha/anno a - 16.3 ha/anno), anche se non a livello degli anni ’80-’90. Se per i campi coltivi, che sono in pianura, la loro diminuzione</w:t>
      </w:r>
      <w:r>
        <w:rPr>
          <w:rFonts w:cs="Arial"/>
          <w:lang w:eastAsia="it-CH"/>
        </w:rPr>
        <w:t xml:space="preserve"> è evidentemente provocata dall'</w:t>
      </w:r>
      <w:r w:rsidRPr="00D27487">
        <w:rPr>
          <w:rFonts w:cs="Arial"/>
          <w:lang w:eastAsia="it-CH"/>
        </w:rPr>
        <w:t xml:space="preserve">aumento delle superfici insediative, per i prati naturali e pascoli locali (più in zone collinari), la loro diminuzione è molto più </w:t>
      </w:r>
      <w:r>
        <w:rPr>
          <w:rFonts w:cs="Arial"/>
          <w:lang w:eastAsia="it-CH"/>
        </w:rPr>
        <w:t>probabilmente da spiegarsi con l'</w:t>
      </w:r>
      <w:r w:rsidRPr="00D27487">
        <w:rPr>
          <w:rFonts w:cs="Arial"/>
          <w:lang w:eastAsia="it-CH"/>
        </w:rPr>
        <w:t>aumento del bosco.</w:t>
      </w:r>
      <w:r>
        <w:rPr>
          <w:rFonts w:cs="Arial"/>
          <w:lang w:eastAsia="it-CH"/>
        </w:rPr>
        <w:t xml:space="preserve"> </w:t>
      </w:r>
    </w:p>
    <w:p w:rsidR="00823E1F" w:rsidRPr="00D27487" w:rsidRDefault="00823E1F" w:rsidP="00823E1F">
      <w:pPr>
        <w:autoSpaceDE w:val="0"/>
        <w:autoSpaceDN w:val="0"/>
        <w:adjustRightInd w:val="0"/>
        <w:rPr>
          <w:rFonts w:cs="Arial"/>
          <w:b/>
          <w:bCs/>
          <w:lang w:eastAsia="it-CH"/>
        </w:rPr>
      </w:pPr>
      <w:r w:rsidRPr="00D27487">
        <w:rPr>
          <w:rFonts w:cs="Arial"/>
          <w:b/>
          <w:bCs/>
          <w:lang w:eastAsia="it-CH"/>
        </w:rPr>
        <w:lastRenderedPageBreak/>
        <w:t>Questi dati</w:t>
      </w:r>
      <w:r w:rsidRPr="00D27487">
        <w:rPr>
          <w:rStyle w:val="Rimandonotaapidipagina"/>
          <w:rFonts w:cs="Arial"/>
          <w:b/>
          <w:bCs/>
          <w:lang w:eastAsia="it-CH"/>
        </w:rPr>
        <w:footnoteReference w:id="25"/>
      </w:r>
      <w:r w:rsidRPr="00D27487">
        <w:rPr>
          <w:rFonts w:cs="Arial"/>
          <w:b/>
          <w:bCs/>
          <w:lang w:eastAsia="it-CH"/>
        </w:rPr>
        <w:t xml:space="preserve"> mostrano che se è vero che vi è un leggero rallentamento dell’espansione di superfici d’insediamento, non lo è altrettanto per le aree industriali e artigianali la cui espansione è praticamente stabile, come non è vero che si stanno proteggendo le superfici agricole (uno degli scopi prioritari della LPT) la cui erosione è nell’ultimo rilevamento addirittura aumentata. Visto poi il contemporaneo aumento della popolazione, significa che le superfici agricole in diminuzione devono sopportare sfruttamenti e dunque carichi maggiori</w:t>
      </w:r>
      <w:r w:rsidRPr="00D27487">
        <w:rPr>
          <w:rStyle w:val="Rimandonotaapidipagina"/>
          <w:rFonts w:cs="Arial"/>
          <w:b/>
          <w:bCs/>
          <w:lang w:eastAsia="it-CH"/>
        </w:rPr>
        <w:footnoteReference w:id="26"/>
      </w:r>
      <w:r w:rsidRPr="00D27487">
        <w:rPr>
          <w:rFonts w:cs="Arial"/>
          <w:b/>
          <w:bCs/>
          <w:lang w:eastAsia="it-CH"/>
        </w:rPr>
        <w:t>. Neanche questo sembra andare nella direzione auspicata della sostenibilità e mette in discussione anche la politica di uso parsimonioso del suolo per le aree industriali-artigianali, la cui espansione non sta rallentando significativamente</w:t>
      </w:r>
      <w:r w:rsidRPr="00D27487">
        <w:rPr>
          <w:rStyle w:val="Rimandonotaapidipagina"/>
          <w:rFonts w:cs="Arial"/>
          <w:b/>
          <w:bCs/>
          <w:lang w:eastAsia="it-CH"/>
        </w:rPr>
        <w:footnoteReference w:id="27"/>
      </w:r>
      <w:r w:rsidRPr="00D27487">
        <w:rPr>
          <w:rFonts w:cs="Arial"/>
          <w:b/>
          <w:bCs/>
          <w:lang w:eastAsia="it-CH"/>
        </w:rPr>
        <w:t>.</w:t>
      </w:r>
    </w:p>
    <w:p w:rsidR="00823E1F" w:rsidRPr="00D27487" w:rsidRDefault="00823E1F" w:rsidP="00823E1F">
      <w:pPr>
        <w:autoSpaceDE w:val="0"/>
        <w:autoSpaceDN w:val="0"/>
        <w:adjustRightInd w:val="0"/>
        <w:rPr>
          <w:rFonts w:cs="Arial"/>
          <w:b/>
          <w:bCs/>
          <w:lang w:eastAsia="it-CH"/>
        </w:rPr>
      </w:pPr>
      <w:r>
        <w:rPr>
          <w:rFonts w:cs="Arial"/>
          <w:b/>
          <w:bCs/>
          <w:lang w:eastAsia="it-CH"/>
        </w:rPr>
        <w:t>Mettere il veto all'</w:t>
      </w:r>
      <w:r w:rsidRPr="00D27487">
        <w:rPr>
          <w:rFonts w:cs="Arial"/>
          <w:b/>
          <w:bCs/>
          <w:lang w:eastAsia="it-CH"/>
        </w:rPr>
        <w:t>estensione di aree industriali evidentemente significa non più poter esternalizzare gli impedimenti e i relativi costi nella realizzazione di nuovi insediamenti aziendali.</w:t>
      </w:r>
    </w:p>
    <w:p w:rsidR="00823E1F" w:rsidRDefault="00823E1F" w:rsidP="00823E1F">
      <w:pPr>
        <w:autoSpaceDE w:val="0"/>
        <w:autoSpaceDN w:val="0"/>
        <w:adjustRightInd w:val="0"/>
        <w:rPr>
          <w:rFonts w:cs="Arial"/>
          <w:lang w:eastAsia="it-CH"/>
        </w:rPr>
      </w:pPr>
    </w:p>
    <w:p w:rsidR="00317280" w:rsidRPr="00D27487" w:rsidRDefault="00317280" w:rsidP="00823E1F">
      <w:pPr>
        <w:autoSpaceDE w:val="0"/>
        <w:autoSpaceDN w:val="0"/>
        <w:adjustRightInd w:val="0"/>
        <w:rPr>
          <w:rFonts w:cs="Arial"/>
          <w:lang w:eastAsia="it-CH"/>
        </w:rPr>
      </w:pPr>
    </w:p>
    <w:p w:rsidR="00823E1F" w:rsidRPr="00D27487" w:rsidRDefault="00317280" w:rsidP="00317280">
      <w:pPr>
        <w:pStyle w:val="Titolo2"/>
      </w:pPr>
      <w:bookmarkStart w:id="21" w:name="_Toc63332036"/>
      <w:r>
        <w:t>5.4</w:t>
      </w:r>
      <w:r>
        <w:tab/>
      </w:r>
      <w:r w:rsidR="00823E1F" w:rsidRPr="00D27487">
        <w:t>Aree industriali e poli di sviluppo economico</w:t>
      </w:r>
      <w:bookmarkEnd w:id="21"/>
    </w:p>
    <w:p w:rsidR="00823E1F" w:rsidRDefault="00823E1F" w:rsidP="00823E1F">
      <w:pPr>
        <w:autoSpaceDE w:val="0"/>
        <w:autoSpaceDN w:val="0"/>
        <w:adjustRightInd w:val="0"/>
        <w:rPr>
          <w:rFonts w:eastAsia="Arial" w:cs="Arial"/>
          <w:iCs/>
        </w:rPr>
      </w:pPr>
      <w:r w:rsidRPr="00D27487">
        <w:rPr>
          <w:rFonts w:cs="Arial"/>
          <w:lang w:eastAsia="it-CH"/>
        </w:rPr>
        <w:t xml:space="preserve">Un ultimo approfondimento va fatto sulla questione delle aree industriali. </w:t>
      </w:r>
      <w:r>
        <w:rPr>
          <w:rFonts w:cs="Arial"/>
          <w:lang w:eastAsia="it-CH"/>
        </w:rPr>
        <w:t>Consiglio di Stato</w:t>
      </w:r>
      <w:r w:rsidRPr="00D27487">
        <w:rPr>
          <w:rFonts w:cs="Arial"/>
          <w:lang w:eastAsia="it-CH"/>
        </w:rPr>
        <w:t xml:space="preserve"> e maggioranza commissionale considerano non necessario fare un rapporto su tali aree, perché ritengono che il Rapporto esplicativo sulle modifiche della scheda R7 Poli di sviluppo, intitolato </w:t>
      </w:r>
      <w:r>
        <w:rPr>
          <w:rFonts w:cs="Arial"/>
          <w:lang w:eastAsia="it-CH"/>
        </w:rPr>
        <w:t>"</w:t>
      </w:r>
      <w:r w:rsidRPr="00D27487">
        <w:rPr>
          <w:rFonts w:cs="Arial"/>
          <w:lang w:eastAsia="it-CH"/>
        </w:rPr>
        <w:t>Aree industriali-artigianali e poli di sviluppo economico - analisi e proposta di strategia</w:t>
      </w:r>
      <w:r>
        <w:rPr>
          <w:rFonts w:cs="Arial"/>
          <w:lang w:eastAsia="it-CH"/>
        </w:rPr>
        <w:t>"</w:t>
      </w:r>
      <w:r w:rsidRPr="00D27487">
        <w:rPr>
          <w:rStyle w:val="Rimandonotaapidipagina"/>
          <w:rFonts w:cs="Arial"/>
          <w:lang w:eastAsia="it-CH"/>
        </w:rPr>
        <w:footnoteReference w:id="28"/>
      </w:r>
      <w:r w:rsidRPr="00D27487">
        <w:rPr>
          <w:rFonts w:cs="Arial"/>
          <w:lang w:eastAsia="it-CH"/>
        </w:rPr>
        <w:t xml:space="preserve"> costituisca una risposta sufficiente alla seconda richiesta della mozione di presentare </w:t>
      </w:r>
      <w:r>
        <w:rPr>
          <w:rFonts w:cs="Arial"/>
          <w:lang w:eastAsia="it-CH"/>
        </w:rPr>
        <w:t>"</w:t>
      </w:r>
      <w:r w:rsidRPr="00D27487">
        <w:rPr>
          <w:rFonts w:eastAsia="Arial" w:cs="Arial"/>
          <w:i/>
          <w:iCs/>
        </w:rPr>
        <w:t>al Parlamento un rapporto sulle zone industriali e sulla promozione economica sinora realizzata, alla luce de</w:t>
      </w:r>
      <w:r>
        <w:rPr>
          <w:rFonts w:eastAsia="Arial" w:cs="Arial"/>
          <w:i/>
          <w:iCs/>
        </w:rPr>
        <w:t>i cinque criteri sopra indicati</w:t>
      </w:r>
      <w:r w:rsidRPr="00182A24">
        <w:rPr>
          <w:rFonts w:eastAsia="Arial" w:cs="Arial"/>
          <w:i/>
          <w:iCs/>
        </w:rPr>
        <w:t>"</w:t>
      </w:r>
      <w:r w:rsidRPr="00182A24">
        <w:rPr>
          <w:rFonts w:eastAsia="Arial" w:cs="Arial"/>
          <w:iCs/>
        </w:rPr>
        <w:t>.</w:t>
      </w:r>
      <w:r>
        <w:rPr>
          <w:rFonts w:eastAsia="Arial" w:cs="Arial"/>
          <w:iCs/>
        </w:rPr>
        <w:t xml:space="preserve"> </w:t>
      </w:r>
    </w:p>
    <w:p w:rsidR="00317280" w:rsidRPr="00182A24" w:rsidRDefault="00317280" w:rsidP="00823E1F">
      <w:pPr>
        <w:autoSpaceDE w:val="0"/>
        <w:autoSpaceDN w:val="0"/>
        <w:adjustRightInd w:val="0"/>
        <w:rPr>
          <w:rFonts w:eastAsia="Arial" w:cs="Arial"/>
          <w:iCs/>
        </w:rPr>
      </w:pPr>
    </w:p>
    <w:p w:rsidR="00317280" w:rsidRDefault="00823E1F" w:rsidP="00823E1F">
      <w:pPr>
        <w:autoSpaceDE w:val="0"/>
        <w:autoSpaceDN w:val="0"/>
        <w:adjustRightInd w:val="0"/>
        <w:rPr>
          <w:rFonts w:cs="Arial"/>
          <w:lang w:eastAsia="it-CH"/>
        </w:rPr>
      </w:pPr>
      <w:r w:rsidRPr="00D27487">
        <w:rPr>
          <w:rFonts w:cs="Arial"/>
          <w:lang w:eastAsia="it-CH"/>
        </w:rPr>
        <w:t xml:space="preserve">Per quanto il Rapporto esplicativo prodotto dal DT in collaborazione con il DFE costituisca una prima base di analisi per delle riflessioni sullo sviluppo sostenibile, la minoranza commissionale non ritiene però che esso sia sufficiente per soddisfare pienamente la richiesta della mozione. Da una parte perché la scheda R7 orienta </w:t>
      </w:r>
      <w:r>
        <w:rPr>
          <w:rFonts w:cs="Arial"/>
          <w:lang w:eastAsia="it-CH"/>
        </w:rPr>
        <w:t>in maniera vincolante (</w:t>
      </w:r>
      <w:r w:rsidRPr="00D27487">
        <w:rPr>
          <w:rFonts w:cs="Arial"/>
          <w:lang w:eastAsia="it-CH"/>
        </w:rPr>
        <w:t xml:space="preserve">condizione </w:t>
      </w:r>
      <w:r w:rsidRPr="00A37231">
        <w:rPr>
          <w:rFonts w:cs="Arial"/>
          <w:i/>
          <w:lang w:eastAsia="it-CH"/>
        </w:rPr>
        <w:t>"</w:t>
      </w:r>
      <w:r w:rsidRPr="00A37231">
        <w:rPr>
          <w:rFonts w:cs="Arial"/>
          <w:i/>
          <w:iCs/>
          <w:lang w:eastAsia="it-CH"/>
        </w:rPr>
        <w:t>sine qua non</w:t>
      </w:r>
      <w:r w:rsidRPr="00A37231">
        <w:rPr>
          <w:rFonts w:cs="Arial"/>
          <w:i/>
          <w:lang w:eastAsia="it-CH"/>
        </w:rPr>
        <w:t>"</w:t>
      </w:r>
      <w:r w:rsidRPr="00D27487">
        <w:rPr>
          <w:rFonts w:cs="Arial"/>
          <w:lang w:eastAsia="it-CH"/>
        </w:rPr>
        <w:t xml:space="preserve">) solamente le scelte pianificatorie e di politica economica nei cosiddetti Poli di sviluppo economico, i quali costituiscono solo una piccola parte di tutte le zone industriali e artigianali (zone per il lavoro ai sensi della LPT) e in parte si situano anche in zone miste. </w:t>
      </w:r>
    </w:p>
    <w:p w:rsidR="00317280" w:rsidRDefault="00317280" w:rsidP="00823E1F">
      <w:pPr>
        <w:autoSpaceDE w:val="0"/>
        <w:autoSpaceDN w:val="0"/>
        <w:adjustRightInd w:val="0"/>
        <w:rPr>
          <w:rFonts w:cs="Arial"/>
          <w:lang w:eastAsia="it-CH"/>
        </w:rPr>
      </w:pPr>
    </w:p>
    <w:p w:rsidR="00823E1F" w:rsidRDefault="00823E1F" w:rsidP="00823E1F">
      <w:pPr>
        <w:autoSpaceDE w:val="0"/>
        <w:autoSpaceDN w:val="0"/>
        <w:adjustRightInd w:val="0"/>
        <w:rPr>
          <w:rFonts w:cs="Arial"/>
          <w:lang w:eastAsia="it-CH"/>
        </w:rPr>
      </w:pPr>
      <w:r w:rsidRPr="00D27487">
        <w:rPr>
          <w:rFonts w:cs="Arial"/>
          <w:lang w:eastAsia="it-CH"/>
        </w:rPr>
        <w:t xml:space="preserve">Dall’altra, perché i criteri di analisi e di orientamento scelti nel rapporto esplicativo sono soprattutto di carattere territoriale-pianificatorio e non considerano altri aspetti rilevanti (come ad esempio le informazioni sul tasso di residenti vs. frontalieri ivi impiegati, i livelli salariali, la sicurezza contrattuale oppure ancora sul rapporto costi/benefici) per la concretizzazione dello sviluppo sostenibile nella promozione economica che la scheda R7 determina come condizione </w:t>
      </w:r>
      <w:r>
        <w:rPr>
          <w:rFonts w:cs="Arial"/>
          <w:lang w:eastAsia="it-CH"/>
        </w:rPr>
        <w:t>"</w:t>
      </w:r>
      <w:r w:rsidRPr="00D27487">
        <w:rPr>
          <w:rFonts w:cs="Arial"/>
          <w:i/>
          <w:iCs/>
          <w:lang w:eastAsia="it-CH"/>
        </w:rPr>
        <w:t>sine qua non</w:t>
      </w:r>
      <w:r>
        <w:rPr>
          <w:rFonts w:cs="Arial"/>
          <w:i/>
          <w:iCs/>
          <w:lang w:eastAsia="it-CH"/>
        </w:rPr>
        <w:t>"</w:t>
      </w:r>
      <w:r w:rsidRPr="00D27487">
        <w:rPr>
          <w:rFonts w:cs="Arial"/>
          <w:lang w:eastAsia="it-CH"/>
        </w:rPr>
        <w:t xml:space="preserve"> nei poli economici e solo come </w:t>
      </w:r>
      <w:r>
        <w:rPr>
          <w:rFonts w:cs="Arial"/>
          <w:lang w:eastAsia="it-CH"/>
        </w:rPr>
        <w:t>"</w:t>
      </w:r>
      <w:r w:rsidRPr="00D27487">
        <w:rPr>
          <w:rFonts w:cs="Arial"/>
          <w:lang w:eastAsia="it-CH"/>
        </w:rPr>
        <w:t>nice to have</w:t>
      </w:r>
      <w:r>
        <w:rPr>
          <w:rFonts w:cs="Arial"/>
          <w:lang w:eastAsia="it-CH"/>
        </w:rPr>
        <w:t>"</w:t>
      </w:r>
      <w:r w:rsidRPr="00D27487">
        <w:rPr>
          <w:rFonts w:cs="Arial"/>
          <w:lang w:eastAsia="it-CH"/>
        </w:rPr>
        <w:t xml:space="preserve"> nel resto delle più ampie zone industriali e artigianali. </w:t>
      </w:r>
    </w:p>
    <w:p w:rsidR="00317280" w:rsidRPr="00D27487" w:rsidRDefault="00317280" w:rsidP="00823E1F">
      <w:pPr>
        <w:autoSpaceDE w:val="0"/>
        <w:autoSpaceDN w:val="0"/>
        <w:adjustRightInd w:val="0"/>
        <w:rPr>
          <w:rFonts w:cs="Arial"/>
          <w:lang w:eastAsia="it-CH"/>
        </w:rPr>
      </w:pPr>
    </w:p>
    <w:p w:rsidR="00823E1F" w:rsidRDefault="00823E1F" w:rsidP="00823E1F">
      <w:pPr>
        <w:autoSpaceDE w:val="0"/>
        <w:autoSpaceDN w:val="0"/>
        <w:adjustRightInd w:val="0"/>
        <w:rPr>
          <w:rFonts w:cs="Arial"/>
          <w:lang w:eastAsia="it-CH"/>
        </w:rPr>
      </w:pPr>
      <w:r w:rsidRPr="00D27487">
        <w:rPr>
          <w:rFonts w:cs="Arial"/>
          <w:lang w:eastAsia="it-CH"/>
        </w:rPr>
        <w:lastRenderedPageBreak/>
        <w:t xml:space="preserve">La minoranza commissionale è ben consapevole della difficoltà di monitorare tutte queste (e magari anche altre) variabili, individuando anche come esse si influenzano reciprocamente, ma se si vuole veramente comprendere l’efficacia delle nostre politiche di promozione economica per uno sviluppo sostenibile, questo arduo scoglio non può essere evitato. </w:t>
      </w:r>
    </w:p>
    <w:p w:rsidR="00317280" w:rsidRPr="00D27487" w:rsidRDefault="00317280" w:rsidP="00823E1F">
      <w:pPr>
        <w:autoSpaceDE w:val="0"/>
        <w:autoSpaceDN w:val="0"/>
        <w:adjustRightInd w:val="0"/>
        <w:rPr>
          <w:rFonts w:cs="Arial"/>
          <w:lang w:eastAsia="it-CH"/>
        </w:rPr>
      </w:pPr>
    </w:p>
    <w:p w:rsidR="00823E1F" w:rsidRPr="00D27487" w:rsidRDefault="00823E1F" w:rsidP="00823E1F">
      <w:pPr>
        <w:autoSpaceDE w:val="0"/>
        <w:autoSpaceDN w:val="0"/>
        <w:adjustRightInd w:val="0"/>
        <w:rPr>
          <w:rFonts w:cs="Arial"/>
          <w:lang w:eastAsia="it-CH"/>
        </w:rPr>
      </w:pPr>
      <w:r>
        <w:rPr>
          <w:rFonts w:cs="Arial"/>
          <w:lang w:eastAsia="it-CH"/>
        </w:rPr>
        <w:t>Se il Consiglio di Stato</w:t>
      </w:r>
      <w:r w:rsidRPr="00D27487">
        <w:rPr>
          <w:rFonts w:cs="Arial"/>
          <w:lang w:eastAsia="it-CH"/>
        </w:rPr>
        <w:t xml:space="preserve"> nella sua risposta arriva ad affermare che </w:t>
      </w:r>
      <w:r w:rsidRPr="00F357AB">
        <w:rPr>
          <w:rFonts w:cs="Arial"/>
          <w:lang w:eastAsia="it-CH"/>
        </w:rPr>
        <w:t>"</w:t>
      </w:r>
      <w:r w:rsidRPr="00F357AB">
        <w:rPr>
          <w:rFonts w:cs="Arial"/>
          <w:iCs/>
          <w:lang w:eastAsia="it-CH"/>
        </w:rPr>
        <w:t>malgrado</w:t>
      </w:r>
      <w:r w:rsidRPr="00D27487">
        <w:rPr>
          <w:rFonts w:cs="Arial"/>
          <w:i/>
          <w:iCs/>
          <w:lang w:eastAsia="it-CH"/>
        </w:rPr>
        <w:t xml:space="preserve"> i nuovi orientamenti e la chiara strategia di sviluppo economico adottata nel quadriennio 2016-2019 </w:t>
      </w:r>
      <w:r w:rsidRPr="00A37231">
        <w:rPr>
          <w:rFonts w:cs="Arial"/>
          <w:iCs/>
          <w:lang w:eastAsia="it-CH"/>
        </w:rPr>
        <w:t xml:space="preserve">(…) </w:t>
      </w:r>
      <w:r w:rsidRPr="00D27487">
        <w:rPr>
          <w:rFonts w:cs="Arial"/>
          <w:i/>
          <w:iCs/>
          <w:lang w:eastAsia="it-CH"/>
        </w:rPr>
        <w:t>è importante ricordare come numerosi insediamenti avvengano in maniera spontanea</w:t>
      </w:r>
      <w:r>
        <w:rPr>
          <w:rFonts w:cs="Arial"/>
          <w:i/>
          <w:iCs/>
          <w:lang w:eastAsia="it-CH"/>
        </w:rPr>
        <w:t>"</w:t>
      </w:r>
      <w:r w:rsidRPr="00D27487">
        <w:rPr>
          <w:rFonts w:cs="Arial"/>
          <w:lang w:eastAsia="it-CH"/>
        </w:rPr>
        <w:t>, la minoranza commissionale, per non far apparire questa affermazione come un</w:t>
      </w:r>
      <w:r>
        <w:rPr>
          <w:rFonts w:cs="Arial"/>
          <w:lang w:eastAsia="it-CH"/>
        </w:rPr>
        <w:t>'</w:t>
      </w:r>
      <w:r w:rsidRPr="00D27487">
        <w:rPr>
          <w:rFonts w:cs="Arial"/>
          <w:lang w:eastAsia="it-CH"/>
        </w:rPr>
        <w:t>abdicazione della politica dalle proprie responsabilità, ribadisce l</w:t>
      </w:r>
      <w:r>
        <w:rPr>
          <w:rFonts w:cs="Arial"/>
          <w:lang w:eastAsia="it-CH"/>
        </w:rPr>
        <w:t>'</w:t>
      </w:r>
      <w:r w:rsidRPr="00D27487">
        <w:rPr>
          <w:rFonts w:cs="Arial"/>
          <w:lang w:eastAsia="it-CH"/>
        </w:rPr>
        <w:t>importanza di comprendere ad esempio,</w:t>
      </w:r>
    </w:p>
    <w:p w:rsidR="00823E1F" w:rsidRPr="00D27487" w:rsidRDefault="00823E1F" w:rsidP="00317280">
      <w:pPr>
        <w:pStyle w:val="Paragrafoelenco"/>
        <w:numPr>
          <w:ilvl w:val="0"/>
          <w:numId w:val="11"/>
        </w:numPr>
        <w:autoSpaceDE w:val="0"/>
        <w:autoSpaceDN w:val="0"/>
        <w:adjustRightInd w:val="0"/>
        <w:spacing w:before="120" w:after="120"/>
        <w:ind w:left="284" w:hanging="284"/>
        <w:rPr>
          <w:rFonts w:cs="Arial"/>
          <w:szCs w:val="24"/>
          <w:lang w:eastAsia="it-CH"/>
        </w:rPr>
      </w:pPr>
      <w:r w:rsidRPr="00D27487">
        <w:rPr>
          <w:rFonts w:cs="Arial"/>
          <w:szCs w:val="24"/>
          <w:lang w:eastAsia="it-CH"/>
        </w:rPr>
        <w:t>quanto grande sia il fenomeno stesso degli insediamenti spontanei (presumibilmente fuori dal controllo degli orientamenti più o meno vincolanti delle politiche di promozione);</w:t>
      </w:r>
    </w:p>
    <w:p w:rsidR="00823E1F" w:rsidRPr="00D27487" w:rsidRDefault="00823E1F" w:rsidP="00317280">
      <w:pPr>
        <w:pStyle w:val="Paragrafoelenco"/>
        <w:numPr>
          <w:ilvl w:val="0"/>
          <w:numId w:val="11"/>
        </w:numPr>
        <w:autoSpaceDE w:val="0"/>
        <w:autoSpaceDN w:val="0"/>
        <w:adjustRightInd w:val="0"/>
        <w:spacing w:before="120" w:after="120"/>
        <w:ind w:left="284" w:hanging="284"/>
        <w:rPr>
          <w:rFonts w:cs="Arial"/>
          <w:szCs w:val="24"/>
          <w:lang w:eastAsia="it-CH"/>
        </w:rPr>
      </w:pPr>
      <w:r w:rsidRPr="00D27487">
        <w:rPr>
          <w:rFonts w:cs="Arial"/>
          <w:szCs w:val="24"/>
          <w:lang w:eastAsia="it-CH"/>
        </w:rPr>
        <w:t>quanto estesi questi siano e dove avvengano (nei Poli di sviluppo economico definiti dalla scheda R7? O semplicemente nelle aree industriali-artigianali fuori dai poli? Oppure ancora in nuovi azzonamenti?); e infine,</w:t>
      </w:r>
    </w:p>
    <w:p w:rsidR="00823E1F" w:rsidRPr="00D27487" w:rsidRDefault="00823E1F" w:rsidP="00317280">
      <w:pPr>
        <w:pStyle w:val="Paragrafoelenco"/>
        <w:numPr>
          <w:ilvl w:val="0"/>
          <w:numId w:val="11"/>
        </w:numPr>
        <w:autoSpaceDE w:val="0"/>
        <w:autoSpaceDN w:val="0"/>
        <w:adjustRightInd w:val="0"/>
        <w:spacing w:before="120" w:after="120"/>
        <w:ind w:left="284" w:hanging="284"/>
        <w:rPr>
          <w:rFonts w:cs="Arial"/>
          <w:szCs w:val="24"/>
          <w:lang w:eastAsia="it-CH"/>
        </w:rPr>
      </w:pPr>
      <w:r w:rsidRPr="00D27487">
        <w:rPr>
          <w:rFonts w:cs="Arial"/>
          <w:szCs w:val="24"/>
          <w:lang w:eastAsia="it-CH"/>
        </w:rPr>
        <w:t>quanto questi incidano, accanto a quelli controllati dalla politica di promozione, sullo sviluppo sostenibile o insostenibile complessivo.</w:t>
      </w:r>
    </w:p>
    <w:p w:rsidR="00BE12A1" w:rsidRDefault="00823E1F" w:rsidP="00823E1F">
      <w:pPr>
        <w:autoSpaceDE w:val="0"/>
        <w:autoSpaceDN w:val="0"/>
        <w:adjustRightInd w:val="0"/>
        <w:rPr>
          <w:rFonts w:cs="Arial"/>
          <w:lang w:eastAsia="it-CH"/>
        </w:rPr>
      </w:pPr>
      <w:r w:rsidRPr="00D27487">
        <w:rPr>
          <w:rFonts w:cs="Arial"/>
          <w:lang w:eastAsia="it-CH"/>
        </w:rPr>
        <w:t>Un altro aspetto della scheda R7, che non parla propriamente per la realizzazione di uno sviluppo sostenibile, è che a fronte di quasi 550 ettari di zone industriali e artigianali libere, sotto sfruttate o con edifici dismessi, i quali rappresentano quasi la metà di tutte le zone</w:t>
      </w:r>
      <w:r w:rsidR="00BE12A1">
        <w:rPr>
          <w:rFonts w:cs="Arial"/>
          <w:lang w:eastAsia="it-CH"/>
        </w:rPr>
        <w:t xml:space="preserve"> industriali e artigianali del C</w:t>
      </w:r>
      <w:r w:rsidRPr="00D27487">
        <w:rPr>
          <w:rFonts w:cs="Arial"/>
          <w:lang w:eastAsia="it-CH"/>
        </w:rPr>
        <w:t xml:space="preserve">antone (ca. 1200 ettari), la scheda stessa preveda ancora </w:t>
      </w:r>
      <w:r>
        <w:rPr>
          <w:rFonts w:cs="Arial"/>
          <w:lang w:eastAsia="it-CH"/>
        </w:rPr>
        <w:t>"</w:t>
      </w:r>
      <w:r w:rsidRPr="00D27487">
        <w:rPr>
          <w:rFonts w:cs="Arial"/>
          <w:i/>
          <w:iCs/>
          <w:lang w:eastAsia="it-CH"/>
        </w:rPr>
        <w:t>a titolo eccezionale</w:t>
      </w:r>
      <w:r>
        <w:rPr>
          <w:rFonts w:cs="Arial"/>
          <w:lang w:eastAsia="it-CH"/>
        </w:rPr>
        <w:t>"</w:t>
      </w:r>
      <w:r w:rsidRPr="00D27487">
        <w:rPr>
          <w:rFonts w:cs="Arial"/>
          <w:lang w:eastAsia="it-CH"/>
        </w:rPr>
        <w:t xml:space="preserve"> la possibilità di azonare terreni (che evidentemente saranno soprattutto agricoli) per nuovi insediamenti </w:t>
      </w:r>
      <w:r>
        <w:rPr>
          <w:rFonts w:cs="Arial"/>
          <w:lang w:eastAsia="it-CH"/>
        </w:rPr>
        <w:t>"</w:t>
      </w:r>
      <w:r w:rsidRPr="00D27487">
        <w:rPr>
          <w:rFonts w:cs="Arial"/>
          <w:i/>
          <w:iCs/>
          <w:lang w:eastAsia="it-CH"/>
        </w:rPr>
        <w:t>di attività particolarmente interessanti per il Cantone e con notevoli ricadute positive (quali, ad esempio, parchi tecnologici, poli di ricerca o di formazione, aziende innovative)</w:t>
      </w:r>
      <w:r>
        <w:rPr>
          <w:rFonts w:cs="Arial"/>
          <w:lang w:eastAsia="it-CH"/>
        </w:rPr>
        <w:t>"</w:t>
      </w:r>
      <w:r w:rsidRPr="00D27487">
        <w:rPr>
          <w:rStyle w:val="Rimandonotaapidipagina"/>
          <w:rFonts w:cs="Arial"/>
          <w:lang w:eastAsia="it-CH"/>
        </w:rPr>
        <w:footnoteReference w:id="29"/>
      </w:r>
      <w:r w:rsidRPr="00D27487">
        <w:rPr>
          <w:rFonts w:cs="Arial"/>
          <w:lang w:eastAsia="it-CH"/>
        </w:rPr>
        <w:t xml:space="preserve">. </w:t>
      </w:r>
    </w:p>
    <w:p w:rsidR="00BE12A1" w:rsidRDefault="00BE12A1" w:rsidP="00823E1F">
      <w:pPr>
        <w:autoSpaceDE w:val="0"/>
        <w:autoSpaceDN w:val="0"/>
        <w:adjustRightInd w:val="0"/>
        <w:rPr>
          <w:rFonts w:cs="Arial"/>
          <w:lang w:eastAsia="it-CH"/>
        </w:rPr>
      </w:pPr>
    </w:p>
    <w:p w:rsidR="00BE12A1" w:rsidRDefault="00823E1F" w:rsidP="00823E1F">
      <w:pPr>
        <w:autoSpaceDE w:val="0"/>
        <w:autoSpaceDN w:val="0"/>
        <w:adjustRightInd w:val="0"/>
        <w:rPr>
          <w:rFonts w:cs="Arial"/>
          <w:lang w:eastAsia="it-CH"/>
        </w:rPr>
      </w:pPr>
      <w:r w:rsidRPr="00D27487">
        <w:rPr>
          <w:rFonts w:cs="Arial"/>
          <w:lang w:eastAsia="it-CH"/>
        </w:rPr>
        <w:t xml:space="preserve">Ne è un esempio eclatante il progetto legato allo spostamento delle Officine FFS su terreni agricoli e il contemporaneo progetto del nuovo comparto lasciato libero dove si vogliono insediare contenuti immobiliari, commerciali, imprenditoriali e pubblici. Questo </w:t>
      </w:r>
      <w:r>
        <w:rPr>
          <w:rFonts w:cs="Arial"/>
          <w:lang w:eastAsia="it-CH"/>
        </w:rPr>
        <w:t>è</w:t>
      </w:r>
      <w:r w:rsidRPr="00D27487">
        <w:rPr>
          <w:rFonts w:cs="Arial"/>
          <w:lang w:eastAsia="it-CH"/>
        </w:rPr>
        <w:t xml:space="preserve"> proprio un esempio in cui una ricerca nello spirito della mozione si impone. </w:t>
      </w:r>
    </w:p>
    <w:p w:rsidR="00BE12A1" w:rsidRDefault="00BE12A1" w:rsidP="00823E1F">
      <w:pPr>
        <w:autoSpaceDE w:val="0"/>
        <w:autoSpaceDN w:val="0"/>
        <w:adjustRightInd w:val="0"/>
        <w:rPr>
          <w:rFonts w:cs="Arial"/>
          <w:lang w:eastAsia="it-CH"/>
        </w:rPr>
      </w:pPr>
    </w:p>
    <w:p w:rsidR="00BE12A1" w:rsidRDefault="00823E1F" w:rsidP="00823E1F">
      <w:pPr>
        <w:autoSpaceDE w:val="0"/>
        <w:autoSpaceDN w:val="0"/>
        <w:adjustRightInd w:val="0"/>
        <w:rPr>
          <w:rFonts w:cs="Arial"/>
          <w:lang w:eastAsia="it-CH"/>
        </w:rPr>
      </w:pPr>
      <w:r w:rsidRPr="00D27487">
        <w:rPr>
          <w:rFonts w:cs="Arial"/>
          <w:lang w:eastAsia="it-CH"/>
        </w:rPr>
        <w:t>È fuori di dubbio, che a tali insediamenti (nei quali si vuo</w:t>
      </w:r>
      <w:r>
        <w:rPr>
          <w:rFonts w:cs="Arial"/>
          <w:lang w:eastAsia="it-CH"/>
        </w:rPr>
        <w:t>le poi collocare contenuti dell'</w:t>
      </w:r>
      <w:r w:rsidRPr="00D27487">
        <w:rPr>
          <w:rFonts w:cs="Arial"/>
          <w:lang w:eastAsia="it-CH"/>
        </w:rPr>
        <w:t>immobiliare FFS o attratti attraverso il marketing territoriale della Gre</w:t>
      </w:r>
      <w:r>
        <w:rPr>
          <w:rFonts w:cs="Arial"/>
          <w:lang w:eastAsia="it-CH"/>
        </w:rPr>
        <w:t>ater Zürich Area e attraverso l'</w:t>
      </w:r>
      <w:r w:rsidRPr="00D27487">
        <w:rPr>
          <w:rFonts w:cs="Arial"/>
          <w:lang w:eastAsia="it-CH"/>
        </w:rPr>
        <w:t xml:space="preserve">adesione a Swiss Innovation, come ricordato dal </w:t>
      </w:r>
      <w:r>
        <w:rPr>
          <w:rFonts w:cs="Arial"/>
          <w:lang w:eastAsia="it-CH"/>
        </w:rPr>
        <w:t>Governo</w:t>
      </w:r>
      <w:r w:rsidRPr="00D27487">
        <w:rPr>
          <w:rFonts w:cs="Arial"/>
          <w:lang w:eastAsia="it-CH"/>
        </w:rPr>
        <w:t xml:space="preserve"> nel messaggio) si offre un vantaggio competitivo (a quanti </w:t>
      </w:r>
      <w:r>
        <w:rPr>
          <w:rFonts w:cs="Arial"/>
          <w:lang w:eastAsia="it-CH"/>
        </w:rPr>
        <w:t>franchi</w:t>
      </w:r>
      <w:r w:rsidRPr="00D27487">
        <w:rPr>
          <w:rFonts w:cs="Arial"/>
          <w:lang w:eastAsia="it-CH"/>
        </w:rPr>
        <w:t xml:space="preserve"> può ammontare?) di cui altri non possono beneficiare, senza peraltro la certezza di trarne un vantaggio sostenibile. </w:t>
      </w:r>
    </w:p>
    <w:p w:rsidR="00BE12A1" w:rsidRDefault="00BE12A1" w:rsidP="00823E1F">
      <w:pPr>
        <w:autoSpaceDE w:val="0"/>
        <w:autoSpaceDN w:val="0"/>
        <w:adjustRightInd w:val="0"/>
        <w:rPr>
          <w:rFonts w:cs="Arial"/>
          <w:lang w:eastAsia="it-CH"/>
        </w:rPr>
      </w:pPr>
    </w:p>
    <w:p w:rsidR="00823E1F" w:rsidRDefault="00823E1F" w:rsidP="00823E1F">
      <w:pPr>
        <w:autoSpaceDE w:val="0"/>
        <w:autoSpaceDN w:val="0"/>
        <w:adjustRightInd w:val="0"/>
        <w:rPr>
          <w:rFonts w:cs="Arial"/>
          <w:lang w:eastAsia="it-CH"/>
        </w:rPr>
      </w:pPr>
      <w:r w:rsidRPr="00D27487">
        <w:rPr>
          <w:rFonts w:cs="Arial"/>
          <w:lang w:eastAsia="it-CH"/>
        </w:rPr>
        <w:t>L</w:t>
      </w:r>
      <w:r>
        <w:rPr>
          <w:rFonts w:cs="Arial"/>
          <w:lang w:eastAsia="it-CH"/>
        </w:rPr>
        <w:t>'</w:t>
      </w:r>
      <w:r w:rsidRPr="00D27487">
        <w:rPr>
          <w:rFonts w:cs="Arial"/>
          <w:lang w:eastAsia="it-CH"/>
        </w:rPr>
        <w:t xml:space="preserve">impatto di un progetto del genere come retroagisce sul resto del tessuto economico, sociale e ambientale? </w:t>
      </w:r>
    </w:p>
    <w:p w:rsidR="00BE12A1" w:rsidRPr="00D27487" w:rsidRDefault="00BE12A1" w:rsidP="00823E1F">
      <w:pPr>
        <w:autoSpaceDE w:val="0"/>
        <w:autoSpaceDN w:val="0"/>
        <w:adjustRightInd w:val="0"/>
        <w:rPr>
          <w:rFonts w:cs="Arial"/>
          <w:lang w:eastAsia="it-CH"/>
        </w:rPr>
      </w:pPr>
    </w:p>
    <w:p w:rsidR="00823E1F" w:rsidRDefault="00823E1F" w:rsidP="00823E1F">
      <w:pPr>
        <w:autoSpaceDE w:val="0"/>
        <w:autoSpaceDN w:val="0"/>
        <w:adjustRightInd w:val="0"/>
        <w:rPr>
          <w:rFonts w:cs="Arial"/>
          <w:b/>
          <w:bCs/>
          <w:lang w:eastAsia="it-CH"/>
        </w:rPr>
      </w:pPr>
      <w:r w:rsidRPr="00D27487">
        <w:rPr>
          <w:rFonts w:cs="Arial"/>
          <w:b/>
          <w:bCs/>
          <w:lang w:eastAsia="it-CH"/>
        </w:rPr>
        <w:t>Anche rispetto alle zone industriali e ai progetti che ivi trovano spazio, vi sono molte domande che meritano una ricerca</w:t>
      </w:r>
      <w:r>
        <w:rPr>
          <w:rFonts w:cs="Arial"/>
          <w:b/>
          <w:bCs/>
          <w:lang w:eastAsia="it-CH"/>
        </w:rPr>
        <w:t xml:space="preserve"> approfondita da presentare all'</w:t>
      </w:r>
      <w:r w:rsidRPr="00D27487">
        <w:rPr>
          <w:rFonts w:cs="Arial"/>
          <w:b/>
          <w:bCs/>
          <w:lang w:eastAsia="it-CH"/>
        </w:rPr>
        <w:t>attenzione del Gran Consiglio, affinché si possa comprendere al meglio la sostenibilità a tutto tondo o meno delle politiche economiche promosse e intraprese.</w:t>
      </w:r>
    </w:p>
    <w:p w:rsidR="00A37231" w:rsidRPr="00D27487" w:rsidRDefault="00A37231" w:rsidP="00823E1F">
      <w:pPr>
        <w:autoSpaceDE w:val="0"/>
        <w:autoSpaceDN w:val="0"/>
        <w:adjustRightInd w:val="0"/>
        <w:rPr>
          <w:rFonts w:cs="Arial"/>
          <w:b/>
          <w:bCs/>
          <w:lang w:eastAsia="it-CH"/>
        </w:rPr>
      </w:pPr>
    </w:p>
    <w:p w:rsidR="00823E1F" w:rsidRPr="00D27487" w:rsidRDefault="00823E1F" w:rsidP="00BE12A1">
      <w:pPr>
        <w:pStyle w:val="Titolo1"/>
      </w:pPr>
      <w:bookmarkStart w:id="22" w:name="_Toc63332037"/>
      <w:r w:rsidRPr="00D27487">
        <w:lastRenderedPageBreak/>
        <w:t>CONSIDERAZIONI DELLA MINORANZA COMMISSIONALE</w:t>
      </w:r>
      <w:bookmarkEnd w:id="22"/>
    </w:p>
    <w:p w:rsidR="00823E1F" w:rsidRDefault="00823E1F" w:rsidP="00823E1F">
      <w:pPr>
        <w:pStyle w:val="Paragrafoelenco"/>
        <w:autoSpaceDE w:val="0"/>
        <w:autoSpaceDN w:val="0"/>
        <w:adjustRightInd w:val="0"/>
        <w:rPr>
          <w:rFonts w:cs="Arial"/>
          <w:szCs w:val="24"/>
          <w:lang w:eastAsia="it-CH"/>
        </w:rPr>
      </w:pPr>
      <w:r w:rsidRPr="00D27487">
        <w:rPr>
          <w:rFonts w:cs="Arial"/>
          <w:szCs w:val="24"/>
          <w:lang w:eastAsia="it-CH"/>
        </w:rPr>
        <w:t>Arriviamo dunque alle considerazioni finali.</w:t>
      </w:r>
    </w:p>
    <w:p w:rsidR="00BE12A1" w:rsidRPr="00D27487" w:rsidRDefault="00BE12A1" w:rsidP="00823E1F">
      <w:pPr>
        <w:pStyle w:val="Paragrafoelenco"/>
        <w:autoSpaceDE w:val="0"/>
        <w:autoSpaceDN w:val="0"/>
        <w:adjustRightInd w:val="0"/>
        <w:rPr>
          <w:rFonts w:cs="Arial"/>
          <w:szCs w:val="24"/>
          <w:lang w:eastAsia="it-CH"/>
        </w:rPr>
      </w:pPr>
    </w:p>
    <w:p w:rsidR="00823E1F" w:rsidRDefault="00823E1F" w:rsidP="00823E1F">
      <w:pPr>
        <w:pStyle w:val="Paragrafoelenco"/>
        <w:autoSpaceDE w:val="0"/>
        <w:autoSpaceDN w:val="0"/>
        <w:adjustRightInd w:val="0"/>
        <w:rPr>
          <w:rFonts w:cs="Arial"/>
          <w:szCs w:val="24"/>
          <w:lang w:eastAsia="it-CH"/>
        </w:rPr>
      </w:pPr>
      <w:r w:rsidRPr="00D27487">
        <w:rPr>
          <w:rFonts w:cs="Arial"/>
          <w:szCs w:val="24"/>
          <w:lang w:eastAsia="it-CH"/>
        </w:rPr>
        <w:t xml:space="preserve">Come ricordato nel breve istoriato della mozione (5.1.1.), è stata proprio la lettura parziale dei dati di realtà effettuata nel citato studio IRE, la goccia che ha spinto i mozionanti a richiedere che ricerche e studi contemplassero criteri rappresentativi di tutte le dimensioni della propugnata sostenibilità, in modo da non limitarsi a dire che tutto va bene perché certi indicatori, perlopiù economici, sono positivi. </w:t>
      </w:r>
    </w:p>
    <w:p w:rsidR="00BE12A1" w:rsidRPr="00D27487" w:rsidRDefault="00BE12A1" w:rsidP="00823E1F">
      <w:pPr>
        <w:pStyle w:val="Paragrafoelenco"/>
        <w:autoSpaceDE w:val="0"/>
        <w:autoSpaceDN w:val="0"/>
        <w:adjustRightInd w:val="0"/>
        <w:rPr>
          <w:rFonts w:cs="Arial"/>
          <w:szCs w:val="24"/>
          <w:lang w:eastAsia="it-CH"/>
        </w:rPr>
      </w:pPr>
    </w:p>
    <w:p w:rsidR="00823E1F" w:rsidRDefault="00823E1F" w:rsidP="00823E1F">
      <w:pPr>
        <w:pStyle w:val="Paragrafoelenco"/>
        <w:autoSpaceDE w:val="0"/>
        <w:autoSpaceDN w:val="0"/>
        <w:adjustRightInd w:val="0"/>
        <w:rPr>
          <w:rFonts w:cs="Arial"/>
          <w:szCs w:val="24"/>
          <w:lang w:eastAsia="it-CH"/>
        </w:rPr>
      </w:pPr>
      <w:r w:rsidRPr="00D27487">
        <w:rPr>
          <w:rFonts w:cs="Arial"/>
          <w:szCs w:val="24"/>
          <w:lang w:eastAsia="it-CH"/>
        </w:rPr>
        <w:t>Tale richiesta implica che le ricerche non siano dunque parziali e settoriali, con il rischio come</w:t>
      </w:r>
      <w:r>
        <w:rPr>
          <w:rFonts w:cs="Arial"/>
          <w:szCs w:val="24"/>
          <w:lang w:eastAsia="it-CH"/>
        </w:rPr>
        <w:t xml:space="preserve"> detto di apparire addirittura "</w:t>
      </w:r>
      <w:r w:rsidRPr="00D27487">
        <w:rPr>
          <w:rFonts w:cs="Arial"/>
          <w:szCs w:val="24"/>
          <w:lang w:eastAsia="it-CH"/>
        </w:rPr>
        <w:t xml:space="preserve">strumentalmente </w:t>
      </w:r>
      <w:r>
        <w:rPr>
          <w:rFonts w:cs="Arial"/>
          <w:szCs w:val="24"/>
          <w:lang w:eastAsia="it-CH"/>
        </w:rPr>
        <w:t>di parte"</w:t>
      </w:r>
      <w:r w:rsidRPr="00D27487">
        <w:rPr>
          <w:rFonts w:cs="Arial"/>
          <w:szCs w:val="24"/>
          <w:lang w:eastAsia="it-CH"/>
        </w:rPr>
        <w:t xml:space="preserve">, bensì possano svolgere una lettura </w:t>
      </w:r>
      <w:r w:rsidRPr="00D27487">
        <w:rPr>
          <w:rFonts w:cs="Arial"/>
          <w:szCs w:val="24"/>
          <w:u w:val="single"/>
          <w:lang w:eastAsia="it-CH"/>
        </w:rPr>
        <w:t>integrale</w:t>
      </w:r>
      <w:r w:rsidRPr="00D27487">
        <w:rPr>
          <w:rFonts w:cs="Arial"/>
          <w:szCs w:val="24"/>
          <w:lang w:eastAsia="it-CH"/>
        </w:rPr>
        <w:t xml:space="preserve"> (complessiva, globale e longitudinale) della realtà economica e delle relative ricadute su società e ambiente, poggiandosi su più punti di vista che si confrontano in una sorta di revisione paritaria, per comprendere appieno se le politiche di promozione economica si realizza</w:t>
      </w:r>
      <w:r>
        <w:rPr>
          <w:rFonts w:cs="Arial"/>
          <w:szCs w:val="24"/>
          <w:lang w:eastAsia="it-CH"/>
        </w:rPr>
        <w:t>no secondo l'</w:t>
      </w:r>
      <w:r w:rsidRPr="00D27487">
        <w:rPr>
          <w:rFonts w:cs="Arial"/>
          <w:szCs w:val="24"/>
          <w:lang w:eastAsia="it-CH"/>
        </w:rPr>
        <w:t>auspicato concetto di sviluppo sostenibile.</w:t>
      </w:r>
    </w:p>
    <w:p w:rsidR="00BE12A1" w:rsidRPr="00D27487" w:rsidRDefault="00BE12A1" w:rsidP="00823E1F">
      <w:pPr>
        <w:pStyle w:val="Paragrafoelenco"/>
        <w:autoSpaceDE w:val="0"/>
        <w:autoSpaceDN w:val="0"/>
        <w:adjustRightInd w:val="0"/>
        <w:rPr>
          <w:rFonts w:cs="Arial"/>
          <w:szCs w:val="24"/>
          <w:lang w:eastAsia="it-CH"/>
        </w:rPr>
      </w:pPr>
    </w:p>
    <w:p w:rsidR="00823E1F" w:rsidRDefault="00823E1F" w:rsidP="00823E1F">
      <w:pPr>
        <w:pStyle w:val="Paragrafoelenco"/>
        <w:autoSpaceDE w:val="0"/>
        <w:autoSpaceDN w:val="0"/>
        <w:adjustRightInd w:val="0"/>
        <w:rPr>
          <w:rFonts w:cs="Arial"/>
          <w:szCs w:val="24"/>
          <w:lang w:eastAsia="it-CH"/>
        </w:rPr>
      </w:pPr>
      <w:r w:rsidRPr="00D27487">
        <w:rPr>
          <w:rFonts w:cs="Arial"/>
          <w:szCs w:val="24"/>
          <w:lang w:eastAsia="it-CH"/>
        </w:rPr>
        <w:t>Se si desidera veramente raggiungere uno sviluppo sostenibile è necessario anche modificare la nostra cultura politica, che ritiene sempre e ancora che fare politica economica significhi non fare nel contempo politica sociale e ambientale (nuovamente una visione parziale e non integrale), quando tutti i riferimenti scientifici sulla sostenibilità indicano il contrario</w:t>
      </w:r>
      <w:r>
        <w:rPr>
          <w:rFonts w:cs="Arial"/>
          <w:szCs w:val="24"/>
          <w:lang w:eastAsia="it-CH"/>
        </w:rPr>
        <w:t xml:space="preserve"> ("</w:t>
      </w:r>
      <w:r w:rsidRPr="00D27487">
        <w:rPr>
          <w:rFonts w:cs="Arial"/>
          <w:i/>
          <w:iCs/>
          <w:szCs w:val="24"/>
          <w:lang w:eastAsia="it-CH"/>
        </w:rPr>
        <w:t>complessivo, duraturo, globale</w:t>
      </w:r>
      <w:r>
        <w:rPr>
          <w:rFonts w:cs="Arial"/>
          <w:szCs w:val="24"/>
          <w:lang w:eastAsia="it-CH"/>
        </w:rPr>
        <w:t>"</w:t>
      </w:r>
      <w:r w:rsidRPr="00D27487">
        <w:rPr>
          <w:rFonts w:cs="Arial"/>
          <w:szCs w:val="24"/>
          <w:lang w:eastAsia="it-CH"/>
        </w:rPr>
        <w:t xml:space="preserve">). </w:t>
      </w:r>
    </w:p>
    <w:p w:rsidR="00BE12A1" w:rsidRPr="00D27487" w:rsidRDefault="00BE12A1" w:rsidP="00823E1F">
      <w:pPr>
        <w:pStyle w:val="Paragrafoelenco"/>
        <w:autoSpaceDE w:val="0"/>
        <w:autoSpaceDN w:val="0"/>
        <w:adjustRightInd w:val="0"/>
        <w:rPr>
          <w:rFonts w:cs="Arial"/>
          <w:szCs w:val="24"/>
          <w:lang w:eastAsia="it-CH"/>
        </w:rPr>
      </w:pPr>
    </w:p>
    <w:p w:rsidR="00823E1F" w:rsidRDefault="00823E1F" w:rsidP="00823E1F">
      <w:pPr>
        <w:pStyle w:val="Paragrafoelenco"/>
        <w:autoSpaceDE w:val="0"/>
        <w:autoSpaceDN w:val="0"/>
        <w:adjustRightInd w:val="0"/>
        <w:rPr>
          <w:rFonts w:cs="Arial"/>
          <w:szCs w:val="24"/>
          <w:lang w:eastAsia="it-CH"/>
        </w:rPr>
      </w:pPr>
      <w:r w:rsidRPr="00D27487">
        <w:rPr>
          <w:rFonts w:cs="Arial"/>
          <w:szCs w:val="24"/>
          <w:lang w:eastAsia="it-CH"/>
        </w:rPr>
        <w:t xml:space="preserve">La minoranza commissionale nei suoi approfondimenti ha osservato che: </w:t>
      </w:r>
    </w:p>
    <w:p w:rsidR="00823E1F" w:rsidRPr="00D27487" w:rsidRDefault="00823E1F" w:rsidP="00BE12A1">
      <w:pPr>
        <w:pStyle w:val="Paragrafoelenco"/>
        <w:numPr>
          <w:ilvl w:val="0"/>
          <w:numId w:val="9"/>
        </w:numPr>
        <w:autoSpaceDE w:val="0"/>
        <w:autoSpaceDN w:val="0"/>
        <w:adjustRightInd w:val="0"/>
        <w:spacing w:before="120" w:after="120"/>
        <w:ind w:left="425" w:hanging="425"/>
        <w:rPr>
          <w:rFonts w:cs="Arial"/>
          <w:szCs w:val="24"/>
          <w:lang w:eastAsia="it-CH"/>
        </w:rPr>
      </w:pPr>
      <w:r>
        <w:rPr>
          <w:rFonts w:cs="Arial"/>
          <w:szCs w:val="24"/>
          <w:lang w:eastAsia="it-CH"/>
        </w:rPr>
        <w:t>l'</w:t>
      </w:r>
      <w:r w:rsidRPr="00D27487">
        <w:rPr>
          <w:rFonts w:cs="Arial"/>
          <w:szCs w:val="24"/>
          <w:lang w:eastAsia="it-CH"/>
        </w:rPr>
        <w:t>utilizzo dello strumento VSost per verificare l</w:t>
      </w:r>
      <w:r>
        <w:rPr>
          <w:rFonts w:cs="Arial"/>
          <w:szCs w:val="24"/>
          <w:lang w:eastAsia="it-CH"/>
        </w:rPr>
        <w:t>a sostenibilità del programma d'</w:t>
      </w:r>
      <w:r w:rsidRPr="00D27487">
        <w:rPr>
          <w:rFonts w:cs="Arial"/>
          <w:szCs w:val="24"/>
          <w:lang w:eastAsia="it-CH"/>
        </w:rPr>
        <w:t xml:space="preserve">attuazione della PER non può purtroppo ancora essere ritenuto efficace, poiché da una parte ha un valore soprattutto predittivo </w:t>
      </w:r>
      <w:r>
        <w:rPr>
          <w:rFonts w:cs="Arial"/>
          <w:szCs w:val="24"/>
          <w:lang w:eastAsia="it-CH"/>
        </w:rPr>
        <w:t>e dall'</w:t>
      </w:r>
      <w:r w:rsidRPr="00D27487">
        <w:rPr>
          <w:rFonts w:cs="Arial"/>
          <w:szCs w:val="24"/>
          <w:lang w:eastAsia="it-CH"/>
        </w:rPr>
        <w:t>altra è fondato su una valutazione non quantitativa</w:t>
      </w:r>
      <w:r>
        <w:rPr>
          <w:rFonts w:cs="Arial"/>
          <w:szCs w:val="24"/>
          <w:lang w:eastAsia="it-CH"/>
        </w:rPr>
        <w:t xml:space="preserve"> ("a spanne"</w:t>
      </w:r>
      <w:r w:rsidRPr="00D27487">
        <w:rPr>
          <w:rFonts w:cs="Arial"/>
          <w:szCs w:val="24"/>
          <w:lang w:eastAsia="it-CH"/>
        </w:rPr>
        <w:t>), svolta soprattutto partendo da un punto di vista economico. Non a caso si lascia intendere che è uno strumento che necessita di essere ulteriormente sviluppato;</w:t>
      </w:r>
    </w:p>
    <w:p w:rsidR="00823E1F" w:rsidRPr="00D27487" w:rsidRDefault="00823E1F" w:rsidP="00BE12A1">
      <w:pPr>
        <w:pStyle w:val="Paragrafoelenco"/>
        <w:numPr>
          <w:ilvl w:val="0"/>
          <w:numId w:val="9"/>
        </w:numPr>
        <w:autoSpaceDE w:val="0"/>
        <w:autoSpaceDN w:val="0"/>
        <w:adjustRightInd w:val="0"/>
        <w:spacing w:before="120" w:after="120"/>
        <w:ind w:left="425" w:hanging="425"/>
        <w:rPr>
          <w:rFonts w:cs="Arial"/>
          <w:szCs w:val="24"/>
          <w:lang w:eastAsia="it-CH"/>
        </w:rPr>
      </w:pPr>
      <w:r>
        <w:rPr>
          <w:rFonts w:cs="Arial"/>
          <w:szCs w:val="24"/>
          <w:lang w:eastAsia="it-CH"/>
        </w:rPr>
        <w:t>l'</w:t>
      </w:r>
      <w:r w:rsidRPr="00D27487">
        <w:rPr>
          <w:rFonts w:cs="Arial"/>
          <w:szCs w:val="24"/>
          <w:lang w:eastAsia="it-CH"/>
        </w:rPr>
        <w:t>utilizzo del Return of investment per orientare la so</w:t>
      </w:r>
      <w:r>
        <w:rPr>
          <w:rFonts w:cs="Arial"/>
          <w:szCs w:val="24"/>
          <w:lang w:eastAsia="it-CH"/>
        </w:rPr>
        <w:t>stenibilità della politica sull'</w:t>
      </w:r>
      <w:r w:rsidRPr="00D27487">
        <w:rPr>
          <w:rFonts w:cs="Arial"/>
          <w:szCs w:val="24"/>
          <w:lang w:eastAsia="it-CH"/>
        </w:rPr>
        <w:t xml:space="preserve">innovazione, </w:t>
      </w:r>
      <w:r>
        <w:rPr>
          <w:rFonts w:cs="Arial"/>
          <w:szCs w:val="24"/>
          <w:lang w:eastAsia="it-CH"/>
        </w:rPr>
        <w:t>è anch'</w:t>
      </w:r>
      <w:r w:rsidRPr="00D27487">
        <w:rPr>
          <w:rFonts w:cs="Arial"/>
          <w:szCs w:val="24"/>
          <w:lang w:eastAsia="it-CH"/>
        </w:rPr>
        <w:t>esso ancora inefficace e parziale, poiché molto legato ad aspetti economici e sociali, ma non mette ancora regole vincolanti per gli aspetti ambientali;</w:t>
      </w:r>
    </w:p>
    <w:p w:rsidR="00823E1F" w:rsidRPr="00D27487" w:rsidRDefault="00823E1F" w:rsidP="00BE12A1">
      <w:pPr>
        <w:pStyle w:val="Paragrafoelenco"/>
        <w:numPr>
          <w:ilvl w:val="0"/>
          <w:numId w:val="9"/>
        </w:numPr>
        <w:autoSpaceDE w:val="0"/>
        <w:autoSpaceDN w:val="0"/>
        <w:adjustRightInd w:val="0"/>
        <w:spacing w:before="120" w:after="120"/>
        <w:ind w:left="425" w:hanging="425"/>
        <w:rPr>
          <w:rFonts w:cs="Arial"/>
          <w:szCs w:val="24"/>
          <w:lang w:eastAsia="it-CH"/>
        </w:rPr>
      </w:pPr>
      <w:r w:rsidRPr="00D27487">
        <w:rPr>
          <w:rFonts w:cs="Arial"/>
          <w:szCs w:val="24"/>
          <w:lang w:eastAsia="it-CH"/>
        </w:rPr>
        <w:t>il fatto che nelle varie pol</w:t>
      </w:r>
      <w:r>
        <w:rPr>
          <w:rFonts w:cs="Arial"/>
          <w:szCs w:val="24"/>
          <w:lang w:eastAsia="it-CH"/>
        </w:rPr>
        <w:t>itiche vi sia un’attenzione all'</w:t>
      </w:r>
      <w:r w:rsidRPr="00D27487">
        <w:rPr>
          <w:rFonts w:cs="Arial"/>
          <w:szCs w:val="24"/>
          <w:lang w:eastAsia="it-CH"/>
        </w:rPr>
        <w:t>impiego di residenti, ai minimi salariali decenti</w:t>
      </w:r>
      <w:r>
        <w:rPr>
          <w:rFonts w:cs="Arial"/>
          <w:szCs w:val="24"/>
          <w:lang w:eastAsia="it-CH"/>
        </w:rPr>
        <w:t>, all'</w:t>
      </w:r>
      <w:r w:rsidRPr="00D27487">
        <w:rPr>
          <w:rFonts w:cs="Arial"/>
          <w:szCs w:val="24"/>
          <w:lang w:eastAsia="it-CH"/>
        </w:rPr>
        <w:t xml:space="preserve">uso parsimonioso del suolo e in particolare delle aree industriali-artigianali e dei poli di sviluppo economico, non significa ancora, come poi è stato mostrato dalle statistiche, che alle buone intenzioni segua anche una loro effettiva realizzazione; </w:t>
      </w:r>
    </w:p>
    <w:p w:rsidR="00823E1F" w:rsidRPr="00D27487" w:rsidRDefault="00823E1F" w:rsidP="00BE12A1">
      <w:pPr>
        <w:pStyle w:val="Paragrafoelenco"/>
        <w:numPr>
          <w:ilvl w:val="0"/>
          <w:numId w:val="9"/>
        </w:numPr>
        <w:autoSpaceDE w:val="0"/>
        <w:autoSpaceDN w:val="0"/>
        <w:adjustRightInd w:val="0"/>
        <w:spacing w:before="120" w:after="120"/>
        <w:ind w:left="425" w:hanging="425"/>
        <w:rPr>
          <w:rFonts w:cs="Arial"/>
          <w:szCs w:val="24"/>
          <w:lang w:eastAsia="it-CH"/>
        </w:rPr>
      </w:pPr>
      <w:r w:rsidRPr="00D27487">
        <w:rPr>
          <w:rFonts w:cs="Arial"/>
          <w:szCs w:val="24"/>
          <w:lang w:eastAsia="it-CH"/>
        </w:rPr>
        <w:t xml:space="preserve">i dati oggettivi (distribuzione iniqua della ricchezza, posti di lavoro soprattutto per non residenti, precarietà del lavoro, impronta ecologica insostenibile, continua erosione del territorio) mostrano con sufficiente evidenza che gli sforzi intrapresi per rendere sostenibile la politica economica cantonale – per quanto ben intenzionati – non raggiungono il proprio obbiettivo, poiché gli indicatori della dimensione sociale e quella ambientale non parlano per uno sviluppo sostenibile e, come le tendenze mostrano, stanno andando sempre più in sofferenza; </w:t>
      </w:r>
    </w:p>
    <w:p w:rsidR="00823E1F" w:rsidRPr="00D27487" w:rsidRDefault="00823E1F" w:rsidP="00BE12A1">
      <w:pPr>
        <w:pStyle w:val="Paragrafoelenco"/>
        <w:numPr>
          <w:ilvl w:val="0"/>
          <w:numId w:val="9"/>
        </w:numPr>
        <w:autoSpaceDE w:val="0"/>
        <w:autoSpaceDN w:val="0"/>
        <w:adjustRightInd w:val="0"/>
        <w:spacing w:before="120" w:after="120"/>
        <w:ind w:left="425" w:hanging="425"/>
        <w:rPr>
          <w:rFonts w:cs="Arial"/>
          <w:szCs w:val="24"/>
          <w:lang w:eastAsia="it-CH"/>
        </w:rPr>
      </w:pPr>
      <w:r w:rsidRPr="00D27487">
        <w:rPr>
          <w:rFonts w:cs="Arial"/>
          <w:szCs w:val="24"/>
          <w:lang w:eastAsia="it-CH"/>
        </w:rPr>
        <w:t>è aperta la domanda a sapere se la sostenibilità non si realizza perché gli orientamenti decisi non si traducono efficacemente in realtà oppure se questi coprono una ristretta realtà economica che si diluisce fino a sparire in un tessuto economico molto più ampio e perlopiù incontrollato (insediamenti spontanei);</w:t>
      </w:r>
    </w:p>
    <w:p w:rsidR="00823E1F" w:rsidRDefault="00823E1F" w:rsidP="00A37231">
      <w:pPr>
        <w:pStyle w:val="Paragrafoelenco"/>
        <w:numPr>
          <w:ilvl w:val="0"/>
          <w:numId w:val="9"/>
        </w:numPr>
        <w:autoSpaceDE w:val="0"/>
        <w:autoSpaceDN w:val="0"/>
        <w:adjustRightInd w:val="0"/>
        <w:spacing w:before="120"/>
        <w:ind w:left="425" w:hanging="425"/>
        <w:rPr>
          <w:rFonts w:cs="Arial"/>
          <w:szCs w:val="24"/>
          <w:lang w:eastAsia="it-CH"/>
        </w:rPr>
      </w:pPr>
      <w:r w:rsidRPr="00D27487">
        <w:rPr>
          <w:rFonts w:cs="Arial"/>
          <w:szCs w:val="24"/>
          <w:lang w:eastAsia="it-CH"/>
        </w:rPr>
        <w:lastRenderedPageBreak/>
        <w:t xml:space="preserve">la scheda R7 del piano direttore cantonale, pur essendo una base di discussione e di riflessione, non costituisce una lettura sufficientemente affidabile e dettagliata per comprendere come </w:t>
      </w:r>
      <w:r>
        <w:rPr>
          <w:rFonts w:cs="Arial"/>
          <w:szCs w:val="24"/>
          <w:lang w:eastAsia="it-CH"/>
        </w:rPr>
        <w:t>l'</w:t>
      </w:r>
      <w:r w:rsidRPr="00D27487">
        <w:rPr>
          <w:rFonts w:cs="Arial"/>
          <w:szCs w:val="24"/>
          <w:lang w:eastAsia="it-CH"/>
        </w:rPr>
        <w:t xml:space="preserve">auspicata sostenibilità delle politiche economiche si articola e concretizza negli svariati tessuti economici (poli di sviluppo economico, zone industriali-artigianali, zone miste, insediamenti spontanei e insediamenti regolati). Mancano inoltre indicatori inerenti alla dimensione sociale e indicatori per capire se e quanto si sta rientrando nei confini della sostenibilità. </w:t>
      </w:r>
    </w:p>
    <w:p w:rsidR="00A37231" w:rsidRPr="00D27487" w:rsidRDefault="00A37231" w:rsidP="00A37231">
      <w:pPr>
        <w:pStyle w:val="Paragrafoelenco"/>
        <w:autoSpaceDE w:val="0"/>
        <w:autoSpaceDN w:val="0"/>
        <w:adjustRightInd w:val="0"/>
        <w:ind w:left="425"/>
        <w:rPr>
          <w:rFonts w:cs="Arial"/>
          <w:szCs w:val="24"/>
          <w:lang w:eastAsia="it-CH"/>
        </w:rPr>
      </w:pPr>
    </w:p>
    <w:p w:rsidR="00823E1F" w:rsidRDefault="00823E1F" w:rsidP="00823E1F">
      <w:pPr>
        <w:pStyle w:val="Paragrafoelenco"/>
        <w:autoSpaceDE w:val="0"/>
        <w:autoSpaceDN w:val="0"/>
        <w:adjustRightInd w:val="0"/>
        <w:rPr>
          <w:rFonts w:cs="Arial"/>
          <w:szCs w:val="24"/>
          <w:lang w:eastAsia="it-CH"/>
        </w:rPr>
      </w:pPr>
      <w:r w:rsidRPr="00D27487">
        <w:rPr>
          <w:rFonts w:cs="Arial"/>
          <w:szCs w:val="24"/>
          <w:lang w:eastAsia="it-CH"/>
        </w:rPr>
        <w:t xml:space="preserve">In conclusione, le considerazioni sopra esposte non permettono di sostenere che le due richieste delle mozioni siano evase. </w:t>
      </w:r>
    </w:p>
    <w:p w:rsidR="00BE12A1" w:rsidRPr="00D27487" w:rsidRDefault="00BE12A1" w:rsidP="00823E1F">
      <w:pPr>
        <w:pStyle w:val="Paragrafoelenco"/>
        <w:autoSpaceDE w:val="0"/>
        <w:autoSpaceDN w:val="0"/>
        <w:adjustRightInd w:val="0"/>
        <w:rPr>
          <w:rFonts w:cs="Arial"/>
          <w:szCs w:val="24"/>
          <w:lang w:eastAsia="it-CH"/>
        </w:rPr>
      </w:pPr>
    </w:p>
    <w:p w:rsidR="00823E1F" w:rsidRDefault="00823E1F" w:rsidP="00823E1F">
      <w:pPr>
        <w:pStyle w:val="Paragrafoelenco"/>
        <w:autoSpaceDE w:val="0"/>
        <w:autoSpaceDN w:val="0"/>
        <w:adjustRightInd w:val="0"/>
        <w:rPr>
          <w:rFonts w:cs="Arial"/>
          <w:szCs w:val="24"/>
          <w:lang w:eastAsia="it-CH"/>
        </w:rPr>
      </w:pPr>
      <w:r w:rsidRPr="00D27487">
        <w:rPr>
          <w:rFonts w:cs="Arial"/>
          <w:szCs w:val="24"/>
          <w:lang w:eastAsia="it-CH"/>
        </w:rPr>
        <w:t>La minoranza commissionale ritiene pertanto che la richiesta della mozione di avere studi e ricerche che descrivano chiaramente in maniera integrale la realtà in tutte le sue sfaccettature (economica, sociale e ambientale), sia un elemento imprescindibile per orientare correttamente le varie politiche economiche, monitorarne l’evoluzione e le sue ricadute sulle varie dimensioni (economica, sociale e ambientale) ed eventualmente correggerne l’orientamento. Questo a maggior ragione in un tempo dove le ripercussioni della pandemia possono costituire un forte pregiudizio alla sostenibilità in particolare nell’ambito sociale e ambientale, che vanno pertanto attentamente monitorati per orientare al meglio le nostre politiche economiche.</w:t>
      </w:r>
    </w:p>
    <w:p w:rsidR="00BE12A1" w:rsidRPr="00D27487" w:rsidRDefault="00BE12A1" w:rsidP="00823E1F">
      <w:pPr>
        <w:pStyle w:val="Paragrafoelenco"/>
        <w:autoSpaceDE w:val="0"/>
        <w:autoSpaceDN w:val="0"/>
        <w:adjustRightInd w:val="0"/>
        <w:rPr>
          <w:rFonts w:cs="Arial"/>
          <w:szCs w:val="24"/>
          <w:lang w:eastAsia="it-CH"/>
        </w:rPr>
      </w:pPr>
    </w:p>
    <w:p w:rsidR="00823E1F" w:rsidRDefault="00823E1F" w:rsidP="00823E1F">
      <w:pPr>
        <w:pStyle w:val="Paragrafoelenco"/>
        <w:autoSpaceDE w:val="0"/>
        <w:autoSpaceDN w:val="0"/>
        <w:adjustRightInd w:val="0"/>
        <w:rPr>
          <w:rFonts w:cs="Arial"/>
          <w:szCs w:val="24"/>
          <w:lang w:eastAsia="it-CH"/>
        </w:rPr>
      </w:pPr>
      <w:r w:rsidRPr="00D27487">
        <w:rPr>
          <w:rFonts w:cs="Arial"/>
          <w:szCs w:val="24"/>
          <w:lang w:eastAsia="it-CH"/>
        </w:rPr>
        <w:t>Come affermato nelle discussioni commissionali, i dati sono probabilmente già in gran parte presenti</w:t>
      </w:r>
      <w:r>
        <w:rPr>
          <w:rFonts w:cs="Arial"/>
          <w:szCs w:val="24"/>
          <w:lang w:eastAsia="it-CH"/>
        </w:rPr>
        <w:t xml:space="preserve"> dentro e fuori l'</w:t>
      </w:r>
      <w:r w:rsidRPr="00D27487">
        <w:rPr>
          <w:rFonts w:cs="Arial"/>
          <w:szCs w:val="24"/>
          <w:lang w:eastAsia="it-CH"/>
        </w:rPr>
        <w:t>Amministrazione cantonale, ma non vi è ancora un referente</w:t>
      </w:r>
      <w:r w:rsidRPr="00D27487">
        <w:rPr>
          <w:rStyle w:val="Rimandonotaapidipagina"/>
          <w:rFonts w:cs="Arial"/>
          <w:szCs w:val="24"/>
          <w:lang w:eastAsia="it-CH"/>
        </w:rPr>
        <w:footnoteReference w:id="30"/>
      </w:r>
      <w:r w:rsidRPr="00D27487">
        <w:rPr>
          <w:rFonts w:cs="Arial"/>
          <w:szCs w:val="24"/>
          <w:lang w:eastAsia="it-CH"/>
        </w:rPr>
        <w:t xml:space="preserve"> che assuma la responsabilità di raccoglierli in funzione delle 3 dimensioni della sostenibilità e incrociarli così da leggere integralmente la realtà e le interrelazioni tra le sue varie parti, al fine di permettere un miglior orientamento delle varie politiche, in particolare di quelle economiche, sia settoriali che di promozione e sviluppo generale. </w:t>
      </w:r>
    </w:p>
    <w:p w:rsidR="00BE12A1" w:rsidRPr="00D27487" w:rsidRDefault="00BE12A1" w:rsidP="00823E1F">
      <w:pPr>
        <w:pStyle w:val="Paragrafoelenco"/>
        <w:autoSpaceDE w:val="0"/>
        <w:autoSpaceDN w:val="0"/>
        <w:adjustRightInd w:val="0"/>
        <w:rPr>
          <w:rFonts w:cs="Arial"/>
          <w:szCs w:val="24"/>
          <w:lang w:eastAsia="it-CH"/>
        </w:rPr>
      </w:pPr>
    </w:p>
    <w:p w:rsidR="00823E1F" w:rsidRDefault="00823E1F" w:rsidP="00823E1F">
      <w:pPr>
        <w:pStyle w:val="Paragrafoelenco"/>
        <w:autoSpaceDE w:val="0"/>
        <w:autoSpaceDN w:val="0"/>
        <w:adjustRightInd w:val="0"/>
        <w:rPr>
          <w:rFonts w:cs="Arial"/>
          <w:szCs w:val="24"/>
          <w:lang w:eastAsia="it-CH"/>
        </w:rPr>
      </w:pPr>
      <w:r w:rsidRPr="00D27487">
        <w:rPr>
          <w:rFonts w:cs="Arial"/>
          <w:szCs w:val="24"/>
          <w:lang w:eastAsia="it-CH"/>
        </w:rPr>
        <w:t xml:space="preserve">Ben consapevoli che si tratta di una sfida complessa e impegnativa, la minoranza </w:t>
      </w:r>
      <w:r>
        <w:rPr>
          <w:rFonts w:cs="Arial"/>
          <w:szCs w:val="24"/>
          <w:lang w:eastAsia="it-CH"/>
        </w:rPr>
        <w:t>commissionale ritiene che con l'</w:t>
      </w:r>
      <w:r w:rsidRPr="00D27487">
        <w:rPr>
          <w:rFonts w:cs="Arial"/>
          <w:szCs w:val="24"/>
          <w:lang w:eastAsia="it-CH"/>
        </w:rPr>
        <w:t xml:space="preserve">aiuto di istituti di ricerca già presenti sul territorio (USI, SUPSI, Delle Molle, CSCS, USTAT, …) e la collaborazione di eventuali altri istituti nazionali e internazionali, si possa garantire lo sviluppo di ricerche e studi che, da una parte poggino su un ampio consenso scientifico (andando così a riprendere lo spirito della mozione MPS recentemente bocciata nel dicembre 2020 dal Gran Consiglio) </w:t>
      </w:r>
      <w:r>
        <w:rPr>
          <w:rFonts w:cs="Arial"/>
          <w:szCs w:val="24"/>
          <w:lang w:eastAsia="it-CH"/>
        </w:rPr>
        <w:t>e dall'</w:t>
      </w:r>
      <w:r w:rsidRPr="00D27487">
        <w:rPr>
          <w:rFonts w:cs="Arial"/>
          <w:szCs w:val="24"/>
          <w:lang w:eastAsia="it-CH"/>
        </w:rPr>
        <w:t>altra permetta attraverso la modellizzazione di un sistema complesso (una stimolante sfida per le scienze della complessità, le scienze computazionali e de</w:t>
      </w:r>
      <w:r>
        <w:rPr>
          <w:rFonts w:cs="Arial"/>
          <w:szCs w:val="24"/>
          <w:lang w:eastAsia="it-CH"/>
        </w:rPr>
        <w:t>ll'</w:t>
      </w:r>
      <w:r w:rsidRPr="00D27487">
        <w:rPr>
          <w:rFonts w:cs="Arial"/>
          <w:szCs w:val="24"/>
          <w:lang w:eastAsia="it-CH"/>
        </w:rPr>
        <w:t xml:space="preserve">intelligenza artificiale) una migliore lettura delle complesse interrelazioni tra economia, società e ambiente, al fine di orientare meglio le varie politiche. </w:t>
      </w:r>
    </w:p>
    <w:p w:rsidR="00BE12A1" w:rsidRPr="00D27487" w:rsidRDefault="00BE12A1" w:rsidP="00823E1F">
      <w:pPr>
        <w:pStyle w:val="Paragrafoelenco"/>
        <w:autoSpaceDE w:val="0"/>
        <w:autoSpaceDN w:val="0"/>
        <w:adjustRightInd w:val="0"/>
        <w:rPr>
          <w:rFonts w:cs="Arial"/>
          <w:szCs w:val="24"/>
          <w:lang w:eastAsia="it-CH"/>
        </w:rPr>
      </w:pPr>
    </w:p>
    <w:p w:rsidR="00823E1F" w:rsidRPr="00D27487" w:rsidRDefault="00823E1F" w:rsidP="00823E1F">
      <w:pPr>
        <w:pStyle w:val="Paragrafoelenco"/>
        <w:autoSpaceDE w:val="0"/>
        <w:autoSpaceDN w:val="0"/>
        <w:adjustRightInd w:val="0"/>
        <w:rPr>
          <w:rFonts w:cs="Arial"/>
          <w:szCs w:val="24"/>
          <w:lang w:eastAsia="it-CH"/>
        </w:rPr>
      </w:pPr>
      <w:r w:rsidRPr="00D27487">
        <w:rPr>
          <w:rFonts w:cs="Arial"/>
          <w:szCs w:val="24"/>
          <w:lang w:eastAsia="it-CH"/>
        </w:rPr>
        <w:t>Non ci stancheremo mai di ripeterlo, la sostenibilità è anche innovazione e il Ticino può essere un pioniere.</w:t>
      </w:r>
    </w:p>
    <w:p w:rsidR="00823E1F" w:rsidRPr="00D27487" w:rsidRDefault="00823E1F" w:rsidP="00823E1F">
      <w:pPr>
        <w:pStyle w:val="Paragrafoelenco"/>
        <w:autoSpaceDE w:val="0"/>
        <w:autoSpaceDN w:val="0"/>
        <w:adjustRightInd w:val="0"/>
        <w:rPr>
          <w:rFonts w:cs="Arial"/>
          <w:szCs w:val="24"/>
          <w:lang w:eastAsia="it-CH"/>
        </w:rPr>
      </w:pPr>
    </w:p>
    <w:p w:rsidR="00BE12A1" w:rsidRDefault="00BE12A1">
      <w:pPr>
        <w:jc w:val="left"/>
        <w:rPr>
          <w:rFonts w:cs="Arial"/>
          <w:szCs w:val="24"/>
          <w:lang w:eastAsia="it-CH"/>
        </w:rPr>
      </w:pPr>
      <w:r>
        <w:rPr>
          <w:rFonts w:cs="Arial"/>
          <w:szCs w:val="24"/>
          <w:lang w:eastAsia="it-CH"/>
        </w:rPr>
        <w:br w:type="page"/>
      </w:r>
    </w:p>
    <w:p w:rsidR="00823E1F" w:rsidRPr="00D27487" w:rsidRDefault="00823E1F" w:rsidP="00BE12A1">
      <w:pPr>
        <w:pStyle w:val="Titolo1"/>
      </w:pPr>
      <w:bookmarkStart w:id="23" w:name="_Toc63332038"/>
      <w:r w:rsidRPr="00D27487">
        <w:lastRenderedPageBreak/>
        <w:t>CONCLUSIONI</w:t>
      </w:r>
      <w:bookmarkEnd w:id="23"/>
    </w:p>
    <w:p w:rsidR="00823E1F" w:rsidRPr="00D27487" w:rsidRDefault="00823E1F" w:rsidP="00823E1F">
      <w:pPr>
        <w:autoSpaceDE w:val="0"/>
        <w:autoSpaceDN w:val="0"/>
        <w:adjustRightInd w:val="0"/>
        <w:rPr>
          <w:rFonts w:cs="Arial"/>
          <w:lang w:eastAsia="it-CH"/>
        </w:rPr>
      </w:pPr>
      <w:r w:rsidRPr="00D27487">
        <w:rPr>
          <w:rFonts w:cs="Arial"/>
          <w:lang w:eastAsia="it-CH"/>
        </w:rPr>
        <w:t>La minoranza della Commissione economia e lavoro, per le motivazioni esposte, chiede al Gran Consi</w:t>
      </w:r>
      <w:r w:rsidR="00BE12A1">
        <w:rPr>
          <w:rFonts w:cs="Arial"/>
          <w:lang w:eastAsia="it-CH"/>
        </w:rPr>
        <w:t>glio di accogliere la mozione n</w:t>
      </w:r>
      <w:r w:rsidRPr="00D27487">
        <w:rPr>
          <w:rFonts w:cs="Arial"/>
          <w:lang w:eastAsia="it-CH"/>
        </w:rPr>
        <w:t>.</w:t>
      </w:r>
      <w:r>
        <w:rPr>
          <w:rFonts w:cs="Arial"/>
          <w:lang w:eastAsia="it-CH"/>
        </w:rPr>
        <w:t xml:space="preserve"> 1133 "</w:t>
      </w:r>
      <w:r w:rsidRPr="00D27487">
        <w:rPr>
          <w:rFonts w:eastAsia="Arial" w:cs="Arial"/>
        </w:rPr>
        <w:t xml:space="preserve">Criteri per promuovere sbocchi occupazionali per i residenti e uno sviluppo </w:t>
      </w:r>
      <w:r>
        <w:rPr>
          <w:rFonts w:eastAsia="Arial" w:cs="Arial"/>
        </w:rPr>
        <w:t>economico sostenibile in Ticino"</w:t>
      </w:r>
      <w:r w:rsidRPr="00D27487">
        <w:rPr>
          <w:rFonts w:eastAsia="Arial" w:cs="Arial"/>
        </w:rPr>
        <w:t>.</w:t>
      </w:r>
    </w:p>
    <w:p w:rsidR="005F4380" w:rsidRDefault="005F4380" w:rsidP="00CB127C">
      <w:pPr>
        <w:pStyle w:val="Paragrafoelenco"/>
        <w:tabs>
          <w:tab w:val="left" w:pos="4962"/>
        </w:tabs>
        <w:ind w:right="-1"/>
        <w:rPr>
          <w:rFonts w:cs="Arial"/>
          <w:szCs w:val="24"/>
        </w:rPr>
      </w:pPr>
    </w:p>
    <w:p w:rsidR="000B2940" w:rsidRDefault="000B2940" w:rsidP="00CB127C">
      <w:pPr>
        <w:rPr>
          <w:rFonts w:cs="Arial"/>
        </w:rPr>
      </w:pPr>
    </w:p>
    <w:p w:rsidR="000B2940" w:rsidRPr="008219F2" w:rsidRDefault="000B2940" w:rsidP="00CB127C">
      <w:pPr>
        <w:rPr>
          <w:rFonts w:cs="Arial"/>
        </w:rPr>
      </w:pPr>
    </w:p>
    <w:p w:rsidR="00CB127C" w:rsidRPr="008219F2" w:rsidRDefault="00CB127C" w:rsidP="00CB127C">
      <w:pPr>
        <w:spacing w:after="120"/>
        <w:rPr>
          <w:rFonts w:cs="Arial"/>
        </w:rPr>
      </w:pPr>
      <w:r w:rsidRPr="008219F2">
        <w:rPr>
          <w:rFonts w:cs="Arial"/>
        </w:rPr>
        <w:t>Per la m</w:t>
      </w:r>
      <w:r w:rsidR="00CB5DEF">
        <w:rPr>
          <w:rFonts w:cs="Arial"/>
        </w:rPr>
        <w:t>inoranza</w:t>
      </w:r>
      <w:r>
        <w:rPr>
          <w:rFonts w:cs="Arial"/>
        </w:rPr>
        <w:t xml:space="preserve"> </w:t>
      </w:r>
      <w:r w:rsidR="00EA73DD">
        <w:rPr>
          <w:rFonts w:cs="Arial"/>
        </w:rPr>
        <w:t>della Commissione economia e lavoro</w:t>
      </w:r>
      <w:r w:rsidRPr="008219F2">
        <w:rPr>
          <w:rFonts w:cs="Arial"/>
        </w:rPr>
        <w:t>:</w:t>
      </w:r>
    </w:p>
    <w:p w:rsidR="00CB127C" w:rsidRPr="008219F2" w:rsidRDefault="00EA73DD" w:rsidP="00CB127C">
      <w:pPr>
        <w:rPr>
          <w:rFonts w:cs="Arial"/>
        </w:rPr>
      </w:pPr>
      <w:r>
        <w:rPr>
          <w:szCs w:val="24"/>
        </w:rPr>
        <w:t>Marco</w:t>
      </w:r>
      <w:r w:rsidR="0046656D">
        <w:rPr>
          <w:szCs w:val="24"/>
        </w:rPr>
        <w:t xml:space="preserve"> Noi</w:t>
      </w:r>
      <w:r w:rsidR="00CB127C">
        <w:rPr>
          <w:rFonts w:cs="Arial"/>
        </w:rPr>
        <w:t>, relat</w:t>
      </w:r>
      <w:r w:rsidR="005F4380">
        <w:rPr>
          <w:rFonts w:cs="Arial"/>
        </w:rPr>
        <w:t>o</w:t>
      </w:r>
      <w:r w:rsidR="00CB127C" w:rsidRPr="008219F2">
        <w:rPr>
          <w:rFonts w:cs="Arial"/>
        </w:rPr>
        <w:t>re</w:t>
      </w:r>
    </w:p>
    <w:p w:rsidR="00CB73C2" w:rsidRPr="00CB73C2" w:rsidRDefault="00CB5DEF" w:rsidP="00CB73C2">
      <w:pPr>
        <w:rPr>
          <w:lang w:val="it-IT"/>
        </w:rPr>
      </w:pPr>
      <w:r>
        <w:rPr>
          <w:lang w:val="it-IT"/>
        </w:rPr>
        <w:t xml:space="preserve">Ay </w:t>
      </w:r>
      <w:r w:rsidR="00CB73C2" w:rsidRPr="00CB73C2">
        <w:rPr>
          <w:lang w:val="it-IT"/>
        </w:rPr>
        <w:t xml:space="preserve">- Garbani Nerini - Sirica </w:t>
      </w:r>
    </w:p>
    <w:p w:rsidR="00715F9C" w:rsidRPr="007A285B" w:rsidRDefault="00715F9C" w:rsidP="00CB127C"/>
    <w:sectPr w:rsidR="00715F9C" w:rsidRPr="007A285B" w:rsidSect="00F242E5">
      <w:pgSz w:w="11906" w:h="16838"/>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02AA" w:rsidRDefault="005402AA" w:rsidP="008E77C6">
      <w:r>
        <w:separator/>
      </w:r>
    </w:p>
  </w:endnote>
  <w:endnote w:type="continuationSeparator" w:id="0">
    <w:p w:rsidR="005402AA" w:rsidRDefault="005402AA" w:rsidP="008E7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4D"/>
    <w:family w:val="modern"/>
    <w:notTrueType/>
    <w:pitch w:val="fixed"/>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2AA" w:rsidRPr="008E77C6" w:rsidRDefault="005402AA">
    <w:pPr>
      <w:pStyle w:val="Pidipagina"/>
      <w:jc w:val="center"/>
      <w:rPr>
        <w:sz w:val="20"/>
        <w:szCs w:val="20"/>
      </w:rPr>
    </w:pPr>
    <w:r w:rsidRPr="008E77C6">
      <w:rPr>
        <w:sz w:val="20"/>
        <w:szCs w:val="20"/>
      </w:rPr>
      <w:fldChar w:fldCharType="begin"/>
    </w:r>
    <w:r w:rsidRPr="008E77C6">
      <w:rPr>
        <w:sz w:val="20"/>
        <w:szCs w:val="20"/>
      </w:rPr>
      <w:instrText>PAGE   \* MERGEFORMAT</w:instrText>
    </w:r>
    <w:r w:rsidRPr="008E77C6">
      <w:rPr>
        <w:sz w:val="20"/>
        <w:szCs w:val="20"/>
      </w:rPr>
      <w:fldChar w:fldCharType="separate"/>
    </w:r>
    <w:r w:rsidR="006C4B81" w:rsidRPr="006C4B81">
      <w:rPr>
        <w:noProof/>
        <w:sz w:val="20"/>
        <w:szCs w:val="20"/>
        <w:lang w:val="it-IT"/>
      </w:rPr>
      <w:t>21</w:t>
    </w:r>
    <w:r w:rsidRPr="008E77C6">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02AA" w:rsidRDefault="005402AA" w:rsidP="008E77C6">
      <w:r>
        <w:separator/>
      </w:r>
    </w:p>
  </w:footnote>
  <w:footnote w:type="continuationSeparator" w:id="0">
    <w:p w:rsidR="005402AA" w:rsidRDefault="005402AA" w:rsidP="008E77C6">
      <w:r>
        <w:continuationSeparator/>
      </w:r>
    </w:p>
  </w:footnote>
  <w:footnote w:id="1">
    <w:p w:rsidR="005402AA" w:rsidRPr="00615BDA" w:rsidRDefault="005402AA" w:rsidP="00823E1F">
      <w:pPr>
        <w:pStyle w:val="Testonotaapidipagina"/>
      </w:pPr>
      <w:r>
        <w:rPr>
          <w:rStyle w:val="Rimandonotaapidipagina"/>
        </w:rPr>
        <w:footnoteRef/>
      </w:r>
      <w:r>
        <w:t xml:space="preserve">Mozione n. 1130 del 2 novembre 2015 </w:t>
      </w:r>
      <w:hyperlink r:id="rId1" w:history="1">
        <w:r>
          <w:rPr>
            <w:rStyle w:val="Collegamentoipertestuale"/>
          </w:rPr>
          <w:t>IRE è ora di chiudere</w:t>
        </w:r>
      </w:hyperlink>
      <w:r w:rsidR="00A37231">
        <w:rPr>
          <w:rStyle w:val="Collegamentoipertestuale"/>
        </w:rPr>
        <w:t>.</w:t>
      </w:r>
    </w:p>
  </w:footnote>
  <w:footnote w:id="2">
    <w:p w:rsidR="005402AA" w:rsidRPr="00A6227A" w:rsidRDefault="005402AA" w:rsidP="00823E1F">
      <w:pPr>
        <w:pStyle w:val="Testonotaapidipagina"/>
      </w:pPr>
      <w:r>
        <w:rPr>
          <w:rStyle w:val="Rimandonotaapidipagina"/>
        </w:rPr>
        <w:footnoteRef/>
      </w:r>
      <w:hyperlink r:id="rId2" w:history="1">
        <w:r>
          <w:rPr>
            <w:rStyle w:val="Collegamentoipertestuale"/>
          </w:rPr>
          <w:t>Studio IRE, la SUPSI attacca - RSI Radiotelevisione svizzera</w:t>
        </w:r>
      </w:hyperlink>
      <w:r w:rsidR="00A37231">
        <w:rPr>
          <w:rStyle w:val="Collegamentoipertestuale"/>
        </w:rPr>
        <w:t>.</w:t>
      </w:r>
    </w:p>
  </w:footnote>
  <w:footnote w:id="3">
    <w:p w:rsidR="005402AA" w:rsidRDefault="005402AA" w:rsidP="005402AA">
      <w:pPr>
        <w:pStyle w:val="Testonotaapidipagina"/>
        <w:rPr>
          <w:lang w:val="it-CH"/>
        </w:rPr>
      </w:pPr>
      <w:r>
        <w:rPr>
          <w:rStyle w:val="Rimandonotaapidipagina"/>
        </w:rPr>
        <w:footnoteRef/>
      </w:r>
      <w:r>
        <w:rPr>
          <w:lang w:val="it-CH"/>
        </w:rPr>
        <w:t>Il ciclo di Deming è una procedura iterativa di controllo e miglioramento in 4 fasi (pianificazione, esecuzione, controllo e azione) di qualsiasi tipo di pianificazione.</w:t>
      </w:r>
    </w:p>
    <w:p w:rsidR="005402AA" w:rsidRPr="00EF4318" w:rsidRDefault="005402AA" w:rsidP="005402AA">
      <w:pPr>
        <w:pStyle w:val="Testonotaapidipagina"/>
        <w:rPr>
          <w:lang w:val="it-CH"/>
        </w:rPr>
      </w:pPr>
      <w:r>
        <w:rPr>
          <w:lang w:val="it-CH"/>
        </w:rPr>
        <w:t>(</w:t>
      </w:r>
      <w:hyperlink r:id="rId3" w:anchor=":~:text=Il%20ciclo%20di%20Deming%20(o,dei%20processi%20e%20dei%20prodotti)" w:history="1">
        <w:r w:rsidRPr="00170B09">
          <w:rPr>
            <w:rStyle w:val="Collegamentoipertestuale"/>
            <w:lang w:val="it-CH"/>
          </w:rPr>
          <w:t>https://it.wikipedia.org/wiki/Ciclo_di_Deming#:~:text=Il%20ciclo%20di%20Deming%20(o,dei%20processi%20e%20dei%20prodotti</w:t>
        </w:r>
        <w:r w:rsidRPr="00A37231">
          <w:rPr>
            <w:rStyle w:val="Collegamentoipertestuale"/>
            <w:color w:val="auto"/>
            <w:lang w:val="it-CH"/>
          </w:rPr>
          <w:t>)</w:t>
        </w:r>
      </w:hyperlink>
      <w:r>
        <w:rPr>
          <w:lang w:val="it-CH"/>
        </w:rPr>
        <w:t>.</w:t>
      </w:r>
    </w:p>
  </w:footnote>
  <w:footnote w:id="4">
    <w:p w:rsidR="005402AA" w:rsidRPr="00A03C76" w:rsidRDefault="005402AA" w:rsidP="005402AA">
      <w:pPr>
        <w:pStyle w:val="Testonotaapidipagina"/>
      </w:pPr>
      <w:r>
        <w:rPr>
          <w:rStyle w:val="Rimandonotaapidipagina"/>
        </w:rPr>
        <w:footnoteRef/>
      </w:r>
      <w:hyperlink r:id="rId4" w:history="1">
        <w:r>
          <w:rPr>
            <w:rStyle w:val="Collegamentoipertestuale"/>
          </w:rPr>
          <w:t>Sviluppo sostenibile in Svizzera - Una guida</w:t>
        </w:r>
      </w:hyperlink>
      <w:r>
        <w:t>, pag. 9.</w:t>
      </w:r>
    </w:p>
  </w:footnote>
  <w:footnote w:id="5">
    <w:p w:rsidR="005402AA" w:rsidRPr="006031FC" w:rsidRDefault="005402AA" w:rsidP="005402AA">
      <w:pPr>
        <w:pStyle w:val="Testonotaapidipagina"/>
      </w:pPr>
      <w:r>
        <w:rPr>
          <w:rStyle w:val="Rimandonotaapidipagina"/>
        </w:rPr>
        <w:footnoteRef/>
      </w:r>
      <w:r>
        <w:t>Questa citazione è tratta dallo studio che, commissionato dal Consiglio di Stato, venne realizzato nel 2013 da Cristian Vitta quando ancora era direttore dall’azienda di consulenza BDO, per verificare la fattibilità di un Centro di competenza in materia di trasporto e mobilità ferroviaria (</w:t>
      </w:r>
      <w:hyperlink r:id="rId5" w:history="1">
        <w:r>
          <w:rPr>
            <w:rStyle w:val="Collegamentoipertestuale"/>
          </w:rPr>
          <w:t>Studio di fattibilità tecnico-economico - BDO</w:t>
        </w:r>
      </w:hyperlink>
      <w:r>
        <w:t xml:space="preserve">, pag. 11). </w:t>
      </w:r>
    </w:p>
  </w:footnote>
  <w:footnote w:id="6">
    <w:p w:rsidR="005402AA" w:rsidRPr="008B1D1B" w:rsidRDefault="005402AA" w:rsidP="005402AA">
      <w:pPr>
        <w:pStyle w:val="Testonotaapidipagina"/>
        <w:rPr>
          <w:lang w:val="it-CH"/>
        </w:rPr>
      </w:pPr>
      <w:r>
        <w:rPr>
          <w:rStyle w:val="Rimandonotaapidipagina"/>
        </w:rPr>
        <w:footnoteRef/>
      </w:r>
      <w:hyperlink r:id="rId6" w:history="1">
        <w:r>
          <w:rPr>
            <w:rStyle w:val="Collegamentoipertestuale"/>
          </w:rPr>
          <w:t>Programma di attuazione della politica economica regionale 2020-2023</w:t>
        </w:r>
      </w:hyperlink>
      <w:r>
        <w:t>, 12 obiettivi programmatici indicati al capitolo 4.</w:t>
      </w:r>
    </w:p>
  </w:footnote>
  <w:footnote w:id="7">
    <w:p w:rsidR="005402AA" w:rsidRPr="0039408B" w:rsidRDefault="005402AA" w:rsidP="005402AA">
      <w:pPr>
        <w:pStyle w:val="Testonotaapidipagina"/>
        <w:rPr>
          <w:lang w:val="it-CH"/>
        </w:rPr>
      </w:pPr>
      <w:r>
        <w:rPr>
          <w:rStyle w:val="Rimandonotaapidipagina"/>
        </w:rPr>
        <w:footnoteRef/>
      </w:r>
      <w:hyperlink r:id="rId7" w:history="1">
        <w:r>
          <w:rPr>
            <w:rStyle w:val="Collegamentoipertestuale"/>
          </w:rPr>
          <w:t>Valutazione della sostenibilità - Guida pratica</w:t>
        </w:r>
      </w:hyperlink>
      <w:r>
        <w:t>, pag. 12.</w:t>
      </w:r>
    </w:p>
  </w:footnote>
  <w:footnote w:id="8">
    <w:p w:rsidR="005402AA" w:rsidRPr="000D755D" w:rsidRDefault="005402AA" w:rsidP="005402AA">
      <w:pPr>
        <w:pStyle w:val="Testonotaapidipagina"/>
      </w:pPr>
      <w:r>
        <w:rPr>
          <w:rStyle w:val="Rimandonotaapidipagina"/>
        </w:rPr>
        <w:footnoteRef/>
      </w:r>
      <w:hyperlink r:id="rId8" w:history="1">
        <w:r w:rsidRPr="00FC21AE">
          <w:rPr>
            <w:rStyle w:val="Collegamentoipertestuale"/>
            <w:sz w:val="19"/>
            <w:szCs w:val="19"/>
          </w:rPr>
          <w:t>https://www.are.admin.ch/dam/are/it/dokumente/nhb_excel-tool.xls.download.xls/strumento_excel_pervsost.xls</w:t>
        </w:r>
      </w:hyperlink>
      <w:r w:rsidR="00A37231">
        <w:rPr>
          <w:rStyle w:val="Collegamentoipertestuale"/>
          <w:sz w:val="19"/>
          <w:szCs w:val="19"/>
        </w:rPr>
        <w:t>.</w:t>
      </w:r>
    </w:p>
  </w:footnote>
  <w:footnote w:id="9">
    <w:p w:rsidR="005402AA" w:rsidRPr="00530560" w:rsidRDefault="005402AA" w:rsidP="00A37231">
      <w:pPr>
        <w:pStyle w:val="Testonotaapidipagina"/>
      </w:pPr>
      <w:r>
        <w:rPr>
          <w:rStyle w:val="Rimandonotaapidipagina"/>
        </w:rPr>
        <w:footnoteRef/>
      </w:r>
      <w:r>
        <w:t>Per inciso, la minoranza commissionale comprende bene tale lamentela, anche se non può accettarla, poiché fintanto che certe esternalità sociali e ambientali non vengono computate nei costi (la cosiddetta trasparenza dei costi, della svolta ecologica liberale), chi esternalizza ha chiaramente dei vantaggi competitivi rispetto a chi non esternalizza ed è un po’ come barare, esercitando concorrenza sleale.</w:t>
      </w:r>
    </w:p>
  </w:footnote>
  <w:footnote w:id="10">
    <w:p w:rsidR="005402AA" w:rsidRPr="003A1266" w:rsidRDefault="005402AA" w:rsidP="005402AA">
      <w:pPr>
        <w:pStyle w:val="Testonotaapidipagina"/>
      </w:pPr>
      <w:r>
        <w:rPr>
          <w:rStyle w:val="Rimandonotaapidipagina"/>
        </w:rPr>
        <w:footnoteRef/>
      </w:r>
      <w:r>
        <w:t xml:space="preserve">Se ne potrebbero aggiungere tanti altri (tasso e rischio di povertà, parità salariale uomo-donna, perdita di biodiversità, inquinanti in aria, acqua e suolo, …) ma questo casomai è proprio il compito che viene chiesto alle ricerche e agli studi che il Cantone commissiona per monitorare l'efficacia e le ricadute complessive delle proprie politiche, in particolare di quelle economiche. </w:t>
      </w:r>
    </w:p>
  </w:footnote>
  <w:footnote w:id="11">
    <w:p w:rsidR="005402AA" w:rsidRPr="00E86ED5" w:rsidRDefault="005402AA" w:rsidP="005402AA">
      <w:pPr>
        <w:pStyle w:val="Testonotaapidipagina"/>
        <w:rPr>
          <w:lang w:val="it-CH"/>
        </w:rPr>
      </w:pPr>
      <w:r>
        <w:rPr>
          <w:rStyle w:val="Rimandonotaapidipagina"/>
        </w:rPr>
        <w:footnoteRef/>
      </w:r>
      <w:r>
        <w:rPr>
          <w:lang w:val="it-CH"/>
        </w:rPr>
        <w:t>Da “</w:t>
      </w:r>
      <w:r w:rsidRPr="00E86ED5">
        <w:rPr>
          <w:i/>
          <w:iCs/>
          <w:lang w:val="it-CH"/>
        </w:rPr>
        <w:t>Lo sviluppo economico del Ticino nel confronto (inter)nazionale</w:t>
      </w:r>
      <w:r>
        <w:rPr>
          <w:lang w:val="it-CH"/>
        </w:rPr>
        <w:t xml:space="preserve">”. Marzo 2019, </w:t>
      </w:r>
      <w:hyperlink r:id="rId9" w:history="1">
        <w:r>
          <w:rPr>
            <w:rStyle w:val="Collegamentoipertestuale"/>
          </w:rPr>
          <w:t>ART19-BAKEconomics_Regionalstudie_Tessin_IT.pdf (cc-ti.ch)</w:t>
        </w:r>
      </w:hyperlink>
      <w:r>
        <w:t>.</w:t>
      </w:r>
    </w:p>
  </w:footnote>
  <w:footnote w:id="12">
    <w:p w:rsidR="005402AA" w:rsidRPr="00A16F5B" w:rsidRDefault="005402AA" w:rsidP="005402AA">
      <w:pPr>
        <w:pStyle w:val="Testonotaapidipagina"/>
        <w:rPr>
          <w:lang w:val="it-CH"/>
        </w:rPr>
      </w:pPr>
      <w:r>
        <w:rPr>
          <w:rStyle w:val="Rimandonotaapidipagina"/>
        </w:rPr>
        <w:footnoteRef/>
      </w:r>
      <w:r w:rsidRPr="00A16F5B">
        <w:rPr>
          <w:lang w:val="it-CH"/>
        </w:rPr>
        <w:t xml:space="preserve">Vi </w:t>
      </w:r>
      <w:r>
        <w:rPr>
          <w:lang w:val="it-CH"/>
        </w:rPr>
        <w:t>è</w:t>
      </w:r>
      <w:r w:rsidRPr="00A16F5B">
        <w:rPr>
          <w:lang w:val="it-CH"/>
        </w:rPr>
        <w:t xml:space="preserve"> però da c</w:t>
      </w:r>
      <w:r>
        <w:rPr>
          <w:lang w:val="it-CH"/>
        </w:rPr>
        <w:t>redere che la pandemia cambi di parecchio le carte in tavola e ciò costituisce un motivo in più per monitorare e aggiustare adeguatamente le politiche intraprese attraverso ricerche multidimensionali.</w:t>
      </w:r>
    </w:p>
  </w:footnote>
  <w:footnote w:id="13">
    <w:p w:rsidR="005402AA" w:rsidRPr="00A16F5B" w:rsidRDefault="005402AA" w:rsidP="005402AA">
      <w:pPr>
        <w:pStyle w:val="Testonotaapidipagina"/>
        <w:rPr>
          <w:lang w:val="fr-CH"/>
        </w:rPr>
      </w:pPr>
      <w:r>
        <w:rPr>
          <w:rStyle w:val="Rimandonotaapidipagina"/>
        </w:rPr>
        <w:footnoteRef/>
      </w:r>
      <w:r w:rsidRPr="00A16F5B">
        <w:rPr>
          <w:lang w:val="fr-CH"/>
        </w:rPr>
        <w:t>Fonte:</w:t>
      </w:r>
      <w:hyperlink r:id="rId10" w:history="1">
        <w:r w:rsidRPr="00170B09">
          <w:rPr>
            <w:rStyle w:val="Collegamentoipertestuale"/>
            <w:lang w:val="fr-CH"/>
          </w:rPr>
          <w:t>https://www3.ti.ch/DFE/DR/USTAT/index.php?fuseaction=dati.home&amp;tema=45&amp;id2=248&amp;id3=253&amp;c1=18&amp;c2=03&amp;c3=03</w:t>
        </w:r>
      </w:hyperlink>
      <w:r w:rsidRPr="00A16F5B">
        <w:rPr>
          <w:lang w:val="fr-CH"/>
        </w:rPr>
        <w:t xml:space="preserve">. </w:t>
      </w:r>
    </w:p>
  </w:footnote>
  <w:footnote w:id="14">
    <w:p w:rsidR="005402AA" w:rsidRPr="00A444C6" w:rsidRDefault="005402AA" w:rsidP="005402AA">
      <w:pPr>
        <w:pStyle w:val="Testonotaapidipagina"/>
        <w:rPr>
          <w:lang w:val="it-CH"/>
        </w:rPr>
      </w:pPr>
      <w:r>
        <w:rPr>
          <w:rStyle w:val="Rimandonotaapidipagina"/>
        </w:rPr>
        <w:footnoteRef/>
      </w:r>
      <w:r>
        <w:rPr>
          <w:lang w:val="it-CH"/>
        </w:rPr>
        <w:t xml:space="preserve">In realtà ad aumentare la media pro-capite di questa fascia aggregata sono gli imponibili sopra i </w:t>
      </w:r>
      <w:r w:rsidR="00AD21D0">
        <w:rPr>
          <w:lang w:val="it-CH"/>
        </w:rPr>
        <w:t xml:space="preserve">fr. </w:t>
      </w:r>
      <w:r>
        <w:rPr>
          <w:lang w:val="it-CH"/>
        </w:rPr>
        <w:t>200'000</w:t>
      </w:r>
      <w:r w:rsidR="00AD21D0">
        <w:rPr>
          <w:lang w:val="it-CH"/>
        </w:rPr>
        <w:t>,</w:t>
      </w:r>
      <w:r>
        <w:rPr>
          <w:lang w:val="it-CH"/>
        </w:rPr>
        <w:t xml:space="preserve"> poiché le altre due categorie hanno segnato nella media pro-capite una diminuzione. </w:t>
      </w:r>
    </w:p>
  </w:footnote>
  <w:footnote w:id="15">
    <w:p w:rsidR="005402AA" w:rsidRPr="0000592D" w:rsidRDefault="005402AA" w:rsidP="00AD21D0">
      <w:pPr>
        <w:pStyle w:val="Testonotaapidipagina"/>
      </w:pPr>
      <w:r>
        <w:rPr>
          <w:rStyle w:val="Rimandonotaapidipagina"/>
        </w:rPr>
        <w:footnoteRef/>
      </w:r>
      <w:r>
        <w:t>Non a caso l'equità assieme a innovazione e sostenibilità è uno degli "assi valoriali" a cui si ispira l’azione del programma di legislatura 2019-2023 (</w:t>
      </w:r>
      <w:hyperlink r:id="rId11" w:history="1">
        <w:r>
          <w:rPr>
            <w:rStyle w:val="Collegamentoipertestuale"/>
          </w:rPr>
          <w:t>Programma di legislatura 2019-2023 Canton Ticino</w:t>
        </w:r>
      </w:hyperlink>
      <w:r>
        <w:t>).</w:t>
      </w:r>
    </w:p>
  </w:footnote>
  <w:footnote w:id="16">
    <w:p w:rsidR="005402AA" w:rsidRPr="00CF3A7A" w:rsidRDefault="005402AA" w:rsidP="00AD21D0">
      <w:pPr>
        <w:pStyle w:val="Testonotaapidipagina"/>
      </w:pPr>
      <w:r>
        <w:rPr>
          <w:rStyle w:val="Rimandonotaapidipagina"/>
        </w:rPr>
        <w:footnoteRef/>
      </w:r>
      <w:r>
        <w:t>Ci si potrebbe chiedere quali costi genera questa polarizzazione in termini di sussidi, spese sanitarie, spese di sicurezza, … Delle ricerche nel senso di quelle condotte dal Swiss Houshold Panel sarebbero auspicate.</w:t>
      </w:r>
    </w:p>
  </w:footnote>
  <w:footnote w:id="17">
    <w:p w:rsidR="005402AA" w:rsidRPr="00CB4202" w:rsidRDefault="005402AA" w:rsidP="00AD21D0">
      <w:pPr>
        <w:pStyle w:val="Testonotaapidipagina"/>
        <w:rPr>
          <w:lang w:val="it-CH"/>
        </w:rPr>
      </w:pPr>
      <w:r>
        <w:rPr>
          <w:rStyle w:val="Rimandonotaapidipagina"/>
        </w:rPr>
        <w:footnoteRef/>
      </w:r>
      <w:r>
        <w:rPr>
          <w:lang w:val="it-CH"/>
        </w:rPr>
        <w:t xml:space="preserve">Fonte: </w:t>
      </w:r>
      <w:hyperlink r:id="rId12" w:history="1">
        <w:r>
          <w:rPr>
            <w:rStyle w:val="Collegamentoipertestuale"/>
          </w:rPr>
          <w:t>Ticino e Svizzera - Ustat - Cantone Ticino</w:t>
        </w:r>
      </w:hyperlink>
      <w:r w:rsidRPr="00DF4AF5">
        <w:rPr>
          <w:rStyle w:val="Collegamentoipertestuale"/>
        </w:rPr>
        <w:t>.</w:t>
      </w:r>
      <w:r>
        <w:rPr>
          <w:rStyle w:val="Collegamentoipertestuale"/>
        </w:rPr>
        <w:t xml:space="preserve"> </w:t>
      </w:r>
    </w:p>
  </w:footnote>
  <w:footnote w:id="18">
    <w:p w:rsidR="005402AA" w:rsidRPr="00D6393A" w:rsidRDefault="005402AA" w:rsidP="00823E1F">
      <w:pPr>
        <w:pStyle w:val="Testonotaapidipagina"/>
        <w:ind w:left="284" w:hanging="284"/>
        <w:rPr>
          <w:lang w:val="it-CH"/>
        </w:rPr>
      </w:pPr>
      <w:r>
        <w:rPr>
          <w:rStyle w:val="Rimandonotaapidipagina"/>
        </w:rPr>
        <w:footnoteRef/>
      </w:r>
      <w:r>
        <w:rPr>
          <w:lang w:val="it-CH"/>
        </w:rPr>
        <w:t xml:space="preserve">Fonte: </w:t>
      </w:r>
      <w:hyperlink r:id="rId13" w:history="1">
        <w:r>
          <w:rPr>
            <w:rStyle w:val="Collegamentoipertestuale"/>
          </w:rPr>
          <w:t>Ticino e Svizzera - Ustat - Cantone Ticino</w:t>
        </w:r>
      </w:hyperlink>
      <w:r w:rsidR="00A37231">
        <w:rPr>
          <w:rStyle w:val="Collegamentoipertestuale"/>
        </w:rPr>
        <w:t>.</w:t>
      </w:r>
    </w:p>
  </w:footnote>
  <w:footnote w:id="19">
    <w:p w:rsidR="005402AA" w:rsidRPr="00135AC9" w:rsidRDefault="005402AA" w:rsidP="00A37231">
      <w:pPr>
        <w:pStyle w:val="Testonotaapidipagina"/>
        <w:rPr>
          <w:lang w:val="it-CH"/>
        </w:rPr>
      </w:pPr>
      <w:r>
        <w:rPr>
          <w:rStyle w:val="Rimandonotaapidipagina"/>
        </w:rPr>
        <w:footnoteRef/>
      </w:r>
      <w:hyperlink r:id="rId14" w:history="1">
        <w:r w:rsidRPr="007D2BE8">
          <w:rPr>
            <w:rStyle w:val="Collegamentoipertestuale"/>
          </w:rPr>
          <w:t>https://m4.ti.ch/fileadmin/DT/temi/piano_direttore/osservatorio_sviluppo_territoriale/documenti/02_Impronta_ecologica_Ticino.pdf</w:t>
        </w:r>
      </w:hyperlink>
      <w:r w:rsidR="00A37231">
        <w:t>.</w:t>
      </w:r>
    </w:p>
  </w:footnote>
  <w:footnote w:id="20">
    <w:p w:rsidR="005402AA" w:rsidRDefault="005402AA" w:rsidP="00A37231">
      <w:pPr>
        <w:pStyle w:val="Testonotaapidipagina"/>
        <w:rPr>
          <w:rFonts w:cs="Arial"/>
          <w:color w:val="454545"/>
          <w:shd w:val="clear" w:color="auto" w:fill="FFFFFF"/>
        </w:rPr>
      </w:pPr>
      <w:r w:rsidRPr="00E555C4">
        <w:rPr>
          <w:rStyle w:val="Rimandonotaapidipagina"/>
          <w:rFonts w:cs="Arial"/>
        </w:rPr>
        <w:footnoteRef/>
      </w:r>
      <w:r>
        <w:rPr>
          <w:rFonts w:cs="Arial"/>
        </w:rPr>
        <w:t>“</w:t>
      </w:r>
      <w:r w:rsidRPr="00E555C4">
        <w:rPr>
          <w:rFonts w:cs="Arial"/>
          <w:i/>
          <w:iCs/>
          <w:color w:val="454545"/>
          <w:shd w:val="clear" w:color="auto" w:fill="FFFFFF"/>
        </w:rPr>
        <w:t>Indicatore che misura la superficie terrestre necessaria all’uomo per mantenere il proprio stile e il proprio standard di vita (alle condizioni di produzione attuali). Comprende le superfici necessarie per produrre i vestiti e gli alimenti, ma anche per produrre energia, eliminare i rifiuti o assorbire l’anidride carbonica prodotta dalle attività umane</w:t>
      </w:r>
      <w:r>
        <w:rPr>
          <w:rFonts w:cs="Arial"/>
          <w:color w:val="454545"/>
          <w:shd w:val="clear" w:color="auto" w:fill="FFFFFF"/>
        </w:rPr>
        <w:t>”.</w:t>
      </w:r>
    </w:p>
    <w:p w:rsidR="005402AA" w:rsidRPr="007620D4" w:rsidRDefault="005402AA" w:rsidP="00A37231">
      <w:pPr>
        <w:pStyle w:val="Testonotaapidipagina"/>
        <w:rPr>
          <w:rFonts w:cs="Arial"/>
          <w:lang w:val="fr-CH"/>
        </w:rPr>
      </w:pPr>
      <w:r w:rsidRPr="007620D4">
        <w:rPr>
          <w:rFonts w:cs="Arial"/>
          <w:color w:val="454545"/>
          <w:shd w:val="clear" w:color="auto" w:fill="FFFFFF"/>
          <w:lang w:val="fr-CH"/>
        </w:rPr>
        <w:t xml:space="preserve">(fonte: </w:t>
      </w:r>
      <w:hyperlink r:id="rId15" w:history="1">
        <w:r w:rsidRPr="007620D4">
          <w:rPr>
            <w:rStyle w:val="Collegamentoipertestuale"/>
            <w:rFonts w:cs="Arial"/>
            <w:shd w:val="clear" w:color="auto" w:fill="FFFFFF"/>
            <w:lang w:val="fr-CH"/>
          </w:rPr>
          <w:t>https://www.bafu.admin.ch/bafu/it/home/temi/rifiuti/abfallglossar/oekologischer-fussabdruck.html</w:t>
        </w:r>
      </w:hyperlink>
      <w:r w:rsidRPr="007620D4">
        <w:rPr>
          <w:rFonts w:cs="Arial"/>
          <w:color w:val="454545"/>
          <w:shd w:val="clear" w:color="auto" w:fill="FFFFFF"/>
          <w:lang w:val="fr-CH"/>
        </w:rPr>
        <w:t>)</w:t>
      </w:r>
      <w:r w:rsidR="00A37231">
        <w:rPr>
          <w:rFonts w:cs="Arial"/>
          <w:color w:val="454545"/>
          <w:shd w:val="clear" w:color="auto" w:fill="FFFFFF"/>
          <w:lang w:val="fr-CH"/>
        </w:rPr>
        <w:t>.</w:t>
      </w:r>
      <w:r w:rsidRPr="007620D4">
        <w:rPr>
          <w:rFonts w:cs="Arial"/>
          <w:color w:val="454545"/>
          <w:shd w:val="clear" w:color="auto" w:fill="FFFFFF"/>
          <w:lang w:val="fr-CH"/>
        </w:rPr>
        <w:t xml:space="preserve"> </w:t>
      </w:r>
    </w:p>
  </w:footnote>
  <w:footnote w:id="21">
    <w:p w:rsidR="005402AA" w:rsidRPr="006136E5" w:rsidRDefault="005402AA" w:rsidP="00A37231">
      <w:pPr>
        <w:pStyle w:val="Testonotaapidipagina"/>
      </w:pPr>
      <w:r>
        <w:rPr>
          <w:rStyle w:val="Rimandonotaapidipagina"/>
        </w:rPr>
        <w:footnoteRef/>
      </w:r>
      <w:r>
        <w:t>Anche gli indicatori a livello federale indicano la stessa realtà (</w:t>
      </w:r>
      <w:hyperlink r:id="rId16" w:history="1">
        <w:r>
          <w:rPr>
            <w:rStyle w:val="Collegamentoipertestuale"/>
          </w:rPr>
          <w:t>L'impronta ecologica della Svizzera | Ufficio federale di statistica (admin.ch)</w:t>
        </w:r>
      </w:hyperlink>
      <w:r w:rsidR="00A37231">
        <w:rPr>
          <w:rStyle w:val="Collegamentoipertestuale"/>
        </w:rPr>
        <w:t>.</w:t>
      </w:r>
    </w:p>
  </w:footnote>
  <w:footnote w:id="22">
    <w:p w:rsidR="005402AA" w:rsidRPr="00B54162" w:rsidRDefault="005402AA" w:rsidP="00A37231">
      <w:pPr>
        <w:pStyle w:val="Testonotaapidipagina"/>
      </w:pPr>
      <w:r>
        <w:rPr>
          <w:rStyle w:val="Rimandonotaapidipagina"/>
        </w:rPr>
        <w:footnoteRef/>
      </w:r>
      <w:r>
        <w:t>La minoranza commissionale, per il vero, si porrebbe anche qualche domanda sulla sensatezza e sostenibilità di questa narrazione, che in tempo di stagnazione significa contemporaneamente sottrarre risorse agli altri, cosa che inevitabilmente esacerba la competitività e tutte le dinamiche di dumping.</w:t>
      </w:r>
    </w:p>
  </w:footnote>
  <w:footnote w:id="23">
    <w:p w:rsidR="005402AA" w:rsidRPr="00AB6A57" w:rsidRDefault="005402AA" w:rsidP="00A37231">
      <w:pPr>
        <w:pStyle w:val="Testonotaapidipagina"/>
      </w:pPr>
      <w:r>
        <w:rPr>
          <w:rStyle w:val="Rimandonotaapidipagina"/>
        </w:rPr>
        <w:footnoteRef/>
      </w:r>
      <w:r>
        <w:t>L’economista ecologico Herman Daly, che propugna un’economia a stato stazionario, definisce questa smaterializzazione utopica "angelicizzazione del PIL".</w:t>
      </w:r>
    </w:p>
  </w:footnote>
  <w:footnote w:id="24">
    <w:p w:rsidR="005402AA" w:rsidRPr="004E0631" w:rsidRDefault="005402AA" w:rsidP="00823E1F">
      <w:pPr>
        <w:pStyle w:val="Testonotaapidipagina"/>
        <w:ind w:left="284" w:hanging="284"/>
      </w:pPr>
      <w:r>
        <w:rPr>
          <w:rStyle w:val="Rimandonotaapidipagina"/>
        </w:rPr>
        <w:footnoteRef/>
      </w:r>
      <w:hyperlink r:id="rId17" w:history="1">
        <w:r>
          <w:rPr>
            <w:rStyle w:val="Collegamentoipertestuale"/>
          </w:rPr>
          <w:t>Uso del suolo canton Ticino - Ustat</w:t>
        </w:r>
      </w:hyperlink>
      <w:r w:rsidR="00A37231">
        <w:rPr>
          <w:rStyle w:val="Collegamentoipertestuale"/>
        </w:rPr>
        <w:t>.</w:t>
      </w:r>
    </w:p>
  </w:footnote>
  <w:footnote w:id="25">
    <w:p w:rsidR="005402AA" w:rsidRPr="00FE0874" w:rsidRDefault="005402AA" w:rsidP="00A37231">
      <w:pPr>
        <w:pStyle w:val="Testonotaapidipagina"/>
      </w:pPr>
      <w:r>
        <w:rPr>
          <w:rStyle w:val="Rimandonotaapidipagina"/>
        </w:rPr>
        <w:footnoteRef/>
      </w:r>
      <w:r>
        <w:t xml:space="preserve">Si tratta di capire se rilevamenti sull’uso del territorio con una frequenza più ravvicinata, possono essere effettuati servendosi magari dei droni (vedi progetto pilota in Val di Blenio su rilevazioni catastali) per poter meglio comprendere la sua evoluzione e le correlazioni con le scelte politiche. </w:t>
      </w:r>
    </w:p>
  </w:footnote>
  <w:footnote w:id="26">
    <w:p w:rsidR="005402AA" w:rsidRPr="0063012F" w:rsidRDefault="005402AA" w:rsidP="00A37231">
      <w:pPr>
        <w:pStyle w:val="Testonotaapidipagina"/>
      </w:pPr>
      <w:r>
        <w:rPr>
          <w:rStyle w:val="Rimandonotaapidipagina"/>
        </w:rPr>
        <w:footnoteRef/>
      </w:r>
      <w:r>
        <w:t xml:space="preserve">A titolo di confronto è utile sapere che se in Ticino la disponibilità di terreno agricolo è di ca. 1365 m2 per persona (ca. 260 m2 per persona (!) se si considera solo quelli sotto i 500 m.l.m), in tutta la Svizzera la disponibilità pro-capite di terreno agricolo ammonta a ca. 1900 m2. La differenza di carico non è indifferente. </w:t>
      </w:r>
    </w:p>
  </w:footnote>
  <w:footnote w:id="27">
    <w:p w:rsidR="005402AA" w:rsidRPr="00340EA9" w:rsidRDefault="005402AA" w:rsidP="00A37231">
      <w:pPr>
        <w:pStyle w:val="Testonotaapidipagina"/>
      </w:pPr>
      <w:r>
        <w:rPr>
          <w:rStyle w:val="Rimandonotaapidipagina"/>
        </w:rPr>
        <w:footnoteRef/>
      </w:r>
      <w:r>
        <w:t xml:space="preserve">Il paradosso poi, che per non aumentare i carichi di traffico sul nostro territorio (ad esempio nel Bellinzonese), il Capo del DT chieda al Canton Grigioni di non ampliare la zona industriale e artigianale di S. Vittore </w:t>
      </w:r>
      <w:r w:rsidR="00A37231">
        <w:br/>
      </w:r>
      <w:r>
        <w:t>(</w:t>
      </w:r>
      <w:hyperlink r:id="rId18" w:history="1">
        <w:r>
          <w:rPr>
            <w:rStyle w:val="Collegamentoipertestuale"/>
          </w:rPr>
          <w:t>Le aziende non decollano (cdt.ch)</w:t>
        </w:r>
      </w:hyperlink>
      <w:r>
        <w:t xml:space="preserve">), deve non poco far riflettere in merito a vantaggi competitivi ed esternalizzazioni dei debiti di sostenibilità. </w:t>
      </w:r>
    </w:p>
  </w:footnote>
  <w:footnote w:id="28">
    <w:p w:rsidR="005402AA" w:rsidRPr="00803C1D" w:rsidRDefault="005402AA" w:rsidP="00A37231">
      <w:pPr>
        <w:pStyle w:val="Testonotaapidipagina"/>
      </w:pPr>
      <w:r>
        <w:rPr>
          <w:rStyle w:val="Rimandonotaapidipagina"/>
        </w:rPr>
        <w:footnoteRef/>
      </w:r>
      <w:hyperlink r:id="rId19" w:history="1">
        <w:r>
          <w:rPr>
            <w:rStyle w:val="Collegamentoipertestuale"/>
          </w:rPr>
          <w:t>Rapporto esplicativo scheda R7 Poli di sviluppo economico</w:t>
        </w:r>
      </w:hyperlink>
      <w:r w:rsidRPr="00F87A7C">
        <w:rPr>
          <w:rStyle w:val="Collegamentoipertestuale"/>
        </w:rPr>
        <w:t>.</w:t>
      </w:r>
    </w:p>
  </w:footnote>
  <w:footnote w:id="29">
    <w:p w:rsidR="005402AA" w:rsidRPr="008C1DA5" w:rsidRDefault="005402AA" w:rsidP="00823E1F">
      <w:pPr>
        <w:pStyle w:val="Testonotaapidipagina"/>
      </w:pPr>
      <w:r>
        <w:rPr>
          <w:rStyle w:val="Rimandonotaapidipagina"/>
        </w:rPr>
        <w:footnoteRef/>
      </w:r>
      <w:hyperlink r:id="rId20" w:history="1">
        <w:r>
          <w:rPr>
            <w:rStyle w:val="Collegamentoipertestuale"/>
          </w:rPr>
          <w:t>Rapporto esplicativo scheda R7 Poli di sviluppo economico</w:t>
        </w:r>
      </w:hyperlink>
      <w:r>
        <w:t>, pag. 33</w:t>
      </w:r>
      <w:r w:rsidR="00A37231">
        <w:t>.</w:t>
      </w:r>
    </w:p>
  </w:footnote>
  <w:footnote w:id="30">
    <w:p w:rsidR="005402AA" w:rsidRPr="008829E8" w:rsidRDefault="005402AA" w:rsidP="00A37231">
      <w:pPr>
        <w:pStyle w:val="Testonotaapidipagina"/>
        <w:rPr>
          <w:lang w:val="it-CH"/>
        </w:rPr>
      </w:pPr>
      <w:r>
        <w:rPr>
          <w:rStyle w:val="Rimandonotaapidipagina"/>
        </w:rPr>
        <w:footnoteRef/>
      </w:r>
      <w:r>
        <w:t>Anche in questo senso è stata pensata la mozione inoltrata dai Verdi il 17.02.2020 sull’</w:t>
      </w:r>
      <w:hyperlink r:id="rId21" w:history="1">
        <w:r>
          <w:rPr>
            <w:rStyle w:val="Collegamentoipertestuale"/>
          </w:rPr>
          <w:t>Istituzione di un organo responsabile per lo sviluppo sostenibile</w:t>
        </w:r>
      </w:hyperlink>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76442"/>
    <w:multiLevelType w:val="hybridMultilevel"/>
    <w:tmpl w:val="179AEF3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0D355C0C"/>
    <w:multiLevelType w:val="hybridMultilevel"/>
    <w:tmpl w:val="1F8A3B46"/>
    <w:lvl w:ilvl="0" w:tplc="3FBC9440">
      <w:start w:val="1"/>
      <w:numFmt w:val="decimal"/>
      <w:pStyle w:val="Titolo1"/>
      <w:lvlText w:val="%1."/>
      <w:lvlJc w:val="left"/>
      <w:pPr>
        <w:ind w:left="6314" w:hanging="360"/>
      </w:pPr>
      <w:rPr>
        <w:rFonts w:hint="default"/>
      </w:rPr>
    </w:lvl>
    <w:lvl w:ilvl="1" w:tplc="08100019" w:tentative="1">
      <w:start w:val="1"/>
      <w:numFmt w:val="lowerLetter"/>
      <w:lvlText w:val="%2."/>
      <w:lvlJc w:val="left"/>
      <w:pPr>
        <w:ind w:left="7034" w:hanging="360"/>
      </w:pPr>
    </w:lvl>
    <w:lvl w:ilvl="2" w:tplc="0810001B" w:tentative="1">
      <w:start w:val="1"/>
      <w:numFmt w:val="lowerRoman"/>
      <w:lvlText w:val="%3."/>
      <w:lvlJc w:val="right"/>
      <w:pPr>
        <w:ind w:left="7754" w:hanging="180"/>
      </w:pPr>
    </w:lvl>
    <w:lvl w:ilvl="3" w:tplc="0810000F" w:tentative="1">
      <w:start w:val="1"/>
      <w:numFmt w:val="decimal"/>
      <w:lvlText w:val="%4."/>
      <w:lvlJc w:val="left"/>
      <w:pPr>
        <w:ind w:left="8474" w:hanging="360"/>
      </w:pPr>
    </w:lvl>
    <w:lvl w:ilvl="4" w:tplc="08100019" w:tentative="1">
      <w:start w:val="1"/>
      <w:numFmt w:val="lowerLetter"/>
      <w:lvlText w:val="%5."/>
      <w:lvlJc w:val="left"/>
      <w:pPr>
        <w:ind w:left="9194" w:hanging="360"/>
      </w:pPr>
    </w:lvl>
    <w:lvl w:ilvl="5" w:tplc="0810001B" w:tentative="1">
      <w:start w:val="1"/>
      <w:numFmt w:val="lowerRoman"/>
      <w:lvlText w:val="%6."/>
      <w:lvlJc w:val="right"/>
      <w:pPr>
        <w:ind w:left="9914" w:hanging="180"/>
      </w:pPr>
    </w:lvl>
    <w:lvl w:ilvl="6" w:tplc="0810000F" w:tentative="1">
      <w:start w:val="1"/>
      <w:numFmt w:val="decimal"/>
      <w:lvlText w:val="%7."/>
      <w:lvlJc w:val="left"/>
      <w:pPr>
        <w:ind w:left="10634" w:hanging="360"/>
      </w:pPr>
    </w:lvl>
    <w:lvl w:ilvl="7" w:tplc="08100019" w:tentative="1">
      <w:start w:val="1"/>
      <w:numFmt w:val="lowerLetter"/>
      <w:lvlText w:val="%8."/>
      <w:lvlJc w:val="left"/>
      <w:pPr>
        <w:ind w:left="11354" w:hanging="360"/>
      </w:pPr>
    </w:lvl>
    <w:lvl w:ilvl="8" w:tplc="0810001B" w:tentative="1">
      <w:start w:val="1"/>
      <w:numFmt w:val="lowerRoman"/>
      <w:lvlText w:val="%9."/>
      <w:lvlJc w:val="right"/>
      <w:pPr>
        <w:ind w:left="12074" w:hanging="180"/>
      </w:pPr>
    </w:lvl>
  </w:abstractNum>
  <w:abstractNum w:abstractNumId="2" w15:restartNumberingAfterBreak="0">
    <w:nsid w:val="3CA55281"/>
    <w:multiLevelType w:val="hybridMultilevel"/>
    <w:tmpl w:val="7E52B718"/>
    <w:lvl w:ilvl="0" w:tplc="B104726A">
      <w:start w:val="1"/>
      <w:numFmt w:val="decimal"/>
      <w:lvlText w:val="%1."/>
      <w:lvlJc w:val="left"/>
      <w:pPr>
        <w:ind w:left="720" w:hanging="360"/>
      </w:pPr>
      <w:rPr>
        <w:rFonts w:ascii="Arial" w:eastAsia="Arial" w:hAnsi="Arial" w:cs="Arial" w:hint="default"/>
        <w:lang w:val="it-CH"/>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4B1D62D6"/>
    <w:multiLevelType w:val="multilevel"/>
    <w:tmpl w:val="F5A45CA8"/>
    <w:lvl w:ilvl="0">
      <w:start w:val="5"/>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 w15:restartNumberingAfterBreak="0">
    <w:nsid w:val="5FA63A44"/>
    <w:multiLevelType w:val="multilevel"/>
    <w:tmpl w:val="E07A28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61862193"/>
    <w:multiLevelType w:val="hybridMultilevel"/>
    <w:tmpl w:val="73E6D6E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6AC26B62"/>
    <w:multiLevelType w:val="multilevel"/>
    <w:tmpl w:val="0810001D"/>
    <w:styleLink w:val="Stile1"/>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360" w:hanging="360"/>
      </w:pPr>
    </w:lvl>
    <w:lvl w:ilvl="3">
      <w:start w:val="1"/>
      <w:numFmt w:val="decimal"/>
      <w:lvlText w:val="(%4)"/>
      <w:lvlJc w:val="left"/>
      <w:pPr>
        <w:ind w:left="36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6C554DBF"/>
    <w:multiLevelType w:val="hybridMultilevel"/>
    <w:tmpl w:val="EA9889EA"/>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 w15:restartNumberingAfterBreak="0">
    <w:nsid w:val="709012AA"/>
    <w:multiLevelType w:val="hybridMultilevel"/>
    <w:tmpl w:val="915E5436"/>
    <w:lvl w:ilvl="0" w:tplc="75FE08C6">
      <w:start w:val="5"/>
      <w:numFmt w:val="bullet"/>
      <w:lvlText w:val="-"/>
      <w:lvlJc w:val="left"/>
      <w:pPr>
        <w:ind w:left="720" w:hanging="360"/>
      </w:pPr>
      <w:rPr>
        <w:rFonts w:ascii="Arial" w:eastAsia="Times New Roman"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 w15:restartNumberingAfterBreak="0">
    <w:nsid w:val="74EC53DB"/>
    <w:multiLevelType w:val="multilevel"/>
    <w:tmpl w:val="A4C8031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 w15:restartNumberingAfterBreak="0">
    <w:nsid w:val="77A70E63"/>
    <w:multiLevelType w:val="hybridMultilevel"/>
    <w:tmpl w:val="4796CB36"/>
    <w:lvl w:ilvl="0" w:tplc="100C0001">
      <w:start w:val="1"/>
      <w:numFmt w:val="bullet"/>
      <w:lvlText w:val=""/>
      <w:lvlJc w:val="left"/>
      <w:pPr>
        <w:ind w:left="7023" w:hanging="360"/>
      </w:pPr>
      <w:rPr>
        <w:rFonts w:ascii="Symbol" w:hAnsi="Symbol" w:hint="default"/>
      </w:rPr>
    </w:lvl>
    <w:lvl w:ilvl="1" w:tplc="100C0003" w:tentative="1">
      <w:start w:val="1"/>
      <w:numFmt w:val="bullet"/>
      <w:lvlText w:val="o"/>
      <w:lvlJc w:val="left"/>
      <w:pPr>
        <w:ind w:left="7743" w:hanging="360"/>
      </w:pPr>
      <w:rPr>
        <w:rFonts w:ascii="Courier New" w:hAnsi="Courier New" w:cs="Courier New" w:hint="default"/>
      </w:rPr>
    </w:lvl>
    <w:lvl w:ilvl="2" w:tplc="100C0005" w:tentative="1">
      <w:start w:val="1"/>
      <w:numFmt w:val="bullet"/>
      <w:lvlText w:val=""/>
      <w:lvlJc w:val="left"/>
      <w:pPr>
        <w:ind w:left="8463" w:hanging="360"/>
      </w:pPr>
      <w:rPr>
        <w:rFonts w:ascii="Wingdings" w:hAnsi="Wingdings" w:hint="default"/>
      </w:rPr>
    </w:lvl>
    <w:lvl w:ilvl="3" w:tplc="100C0001" w:tentative="1">
      <w:start w:val="1"/>
      <w:numFmt w:val="bullet"/>
      <w:lvlText w:val=""/>
      <w:lvlJc w:val="left"/>
      <w:pPr>
        <w:ind w:left="9183" w:hanging="360"/>
      </w:pPr>
      <w:rPr>
        <w:rFonts w:ascii="Symbol" w:hAnsi="Symbol" w:hint="default"/>
      </w:rPr>
    </w:lvl>
    <w:lvl w:ilvl="4" w:tplc="100C0003" w:tentative="1">
      <w:start w:val="1"/>
      <w:numFmt w:val="bullet"/>
      <w:lvlText w:val="o"/>
      <w:lvlJc w:val="left"/>
      <w:pPr>
        <w:ind w:left="9903" w:hanging="360"/>
      </w:pPr>
      <w:rPr>
        <w:rFonts w:ascii="Courier New" w:hAnsi="Courier New" w:cs="Courier New" w:hint="default"/>
      </w:rPr>
    </w:lvl>
    <w:lvl w:ilvl="5" w:tplc="100C0005" w:tentative="1">
      <w:start w:val="1"/>
      <w:numFmt w:val="bullet"/>
      <w:lvlText w:val=""/>
      <w:lvlJc w:val="left"/>
      <w:pPr>
        <w:ind w:left="10623" w:hanging="360"/>
      </w:pPr>
      <w:rPr>
        <w:rFonts w:ascii="Wingdings" w:hAnsi="Wingdings" w:hint="default"/>
      </w:rPr>
    </w:lvl>
    <w:lvl w:ilvl="6" w:tplc="100C0001" w:tentative="1">
      <w:start w:val="1"/>
      <w:numFmt w:val="bullet"/>
      <w:lvlText w:val=""/>
      <w:lvlJc w:val="left"/>
      <w:pPr>
        <w:ind w:left="11343" w:hanging="360"/>
      </w:pPr>
      <w:rPr>
        <w:rFonts w:ascii="Symbol" w:hAnsi="Symbol" w:hint="default"/>
      </w:rPr>
    </w:lvl>
    <w:lvl w:ilvl="7" w:tplc="100C0003" w:tentative="1">
      <w:start w:val="1"/>
      <w:numFmt w:val="bullet"/>
      <w:lvlText w:val="o"/>
      <w:lvlJc w:val="left"/>
      <w:pPr>
        <w:ind w:left="12063" w:hanging="360"/>
      </w:pPr>
      <w:rPr>
        <w:rFonts w:ascii="Courier New" w:hAnsi="Courier New" w:cs="Courier New" w:hint="default"/>
      </w:rPr>
    </w:lvl>
    <w:lvl w:ilvl="8" w:tplc="100C0005" w:tentative="1">
      <w:start w:val="1"/>
      <w:numFmt w:val="bullet"/>
      <w:lvlText w:val=""/>
      <w:lvlJc w:val="left"/>
      <w:pPr>
        <w:ind w:left="12783" w:hanging="360"/>
      </w:pPr>
      <w:rPr>
        <w:rFonts w:ascii="Wingdings" w:hAnsi="Wingdings" w:hint="default"/>
      </w:rPr>
    </w:lvl>
  </w:abstractNum>
  <w:abstractNum w:abstractNumId="11" w15:restartNumberingAfterBreak="0">
    <w:nsid w:val="7E7518E7"/>
    <w:multiLevelType w:val="hybridMultilevel"/>
    <w:tmpl w:val="3B66193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2"/>
  </w:num>
  <w:num w:numId="4">
    <w:abstractNumId w:val="10"/>
  </w:num>
  <w:num w:numId="5">
    <w:abstractNumId w:val="4"/>
  </w:num>
  <w:num w:numId="6">
    <w:abstractNumId w:val="11"/>
  </w:num>
  <w:num w:numId="7">
    <w:abstractNumId w:val="9"/>
  </w:num>
  <w:num w:numId="8">
    <w:abstractNumId w:val="3"/>
  </w:num>
  <w:num w:numId="9">
    <w:abstractNumId w:val="7"/>
  </w:num>
  <w:num w:numId="10">
    <w:abstractNumId w:val="8"/>
  </w:num>
  <w:num w:numId="11">
    <w:abstractNumId w:val="5"/>
  </w:num>
  <w:num w:numId="12">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3DD"/>
    <w:rsid w:val="00076E70"/>
    <w:rsid w:val="000B2940"/>
    <w:rsid w:val="001423C8"/>
    <w:rsid w:val="001A2396"/>
    <w:rsid w:val="002E5E40"/>
    <w:rsid w:val="00317280"/>
    <w:rsid w:val="003B7935"/>
    <w:rsid w:val="00424DD2"/>
    <w:rsid w:val="0046656D"/>
    <w:rsid w:val="004F6799"/>
    <w:rsid w:val="0052425A"/>
    <w:rsid w:val="00534AD1"/>
    <w:rsid w:val="005402AA"/>
    <w:rsid w:val="0057039F"/>
    <w:rsid w:val="00586A8D"/>
    <w:rsid w:val="005F4380"/>
    <w:rsid w:val="006C4B81"/>
    <w:rsid w:val="006D7A3B"/>
    <w:rsid w:val="00715F9C"/>
    <w:rsid w:val="007B5462"/>
    <w:rsid w:val="008034BD"/>
    <w:rsid w:val="00823E1F"/>
    <w:rsid w:val="00834FAD"/>
    <w:rsid w:val="00876352"/>
    <w:rsid w:val="008A7318"/>
    <w:rsid w:val="008B4137"/>
    <w:rsid w:val="008C767A"/>
    <w:rsid w:val="008E77C6"/>
    <w:rsid w:val="009770BB"/>
    <w:rsid w:val="009E008D"/>
    <w:rsid w:val="00A37231"/>
    <w:rsid w:val="00A5465F"/>
    <w:rsid w:val="00A77678"/>
    <w:rsid w:val="00AB4DE7"/>
    <w:rsid w:val="00AD21D0"/>
    <w:rsid w:val="00AF30BA"/>
    <w:rsid w:val="00B54761"/>
    <w:rsid w:val="00BA7D52"/>
    <w:rsid w:val="00BC4C95"/>
    <w:rsid w:val="00BD5944"/>
    <w:rsid w:val="00BE12A1"/>
    <w:rsid w:val="00C468ED"/>
    <w:rsid w:val="00C879B4"/>
    <w:rsid w:val="00CB127C"/>
    <w:rsid w:val="00CB4EE5"/>
    <w:rsid w:val="00CB5DEF"/>
    <w:rsid w:val="00CB73C2"/>
    <w:rsid w:val="00CF6858"/>
    <w:rsid w:val="00D377B5"/>
    <w:rsid w:val="00D93B31"/>
    <w:rsid w:val="00E32927"/>
    <w:rsid w:val="00EA73DD"/>
    <w:rsid w:val="00F1227D"/>
    <w:rsid w:val="00F242E5"/>
    <w:rsid w:val="00F3387B"/>
    <w:rsid w:val="00F357AB"/>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8AC09C-349F-45B2-94A2-3A9A2B013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CH" w:eastAsia="it-C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76E70"/>
    <w:pPr>
      <w:jc w:val="both"/>
    </w:pPr>
    <w:rPr>
      <w:rFonts w:ascii="Arial" w:hAnsi="Arial"/>
      <w:sz w:val="24"/>
      <w:szCs w:val="22"/>
      <w:lang w:eastAsia="en-US"/>
    </w:rPr>
  </w:style>
  <w:style w:type="paragraph" w:styleId="Titolo1">
    <w:name w:val="heading 1"/>
    <w:basedOn w:val="Normale"/>
    <w:next w:val="Normale"/>
    <w:link w:val="Titolo1Carattere"/>
    <w:autoRedefine/>
    <w:qFormat/>
    <w:rsid w:val="00076E70"/>
    <w:pPr>
      <w:keepNext/>
      <w:numPr>
        <w:numId w:val="2"/>
      </w:numPr>
      <w:tabs>
        <w:tab w:val="left" w:pos="567"/>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qFormat/>
    <w:rsid w:val="00F1227D"/>
    <w:pPr>
      <w:keepNext/>
      <w:tabs>
        <w:tab w:val="left" w:pos="709"/>
      </w:tabs>
      <w:spacing w:after="120"/>
      <w:outlineLvl w:val="1"/>
    </w:pPr>
    <w:rPr>
      <w:b/>
      <w:lang w:val="it-IT" w:eastAsia="it-IT"/>
    </w:rPr>
  </w:style>
  <w:style w:type="paragraph" w:styleId="Titolo3">
    <w:name w:val="heading 3"/>
    <w:basedOn w:val="Normale"/>
    <w:next w:val="Normale"/>
    <w:link w:val="Titolo3Carattere"/>
    <w:autoRedefine/>
    <w:qFormat/>
    <w:rsid w:val="00F1227D"/>
    <w:pPr>
      <w:keepNext/>
      <w:tabs>
        <w:tab w:val="left" w:pos="709"/>
      </w:tabs>
      <w:spacing w:before="120" w:after="120"/>
      <w:outlineLvl w:val="2"/>
    </w:pPr>
    <w:rPr>
      <w:b/>
      <w:i/>
      <w:sz w:val="23"/>
      <w:szCs w:val="23"/>
      <w:lang w:val="it-IT" w:eastAsia="it-IT"/>
    </w:rPr>
  </w:style>
  <w:style w:type="paragraph" w:styleId="Titolo4">
    <w:name w:val="heading 4"/>
    <w:basedOn w:val="Normale"/>
    <w:next w:val="Normale"/>
    <w:link w:val="Titolo4Carattere"/>
    <w:unhideWhenUsed/>
    <w:qFormat/>
    <w:rsid w:val="00076E70"/>
    <w:pPr>
      <w:keepNext/>
      <w:keepLines/>
      <w:spacing w:before="120" w:after="120"/>
      <w:outlineLvl w:val="3"/>
    </w:pPr>
    <w:rPr>
      <w:rFonts w:eastAsia="Times New Roman"/>
      <w:b/>
      <w:bCs/>
      <w:iCs/>
      <w:sz w:val="22"/>
    </w:rPr>
  </w:style>
  <w:style w:type="paragraph" w:styleId="Titolo5">
    <w:name w:val="heading 5"/>
    <w:basedOn w:val="Normale"/>
    <w:next w:val="Normale"/>
    <w:link w:val="Titolo5Carattere"/>
    <w:unhideWhenUsed/>
    <w:qFormat/>
    <w:rsid w:val="00076E70"/>
    <w:pPr>
      <w:keepNext/>
      <w:keepLines/>
      <w:tabs>
        <w:tab w:val="left" w:pos="993"/>
      </w:tabs>
      <w:spacing w:after="120"/>
      <w:outlineLvl w:val="4"/>
    </w:pPr>
    <w:rPr>
      <w:rFonts w:eastAsia="Times New Roman"/>
      <w:b/>
      <w:i/>
      <w:color w:val="243F60"/>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52425A"/>
    <w:pPr>
      <w:spacing w:before="240"/>
    </w:pPr>
    <w:rPr>
      <w:caps/>
      <w:szCs w:val="24"/>
      <w:lang w:val="it-IT"/>
    </w:rPr>
  </w:style>
  <w:style w:type="character" w:customStyle="1" w:styleId="Titolo1Carattere">
    <w:name w:val="Titolo 1 Carattere"/>
    <w:link w:val="Titolo1"/>
    <w:rsid w:val="00076E70"/>
    <w:rPr>
      <w:rFonts w:ascii="Arial" w:hAnsi="Arial"/>
      <w:b/>
      <w:caps/>
      <w:sz w:val="24"/>
      <w:szCs w:val="24"/>
      <w:lang w:val="it-IT" w:eastAsia="it-IT"/>
    </w:rPr>
  </w:style>
  <w:style w:type="character" w:customStyle="1" w:styleId="Titolo2Carattere">
    <w:name w:val="Titolo 2 Carattere"/>
    <w:link w:val="Titolo2"/>
    <w:rsid w:val="00F1227D"/>
    <w:rPr>
      <w:rFonts w:ascii="Arial" w:hAnsi="Arial"/>
      <w:b/>
      <w:sz w:val="24"/>
      <w:szCs w:val="22"/>
      <w:lang w:val="it-IT" w:eastAsia="it-IT"/>
    </w:rPr>
  </w:style>
  <w:style w:type="character" w:customStyle="1" w:styleId="Titolo3Carattere">
    <w:name w:val="Titolo 3 Carattere"/>
    <w:link w:val="Titolo3"/>
    <w:rsid w:val="00F1227D"/>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szCs w:val="24"/>
      <w:lang w:val="it-IT"/>
    </w:rPr>
  </w:style>
  <w:style w:type="paragraph" w:styleId="Sommario2">
    <w:name w:val="toc 2"/>
    <w:basedOn w:val="Normale"/>
    <w:next w:val="Normale"/>
    <w:autoRedefine/>
    <w:uiPriority w:val="39"/>
    <w:unhideWhenUsed/>
    <w:rsid w:val="0052425A"/>
    <w:rPr>
      <w:szCs w:val="24"/>
      <w:lang w:val="it-IT"/>
    </w:rPr>
  </w:style>
  <w:style w:type="paragraph" w:styleId="Paragrafoelenco">
    <w:name w:val="List Paragraph"/>
    <w:basedOn w:val="Normale"/>
    <w:uiPriority w:val="34"/>
    <w:qFormat/>
    <w:rsid w:val="0052425A"/>
  </w:style>
  <w:style w:type="character" w:customStyle="1" w:styleId="Titolo4Carattere">
    <w:name w:val="Titolo 4 Carattere"/>
    <w:link w:val="Titolo4"/>
    <w:rsid w:val="00076E70"/>
    <w:rPr>
      <w:rFonts w:ascii="Arial" w:eastAsia="Times New Roman" w:hAnsi="Arial" w:cs="Times New Roman"/>
      <w:b/>
      <w:bCs/>
      <w:iCs/>
    </w:rPr>
  </w:style>
  <w:style w:type="character" w:customStyle="1" w:styleId="Titolo5Carattere">
    <w:name w:val="Titolo 5 Carattere"/>
    <w:link w:val="Titolo5"/>
    <w:rsid w:val="00076E70"/>
    <w:rPr>
      <w:rFonts w:ascii="Arial" w:eastAsia="Times New Roman" w:hAnsi="Arial" w:cs="Times New Roman"/>
      <w:b/>
      <w:i/>
      <w:color w:val="243F60"/>
    </w:rPr>
  </w:style>
  <w:style w:type="paragraph" w:styleId="Nessunaspaziatura">
    <w:name w:val="No Spacing"/>
    <w:uiPriority w:val="1"/>
    <w:qFormat/>
    <w:rsid w:val="00076E70"/>
    <w:pPr>
      <w:jc w:val="both"/>
    </w:pPr>
    <w:rPr>
      <w:sz w:val="22"/>
      <w:szCs w:val="22"/>
      <w:lang w:eastAsia="en-US"/>
    </w:rPr>
  </w:style>
  <w:style w:type="paragraph" w:styleId="Intestazione">
    <w:name w:val="header"/>
    <w:basedOn w:val="Normale"/>
    <w:link w:val="IntestazioneCarattere"/>
    <w:unhideWhenUsed/>
    <w:rsid w:val="008E77C6"/>
    <w:pPr>
      <w:tabs>
        <w:tab w:val="center" w:pos="4819"/>
        <w:tab w:val="right" w:pos="9638"/>
      </w:tabs>
    </w:pPr>
  </w:style>
  <w:style w:type="character" w:customStyle="1" w:styleId="IntestazioneCarattere">
    <w:name w:val="Intestazione Carattere"/>
    <w:link w:val="Intestazione"/>
    <w:rsid w:val="008E77C6"/>
    <w:rPr>
      <w:rFonts w:ascii="Arial" w:hAnsi="Arial"/>
      <w:sz w:val="24"/>
    </w:rPr>
  </w:style>
  <w:style w:type="paragraph" w:styleId="Pidipagina">
    <w:name w:val="footer"/>
    <w:basedOn w:val="Normale"/>
    <w:link w:val="PidipaginaCarattere"/>
    <w:unhideWhenUsed/>
    <w:rsid w:val="008E77C6"/>
    <w:pPr>
      <w:tabs>
        <w:tab w:val="center" w:pos="4819"/>
        <w:tab w:val="right" w:pos="9638"/>
      </w:tabs>
    </w:pPr>
  </w:style>
  <w:style w:type="character" w:customStyle="1" w:styleId="PidipaginaCarattere">
    <w:name w:val="Piè di pagina Carattere"/>
    <w:link w:val="Pidipagina"/>
    <w:rsid w:val="008E77C6"/>
    <w:rPr>
      <w:rFonts w:ascii="Arial" w:hAnsi="Arial"/>
      <w:sz w:val="24"/>
    </w:rPr>
  </w:style>
  <w:style w:type="paragraph" w:styleId="Corpotesto">
    <w:name w:val="Body Text"/>
    <w:basedOn w:val="Normale"/>
    <w:link w:val="CorpotestoCarattere"/>
    <w:rsid w:val="00CB127C"/>
    <w:pPr>
      <w:tabs>
        <w:tab w:val="left" w:pos="284"/>
        <w:tab w:val="left" w:pos="426"/>
        <w:tab w:val="left" w:pos="4962"/>
      </w:tabs>
    </w:pPr>
    <w:rPr>
      <w:rFonts w:eastAsia="Times New Roman"/>
      <w:szCs w:val="20"/>
      <w:lang w:val="it-IT" w:eastAsia="it-IT"/>
    </w:rPr>
  </w:style>
  <w:style w:type="character" w:customStyle="1" w:styleId="CorpotestoCarattere">
    <w:name w:val="Corpo testo Carattere"/>
    <w:link w:val="Corpotesto"/>
    <w:rsid w:val="00CB127C"/>
    <w:rPr>
      <w:rFonts w:ascii="Arial" w:eastAsia="Times New Roman" w:hAnsi="Arial" w:cs="Times New Roman"/>
      <w:sz w:val="24"/>
      <w:szCs w:val="20"/>
      <w:lang w:val="it-IT" w:eastAsia="it-IT"/>
    </w:rPr>
  </w:style>
  <w:style w:type="paragraph" w:styleId="Testonotaapidipagina">
    <w:name w:val="footnote text"/>
    <w:basedOn w:val="Normale"/>
    <w:link w:val="TestonotaapidipaginaCarattere"/>
    <w:unhideWhenUsed/>
    <w:rsid w:val="00CB127C"/>
    <w:rPr>
      <w:rFonts w:eastAsia="Times New Roman"/>
      <w:sz w:val="20"/>
      <w:szCs w:val="20"/>
      <w:lang w:val="it-IT" w:eastAsia="it-IT"/>
    </w:rPr>
  </w:style>
  <w:style w:type="character" w:customStyle="1" w:styleId="TestonotaapidipaginaCarattere">
    <w:name w:val="Testo nota a piè di pagina Carattere"/>
    <w:link w:val="Testonotaapidipagina"/>
    <w:rsid w:val="00CB127C"/>
    <w:rPr>
      <w:rFonts w:ascii="Arial" w:eastAsia="Times New Roman" w:hAnsi="Arial" w:cs="Times New Roman"/>
      <w:sz w:val="20"/>
      <w:szCs w:val="20"/>
      <w:lang w:val="it-IT" w:eastAsia="it-IT"/>
    </w:rPr>
  </w:style>
  <w:style w:type="character" w:styleId="Rimandonotaapidipagina">
    <w:name w:val="footnote reference"/>
    <w:unhideWhenUsed/>
    <w:rsid w:val="00CB127C"/>
    <w:rPr>
      <w:vertAlign w:val="superscript"/>
    </w:rPr>
  </w:style>
  <w:style w:type="paragraph" w:customStyle="1" w:styleId="Default">
    <w:name w:val="Default"/>
    <w:rsid w:val="00CB127C"/>
    <w:pPr>
      <w:autoSpaceDE w:val="0"/>
      <w:autoSpaceDN w:val="0"/>
      <w:adjustRightInd w:val="0"/>
    </w:pPr>
    <w:rPr>
      <w:rFonts w:ascii="Arial" w:hAnsi="Arial" w:cs="Arial"/>
      <w:color w:val="000000"/>
      <w:sz w:val="24"/>
      <w:szCs w:val="24"/>
      <w:lang w:eastAsia="en-US"/>
    </w:rPr>
  </w:style>
  <w:style w:type="table" w:styleId="Grigliatabella">
    <w:name w:val="Table Grid"/>
    <w:basedOn w:val="Tabellanormale"/>
    <w:rsid w:val="00CB1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uiPriority w:val="99"/>
    <w:unhideWhenUsed/>
    <w:rsid w:val="00CB127C"/>
    <w:rPr>
      <w:color w:val="0000FF"/>
      <w:u w:val="single"/>
    </w:rPr>
  </w:style>
  <w:style w:type="character" w:styleId="Numeropagina">
    <w:name w:val="page number"/>
    <w:basedOn w:val="Carpredefinitoparagrafo"/>
    <w:rsid w:val="00823E1F"/>
  </w:style>
  <w:style w:type="paragraph" w:styleId="Corpodeltesto2">
    <w:name w:val="Body Text 2"/>
    <w:basedOn w:val="Normale"/>
    <w:link w:val="Corpodeltesto2Carattere"/>
    <w:rsid w:val="00823E1F"/>
    <w:pPr>
      <w:tabs>
        <w:tab w:val="left" w:pos="284"/>
        <w:tab w:val="left" w:pos="426"/>
        <w:tab w:val="left" w:pos="4962"/>
      </w:tabs>
    </w:pPr>
    <w:rPr>
      <w:rFonts w:eastAsia="Times New Roman"/>
      <w:b/>
      <w:sz w:val="26"/>
      <w:szCs w:val="20"/>
      <w:lang w:val="it-IT" w:eastAsia="it-IT"/>
    </w:rPr>
  </w:style>
  <w:style w:type="character" w:customStyle="1" w:styleId="Corpodeltesto2Carattere">
    <w:name w:val="Corpo del testo 2 Carattere"/>
    <w:basedOn w:val="Carpredefinitoparagrafo"/>
    <w:link w:val="Corpodeltesto2"/>
    <w:rsid w:val="00823E1F"/>
    <w:rPr>
      <w:rFonts w:ascii="Arial" w:eastAsia="Times New Roman" w:hAnsi="Arial"/>
      <w:b/>
      <w:sz w:val="26"/>
      <w:lang w:val="it-IT" w:eastAsia="it-IT"/>
    </w:rPr>
  </w:style>
  <w:style w:type="paragraph" w:styleId="Testofumetto">
    <w:name w:val="Balloon Text"/>
    <w:basedOn w:val="Normale"/>
    <w:link w:val="TestofumettoCarattere"/>
    <w:semiHidden/>
    <w:rsid w:val="00823E1F"/>
    <w:rPr>
      <w:rFonts w:ascii="Tahoma" w:eastAsia="Times New Roman" w:hAnsi="Tahoma" w:cs="Tahoma"/>
      <w:sz w:val="16"/>
      <w:szCs w:val="16"/>
      <w:lang w:val="it-IT" w:eastAsia="it-IT"/>
    </w:rPr>
  </w:style>
  <w:style w:type="character" w:customStyle="1" w:styleId="TestofumettoCarattere">
    <w:name w:val="Testo fumetto Carattere"/>
    <w:basedOn w:val="Carpredefinitoparagrafo"/>
    <w:link w:val="Testofumetto"/>
    <w:semiHidden/>
    <w:rsid w:val="00823E1F"/>
    <w:rPr>
      <w:rFonts w:ascii="Tahoma" w:eastAsia="Times New Roman" w:hAnsi="Tahoma" w:cs="Tahoma"/>
      <w:sz w:val="16"/>
      <w:szCs w:val="16"/>
      <w:lang w:val="it-IT" w:eastAsia="it-IT"/>
    </w:rPr>
  </w:style>
  <w:style w:type="paragraph" w:styleId="Sommario4">
    <w:name w:val="toc 4"/>
    <w:basedOn w:val="Normale"/>
    <w:next w:val="Normale"/>
    <w:autoRedefine/>
    <w:semiHidden/>
    <w:rsid w:val="00823E1F"/>
    <w:pPr>
      <w:tabs>
        <w:tab w:val="left" w:pos="709"/>
        <w:tab w:val="right" w:leader="dot" w:pos="9639"/>
      </w:tabs>
      <w:spacing w:before="40"/>
    </w:pPr>
    <w:rPr>
      <w:rFonts w:eastAsia="Times New Roman"/>
      <w:sz w:val="22"/>
      <w:lang w:val="it-IT" w:eastAsia="it-IT"/>
    </w:rPr>
  </w:style>
  <w:style w:type="paragraph" w:styleId="Sommario5">
    <w:name w:val="toc 5"/>
    <w:basedOn w:val="Normale"/>
    <w:next w:val="Normale"/>
    <w:autoRedefine/>
    <w:semiHidden/>
    <w:rsid w:val="00823E1F"/>
    <w:pPr>
      <w:tabs>
        <w:tab w:val="left" w:pos="709"/>
        <w:tab w:val="right" w:leader="dot" w:pos="9639"/>
      </w:tabs>
      <w:spacing w:before="40"/>
    </w:pPr>
    <w:rPr>
      <w:rFonts w:eastAsia="Times New Roman"/>
      <w:sz w:val="22"/>
      <w:lang w:val="it-IT" w:eastAsia="it-IT"/>
    </w:rPr>
  </w:style>
  <w:style w:type="paragraph" w:customStyle="1" w:styleId="rientro">
    <w:name w:val="rientro"/>
    <w:basedOn w:val="Normale"/>
    <w:rsid w:val="00823E1F"/>
    <w:pPr>
      <w:ind w:left="1134" w:right="1134"/>
      <w:jc w:val="left"/>
    </w:pPr>
    <w:rPr>
      <w:rFonts w:ascii="Courier" w:eastAsia="Times New Roman" w:hAnsi="Courier"/>
      <w:szCs w:val="20"/>
      <w:lang w:val="it-IT" w:eastAsia="it-IT"/>
    </w:rPr>
  </w:style>
  <w:style w:type="paragraph" w:styleId="Testonormale">
    <w:name w:val="Plain Text"/>
    <w:basedOn w:val="Normale"/>
    <w:link w:val="TestonormaleCarattere"/>
    <w:uiPriority w:val="99"/>
    <w:unhideWhenUsed/>
    <w:rsid w:val="00823E1F"/>
    <w:pPr>
      <w:jc w:val="left"/>
    </w:pPr>
    <w:rPr>
      <w:rFonts w:ascii="Courier New" w:eastAsiaTheme="minorHAnsi" w:hAnsi="Courier New" w:cs="Courier New"/>
      <w:sz w:val="20"/>
      <w:szCs w:val="20"/>
      <w:lang w:eastAsia="it-CH"/>
    </w:rPr>
  </w:style>
  <w:style w:type="character" w:customStyle="1" w:styleId="TestonormaleCarattere">
    <w:name w:val="Testo normale Carattere"/>
    <w:basedOn w:val="Carpredefinitoparagrafo"/>
    <w:link w:val="Testonormale"/>
    <w:uiPriority w:val="99"/>
    <w:rsid w:val="00823E1F"/>
    <w:rPr>
      <w:rFonts w:ascii="Courier New" w:eastAsiaTheme="minorHAnsi" w:hAnsi="Courier New" w:cs="Courier New"/>
    </w:rPr>
  </w:style>
  <w:style w:type="paragraph" w:customStyle="1" w:styleId="PE-MessNormale">
    <w:name w:val="PE-MessNormale"/>
    <w:basedOn w:val="Normale"/>
    <w:link w:val="PE-MessNormaleCarattere"/>
    <w:rsid w:val="00823E1F"/>
    <w:pPr>
      <w:spacing w:before="240"/>
    </w:pPr>
    <w:rPr>
      <w:rFonts w:eastAsia="Times New Roman"/>
      <w:szCs w:val="20"/>
      <w:lang w:eastAsia="it-IT"/>
    </w:rPr>
  </w:style>
  <w:style w:type="character" w:customStyle="1" w:styleId="PE-MessNormaleCarattere">
    <w:name w:val="PE-MessNormale Carattere"/>
    <w:link w:val="PE-MessNormale"/>
    <w:rsid w:val="00823E1F"/>
    <w:rPr>
      <w:rFonts w:ascii="Arial" w:eastAsia="Times New Roman" w:hAnsi="Arial"/>
      <w:sz w:val="24"/>
      <w:lang w:eastAsia="it-IT"/>
    </w:rPr>
  </w:style>
  <w:style w:type="paragraph" w:customStyle="1" w:styleId="Didefault">
    <w:name w:val="Di default"/>
    <w:rsid w:val="00823E1F"/>
    <w:rPr>
      <w:rFonts w:ascii="Helvetica" w:eastAsia="Arial Unicode MS" w:hAnsi="Helvetica" w:cs="Arial Unicode MS"/>
      <w:color w:val="000000"/>
      <w:sz w:val="22"/>
      <w:szCs w:val="22"/>
      <w:lang w:val="it-IT"/>
    </w:rPr>
  </w:style>
  <w:style w:type="character" w:customStyle="1" w:styleId="Nessuno">
    <w:name w:val="Nessuno"/>
    <w:rsid w:val="00823E1F"/>
  </w:style>
  <w:style w:type="paragraph" w:styleId="NormaleWeb">
    <w:name w:val="Normal (Web)"/>
    <w:basedOn w:val="Normale"/>
    <w:uiPriority w:val="99"/>
    <w:unhideWhenUsed/>
    <w:rsid w:val="00823E1F"/>
    <w:pPr>
      <w:spacing w:before="100" w:beforeAutospacing="1" w:after="100" w:afterAutospacing="1"/>
      <w:jc w:val="left"/>
    </w:pPr>
    <w:rPr>
      <w:rFonts w:ascii="Times New Roman" w:eastAsia="Times New Roman" w:hAnsi="Times New Roman"/>
      <w:szCs w:val="24"/>
      <w:lang w:eastAsia="it-IT"/>
    </w:rPr>
  </w:style>
  <w:style w:type="character" w:customStyle="1" w:styleId="apple-converted-space">
    <w:name w:val="apple-converted-space"/>
    <w:basedOn w:val="Carpredefinitoparagrafo"/>
    <w:rsid w:val="00823E1F"/>
  </w:style>
  <w:style w:type="paragraph" w:customStyle="1" w:styleId="c-articleparagraph">
    <w:name w:val="c-article_paragraph"/>
    <w:basedOn w:val="Normale"/>
    <w:rsid w:val="00823E1F"/>
    <w:pPr>
      <w:spacing w:before="100" w:beforeAutospacing="1" w:after="100" w:afterAutospacing="1"/>
      <w:jc w:val="left"/>
    </w:pPr>
    <w:rPr>
      <w:rFonts w:ascii="Times New Roman" w:eastAsia="Times New Roman" w:hAnsi="Times New Roman"/>
      <w:szCs w:val="24"/>
      <w:lang w:eastAsia="it-IT"/>
    </w:rPr>
  </w:style>
  <w:style w:type="character" w:customStyle="1" w:styleId="UnresolvedMention">
    <w:name w:val="Unresolved Mention"/>
    <w:basedOn w:val="Carpredefinitoparagrafo"/>
    <w:uiPriority w:val="99"/>
    <w:semiHidden/>
    <w:unhideWhenUsed/>
    <w:rsid w:val="00823E1F"/>
    <w:rPr>
      <w:color w:val="605E5C"/>
      <w:shd w:val="clear" w:color="auto" w:fill="E1DFDD"/>
    </w:rPr>
  </w:style>
  <w:style w:type="character" w:styleId="Collegamentovisitato">
    <w:name w:val="FollowedHyperlink"/>
    <w:basedOn w:val="Carpredefinitoparagrafo"/>
    <w:semiHidden/>
    <w:unhideWhenUsed/>
    <w:rsid w:val="00823E1F"/>
    <w:rPr>
      <w:color w:val="954F72" w:themeColor="followedHyperlink"/>
      <w:u w:val="single"/>
    </w:rPr>
  </w:style>
  <w:style w:type="paragraph" w:styleId="Titolosommario">
    <w:name w:val="TOC Heading"/>
    <w:basedOn w:val="Titolo1"/>
    <w:next w:val="Normale"/>
    <w:uiPriority w:val="39"/>
    <w:unhideWhenUsed/>
    <w:qFormat/>
    <w:rsid w:val="00AF30BA"/>
    <w:pPr>
      <w:keepLines/>
      <w:numPr>
        <w:numId w:val="0"/>
      </w:numPr>
      <w:tabs>
        <w:tab w:val="clear" w:pos="567"/>
      </w:tabs>
      <w:spacing w:before="240" w:after="0" w:line="259" w:lineRule="auto"/>
      <w:jc w:val="left"/>
      <w:outlineLvl w:val="9"/>
    </w:pPr>
    <w:rPr>
      <w:rFonts w:asciiTheme="majorHAnsi" w:eastAsiaTheme="majorEastAsia" w:hAnsiTheme="majorHAnsi" w:cstheme="majorBidi"/>
      <w:b w:val="0"/>
      <w:caps w:val="0"/>
      <w:color w:val="2E74B5" w:themeColor="accent1" w:themeShade="BF"/>
      <w:sz w:val="32"/>
      <w:szCs w:val="32"/>
      <w:lang w:val="it-CH" w:eastAsia="it-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0506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s>
</file>

<file path=word/_rels/footnotes.xml.rels><?xml version="1.0" encoding="UTF-8" standalone="yes"?>
<Relationships xmlns="http://schemas.openxmlformats.org/package/2006/relationships"><Relationship Id="rId8" Type="http://schemas.openxmlformats.org/officeDocument/2006/relationships/hyperlink" Target="https://www.are.admin.ch/dam/are/it/dokumente/nhb_excel-tool.xls.download.xls/strumento_excel_pervsost.xls" TargetMode="External"/><Relationship Id="rId13" Type="http://schemas.openxmlformats.org/officeDocument/2006/relationships/hyperlink" Target="https://www3.ti.ch/DFE/DR/USTAT/index.php?fuseaction=dati.home&amp;tema=35&amp;id2=151&amp;id3=158&amp;c1=03&amp;c2=02&amp;c3=03" TargetMode="External"/><Relationship Id="rId18" Type="http://schemas.openxmlformats.org/officeDocument/2006/relationships/hyperlink" Target="https://www.cdt.ch/ticino/bellinzona/le-aziende-non-decollano-ESCDT201476?_sid=wog0cOOM" TargetMode="External"/><Relationship Id="rId3" Type="http://schemas.openxmlformats.org/officeDocument/2006/relationships/hyperlink" Target="https://it.wikipedia.org/wiki/Ciclo_di_Deming" TargetMode="External"/><Relationship Id="rId21" Type="http://schemas.openxmlformats.org/officeDocument/2006/relationships/hyperlink" Target="https://www4.ti.ch/user_librerie/php/GC/allegato.php?allid=134365" TargetMode="External"/><Relationship Id="rId7" Type="http://schemas.openxmlformats.org/officeDocument/2006/relationships/hyperlink" Target="file:///C:\Users\Marco\Downloads\vsost_guida_pratica2008periservizifederaliedaltriinteressati%20(1).pdf" TargetMode="External"/><Relationship Id="rId12" Type="http://schemas.openxmlformats.org/officeDocument/2006/relationships/hyperlink" Target="https://www3.ti.ch/DFE/DR/USTAT/index.php?fuseaction=dati.home&amp;tema=35&amp;id2=151&amp;id3=160&amp;c1=03&amp;c2=02&amp;c3=04" TargetMode="External"/><Relationship Id="rId17" Type="http://schemas.openxmlformats.org/officeDocument/2006/relationships/hyperlink" Target="https://www3.ti.ch/DFE/DR/USTAT/index.php?fuseaction=temi.dati&amp;p1=34&amp;p2=102&amp;p3=114&amp;proId=113&amp;t=1" TargetMode="External"/><Relationship Id="rId2" Type="http://schemas.openxmlformats.org/officeDocument/2006/relationships/hyperlink" Target="https://www.rsi.ch/news/ticino-e-grigioni-e-insubria/Studio-IRE-la-SUPSI-attacca-6374830.html" TargetMode="External"/><Relationship Id="rId16" Type="http://schemas.openxmlformats.org/officeDocument/2006/relationships/hyperlink" Target="https://www.bfs.admin.ch/bfs/it/home/statistiche/sviluppo-sostenibile/altri-indicatori-sviluppo-sostenibile/impronta-ecologica.html" TargetMode="External"/><Relationship Id="rId20" Type="http://schemas.openxmlformats.org/officeDocument/2006/relationships/hyperlink" Target="https://m4.ti.ch/fileadmin/DT/temi/piano_direttore/documenti/maggio_2018/Rapporto_esplicativo_R7_052018.pdf" TargetMode="External"/><Relationship Id="rId1" Type="http://schemas.openxmlformats.org/officeDocument/2006/relationships/hyperlink" Target="https://www4.ti.ch/user_librerie/php/GC/allegato.php?allid=94101" TargetMode="External"/><Relationship Id="rId6" Type="http://schemas.openxmlformats.org/officeDocument/2006/relationships/hyperlink" Target="https://www3.ti.ch/CAN/cartellastampa/pdf-cartella-stampa-680439371112.pdf" TargetMode="External"/><Relationship Id="rId11" Type="http://schemas.openxmlformats.org/officeDocument/2006/relationships/hyperlink" Target="https://www3.ti.ch/COMUNICAZIONI/187032/20200115%20PdL%202019-2023(def).pdf" TargetMode="External"/><Relationship Id="rId5" Type="http://schemas.openxmlformats.org/officeDocument/2006/relationships/hyperlink" Target="https://www3.ti.ch/DFE/cartellastampa/pdf-cartella-stampa-689235511747.pdf" TargetMode="External"/><Relationship Id="rId15" Type="http://schemas.openxmlformats.org/officeDocument/2006/relationships/hyperlink" Target="https://www.bafu.admin.ch/bafu/it/home/temi/rifiuti/abfallglossar/oekologischer-fussabdruck.html" TargetMode="External"/><Relationship Id="rId10" Type="http://schemas.openxmlformats.org/officeDocument/2006/relationships/hyperlink" Target="https://www3.ti.ch/DFE/DR/USTAT/index.php?fuseaction=dati.home&amp;tema=45&amp;id2=248&amp;id3=253&amp;c1=18&amp;c2=03&amp;c3=03" TargetMode="External"/><Relationship Id="rId19" Type="http://schemas.openxmlformats.org/officeDocument/2006/relationships/hyperlink" Target="https://m4.ti.ch/fileadmin/DT/temi/piano_direttore/documenti/maggio_2018/Rapporto_esplicativo_R7_052018.pdf" TargetMode="External"/><Relationship Id="rId4" Type="http://schemas.openxmlformats.org/officeDocument/2006/relationships/hyperlink" Target="file:///C:\Users\Marco\Downloads\sviluppo_sostenibileinsvizzeraunaguida%20(1).pdf" TargetMode="External"/><Relationship Id="rId9" Type="http://schemas.openxmlformats.org/officeDocument/2006/relationships/hyperlink" Target="https://www.cc-ti.ch/site/wp-content/uploads/2019/04/ART19-BAKEconomics_Regionalstudie_Tessin_IT.pdf" TargetMode="External"/><Relationship Id="rId14" Type="http://schemas.openxmlformats.org/officeDocument/2006/relationships/hyperlink" Target="https://m4.ti.ch/fileadmin/DT/temi/piano_direttore/osservatorio_sviluppo_territoriale/documenti/02_Impronta_ecologica_Ticino.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rco\Documents\7%20-%20POLITICA\Verdi\Economia\Analisi%20dati%20indotto%20fiscale%202003-2016.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rco\Documents\7%20-%20POLITICA\Verdi\Economia\Analisi%20dati%20indotto%20fiscale%202003-2016.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arco\Documents\7%20-%20POLITICA\Verdi\Economia\Dati%20evoluzione%20posti%20di%20lavoro%20per%20statut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Marco\Downloads\T_030203_07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H" sz="1400" b="0" i="0" baseline="0">
                <a:solidFill>
                  <a:sysClr val="windowText" lastClr="000000"/>
                </a:solidFill>
                <a:effectLst/>
              </a:rPr>
              <a:t>Evoluzione degli introiti fiscali (in migliaia di CHF) per fasce di reddito dal 2006 al 2017</a:t>
            </a:r>
            <a:endParaRPr lang="fr-CH" sz="1400" b="0">
              <a:solidFill>
                <a:sysClr val="windowText" lastClr="000000"/>
              </a:solidFill>
              <a:effectLst/>
            </a:endParaRPr>
          </a:p>
        </c:rich>
      </c:tx>
      <c:layout>
        <c:manualLayout>
          <c:xMode val="edge"/>
          <c:yMode val="edge"/>
          <c:x val="0.12973865833939655"/>
          <c:y val="3.312476996687523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CH"/>
        </a:p>
      </c:txPr>
    </c:title>
    <c:autoTitleDeleted val="0"/>
    <c:plotArea>
      <c:layout>
        <c:manualLayout>
          <c:layoutTarget val="inner"/>
          <c:xMode val="edge"/>
          <c:yMode val="edge"/>
          <c:x val="0.11032413300709144"/>
          <c:y val="0.20931041143519413"/>
          <c:w val="0.86601231961203295"/>
          <c:h val="0.49048806121564337"/>
        </c:manualLayout>
      </c:layout>
      <c:barChart>
        <c:barDir val="col"/>
        <c:grouping val="clustered"/>
        <c:varyColors val="0"/>
        <c:ser>
          <c:idx val="3"/>
          <c:order val="3"/>
          <c:tx>
            <c:strRef>
              <c:f>Foglio2!$F$83</c:f>
              <c:strCache>
                <c:ptCount val="1"/>
                <c:pt idx="0">
                  <c:v>2006</c:v>
                </c:pt>
              </c:strCache>
            </c:strRef>
          </c:tx>
          <c:spPr>
            <a:solidFill>
              <a:schemeClr val="accent4"/>
            </a:solidFill>
            <a:ln>
              <a:noFill/>
            </a:ln>
            <a:effectLst/>
          </c:spPr>
          <c:invertIfNegative val="0"/>
          <c:cat>
            <c:strRef>
              <c:f>Foglio2!$B$84:$B$96</c:f>
              <c:strCache>
                <c:ptCount val="13"/>
                <c:pt idx="0">
                  <c:v>Esenti</c:v>
                </c:pt>
                <c:pt idx="1">
                  <c:v>Fino a 20.000</c:v>
                </c:pt>
                <c:pt idx="2">
                  <c:v>20.001- 30.000</c:v>
                </c:pt>
                <c:pt idx="3">
                  <c:v>30.001- 40.000</c:v>
                </c:pt>
                <c:pt idx="4">
                  <c:v>40.001- 50.000</c:v>
                </c:pt>
                <c:pt idx="5">
                  <c:v>50.001- 60.000</c:v>
                </c:pt>
                <c:pt idx="6">
                  <c:v>60.001- 70.000</c:v>
                </c:pt>
                <c:pt idx="7">
                  <c:v>70.001- 80.000</c:v>
                </c:pt>
                <c:pt idx="8">
                  <c:v>80.001- 90.000</c:v>
                </c:pt>
                <c:pt idx="9">
                  <c:v>90.001-100.000</c:v>
                </c:pt>
                <c:pt idx="10">
                  <c:v>100.001-150.000</c:v>
                </c:pt>
                <c:pt idx="11">
                  <c:v>150.001-200.000</c:v>
                </c:pt>
                <c:pt idx="12">
                  <c:v>Oltre 200.000</c:v>
                </c:pt>
              </c:strCache>
            </c:strRef>
          </c:cat>
          <c:val>
            <c:numRef>
              <c:f>Foglio2!$F$84:$F$96</c:f>
              <c:numCache>
                <c:formatCode>#,##0.0</c:formatCode>
                <c:ptCount val="13"/>
                <c:pt idx="0">
                  <c:v>0</c:v>
                </c:pt>
                <c:pt idx="1">
                  <c:v>3343.9</c:v>
                </c:pt>
                <c:pt idx="2">
                  <c:v>13179.9</c:v>
                </c:pt>
                <c:pt idx="3">
                  <c:v>30025.9</c:v>
                </c:pt>
                <c:pt idx="4">
                  <c:v>44297.9</c:v>
                </c:pt>
                <c:pt idx="5">
                  <c:v>46913</c:v>
                </c:pt>
                <c:pt idx="6">
                  <c:v>43709.4</c:v>
                </c:pt>
                <c:pt idx="7">
                  <c:v>37398</c:v>
                </c:pt>
                <c:pt idx="8">
                  <c:v>30811.4</c:v>
                </c:pt>
                <c:pt idx="9">
                  <c:v>25185.8</c:v>
                </c:pt>
                <c:pt idx="10">
                  <c:v>80413.8</c:v>
                </c:pt>
                <c:pt idx="11">
                  <c:v>46524.1</c:v>
                </c:pt>
                <c:pt idx="12">
                  <c:v>166933.29999999999</c:v>
                </c:pt>
              </c:numCache>
            </c:numRef>
          </c:val>
          <c:extLst>
            <c:ext xmlns:c16="http://schemas.microsoft.com/office/drawing/2014/chart" uri="{C3380CC4-5D6E-409C-BE32-E72D297353CC}">
              <c16:uniqueId val="{00000000-9C41-4DF0-9A56-C7D744D66F87}"/>
            </c:ext>
          </c:extLst>
        </c:ser>
        <c:ser>
          <c:idx val="4"/>
          <c:order val="4"/>
          <c:tx>
            <c:strRef>
              <c:f>Foglio2!$G$83</c:f>
              <c:strCache>
                <c:ptCount val="1"/>
                <c:pt idx="0">
                  <c:v>2007</c:v>
                </c:pt>
              </c:strCache>
            </c:strRef>
          </c:tx>
          <c:spPr>
            <a:solidFill>
              <a:schemeClr val="accent5"/>
            </a:solidFill>
            <a:ln>
              <a:noFill/>
            </a:ln>
            <a:effectLst/>
          </c:spPr>
          <c:invertIfNegative val="0"/>
          <c:cat>
            <c:strRef>
              <c:f>Foglio2!$B$84:$B$96</c:f>
              <c:strCache>
                <c:ptCount val="13"/>
                <c:pt idx="0">
                  <c:v>Esenti</c:v>
                </c:pt>
                <c:pt idx="1">
                  <c:v>Fino a 20.000</c:v>
                </c:pt>
                <c:pt idx="2">
                  <c:v>20.001- 30.000</c:v>
                </c:pt>
                <c:pt idx="3">
                  <c:v>30.001- 40.000</c:v>
                </c:pt>
                <c:pt idx="4">
                  <c:v>40.001- 50.000</c:v>
                </c:pt>
                <c:pt idx="5">
                  <c:v>50.001- 60.000</c:v>
                </c:pt>
                <c:pt idx="6">
                  <c:v>60.001- 70.000</c:v>
                </c:pt>
                <c:pt idx="7">
                  <c:v>70.001- 80.000</c:v>
                </c:pt>
                <c:pt idx="8">
                  <c:v>80.001- 90.000</c:v>
                </c:pt>
                <c:pt idx="9">
                  <c:v>90.001-100.000</c:v>
                </c:pt>
                <c:pt idx="10">
                  <c:v>100.001-150.000</c:v>
                </c:pt>
                <c:pt idx="11">
                  <c:v>150.001-200.000</c:v>
                </c:pt>
                <c:pt idx="12">
                  <c:v>Oltre 200.000</c:v>
                </c:pt>
              </c:strCache>
            </c:strRef>
          </c:cat>
          <c:val>
            <c:numRef>
              <c:f>Foglio2!$G$84:$G$96</c:f>
              <c:numCache>
                <c:formatCode>#,##0.0</c:formatCode>
                <c:ptCount val="13"/>
                <c:pt idx="0">
                  <c:v>0</c:v>
                </c:pt>
                <c:pt idx="1">
                  <c:v>3263.6</c:v>
                </c:pt>
                <c:pt idx="2">
                  <c:v>12775.1</c:v>
                </c:pt>
                <c:pt idx="3">
                  <c:v>29452.7</c:v>
                </c:pt>
                <c:pt idx="4">
                  <c:v>43179.1</c:v>
                </c:pt>
                <c:pt idx="5">
                  <c:v>46823.6</c:v>
                </c:pt>
                <c:pt idx="6">
                  <c:v>43785.4</c:v>
                </c:pt>
                <c:pt idx="7">
                  <c:v>37979.5</c:v>
                </c:pt>
                <c:pt idx="8">
                  <c:v>30541.8</c:v>
                </c:pt>
                <c:pt idx="9">
                  <c:v>25716.6</c:v>
                </c:pt>
                <c:pt idx="10">
                  <c:v>82914.100000000006</c:v>
                </c:pt>
                <c:pt idx="11">
                  <c:v>48188.4</c:v>
                </c:pt>
                <c:pt idx="12">
                  <c:v>182453.5</c:v>
                </c:pt>
              </c:numCache>
            </c:numRef>
          </c:val>
          <c:extLst>
            <c:ext xmlns:c16="http://schemas.microsoft.com/office/drawing/2014/chart" uri="{C3380CC4-5D6E-409C-BE32-E72D297353CC}">
              <c16:uniqueId val="{00000001-9C41-4DF0-9A56-C7D744D66F87}"/>
            </c:ext>
          </c:extLst>
        </c:ser>
        <c:ser>
          <c:idx val="5"/>
          <c:order val="5"/>
          <c:tx>
            <c:strRef>
              <c:f>Foglio2!$H$83</c:f>
              <c:strCache>
                <c:ptCount val="1"/>
                <c:pt idx="0">
                  <c:v>2008</c:v>
                </c:pt>
              </c:strCache>
            </c:strRef>
          </c:tx>
          <c:spPr>
            <a:solidFill>
              <a:schemeClr val="accent6"/>
            </a:solidFill>
            <a:ln>
              <a:noFill/>
            </a:ln>
            <a:effectLst/>
          </c:spPr>
          <c:invertIfNegative val="0"/>
          <c:cat>
            <c:strRef>
              <c:f>Foglio2!$B$84:$B$96</c:f>
              <c:strCache>
                <c:ptCount val="13"/>
                <c:pt idx="0">
                  <c:v>Esenti</c:v>
                </c:pt>
                <c:pt idx="1">
                  <c:v>Fino a 20.000</c:v>
                </c:pt>
                <c:pt idx="2">
                  <c:v>20.001- 30.000</c:v>
                </c:pt>
                <c:pt idx="3">
                  <c:v>30.001- 40.000</c:v>
                </c:pt>
                <c:pt idx="4">
                  <c:v>40.001- 50.000</c:v>
                </c:pt>
                <c:pt idx="5">
                  <c:v>50.001- 60.000</c:v>
                </c:pt>
                <c:pt idx="6">
                  <c:v>60.001- 70.000</c:v>
                </c:pt>
                <c:pt idx="7">
                  <c:v>70.001- 80.000</c:v>
                </c:pt>
                <c:pt idx="8">
                  <c:v>80.001- 90.000</c:v>
                </c:pt>
                <c:pt idx="9">
                  <c:v>90.001-100.000</c:v>
                </c:pt>
                <c:pt idx="10">
                  <c:v>100.001-150.000</c:v>
                </c:pt>
                <c:pt idx="11">
                  <c:v>150.001-200.000</c:v>
                </c:pt>
                <c:pt idx="12">
                  <c:v>Oltre 200.000</c:v>
                </c:pt>
              </c:strCache>
            </c:strRef>
          </c:cat>
          <c:val>
            <c:numRef>
              <c:f>Foglio2!$H$84:$H$96</c:f>
              <c:numCache>
                <c:formatCode>#,##0.0</c:formatCode>
                <c:ptCount val="13"/>
                <c:pt idx="0">
                  <c:v>0</c:v>
                </c:pt>
                <c:pt idx="1">
                  <c:v>3046.3679999999999</c:v>
                </c:pt>
                <c:pt idx="2">
                  <c:v>12316.246999999999</c:v>
                </c:pt>
                <c:pt idx="3">
                  <c:v>28653.43</c:v>
                </c:pt>
                <c:pt idx="4">
                  <c:v>43802.699000000001</c:v>
                </c:pt>
                <c:pt idx="5">
                  <c:v>47717.932999999997</c:v>
                </c:pt>
                <c:pt idx="6">
                  <c:v>45282.938000000002</c:v>
                </c:pt>
                <c:pt idx="7">
                  <c:v>39766.019</c:v>
                </c:pt>
                <c:pt idx="8">
                  <c:v>31736.558000000001</c:v>
                </c:pt>
                <c:pt idx="9">
                  <c:v>27002.011999999999</c:v>
                </c:pt>
                <c:pt idx="10">
                  <c:v>89461.929000000004</c:v>
                </c:pt>
                <c:pt idx="11">
                  <c:v>52896.06</c:v>
                </c:pt>
                <c:pt idx="12">
                  <c:v>210567.144</c:v>
                </c:pt>
              </c:numCache>
            </c:numRef>
          </c:val>
          <c:extLst>
            <c:ext xmlns:c16="http://schemas.microsoft.com/office/drawing/2014/chart" uri="{C3380CC4-5D6E-409C-BE32-E72D297353CC}">
              <c16:uniqueId val="{00000002-9C41-4DF0-9A56-C7D744D66F87}"/>
            </c:ext>
          </c:extLst>
        </c:ser>
        <c:ser>
          <c:idx val="6"/>
          <c:order val="6"/>
          <c:tx>
            <c:strRef>
              <c:f>Foglio2!$I$83</c:f>
              <c:strCache>
                <c:ptCount val="1"/>
                <c:pt idx="0">
                  <c:v>2009</c:v>
                </c:pt>
              </c:strCache>
            </c:strRef>
          </c:tx>
          <c:spPr>
            <a:solidFill>
              <a:schemeClr val="accent1">
                <a:lumMod val="60000"/>
              </a:schemeClr>
            </a:solidFill>
            <a:ln>
              <a:noFill/>
            </a:ln>
            <a:effectLst/>
          </c:spPr>
          <c:invertIfNegative val="0"/>
          <c:cat>
            <c:strRef>
              <c:f>Foglio2!$B$84:$B$96</c:f>
              <c:strCache>
                <c:ptCount val="13"/>
                <c:pt idx="0">
                  <c:v>Esenti</c:v>
                </c:pt>
                <c:pt idx="1">
                  <c:v>Fino a 20.000</c:v>
                </c:pt>
                <c:pt idx="2">
                  <c:v>20.001- 30.000</c:v>
                </c:pt>
                <c:pt idx="3">
                  <c:v>30.001- 40.000</c:v>
                </c:pt>
                <c:pt idx="4">
                  <c:v>40.001- 50.000</c:v>
                </c:pt>
                <c:pt idx="5">
                  <c:v>50.001- 60.000</c:v>
                </c:pt>
                <c:pt idx="6">
                  <c:v>60.001- 70.000</c:v>
                </c:pt>
                <c:pt idx="7">
                  <c:v>70.001- 80.000</c:v>
                </c:pt>
                <c:pt idx="8">
                  <c:v>80.001- 90.000</c:v>
                </c:pt>
                <c:pt idx="9">
                  <c:v>90.001-100.000</c:v>
                </c:pt>
                <c:pt idx="10">
                  <c:v>100.001-150.000</c:v>
                </c:pt>
                <c:pt idx="11">
                  <c:v>150.001-200.000</c:v>
                </c:pt>
                <c:pt idx="12">
                  <c:v>Oltre 200.000</c:v>
                </c:pt>
              </c:strCache>
            </c:strRef>
          </c:cat>
          <c:val>
            <c:numRef>
              <c:f>Foglio2!$I$84:$I$96</c:f>
              <c:numCache>
                <c:formatCode>#,##0.0</c:formatCode>
                <c:ptCount val="13"/>
                <c:pt idx="0">
                  <c:v>0</c:v>
                </c:pt>
                <c:pt idx="1">
                  <c:v>2983.1239999999998</c:v>
                </c:pt>
                <c:pt idx="2">
                  <c:v>11960.142</c:v>
                </c:pt>
                <c:pt idx="3">
                  <c:v>27767.045999999998</c:v>
                </c:pt>
                <c:pt idx="4">
                  <c:v>42729.993999999999</c:v>
                </c:pt>
                <c:pt idx="5">
                  <c:v>47769.188000000002</c:v>
                </c:pt>
                <c:pt idx="6">
                  <c:v>45876.377999999997</c:v>
                </c:pt>
                <c:pt idx="7">
                  <c:v>40333.190999999999</c:v>
                </c:pt>
                <c:pt idx="8">
                  <c:v>32896.720999999998</c:v>
                </c:pt>
                <c:pt idx="9">
                  <c:v>28652.78</c:v>
                </c:pt>
                <c:pt idx="10">
                  <c:v>91189.845000000001</c:v>
                </c:pt>
                <c:pt idx="11">
                  <c:v>54215.226999999999</c:v>
                </c:pt>
                <c:pt idx="12">
                  <c:v>197254.649</c:v>
                </c:pt>
              </c:numCache>
            </c:numRef>
          </c:val>
          <c:extLst>
            <c:ext xmlns:c16="http://schemas.microsoft.com/office/drawing/2014/chart" uri="{C3380CC4-5D6E-409C-BE32-E72D297353CC}">
              <c16:uniqueId val="{00000003-9C41-4DF0-9A56-C7D744D66F87}"/>
            </c:ext>
          </c:extLst>
        </c:ser>
        <c:ser>
          <c:idx val="7"/>
          <c:order val="7"/>
          <c:tx>
            <c:strRef>
              <c:f>Foglio2!$J$83</c:f>
              <c:strCache>
                <c:ptCount val="1"/>
                <c:pt idx="0">
                  <c:v>2010</c:v>
                </c:pt>
              </c:strCache>
            </c:strRef>
          </c:tx>
          <c:spPr>
            <a:solidFill>
              <a:schemeClr val="accent2">
                <a:lumMod val="60000"/>
              </a:schemeClr>
            </a:solidFill>
            <a:ln>
              <a:noFill/>
            </a:ln>
            <a:effectLst/>
          </c:spPr>
          <c:invertIfNegative val="0"/>
          <c:cat>
            <c:strRef>
              <c:f>Foglio2!$B$84:$B$96</c:f>
              <c:strCache>
                <c:ptCount val="13"/>
                <c:pt idx="0">
                  <c:v>Esenti</c:v>
                </c:pt>
                <c:pt idx="1">
                  <c:v>Fino a 20.000</c:v>
                </c:pt>
                <c:pt idx="2">
                  <c:v>20.001- 30.000</c:v>
                </c:pt>
                <c:pt idx="3">
                  <c:v>30.001- 40.000</c:v>
                </c:pt>
                <c:pt idx="4">
                  <c:v>40.001- 50.000</c:v>
                </c:pt>
                <c:pt idx="5">
                  <c:v>50.001- 60.000</c:v>
                </c:pt>
                <c:pt idx="6">
                  <c:v>60.001- 70.000</c:v>
                </c:pt>
                <c:pt idx="7">
                  <c:v>70.001- 80.000</c:v>
                </c:pt>
                <c:pt idx="8">
                  <c:v>80.001- 90.000</c:v>
                </c:pt>
                <c:pt idx="9">
                  <c:v>90.001-100.000</c:v>
                </c:pt>
                <c:pt idx="10">
                  <c:v>100.001-150.000</c:v>
                </c:pt>
                <c:pt idx="11">
                  <c:v>150.001-200.000</c:v>
                </c:pt>
                <c:pt idx="12">
                  <c:v>Oltre 200.000</c:v>
                </c:pt>
              </c:strCache>
            </c:strRef>
          </c:cat>
          <c:val>
            <c:numRef>
              <c:f>Foglio2!$J$84:$J$96</c:f>
              <c:numCache>
                <c:formatCode>#,##0.0</c:formatCode>
                <c:ptCount val="13"/>
                <c:pt idx="0">
                  <c:v>0</c:v>
                </c:pt>
                <c:pt idx="1">
                  <c:v>2899.5219999999999</c:v>
                </c:pt>
                <c:pt idx="2">
                  <c:v>11979.947</c:v>
                </c:pt>
                <c:pt idx="3">
                  <c:v>27724.098999999998</c:v>
                </c:pt>
                <c:pt idx="4">
                  <c:v>42780.618000000002</c:v>
                </c:pt>
                <c:pt idx="5">
                  <c:v>47730.161999999997</c:v>
                </c:pt>
                <c:pt idx="6">
                  <c:v>45778.832999999999</c:v>
                </c:pt>
                <c:pt idx="7">
                  <c:v>39980.036999999997</c:v>
                </c:pt>
                <c:pt idx="8">
                  <c:v>32743.376</c:v>
                </c:pt>
                <c:pt idx="9">
                  <c:v>28675.362000000001</c:v>
                </c:pt>
                <c:pt idx="10">
                  <c:v>91243.841</c:v>
                </c:pt>
                <c:pt idx="11">
                  <c:v>54586.245999999999</c:v>
                </c:pt>
                <c:pt idx="12">
                  <c:v>195348.679</c:v>
                </c:pt>
              </c:numCache>
            </c:numRef>
          </c:val>
          <c:extLst>
            <c:ext xmlns:c16="http://schemas.microsoft.com/office/drawing/2014/chart" uri="{C3380CC4-5D6E-409C-BE32-E72D297353CC}">
              <c16:uniqueId val="{00000004-9C41-4DF0-9A56-C7D744D66F87}"/>
            </c:ext>
          </c:extLst>
        </c:ser>
        <c:ser>
          <c:idx val="8"/>
          <c:order val="8"/>
          <c:tx>
            <c:strRef>
              <c:f>Foglio2!$K$83</c:f>
              <c:strCache>
                <c:ptCount val="1"/>
                <c:pt idx="0">
                  <c:v>2011</c:v>
                </c:pt>
              </c:strCache>
            </c:strRef>
          </c:tx>
          <c:spPr>
            <a:solidFill>
              <a:schemeClr val="accent3">
                <a:lumMod val="60000"/>
              </a:schemeClr>
            </a:solidFill>
            <a:ln>
              <a:noFill/>
            </a:ln>
            <a:effectLst/>
          </c:spPr>
          <c:invertIfNegative val="0"/>
          <c:cat>
            <c:strRef>
              <c:f>Foglio2!$B$84:$B$96</c:f>
              <c:strCache>
                <c:ptCount val="13"/>
                <c:pt idx="0">
                  <c:v>Esenti</c:v>
                </c:pt>
                <c:pt idx="1">
                  <c:v>Fino a 20.000</c:v>
                </c:pt>
                <c:pt idx="2">
                  <c:v>20.001- 30.000</c:v>
                </c:pt>
                <c:pt idx="3">
                  <c:v>30.001- 40.000</c:v>
                </c:pt>
                <c:pt idx="4">
                  <c:v>40.001- 50.000</c:v>
                </c:pt>
                <c:pt idx="5">
                  <c:v>50.001- 60.000</c:v>
                </c:pt>
                <c:pt idx="6">
                  <c:v>60.001- 70.000</c:v>
                </c:pt>
                <c:pt idx="7">
                  <c:v>70.001- 80.000</c:v>
                </c:pt>
                <c:pt idx="8">
                  <c:v>80.001- 90.000</c:v>
                </c:pt>
                <c:pt idx="9">
                  <c:v>90.001-100.000</c:v>
                </c:pt>
                <c:pt idx="10">
                  <c:v>100.001-150.000</c:v>
                </c:pt>
                <c:pt idx="11">
                  <c:v>150.001-200.000</c:v>
                </c:pt>
                <c:pt idx="12">
                  <c:v>Oltre 200.000</c:v>
                </c:pt>
              </c:strCache>
            </c:strRef>
          </c:cat>
          <c:val>
            <c:numRef>
              <c:f>Foglio2!$K$84:$K$96</c:f>
              <c:numCache>
                <c:formatCode>#,##0.0</c:formatCode>
                <c:ptCount val="13"/>
                <c:pt idx="0">
                  <c:v>0</c:v>
                </c:pt>
                <c:pt idx="1">
                  <c:v>2954.027</c:v>
                </c:pt>
                <c:pt idx="2">
                  <c:v>11852.048000000001</c:v>
                </c:pt>
                <c:pt idx="3">
                  <c:v>27306.258000000002</c:v>
                </c:pt>
                <c:pt idx="4">
                  <c:v>42520.627</c:v>
                </c:pt>
                <c:pt idx="5">
                  <c:v>48521.404000000002</c:v>
                </c:pt>
                <c:pt idx="6">
                  <c:v>46388.163999999997</c:v>
                </c:pt>
                <c:pt idx="7">
                  <c:v>41178.216</c:v>
                </c:pt>
                <c:pt idx="8">
                  <c:v>33225.016000000003</c:v>
                </c:pt>
                <c:pt idx="9">
                  <c:v>29441.105</c:v>
                </c:pt>
                <c:pt idx="10">
                  <c:v>93305.436000000002</c:v>
                </c:pt>
                <c:pt idx="11">
                  <c:v>53264.584000000003</c:v>
                </c:pt>
                <c:pt idx="12">
                  <c:v>179968.37</c:v>
                </c:pt>
              </c:numCache>
            </c:numRef>
          </c:val>
          <c:extLst>
            <c:ext xmlns:c16="http://schemas.microsoft.com/office/drawing/2014/chart" uri="{C3380CC4-5D6E-409C-BE32-E72D297353CC}">
              <c16:uniqueId val="{00000005-9C41-4DF0-9A56-C7D744D66F87}"/>
            </c:ext>
          </c:extLst>
        </c:ser>
        <c:ser>
          <c:idx val="9"/>
          <c:order val="9"/>
          <c:tx>
            <c:strRef>
              <c:f>Foglio2!$L$83</c:f>
              <c:strCache>
                <c:ptCount val="1"/>
                <c:pt idx="0">
                  <c:v>2012</c:v>
                </c:pt>
              </c:strCache>
            </c:strRef>
          </c:tx>
          <c:spPr>
            <a:solidFill>
              <a:schemeClr val="accent4">
                <a:lumMod val="60000"/>
              </a:schemeClr>
            </a:solidFill>
            <a:ln>
              <a:noFill/>
            </a:ln>
            <a:effectLst/>
          </c:spPr>
          <c:invertIfNegative val="0"/>
          <c:cat>
            <c:strRef>
              <c:f>Foglio2!$B$84:$B$96</c:f>
              <c:strCache>
                <c:ptCount val="13"/>
                <c:pt idx="0">
                  <c:v>Esenti</c:v>
                </c:pt>
                <c:pt idx="1">
                  <c:v>Fino a 20.000</c:v>
                </c:pt>
                <c:pt idx="2">
                  <c:v>20.001- 30.000</c:v>
                </c:pt>
                <c:pt idx="3">
                  <c:v>30.001- 40.000</c:v>
                </c:pt>
                <c:pt idx="4">
                  <c:v>40.001- 50.000</c:v>
                </c:pt>
                <c:pt idx="5">
                  <c:v>50.001- 60.000</c:v>
                </c:pt>
                <c:pt idx="6">
                  <c:v>60.001- 70.000</c:v>
                </c:pt>
                <c:pt idx="7">
                  <c:v>70.001- 80.000</c:v>
                </c:pt>
                <c:pt idx="8">
                  <c:v>80.001- 90.000</c:v>
                </c:pt>
                <c:pt idx="9">
                  <c:v>90.001-100.000</c:v>
                </c:pt>
                <c:pt idx="10">
                  <c:v>100.001-150.000</c:v>
                </c:pt>
                <c:pt idx="11">
                  <c:v>150.001-200.000</c:v>
                </c:pt>
                <c:pt idx="12">
                  <c:v>Oltre 200.000</c:v>
                </c:pt>
              </c:strCache>
            </c:strRef>
          </c:cat>
          <c:val>
            <c:numRef>
              <c:f>Foglio2!$L$84:$L$96</c:f>
              <c:numCache>
                <c:formatCode>#,##0.0</c:formatCode>
                <c:ptCount val="13"/>
                <c:pt idx="0">
                  <c:v>0</c:v>
                </c:pt>
                <c:pt idx="1">
                  <c:v>2712.779</c:v>
                </c:pt>
                <c:pt idx="2">
                  <c:v>11377.312</c:v>
                </c:pt>
                <c:pt idx="3">
                  <c:v>26887.842000000001</c:v>
                </c:pt>
                <c:pt idx="4">
                  <c:v>41737.858</c:v>
                </c:pt>
                <c:pt idx="5">
                  <c:v>48060.298000000003</c:v>
                </c:pt>
                <c:pt idx="6">
                  <c:v>46067.262999999999</c:v>
                </c:pt>
                <c:pt idx="7">
                  <c:v>40590.531999999999</c:v>
                </c:pt>
                <c:pt idx="8">
                  <c:v>32751.572</c:v>
                </c:pt>
                <c:pt idx="9">
                  <c:v>29701.668000000001</c:v>
                </c:pt>
                <c:pt idx="10">
                  <c:v>93195.267999999996</c:v>
                </c:pt>
                <c:pt idx="11">
                  <c:v>52542.580999999998</c:v>
                </c:pt>
                <c:pt idx="12">
                  <c:v>187464.08199999999</c:v>
                </c:pt>
              </c:numCache>
            </c:numRef>
          </c:val>
          <c:extLst>
            <c:ext xmlns:c16="http://schemas.microsoft.com/office/drawing/2014/chart" uri="{C3380CC4-5D6E-409C-BE32-E72D297353CC}">
              <c16:uniqueId val="{00000006-9C41-4DF0-9A56-C7D744D66F87}"/>
            </c:ext>
          </c:extLst>
        </c:ser>
        <c:ser>
          <c:idx val="10"/>
          <c:order val="10"/>
          <c:tx>
            <c:strRef>
              <c:f>Foglio2!$M$83</c:f>
              <c:strCache>
                <c:ptCount val="1"/>
                <c:pt idx="0">
                  <c:v>2013</c:v>
                </c:pt>
              </c:strCache>
            </c:strRef>
          </c:tx>
          <c:spPr>
            <a:solidFill>
              <a:schemeClr val="accent5">
                <a:lumMod val="60000"/>
              </a:schemeClr>
            </a:solidFill>
            <a:ln>
              <a:noFill/>
            </a:ln>
            <a:effectLst/>
          </c:spPr>
          <c:invertIfNegative val="0"/>
          <c:cat>
            <c:strRef>
              <c:f>Foglio2!$B$84:$B$96</c:f>
              <c:strCache>
                <c:ptCount val="13"/>
                <c:pt idx="0">
                  <c:v>Esenti</c:v>
                </c:pt>
                <c:pt idx="1">
                  <c:v>Fino a 20.000</c:v>
                </c:pt>
                <c:pt idx="2">
                  <c:v>20.001- 30.000</c:v>
                </c:pt>
                <c:pt idx="3">
                  <c:v>30.001- 40.000</c:v>
                </c:pt>
                <c:pt idx="4">
                  <c:v>40.001- 50.000</c:v>
                </c:pt>
                <c:pt idx="5">
                  <c:v>50.001- 60.000</c:v>
                </c:pt>
                <c:pt idx="6">
                  <c:v>60.001- 70.000</c:v>
                </c:pt>
                <c:pt idx="7">
                  <c:v>70.001- 80.000</c:v>
                </c:pt>
                <c:pt idx="8">
                  <c:v>80.001- 90.000</c:v>
                </c:pt>
                <c:pt idx="9">
                  <c:v>90.001-100.000</c:v>
                </c:pt>
                <c:pt idx="10">
                  <c:v>100.001-150.000</c:v>
                </c:pt>
                <c:pt idx="11">
                  <c:v>150.001-200.000</c:v>
                </c:pt>
                <c:pt idx="12">
                  <c:v>Oltre 200.000</c:v>
                </c:pt>
              </c:strCache>
            </c:strRef>
          </c:cat>
          <c:val>
            <c:numRef>
              <c:f>Foglio2!$M$84:$M$96</c:f>
              <c:numCache>
                <c:formatCode>#,##0.0</c:formatCode>
                <c:ptCount val="13"/>
                <c:pt idx="0">
                  <c:v>0</c:v>
                </c:pt>
                <c:pt idx="1">
                  <c:v>2713.989</c:v>
                </c:pt>
                <c:pt idx="2">
                  <c:v>11463.692999999999</c:v>
                </c:pt>
                <c:pt idx="3">
                  <c:v>26953.697</c:v>
                </c:pt>
                <c:pt idx="4">
                  <c:v>42591.451999999997</c:v>
                </c:pt>
                <c:pt idx="5">
                  <c:v>48201.22</c:v>
                </c:pt>
                <c:pt idx="6">
                  <c:v>47037.665999999997</c:v>
                </c:pt>
                <c:pt idx="7">
                  <c:v>40881.800999999999</c:v>
                </c:pt>
                <c:pt idx="8">
                  <c:v>33960.593000000001</c:v>
                </c:pt>
                <c:pt idx="9">
                  <c:v>29583.858</c:v>
                </c:pt>
                <c:pt idx="10">
                  <c:v>95298.683000000005</c:v>
                </c:pt>
                <c:pt idx="11">
                  <c:v>49017.66</c:v>
                </c:pt>
                <c:pt idx="12">
                  <c:v>205872.253</c:v>
                </c:pt>
              </c:numCache>
            </c:numRef>
          </c:val>
          <c:extLst>
            <c:ext xmlns:c16="http://schemas.microsoft.com/office/drawing/2014/chart" uri="{C3380CC4-5D6E-409C-BE32-E72D297353CC}">
              <c16:uniqueId val="{00000007-9C41-4DF0-9A56-C7D744D66F87}"/>
            </c:ext>
          </c:extLst>
        </c:ser>
        <c:ser>
          <c:idx val="11"/>
          <c:order val="11"/>
          <c:tx>
            <c:strRef>
              <c:f>Foglio2!$N$83</c:f>
              <c:strCache>
                <c:ptCount val="1"/>
                <c:pt idx="0">
                  <c:v>2014</c:v>
                </c:pt>
              </c:strCache>
            </c:strRef>
          </c:tx>
          <c:spPr>
            <a:solidFill>
              <a:schemeClr val="accent6">
                <a:lumMod val="60000"/>
              </a:schemeClr>
            </a:solidFill>
            <a:ln>
              <a:noFill/>
            </a:ln>
            <a:effectLst/>
          </c:spPr>
          <c:invertIfNegative val="0"/>
          <c:cat>
            <c:strRef>
              <c:f>Foglio2!$B$84:$B$96</c:f>
              <c:strCache>
                <c:ptCount val="13"/>
                <c:pt idx="0">
                  <c:v>Esenti</c:v>
                </c:pt>
                <c:pt idx="1">
                  <c:v>Fino a 20.000</c:v>
                </c:pt>
                <c:pt idx="2">
                  <c:v>20.001- 30.000</c:v>
                </c:pt>
                <c:pt idx="3">
                  <c:v>30.001- 40.000</c:v>
                </c:pt>
                <c:pt idx="4">
                  <c:v>40.001- 50.000</c:v>
                </c:pt>
                <c:pt idx="5">
                  <c:v>50.001- 60.000</c:v>
                </c:pt>
                <c:pt idx="6">
                  <c:v>60.001- 70.000</c:v>
                </c:pt>
                <c:pt idx="7">
                  <c:v>70.001- 80.000</c:v>
                </c:pt>
                <c:pt idx="8">
                  <c:v>80.001- 90.000</c:v>
                </c:pt>
                <c:pt idx="9">
                  <c:v>90.001-100.000</c:v>
                </c:pt>
                <c:pt idx="10">
                  <c:v>100.001-150.000</c:v>
                </c:pt>
                <c:pt idx="11">
                  <c:v>150.001-200.000</c:v>
                </c:pt>
                <c:pt idx="12">
                  <c:v>Oltre 200.000</c:v>
                </c:pt>
              </c:strCache>
            </c:strRef>
          </c:cat>
          <c:val>
            <c:numRef>
              <c:f>Foglio2!$N$84:$N$96</c:f>
              <c:numCache>
                <c:formatCode>#,##0.0</c:formatCode>
                <c:ptCount val="13"/>
                <c:pt idx="0">
                  <c:v>0</c:v>
                </c:pt>
                <c:pt idx="1">
                  <c:v>2774.6120000000001</c:v>
                </c:pt>
                <c:pt idx="2">
                  <c:v>11413.384</c:v>
                </c:pt>
                <c:pt idx="3">
                  <c:v>27142.402999999998</c:v>
                </c:pt>
                <c:pt idx="4">
                  <c:v>42587.457999999999</c:v>
                </c:pt>
                <c:pt idx="5">
                  <c:v>48868.635999999999</c:v>
                </c:pt>
                <c:pt idx="6">
                  <c:v>47441.819000000003</c:v>
                </c:pt>
                <c:pt idx="7">
                  <c:v>41932.491000000002</c:v>
                </c:pt>
                <c:pt idx="8">
                  <c:v>35299.735000000001</c:v>
                </c:pt>
                <c:pt idx="9">
                  <c:v>30225.305</c:v>
                </c:pt>
                <c:pt idx="10">
                  <c:v>99617.207999999999</c:v>
                </c:pt>
                <c:pt idx="11">
                  <c:v>49675.48</c:v>
                </c:pt>
                <c:pt idx="12">
                  <c:v>220688.83300000001</c:v>
                </c:pt>
              </c:numCache>
            </c:numRef>
          </c:val>
          <c:extLst>
            <c:ext xmlns:c16="http://schemas.microsoft.com/office/drawing/2014/chart" uri="{C3380CC4-5D6E-409C-BE32-E72D297353CC}">
              <c16:uniqueId val="{00000008-9C41-4DF0-9A56-C7D744D66F87}"/>
            </c:ext>
          </c:extLst>
        </c:ser>
        <c:ser>
          <c:idx val="12"/>
          <c:order val="12"/>
          <c:tx>
            <c:strRef>
              <c:f>Foglio2!$O$83</c:f>
              <c:strCache>
                <c:ptCount val="1"/>
                <c:pt idx="0">
                  <c:v>2015</c:v>
                </c:pt>
              </c:strCache>
            </c:strRef>
          </c:tx>
          <c:spPr>
            <a:solidFill>
              <a:schemeClr val="accent1">
                <a:lumMod val="80000"/>
                <a:lumOff val="20000"/>
              </a:schemeClr>
            </a:solidFill>
            <a:ln>
              <a:noFill/>
            </a:ln>
            <a:effectLst/>
          </c:spPr>
          <c:invertIfNegative val="0"/>
          <c:cat>
            <c:strRef>
              <c:f>Foglio2!$B$84:$B$96</c:f>
              <c:strCache>
                <c:ptCount val="13"/>
                <c:pt idx="0">
                  <c:v>Esenti</c:v>
                </c:pt>
                <c:pt idx="1">
                  <c:v>Fino a 20.000</c:v>
                </c:pt>
                <c:pt idx="2">
                  <c:v>20.001- 30.000</c:v>
                </c:pt>
                <c:pt idx="3">
                  <c:v>30.001- 40.000</c:v>
                </c:pt>
                <c:pt idx="4">
                  <c:v>40.001- 50.000</c:v>
                </c:pt>
                <c:pt idx="5">
                  <c:v>50.001- 60.000</c:v>
                </c:pt>
                <c:pt idx="6">
                  <c:v>60.001- 70.000</c:v>
                </c:pt>
                <c:pt idx="7">
                  <c:v>70.001- 80.000</c:v>
                </c:pt>
                <c:pt idx="8">
                  <c:v>80.001- 90.000</c:v>
                </c:pt>
                <c:pt idx="9">
                  <c:v>90.001-100.000</c:v>
                </c:pt>
                <c:pt idx="10">
                  <c:v>100.001-150.000</c:v>
                </c:pt>
                <c:pt idx="11">
                  <c:v>150.001-200.000</c:v>
                </c:pt>
                <c:pt idx="12">
                  <c:v>Oltre 200.000</c:v>
                </c:pt>
              </c:strCache>
            </c:strRef>
          </c:cat>
          <c:val>
            <c:numRef>
              <c:f>Foglio2!$O$84:$O$96</c:f>
              <c:numCache>
                <c:formatCode>#,##0.0</c:formatCode>
                <c:ptCount val="13"/>
                <c:pt idx="0">
                  <c:v>0</c:v>
                </c:pt>
                <c:pt idx="1">
                  <c:v>2762.5349999999999</c:v>
                </c:pt>
                <c:pt idx="2">
                  <c:v>11520.867</c:v>
                </c:pt>
                <c:pt idx="3">
                  <c:v>27332.183000000001</c:v>
                </c:pt>
                <c:pt idx="4">
                  <c:v>42296.813000000002</c:v>
                </c:pt>
                <c:pt idx="5">
                  <c:v>49591.413</c:v>
                </c:pt>
                <c:pt idx="6">
                  <c:v>47017.601999999999</c:v>
                </c:pt>
                <c:pt idx="7">
                  <c:v>42026.065000000002</c:v>
                </c:pt>
                <c:pt idx="8">
                  <c:v>36225.49</c:v>
                </c:pt>
                <c:pt idx="9">
                  <c:v>31120.944</c:v>
                </c:pt>
                <c:pt idx="10">
                  <c:v>103207.666</c:v>
                </c:pt>
                <c:pt idx="11">
                  <c:v>51092.868000000002</c:v>
                </c:pt>
                <c:pt idx="12">
                  <c:v>232407.38</c:v>
                </c:pt>
              </c:numCache>
            </c:numRef>
          </c:val>
          <c:extLst>
            <c:ext xmlns:c16="http://schemas.microsoft.com/office/drawing/2014/chart" uri="{C3380CC4-5D6E-409C-BE32-E72D297353CC}">
              <c16:uniqueId val="{00000009-9C41-4DF0-9A56-C7D744D66F87}"/>
            </c:ext>
          </c:extLst>
        </c:ser>
        <c:ser>
          <c:idx val="13"/>
          <c:order val="13"/>
          <c:tx>
            <c:strRef>
              <c:f>Foglio2!$P$83</c:f>
              <c:strCache>
                <c:ptCount val="1"/>
                <c:pt idx="0">
                  <c:v>2016</c:v>
                </c:pt>
              </c:strCache>
            </c:strRef>
          </c:tx>
          <c:spPr>
            <a:solidFill>
              <a:schemeClr val="accent2">
                <a:lumMod val="80000"/>
                <a:lumOff val="20000"/>
              </a:schemeClr>
            </a:solidFill>
            <a:ln>
              <a:noFill/>
            </a:ln>
            <a:effectLst/>
          </c:spPr>
          <c:invertIfNegative val="0"/>
          <c:cat>
            <c:strRef>
              <c:f>Foglio2!$B$84:$B$96</c:f>
              <c:strCache>
                <c:ptCount val="13"/>
                <c:pt idx="0">
                  <c:v>Esenti</c:v>
                </c:pt>
                <c:pt idx="1">
                  <c:v>Fino a 20.000</c:v>
                </c:pt>
                <c:pt idx="2">
                  <c:v>20.001- 30.000</c:v>
                </c:pt>
                <c:pt idx="3">
                  <c:v>30.001- 40.000</c:v>
                </c:pt>
                <c:pt idx="4">
                  <c:v>40.001- 50.000</c:v>
                </c:pt>
                <c:pt idx="5">
                  <c:v>50.001- 60.000</c:v>
                </c:pt>
                <c:pt idx="6">
                  <c:v>60.001- 70.000</c:v>
                </c:pt>
                <c:pt idx="7">
                  <c:v>70.001- 80.000</c:v>
                </c:pt>
                <c:pt idx="8">
                  <c:v>80.001- 90.000</c:v>
                </c:pt>
                <c:pt idx="9">
                  <c:v>90.001-100.000</c:v>
                </c:pt>
                <c:pt idx="10">
                  <c:v>100.001-150.000</c:v>
                </c:pt>
                <c:pt idx="11">
                  <c:v>150.001-200.000</c:v>
                </c:pt>
                <c:pt idx="12">
                  <c:v>Oltre 200.000</c:v>
                </c:pt>
              </c:strCache>
            </c:strRef>
          </c:cat>
          <c:val>
            <c:numRef>
              <c:f>Foglio2!$P$84:$P$96</c:f>
              <c:numCache>
                <c:formatCode>#,##0.0</c:formatCode>
                <c:ptCount val="13"/>
                <c:pt idx="0">
                  <c:v>0</c:v>
                </c:pt>
                <c:pt idx="1">
                  <c:v>2779.2750000000001</c:v>
                </c:pt>
                <c:pt idx="2">
                  <c:v>11375.278</c:v>
                </c:pt>
                <c:pt idx="3">
                  <c:v>27353.223000000002</c:v>
                </c:pt>
                <c:pt idx="4">
                  <c:v>42312.226999999999</c:v>
                </c:pt>
                <c:pt idx="5">
                  <c:v>49219.792999999998</c:v>
                </c:pt>
                <c:pt idx="6">
                  <c:v>47627.34</c:v>
                </c:pt>
                <c:pt idx="7">
                  <c:v>41912.364000000001</c:v>
                </c:pt>
                <c:pt idx="8">
                  <c:v>35883.67</c:v>
                </c:pt>
                <c:pt idx="9">
                  <c:v>31617.936000000002</c:v>
                </c:pt>
                <c:pt idx="10">
                  <c:v>105139.285</c:v>
                </c:pt>
                <c:pt idx="11">
                  <c:v>53099.207999999999</c:v>
                </c:pt>
                <c:pt idx="12">
                  <c:v>237956.89499999999</c:v>
                </c:pt>
              </c:numCache>
            </c:numRef>
          </c:val>
          <c:extLst>
            <c:ext xmlns:c16="http://schemas.microsoft.com/office/drawing/2014/chart" uri="{C3380CC4-5D6E-409C-BE32-E72D297353CC}">
              <c16:uniqueId val="{0000000A-9C41-4DF0-9A56-C7D744D66F87}"/>
            </c:ext>
          </c:extLst>
        </c:ser>
        <c:ser>
          <c:idx val="14"/>
          <c:order val="14"/>
          <c:tx>
            <c:strRef>
              <c:f>Foglio2!$Q$83</c:f>
              <c:strCache>
                <c:ptCount val="1"/>
                <c:pt idx="0">
                  <c:v>2017</c:v>
                </c:pt>
              </c:strCache>
            </c:strRef>
          </c:tx>
          <c:spPr>
            <a:solidFill>
              <a:schemeClr val="accent3">
                <a:lumMod val="80000"/>
                <a:lumOff val="20000"/>
              </a:schemeClr>
            </a:solidFill>
            <a:ln>
              <a:noFill/>
            </a:ln>
            <a:effectLst/>
          </c:spPr>
          <c:invertIfNegative val="0"/>
          <c:cat>
            <c:strRef>
              <c:f>Foglio2!$B$84:$B$96</c:f>
              <c:strCache>
                <c:ptCount val="13"/>
                <c:pt idx="0">
                  <c:v>Esenti</c:v>
                </c:pt>
                <c:pt idx="1">
                  <c:v>Fino a 20.000</c:v>
                </c:pt>
                <c:pt idx="2">
                  <c:v>20.001- 30.000</c:v>
                </c:pt>
                <c:pt idx="3">
                  <c:v>30.001- 40.000</c:v>
                </c:pt>
                <c:pt idx="4">
                  <c:v>40.001- 50.000</c:v>
                </c:pt>
                <c:pt idx="5">
                  <c:v>50.001- 60.000</c:v>
                </c:pt>
                <c:pt idx="6">
                  <c:v>60.001- 70.000</c:v>
                </c:pt>
                <c:pt idx="7">
                  <c:v>70.001- 80.000</c:v>
                </c:pt>
                <c:pt idx="8">
                  <c:v>80.001- 90.000</c:v>
                </c:pt>
                <c:pt idx="9">
                  <c:v>90.001-100.000</c:v>
                </c:pt>
                <c:pt idx="10">
                  <c:v>100.001-150.000</c:v>
                </c:pt>
                <c:pt idx="11">
                  <c:v>150.001-200.000</c:v>
                </c:pt>
                <c:pt idx="12">
                  <c:v>Oltre 200.000</c:v>
                </c:pt>
              </c:strCache>
            </c:strRef>
          </c:cat>
          <c:val>
            <c:numRef>
              <c:f>Foglio2!$Q$84:$Q$96</c:f>
              <c:numCache>
                <c:formatCode>#,##0.0</c:formatCode>
                <c:ptCount val="13"/>
                <c:pt idx="0">
                  <c:v>0</c:v>
                </c:pt>
                <c:pt idx="1">
                  <c:v>2780.15</c:v>
                </c:pt>
                <c:pt idx="2">
                  <c:v>11194.531000000001</c:v>
                </c:pt>
                <c:pt idx="3">
                  <c:v>27379.419000000002</c:v>
                </c:pt>
                <c:pt idx="4">
                  <c:v>42774.54</c:v>
                </c:pt>
                <c:pt idx="5">
                  <c:v>50129.150999999998</c:v>
                </c:pt>
                <c:pt idx="6">
                  <c:v>47283.372000000003</c:v>
                </c:pt>
                <c:pt idx="7">
                  <c:v>42954.67</c:v>
                </c:pt>
                <c:pt idx="8">
                  <c:v>36244.453000000001</c:v>
                </c:pt>
                <c:pt idx="9">
                  <c:v>32397.014999999999</c:v>
                </c:pt>
                <c:pt idx="10">
                  <c:v>108067.76700000001</c:v>
                </c:pt>
                <c:pt idx="11">
                  <c:v>56313.317000000003</c:v>
                </c:pt>
                <c:pt idx="12">
                  <c:v>253940.48300000001</c:v>
                </c:pt>
              </c:numCache>
            </c:numRef>
          </c:val>
          <c:extLst>
            <c:ext xmlns:c16="http://schemas.microsoft.com/office/drawing/2014/chart" uri="{C3380CC4-5D6E-409C-BE32-E72D297353CC}">
              <c16:uniqueId val="{0000000B-9C41-4DF0-9A56-C7D744D66F87}"/>
            </c:ext>
          </c:extLst>
        </c:ser>
        <c:dLbls>
          <c:showLegendKey val="0"/>
          <c:showVal val="0"/>
          <c:showCatName val="0"/>
          <c:showSerName val="0"/>
          <c:showPercent val="0"/>
          <c:showBubbleSize val="0"/>
        </c:dLbls>
        <c:gapWidth val="219"/>
        <c:overlap val="-27"/>
        <c:axId val="374605112"/>
        <c:axId val="374606096"/>
        <c:extLst>
          <c:ext xmlns:c15="http://schemas.microsoft.com/office/drawing/2012/chart" uri="{02D57815-91ED-43cb-92C2-25804820EDAC}">
            <c15:filteredBarSeries>
              <c15:ser>
                <c:idx val="0"/>
                <c:order val="0"/>
                <c:tx>
                  <c:strRef>
                    <c:extLst>
                      <c:ext uri="{02D57815-91ED-43cb-92C2-25804820EDAC}">
                        <c15:formulaRef>
                          <c15:sqref>Foglio2!$C$83</c15:sqref>
                        </c15:formulaRef>
                      </c:ext>
                    </c:extLst>
                    <c:strCache>
                      <c:ptCount val="1"/>
                      <c:pt idx="0">
                        <c:v>2003</c:v>
                      </c:pt>
                    </c:strCache>
                  </c:strRef>
                </c:tx>
                <c:spPr>
                  <a:solidFill>
                    <a:schemeClr val="accent1"/>
                  </a:solidFill>
                  <a:ln>
                    <a:noFill/>
                  </a:ln>
                  <a:effectLst/>
                </c:spPr>
                <c:invertIfNegative val="0"/>
                <c:cat>
                  <c:strRef>
                    <c:extLst>
                      <c:ext uri="{02D57815-91ED-43cb-92C2-25804820EDAC}">
                        <c15:formulaRef>
                          <c15:sqref>Foglio2!$B$84:$B$96</c15:sqref>
                        </c15:formulaRef>
                      </c:ext>
                    </c:extLst>
                    <c:strCache>
                      <c:ptCount val="13"/>
                      <c:pt idx="0">
                        <c:v>Esenti</c:v>
                      </c:pt>
                      <c:pt idx="1">
                        <c:v>Fino a 20.000</c:v>
                      </c:pt>
                      <c:pt idx="2">
                        <c:v>20.001- 30.000</c:v>
                      </c:pt>
                      <c:pt idx="3">
                        <c:v>30.001- 40.000</c:v>
                      </c:pt>
                      <c:pt idx="4">
                        <c:v>40.001- 50.000</c:v>
                      </c:pt>
                      <c:pt idx="5">
                        <c:v>50.001- 60.000</c:v>
                      </c:pt>
                      <c:pt idx="6">
                        <c:v>60.001- 70.000</c:v>
                      </c:pt>
                      <c:pt idx="7">
                        <c:v>70.001- 80.000</c:v>
                      </c:pt>
                      <c:pt idx="8">
                        <c:v>80.001- 90.000</c:v>
                      </c:pt>
                      <c:pt idx="9">
                        <c:v>90.001-100.000</c:v>
                      </c:pt>
                      <c:pt idx="10">
                        <c:v>100.001-150.000</c:v>
                      </c:pt>
                      <c:pt idx="11">
                        <c:v>150.001-200.000</c:v>
                      </c:pt>
                      <c:pt idx="12">
                        <c:v>Oltre 200.000</c:v>
                      </c:pt>
                    </c:strCache>
                  </c:strRef>
                </c:cat>
                <c:val>
                  <c:numRef>
                    <c:extLst>
                      <c:ext uri="{02D57815-91ED-43cb-92C2-25804820EDAC}">
                        <c15:formulaRef>
                          <c15:sqref>Foglio2!$C$84:$C$96</c15:sqref>
                        </c15:formulaRef>
                      </c:ext>
                    </c:extLst>
                    <c:numCache>
                      <c:formatCode>#,##0.0</c:formatCode>
                      <c:ptCount val="13"/>
                      <c:pt idx="0">
                        <c:v>0</c:v>
                      </c:pt>
                      <c:pt idx="1">
                        <c:v>3391.8</c:v>
                      </c:pt>
                      <c:pt idx="2">
                        <c:v>13969.5</c:v>
                      </c:pt>
                      <c:pt idx="3">
                        <c:v>31660.6</c:v>
                      </c:pt>
                      <c:pt idx="4">
                        <c:v>44890.5</c:v>
                      </c:pt>
                      <c:pt idx="5">
                        <c:v>47291.7</c:v>
                      </c:pt>
                      <c:pt idx="6">
                        <c:v>43230.1</c:v>
                      </c:pt>
                      <c:pt idx="7">
                        <c:v>35673.300000000003</c:v>
                      </c:pt>
                      <c:pt idx="8">
                        <c:v>28621.599999999999</c:v>
                      </c:pt>
                      <c:pt idx="9">
                        <c:v>23325.200000000001</c:v>
                      </c:pt>
                      <c:pt idx="10">
                        <c:v>72730.7</c:v>
                      </c:pt>
                      <c:pt idx="11">
                        <c:v>38735.300000000003</c:v>
                      </c:pt>
                      <c:pt idx="12">
                        <c:v>128113.1</c:v>
                      </c:pt>
                    </c:numCache>
                  </c:numRef>
                </c:val>
                <c:extLst>
                  <c:ext xmlns:c16="http://schemas.microsoft.com/office/drawing/2014/chart" uri="{C3380CC4-5D6E-409C-BE32-E72D297353CC}">
                    <c16:uniqueId val="{0000000C-9C41-4DF0-9A56-C7D744D66F87}"/>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Foglio2!$D$83</c15:sqref>
                        </c15:formulaRef>
                      </c:ext>
                    </c:extLst>
                    <c:strCache>
                      <c:ptCount val="1"/>
                      <c:pt idx="0">
                        <c:v>2004</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Foglio2!$B$84:$B$96</c15:sqref>
                        </c15:formulaRef>
                      </c:ext>
                    </c:extLst>
                    <c:strCache>
                      <c:ptCount val="13"/>
                      <c:pt idx="0">
                        <c:v>Esenti</c:v>
                      </c:pt>
                      <c:pt idx="1">
                        <c:v>Fino a 20.000</c:v>
                      </c:pt>
                      <c:pt idx="2">
                        <c:v>20.001- 30.000</c:v>
                      </c:pt>
                      <c:pt idx="3">
                        <c:v>30.001- 40.000</c:v>
                      </c:pt>
                      <c:pt idx="4">
                        <c:v>40.001- 50.000</c:v>
                      </c:pt>
                      <c:pt idx="5">
                        <c:v>50.001- 60.000</c:v>
                      </c:pt>
                      <c:pt idx="6">
                        <c:v>60.001- 70.000</c:v>
                      </c:pt>
                      <c:pt idx="7">
                        <c:v>70.001- 80.000</c:v>
                      </c:pt>
                      <c:pt idx="8">
                        <c:v>80.001- 90.000</c:v>
                      </c:pt>
                      <c:pt idx="9">
                        <c:v>90.001-100.000</c:v>
                      </c:pt>
                      <c:pt idx="10">
                        <c:v>100.001-150.000</c:v>
                      </c:pt>
                      <c:pt idx="11">
                        <c:v>150.001-200.000</c:v>
                      </c:pt>
                      <c:pt idx="12">
                        <c:v>Oltre 200.000</c:v>
                      </c:pt>
                    </c:strCache>
                  </c:strRef>
                </c:cat>
                <c:val>
                  <c:numRef>
                    <c:extLst xmlns:c15="http://schemas.microsoft.com/office/drawing/2012/chart">
                      <c:ext xmlns:c15="http://schemas.microsoft.com/office/drawing/2012/chart" uri="{02D57815-91ED-43cb-92C2-25804820EDAC}">
                        <c15:formulaRef>
                          <c15:sqref>Foglio2!$D$84:$D$96</c15:sqref>
                        </c15:formulaRef>
                      </c:ext>
                    </c:extLst>
                    <c:numCache>
                      <c:formatCode>#,##0.0</c:formatCode>
                      <c:ptCount val="13"/>
                      <c:pt idx="0">
                        <c:v>0</c:v>
                      </c:pt>
                      <c:pt idx="1">
                        <c:v>3597.1</c:v>
                      </c:pt>
                      <c:pt idx="2">
                        <c:v>14298.7</c:v>
                      </c:pt>
                      <c:pt idx="3">
                        <c:v>32629.8</c:v>
                      </c:pt>
                      <c:pt idx="4">
                        <c:v>46249.7</c:v>
                      </c:pt>
                      <c:pt idx="5">
                        <c:v>48950.8</c:v>
                      </c:pt>
                      <c:pt idx="6">
                        <c:v>44578.3</c:v>
                      </c:pt>
                      <c:pt idx="7">
                        <c:v>37614.699999999997</c:v>
                      </c:pt>
                      <c:pt idx="8">
                        <c:v>30229.3</c:v>
                      </c:pt>
                      <c:pt idx="9">
                        <c:v>24897.7</c:v>
                      </c:pt>
                      <c:pt idx="10">
                        <c:v>74424.600000000006</c:v>
                      </c:pt>
                      <c:pt idx="11">
                        <c:v>43136.6</c:v>
                      </c:pt>
                      <c:pt idx="12">
                        <c:v>146313.60000000001</c:v>
                      </c:pt>
                    </c:numCache>
                  </c:numRef>
                </c:val>
                <c:extLst xmlns:c15="http://schemas.microsoft.com/office/drawing/2012/chart">
                  <c:ext xmlns:c16="http://schemas.microsoft.com/office/drawing/2014/chart" uri="{C3380CC4-5D6E-409C-BE32-E72D297353CC}">
                    <c16:uniqueId val="{0000000D-9C41-4DF0-9A56-C7D744D66F87}"/>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Foglio2!$E$83</c15:sqref>
                        </c15:formulaRef>
                      </c:ext>
                    </c:extLst>
                    <c:strCache>
                      <c:ptCount val="1"/>
                      <c:pt idx="0">
                        <c:v>2005</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Foglio2!$B$84:$B$96</c15:sqref>
                        </c15:formulaRef>
                      </c:ext>
                    </c:extLst>
                    <c:strCache>
                      <c:ptCount val="13"/>
                      <c:pt idx="0">
                        <c:v>Esenti</c:v>
                      </c:pt>
                      <c:pt idx="1">
                        <c:v>Fino a 20.000</c:v>
                      </c:pt>
                      <c:pt idx="2">
                        <c:v>20.001- 30.000</c:v>
                      </c:pt>
                      <c:pt idx="3">
                        <c:v>30.001- 40.000</c:v>
                      </c:pt>
                      <c:pt idx="4">
                        <c:v>40.001- 50.000</c:v>
                      </c:pt>
                      <c:pt idx="5">
                        <c:v>50.001- 60.000</c:v>
                      </c:pt>
                      <c:pt idx="6">
                        <c:v>60.001- 70.000</c:v>
                      </c:pt>
                      <c:pt idx="7">
                        <c:v>70.001- 80.000</c:v>
                      </c:pt>
                      <c:pt idx="8">
                        <c:v>80.001- 90.000</c:v>
                      </c:pt>
                      <c:pt idx="9">
                        <c:v>90.001-100.000</c:v>
                      </c:pt>
                      <c:pt idx="10">
                        <c:v>100.001-150.000</c:v>
                      </c:pt>
                      <c:pt idx="11">
                        <c:v>150.001-200.000</c:v>
                      </c:pt>
                      <c:pt idx="12">
                        <c:v>Oltre 200.000</c:v>
                      </c:pt>
                    </c:strCache>
                  </c:strRef>
                </c:cat>
                <c:val>
                  <c:numRef>
                    <c:extLst xmlns:c15="http://schemas.microsoft.com/office/drawing/2012/chart">
                      <c:ext xmlns:c15="http://schemas.microsoft.com/office/drawing/2012/chart" uri="{02D57815-91ED-43cb-92C2-25804820EDAC}">
                        <c15:formulaRef>
                          <c15:sqref>Foglio2!$E$84:$E$96</c15:sqref>
                        </c15:formulaRef>
                      </c:ext>
                    </c:extLst>
                    <c:numCache>
                      <c:formatCode>#,##0.0</c:formatCode>
                      <c:ptCount val="13"/>
                      <c:pt idx="0">
                        <c:v>0</c:v>
                      </c:pt>
                      <c:pt idx="1">
                        <c:v>3427.9</c:v>
                      </c:pt>
                      <c:pt idx="2">
                        <c:v>13615.7</c:v>
                      </c:pt>
                      <c:pt idx="3">
                        <c:v>31222.7</c:v>
                      </c:pt>
                      <c:pt idx="4">
                        <c:v>45109</c:v>
                      </c:pt>
                      <c:pt idx="5">
                        <c:v>46907.3</c:v>
                      </c:pt>
                      <c:pt idx="6">
                        <c:v>44365.9</c:v>
                      </c:pt>
                      <c:pt idx="7">
                        <c:v>37250.9</c:v>
                      </c:pt>
                      <c:pt idx="8">
                        <c:v>29527.8</c:v>
                      </c:pt>
                      <c:pt idx="9">
                        <c:v>25033.8</c:v>
                      </c:pt>
                      <c:pt idx="10">
                        <c:v>77124.399999999994</c:v>
                      </c:pt>
                      <c:pt idx="11">
                        <c:v>42726.9</c:v>
                      </c:pt>
                      <c:pt idx="12">
                        <c:v>149314.29999999999</c:v>
                      </c:pt>
                    </c:numCache>
                  </c:numRef>
                </c:val>
                <c:extLst xmlns:c15="http://schemas.microsoft.com/office/drawing/2012/chart">
                  <c:ext xmlns:c16="http://schemas.microsoft.com/office/drawing/2014/chart" uri="{C3380CC4-5D6E-409C-BE32-E72D297353CC}">
                    <c16:uniqueId val="{0000000E-9C41-4DF0-9A56-C7D744D66F87}"/>
                  </c:ext>
                </c:extLst>
              </c15:ser>
            </c15:filteredBarSeries>
          </c:ext>
        </c:extLst>
      </c:barChart>
      <c:catAx>
        <c:axId val="374605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crossAx val="374606096"/>
        <c:crosses val="autoZero"/>
        <c:auto val="1"/>
        <c:lblAlgn val="ctr"/>
        <c:lblOffset val="100"/>
        <c:noMultiLvlLbl val="0"/>
      </c:catAx>
      <c:valAx>
        <c:axId val="3746060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crossAx val="3746051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CH"/>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H" sz="1400" b="0" i="0" baseline="0">
                <a:solidFill>
                  <a:sysClr val="windowText" lastClr="000000"/>
                </a:solidFill>
                <a:effectLst/>
              </a:rPr>
              <a:t>Evoluzione del numero di contribuenti (persone fisiche) per fasce di reddito dal 2006 al 2017 </a:t>
            </a:r>
            <a:endParaRPr lang="fr-CH" sz="1400" b="0">
              <a:solidFill>
                <a:sysClr val="windowText" lastClr="000000"/>
              </a:solidFill>
              <a:effectLst/>
            </a:endParaRPr>
          </a:p>
        </c:rich>
      </c:tx>
      <c:layout>
        <c:manualLayout>
          <c:xMode val="edge"/>
          <c:yMode val="edge"/>
          <c:x val="0.1230138713745271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CH"/>
        </a:p>
      </c:txPr>
    </c:title>
    <c:autoTitleDeleted val="0"/>
    <c:plotArea>
      <c:layout>
        <c:manualLayout>
          <c:layoutTarget val="inner"/>
          <c:xMode val="edge"/>
          <c:yMode val="edge"/>
          <c:x val="8.3846517924225428E-2"/>
          <c:y val="0.20242854474126659"/>
          <c:w val="0.89303452453058751"/>
          <c:h val="0.5072401817510529"/>
        </c:manualLayout>
      </c:layout>
      <c:barChart>
        <c:barDir val="col"/>
        <c:grouping val="clustered"/>
        <c:varyColors val="0"/>
        <c:ser>
          <c:idx val="3"/>
          <c:order val="3"/>
          <c:tx>
            <c:strRef>
              <c:f>Foglio2!$F$67</c:f>
              <c:strCache>
                <c:ptCount val="1"/>
                <c:pt idx="0">
                  <c:v>2006</c:v>
                </c:pt>
              </c:strCache>
            </c:strRef>
          </c:tx>
          <c:spPr>
            <a:solidFill>
              <a:schemeClr val="accent4"/>
            </a:solidFill>
            <a:ln>
              <a:noFill/>
            </a:ln>
            <a:effectLst/>
          </c:spPr>
          <c:invertIfNegative val="0"/>
          <c:cat>
            <c:strRef>
              <c:f>Foglio2!$B$68:$B$80</c:f>
              <c:strCache>
                <c:ptCount val="13"/>
                <c:pt idx="0">
                  <c:v>Esenti</c:v>
                </c:pt>
                <c:pt idx="1">
                  <c:v>Fino a 20.000</c:v>
                </c:pt>
                <c:pt idx="2">
                  <c:v>20.001- 30.000</c:v>
                </c:pt>
                <c:pt idx="3">
                  <c:v>30.001- 40.000</c:v>
                </c:pt>
                <c:pt idx="4">
                  <c:v>40.001- 50.000</c:v>
                </c:pt>
                <c:pt idx="5">
                  <c:v>50.001- 60.000</c:v>
                </c:pt>
                <c:pt idx="6">
                  <c:v>60.001- 70.000</c:v>
                </c:pt>
                <c:pt idx="7">
                  <c:v>70.001- 80.000</c:v>
                </c:pt>
                <c:pt idx="8">
                  <c:v>80.001- 90.000</c:v>
                </c:pt>
                <c:pt idx="9">
                  <c:v>90.001-100.000</c:v>
                </c:pt>
                <c:pt idx="10">
                  <c:v>100.001-150.000</c:v>
                </c:pt>
                <c:pt idx="11">
                  <c:v>150.001-200.000</c:v>
                </c:pt>
                <c:pt idx="12">
                  <c:v>Oltre 200.000</c:v>
                </c:pt>
              </c:strCache>
            </c:strRef>
          </c:cat>
          <c:val>
            <c:numRef>
              <c:f>Foglio2!$F$68:$F$80</c:f>
              <c:numCache>
                <c:formatCode>#,##0</c:formatCode>
                <c:ptCount val="13"/>
                <c:pt idx="0">
                  <c:v>42307</c:v>
                </c:pt>
                <c:pt idx="1">
                  <c:v>14371</c:v>
                </c:pt>
                <c:pt idx="2">
                  <c:v>22803</c:v>
                </c:pt>
                <c:pt idx="3">
                  <c:v>23732</c:v>
                </c:pt>
                <c:pt idx="4">
                  <c:v>21396</c:v>
                </c:pt>
                <c:pt idx="5">
                  <c:v>16403</c:v>
                </c:pt>
                <c:pt idx="6">
                  <c:v>11552</c:v>
                </c:pt>
                <c:pt idx="7">
                  <c:v>7924</c:v>
                </c:pt>
                <c:pt idx="8">
                  <c:v>5347</c:v>
                </c:pt>
                <c:pt idx="9">
                  <c:v>3616</c:v>
                </c:pt>
                <c:pt idx="10">
                  <c:v>8164</c:v>
                </c:pt>
                <c:pt idx="11">
                  <c:v>2893</c:v>
                </c:pt>
                <c:pt idx="12">
                  <c:v>3639</c:v>
                </c:pt>
              </c:numCache>
            </c:numRef>
          </c:val>
          <c:extLst>
            <c:ext xmlns:c16="http://schemas.microsoft.com/office/drawing/2014/chart" uri="{C3380CC4-5D6E-409C-BE32-E72D297353CC}">
              <c16:uniqueId val="{00000000-7E64-47FA-96DC-5D18815D17AE}"/>
            </c:ext>
          </c:extLst>
        </c:ser>
        <c:ser>
          <c:idx val="4"/>
          <c:order val="4"/>
          <c:tx>
            <c:strRef>
              <c:f>Foglio2!$G$67</c:f>
              <c:strCache>
                <c:ptCount val="1"/>
                <c:pt idx="0">
                  <c:v>2007</c:v>
                </c:pt>
              </c:strCache>
            </c:strRef>
          </c:tx>
          <c:spPr>
            <a:solidFill>
              <a:schemeClr val="accent5"/>
            </a:solidFill>
            <a:ln>
              <a:noFill/>
            </a:ln>
            <a:effectLst/>
          </c:spPr>
          <c:invertIfNegative val="0"/>
          <c:cat>
            <c:strRef>
              <c:f>Foglio2!$B$68:$B$80</c:f>
              <c:strCache>
                <c:ptCount val="13"/>
                <c:pt idx="0">
                  <c:v>Esenti</c:v>
                </c:pt>
                <c:pt idx="1">
                  <c:v>Fino a 20.000</c:v>
                </c:pt>
                <c:pt idx="2">
                  <c:v>20.001- 30.000</c:v>
                </c:pt>
                <c:pt idx="3">
                  <c:v>30.001- 40.000</c:v>
                </c:pt>
                <c:pt idx="4">
                  <c:v>40.001- 50.000</c:v>
                </c:pt>
                <c:pt idx="5">
                  <c:v>50.001- 60.000</c:v>
                </c:pt>
                <c:pt idx="6">
                  <c:v>60.001- 70.000</c:v>
                </c:pt>
                <c:pt idx="7">
                  <c:v>70.001- 80.000</c:v>
                </c:pt>
                <c:pt idx="8">
                  <c:v>80.001- 90.000</c:v>
                </c:pt>
                <c:pt idx="9">
                  <c:v>90.001-100.000</c:v>
                </c:pt>
                <c:pt idx="10">
                  <c:v>100.001-150.000</c:v>
                </c:pt>
                <c:pt idx="11">
                  <c:v>150.001-200.000</c:v>
                </c:pt>
                <c:pt idx="12">
                  <c:v>Oltre 200.000</c:v>
                </c:pt>
              </c:strCache>
            </c:strRef>
          </c:cat>
          <c:val>
            <c:numRef>
              <c:f>Foglio2!$G$68:$G$80</c:f>
              <c:numCache>
                <c:formatCode>#,##0</c:formatCode>
                <c:ptCount val="13"/>
                <c:pt idx="0">
                  <c:v>42658</c:v>
                </c:pt>
                <c:pt idx="1">
                  <c:v>13789</c:v>
                </c:pt>
                <c:pt idx="2">
                  <c:v>22499</c:v>
                </c:pt>
                <c:pt idx="3">
                  <c:v>23877</c:v>
                </c:pt>
                <c:pt idx="4">
                  <c:v>21287</c:v>
                </c:pt>
                <c:pt idx="5">
                  <c:v>16671</c:v>
                </c:pt>
                <c:pt idx="6">
                  <c:v>11752</c:v>
                </c:pt>
                <c:pt idx="7">
                  <c:v>8156</c:v>
                </c:pt>
                <c:pt idx="8">
                  <c:v>5377</c:v>
                </c:pt>
                <c:pt idx="9">
                  <c:v>3762</c:v>
                </c:pt>
                <c:pt idx="10">
                  <c:v>8540</c:v>
                </c:pt>
                <c:pt idx="11">
                  <c:v>2998</c:v>
                </c:pt>
                <c:pt idx="12">
                  <c:v>3913</c:v>
                </c:pt>
              </c:numCache>
            </c:numRef>
          </c:val>
          <c:extLst>
            <c:ext xmlns:c16="http://schemas.microsoft.com/office/drawing/2014/chart" uri="{C3380CC4-5D6E-409C-BE32-E72D297353CC}">
              <c16:uniqueId val="{00000001-7E64-47FA-96DC-5D18815D17AE}"/>
            </c:ext>
          </c:extLst>
        </c:ser>
        <c:ser>
          <c:idx val="5"/>
          <c:order val="5"/>
          <c:tx>
            <c:strRef>
              <c:f>Foglio2!$H$67</c:f>
              <c:strCache>
                <c:ptCount val="1"/>
                <c:pt idx="0">
                  <c:v>2008</c:v>
                </c:pt>
              </c:strCache>
            </c:strRef>
          </c:tx>
          <c:spPr>
            <a:solidFill>
              <a:schemeClr val="accent6"/>
            </a:solidFill>
            <a:ln>
              <a:noFill/>
            </a:ln>
            <a:effectLst/>
          </c:spPr>
          <c:invertIfNegative val="0"/>
          <c:cat>
            <c:strRef>
              <c:f>Foglio2!$B$68:$B$80</c:f>
              <c:strCache>
                <c:ptCount val="13"/>
                <c:pt idx="0">
                  <c:v>Esenti</c:v>
                </c:pt>
                <c:pt idx="1">
                  <c:v>Fino a 20.000</c:v>
                </c:pt>
                <c:pt idx="2">
                  <c:v>20.001- 30.000</c:v>
                </c:pt>
                <c:pt idx="3">
                  <c:v>30.001- 40.000</c:v>
                </c:pt>
                <c:pt idx="4">
                  <c:v>40.001- 50.000</c:v>
                </c:pt>
                <c:pt idx="5">
                  <c:v>50.001- 60.000</c:v>
                </c:pt>
                <c:pt idx="6">
                  <c:v>60.001- 70.000</c:v>
                </c:pt>
                <c:pt idx="7">
                  <c:v>70.001- 80.000</c:v>
                </c:pt>
                <c:pt idx="8">
                  <c:v>80.001- 90.000</c:v>
                </c:pt>
                <c:pt idx="9">
                  <c:v>90.001-100.000</c:v>
                </c:pt>
                <c:pt idx="10">
                  <c:v>100.001-150.000</c:v>
                </c:pt>
                <c:pt idx="11">
                  <c:v>150.001-200.000</c:v>
                </c:pt>
                <c:pt idx="12">
                  <c:v>Oltre 200.000</c:v>
                </c:pt>
              </c:strCache>
            </c:strRef>
          </c:cat>
          <c:val>
            <c:numRef>
              <c:f>Foglio2!$H$68:$H$80</c:f>
              <c:numCache>
                <c:formatCode>#,##0</c:formatCode>
                <c:ptCount val="13"/>
                <c:pt idx="0">
                  <c:v>44119</c:v>
                </c:pt>
                <c:pt idx="1">
                  <c:v>13044</c:v>
                </c:pt>
                <c:pt idx="2">
                  <c:v>22026</c:v>
                </c:pt>
                <c:pt idx="3">
                  <c:v>23495</c:v>
                </c:pt>
                <c:pt idx="4">
                  <c:v>21732</c:v>
                </c:pt>
                <c:pt idx="5">
                  <c:v>17041</c:v>
                </c:pt>
                <c:pt idx="6">
                  <c:v>12173</c:v>
                </c:pt>
                <c:pt idx="7">
                  <c:v>8562</c:v>
                </c:pt>
                <c:pt idx="8">
                  <c:v>5600</c:v>
                </c:pt>
                <c:pt idx="9">
                  <c:v>3976</c:v>
                </c:pt>
                <c:pt idx="10">
                  <c:v>9204</c:v>
                </c:pt>
                <c:pt idx="11">
                  <c:v>3290</c:v>
                </c:pt>
                <c:pt idx="12">
                  <c:v>4400</c:v>
                </c:pt>
              </c:numCache>
            </c:numRef>
          </c:val>
          <c:extLst>
            <c:ext xmlns:c16="http://schemas.microsoft.com/office/drawing/2014/chart" uri="{C3380CC4-5D6E-409C-BE32-E72D297353CC}">
              <c16:uniqueId val="{00000002-7E64-47FA-96DC-5D18815D17AE}"/>
            </c:ext>
          </c:extLst>
        </c:ser>
        <c:ser>
          <c:idx val="6"/>
          <c:order val="6"/>
          <c:tx>
            <c:strRef>
              <c:f>Foglio2!$I$67</c:f>
              <c:strCache>
                <c:ptCount val="1"/>
                <c:pt idx="0">
                  <c:v>2009</c:v>
                </c:pt>
              </c:strCache>
            </c:strRef>
          </c:tx>
          <c:spPr>
            <a:solidFill>
              <a:schemeClr val="accent1">
                <a:lumMod val="60000"/>
              </a:schemeClr>
            </a:solidFill>
            <a:ln>
              <a:noFill/>
            </a:ln>
            <a:effectLst/>
          </c:spPr>
          <c:invertIfNegative val="0"/>
          <c:cat>
            <c:strRef>
              <c:f>Foglio2!$B$68:$B$80</c:f>
              <c:strCache>
                <c:ptCount val="13"/>
                <c:pt idx="0">
                  <c:v>Esenti</c:v>
                </c:pt>
                <c:pt idx="1">
                  <c:v>Fino a 20.000</c:v>
                </c:pt>
                <c:pt idx="2">
                  <c:v>20.001- 30.000</c:v>
                </c:pt>
                <c:pt idx="3">
                  <c:v>30.001- 40.000</c:v>
                </c:pt>
                <c:pt idx="4">
                  <c:v>40.001- 50.000</c:v>
                </c:pt>
                <c:pt idx="5">
                  <c:v>50.001- 60.000</c:v>
                </c:pt>
                <c:pt idx="6">
                  <c:v>60.001- 70.000</c:v>
                </c:pt>
                <c:pt idx="7">
                  <c:v>70.001- 80.000</c:v>
                </c:pt>
                <c:pt idx="8">
                  <c:v>80.001- 90.000</c:v>
                </c:pt>
                <c:pt idx="9">
                  <c:v>90.001-100.000</c:v>
                </c:pt>
                <c:pt idx="10">
                  <c:v>100.001-150.000</c:v>
                </c:pt>
                <c:pt idx="11">
                  <c:v>150.001-200.000</c:v>
                </c:pt>
                <c:pt idx="12">
                  <c:v>Oltre 200.000</c:v>
                </c:pt>
              </c:strCache>
            </c:strRef>
          </c:cat>
          <c:val>
            <c:numRef>
              <c:f>Foglio2!$I$68:$I$80</c:f>
              <c:numCache>
                <c:formatCode>#,##0</c:formatCode>
                <c:ptCount val="13"/>
                <c:pt idx="0">
                  <c:v>44396</c:v>
                </c:pt>
                <c:pt idx="1">
                  <c:v>12768</c:v>
                </c:pt>
                <c:pt idx="2">
                  <c:v>21808</c:v>
                </c:pt>
                <c:pt idx="3">
                  <c:v>23432</c:v>
                </c:pt>
                <c:pt idx="4">
                  <c:v>21655</c:v>
                </c:pt>
                <c:pt idx="5">
                  <c:v>17345</c:v>
                </c:pt>
                <c:pt idx="6">
                  <c:v>12478</c:v>
                </c:pt>
                <c:pt idx="7">
                  <c:v>8792</c:v>
                </c:pt>
                <c:pt idx="8">
                  <c:v>5915</c:v>
                </c:pt>
                <c:pt idx="9">
                  <c:v>4267</c:v>
                </c:pt>
                <c:pt idx="10">
                  <c:v>9549</c:v>
                </c:pt>
                <c:pt idx="11">
                  <c:v>3380</c:v>
                </c:pt>
                <c:pt idx="12">
                  <c:v>4310</c:v>
                </c:pt>
              </c:numCache>
            </c:numRef>
          </c:val>
          <c:extLst>
            <c:ext xmlns:c16="http://schemas.microsoft.com/office/drawing/2014/chart" uri="{C3380CC4-5D6E-409C-BE32-E72D297353CC}">
              <c16:uniqueId val="{00000003-7E64-47FA-96DC-5D18815D17AE}"/>
            </c:ext>
          </c:extLst>
        </c:ser>
        <c:ser>
          <c:idx val="7"/>
          <c:order val="7"/>
          <c:tx>
            <c:strRef>
              <c:f>Foglio2!$J$67</c:f>
              <c:strCache>
                <c:ptCount val="1"/>
                <c:pt idx="0">
                  <c:v>2010</c:v>
                </c:pt>
              </c:strCache>
            </c:strRef>
          </c:tx>
          <c:spPr>
            <a:solidFill>
              <a:schemeClr val="accent2">
                <a:lumMod val="60000"/>
              </a:schemeClr>
            </a:solidFill>
            <a:ln>
              <a:noFill/>
            </a:ln>
            <a:effectLst/>
          </c:spPr>
          <c:invertIfNegative val="0"/>
          <c:cat>
            <c:strRef>
              <c:f>Foglio2!$B$68:$B$80</c:f>
              <c:strCache>
                <c:ptCount val="13"/>
                <c:pt idx="0">
                  <c:v>Esenti</c:v>
                </c:pt>
                <c:pt idx="1">
                  <c:v>Fino a 20.000</c:v>
                </c:pt>
                <c:pt idx="2">
                  <c:v>20.001- 30.000</c:v>
                </c:pt>
                <c:pt idx="3">
                  <c:v>30.001- 40.000</c:v>
                </c:pt>
                <c:pt idx="4">
                  <c:v>40.001- 50.000</c:v>
                </c:pt>
                <c:pt idx="5">
                  <c:v>50.001- 60.000</c:v>
                </c:pt>
                <c:pt idx="6">
                  <c:v>60.001- 70.000</c:v>
                </c:pt>
                <c:pt idx="7">
                  <c:v>70.001- 80.000</c:v>
                </c:pt>
                <c:pt idx="8">
                  <c:v>80.001- 90.000</c:v>
                </c:pt>
                <c:pt idx="9">
                  <c:v>90.001-100.000</c:v>
                </c:pt>
                <c:pt idx="10">
                  <c:v>100.001-150.000</c:v>
                </c:pt>
                <c:pt idx="11">
                  <c:v>150.001-200.000</c:v>
                </c:pt>
                <c:pt idx="12">
                  <c:v>Oltre 200.000</c:v>
                </c:pt>
              </c:strCache>
            </c:strRef>
          </c:cat>
          <c:val>
            <c:numRef>
              <c:f>Foglio2!$J$68:$J$80</c:f>
              <c:numCache>
                <c:formatCode>#,##0</c:formatCode>
                <c:ptCount val="13"/>
                <c:pt idx="0">
                  <c:v>45789</c:v>
                </c:pt>
                <c:pt idx="1">
                  <c:v>12556</c:v>
                </c:pt>
                <c:pt idx="2">
                  <c:v>21878</c:v>
                </c:pt>
                <c:pt idx="3">
                  <c:v>23332</c:v>
                </c:pt>
                <c:pt idx="4">
                  <c:v>21627</c:v>
                </c:pt>
                <c:pt idx="5">
                  <c:v>17291</c:v>
                </c:pt>
                <c:pt idx="6">
                  <c:v>12563</c:v>
                </c:pt>
                <c:pt idx="7">
                  <c:v>8710</c:v>
                </c:pt>
                <c:pt idx="8">
                  <c:v>5903</c:v>
                </c:pt>
                <c:pt idx="9">
                  <c:v>4270</c:v>
                </c:pt>
                <c:pt idx="10">
                  <c:v>9525</c:v>
                </c:pt>
                <c:pt idx="11">
                  <c:v>3386</c:v>
                </c:pt>
                <c:pt idx="12">
                  <c:v>4228</c:v>
                </c:pt>
              </c:numCache>
            </c:numRef>
          </c:val>
          <c:extLst>
            <c:ext xmlns:c16="http://schemas.microsoft.com/office/drawing/2014/chart" uri="{C3380CC4-5D6E-409C-BE32-E72D297353CC}">
              <c16:uniqueId val="{00000004-7E64-47FA-96DC-5D18815D17AE}"/>
            </c:ext>
          </c:extLst>
        </c:ser>
        <c:ser>
          <c:idx val="8"/>
          <c:order val="8"/>
          <c:tx>
            <c:strRef>
              <c:f>Foglio2!$K$67</c:f>
              <c:strCache>
                <c:ptCount val="1"/>
                <c:pt idx="0">
                  <c:v>2011</c:v>
                </c:pt>
              </c:strCache>
            </c:strRef>
          </c:tx>
          <c:spPr>
            <a:solidFill>
              <a:schemeClr val="accent3">
                <a:lumMod val="60000"/>
              </a:schemeClr>
            </a:solidFill>
            <a:ln>
              <a:noFill/>
            </a:ln>
            <a:effectLst/>
          </c:spPr>
          <c:invertIfNegative val="0"/>
          <c:cat>
            <c:strRef>
              <c:f>Foglio2!$B$68:$B$80</c:f>
              <c:strCache>
                <c:ptCount val="13"/>
                <c:pt idx="0">
                  <c:v>Esenti</c:v>
                </c:pt>
                <c:pt idx="1">
                  <c:v>Fino a 20.000</c:v>
                </c:pt>
                <c:pt idx="2">
                  <c:v>20.001- 30.000</c:v>
                </c:pt>
                <c:pt idx="3">
                  <c:v>30.001- 40.000</c:v>
                </c:pt>
                <c:pt idx="4">
                  <c:v>40.001- 50.000</c:v>
                </c:pt>
                <c:pt idx="5">
                  <c:v>50.001- 60.000</c:v>
                </c:pt>
                <c:pt idx="6">
                  <c:v>60.001- 70.000</c:v>
                </c:pt>
                <c:pt idx="7">
                  <c:v>70.001- 80.000</c:v>
                </c:pt>
                <c:pt idx="8">
                  <c:v>80.001- 90.000</c:v>
                </c:pt>
                <c:pt idx="9">
                  <c:v>90.001-100.000</c:v>
                </c:pt>
                <c:pt idx="10">
                  <c:v>100.001-150.000</c:v>
                </c:pt>
                <c:pt idx="11">
                  <c:v>150.001-200.000</c:v>
                </c:pt>
                <c:pt idx="12">
                  <c:v>Oltre 200.000</c:v>
                </c:pt>
              </c:strCache>
            </c:strRef>
          </c:cat>
          <c:val>
            <c:numRef>
              <c:f>Foglio2!$K$68:$K$80</c:f>
              <c:numCache>
                <c:formatCode>#,##0</c:formatCode>
                <c:ptCount val="13"/>
                <c:pt idx="0">
                  <c:v>46955</c:v>
                </c:pt>
                <c:pt idx="1">
                  <c:v>12713</c:v>
                </c:pt>
                <c:pt idx="2">
                  <c:v>21500</c:v>
                </c:pt>
                <c:pt idx="3">
                  <c:v>22946</c:v>
                </c:pt>
                <c:pt idx="4">
                  <c:v>21492</c:v>
                </c:pt>
                <c:pt idx="5">
                  <c:v>17510</c:v>
                </c:pt>
                <c:pt idx="6">
                  <c:v>12723</c:v>
                </c:pt>
                <c:pt idx="7">
                  <c:v>8964</c:v>
                </c:pt>
                <c:pt idx="8">
                  <c:v>6014</c:v>
                </c:pt>
                <c:pt idx="9">
                  <c:v>4382</c:v>
                </c:pt>
                <c:pt idx="10">
                  <c:v>9726</c:v>
                </c:pt>
                <c:pt idx="11">
                  <c:v>3289</c:v>
                </c:pt>
                <c:pt idx="12">
                  <c:v>4108</c:v>
                </c:pt>
              </c:numCache>
            </c:numRef>
          </c:val>
          <c:extLst>
            <c:ext xmlns:c16="http://schemas.microsoft.com/office/drawing/2014/chart" uri="{C3380CC4-5D6E-409C-BE32-E72D297353CC}">
              <c16:uniqueId val="{00000005-7E64-47FA-96DC-5D18815D17AE}"/>
            </c:ext>
          </c:extLst>
        </c:ser>
        <c:ser>
          <c:idx val="9"/>
          <c:order val="9"/>
          <c:tx>
            <c:strRef>
              <c:f>Foglio2!$L$67</c:f>
              <c:strCache>
                <c:ptCount val="1"/>
                <c:pt idx="0">
                  <c:v>2012</c:v>
                </c:pt>
              </c:strCache>
            </c:strRef>
          </c:tx>
          <c:spPr>
            <a:solidFill>
              <a:schemeClr val="accent4">
                <a:lumMod val="60000"/>
              </a:schemeClr>
            </a:solidFill>
            <a:ln>
              <a:noFill/>
            </a:ln>
            <a:effectLst/>
          </c:spPr>
          <c:invertIfNegative val="0"/>
          <c:cat>
            <c:strRef>
              <c:f>Foglio2!$B$68:$B$80</c:f>
              <c:strCache>
                <c:ptCount val="13"/>
                <c:pt idx="0">
                  <c:v>Esenti</c:v>
                </c:pt>
                <c:pt idx="1">
                  <c:v>Fino a 20.000</c:v>
                </c:pt>
                <c:pt idx="2">
                  <c:v>20.001- 30.000</c:v>
                </c:pt>
                <c:pt idx="3">
                  <c:v>30.001- 40.000</c:v>
                </c:pt>
                <c:pt idx="4">
                  <c:v>40.001- 50.000</c:v>
                </c:pt>
                <c:pt idx="5">
                  <c:v>50.001- 60.000</c:v>
                </c:pt>
                <c:pt idx="6">
                  <c:v>60.001- 70.000</c:v>
                </c:pt>
                <c:pt idx="7">
                  <c:v>70.001- 80.000</c:v>
                </c:pt>
                <c:pt idx="8">
                  <c:v>80.001- 90.000</c:v>
                </c:pt>
                <c:pt idx="9">
                  <c:v>90.001-100.000</c:v>
                </c:pt>
                <c:pt idx="10">
                  <c:v>100.001-150.000</c:v>
                </c:pt>
                <c:pt idx="11">
                  <c:v>150.001-200.000</c:v>
                </c:pt>
                <c:pt idx="12">
                  <c:v>Oltre 200.000</c:v>
                </c:pt>
              </c:strCache>
            </c:strRef>
          </c:cat>
          <c:val>
            <c:numRef>
              <c:f>Foglio2!$L$68:$L$80</c:f>
              <c:numCache>
                <c:formatCode>#,##0</c:formatCode>
                <c:ptCount val="13"/>
                <c:pt idx="0">
                  <c:v>48994</c:v>
                </c:pt>
                <c:pt idx="1">
                  <c:v>11986</c:v>
                </c:pt>
                <c:pt idx="2">
                  <c:v>21153</c:v>
                </c:pt>
                <c:pt idx="3">
                  <c:v>23090</c:v>
                </c:pt>
                <c:pt idx="4">
                  <c:v>21429</c:v>
                </c:pt>
                <c:pt idx="5">
                  <c:v>17597</c:v>
                </c:pt>
                <c:pt idx="6">
                  <c:v>12823</c:v>
                </c:pt>
                <c:pt idx="7">
                  <c:v>8938</c:v>
                </c:pt>
                <c:pt idx="8">
                  <c:v>5973</c:v>
                </c:pt>
                <c:pt idx="9">
                  <c:v>4495</c:v>
                </c:pt>
                <c:pt idx="10">
                  <c:v>9912</c:v>
                </c:pt>
                <c:pt idx="11">
                  <c:v>3284</c:v>
                </c:pt>
                <c:pt idx="12">
                  <c:v>4185</c:v>
                </c:pt>
              </c:numCache>
            </c:numRef>
          </c:val>
          <c:extLst>
            <c:ext xmlns:c16="http://schemas.microsoft.com/office/drawing/2014/chart" uri="{C3380CC4-5D6E-409C-BE32-E72D297353CC}">
              <c16:uniqueId val="{00000006-7E64-47FA-96DC-5D18815D17AE}"/>
            </c:ext>
          </c:extLst>
        </c:ser>
        <c:ser>
          <c:idx val="10"/>
          <c:order val="10"/>
          <c:tx>
            <c:strRef>
              <c:f>Foglio2!$M$67</c:f>
              <c:strCache>
                <c:ptCount val="1"/>
                <c:pt idx="0">
                  <c:v>2013</c:v>
                </c:pt>
              </c:strCache>
            </c:strRef>
          </c:tx>
          <c:spPr>
            <a:solidFill>
              <a:schemeClr val="accent5">
                <a:lumMod val="60000"/>
              </a:schemeClr>
            </a:solidFill>
            <a:ln>
              <a:noFill/>
            </a:ln>
            <a:effectLst/>
          </c:spPr>
          <c:invertIfNegative val="0"/>
          <c:cat>
            <c:strRef>
              <c:f>Foglio2!$B$68:$B$80</c:f>
              <c:strCache>
                <c:ptCount val="13"/>
                <c:pt idx="0">
                  <c:v>Esenti</c:v>
                </c:pt>
                <c:pt idx="1">
                  <c:v>Fino a 20.000</c:v>
                </c:pt>
                <c:pt idx="2">
                  <c:v>20.001- 30.000</c:v>
                </c:pt>
                <c:pt idx="3">
                  <c:v>30.001- 40.000</c:v>
                </c:pt>
                <c:pt idx="4">
                  <c:v>40.001- 50.000</c:v>
                </c:pt>
                <c:pt idx="5">
                  <c:v>50.001- 60.000</c:v>
                </c:pt>
                <c:pt idx="6">
                  <c:v>60.001- 70.000</c:v>
                </c:pt>
                <c:pt idx="7">
                  <c:v>70.001- 80.000</c:v>
                </c:pt>
                <c:pt idx="8">
                  <c:v>80.001- 90.000</c:v>
                </c:pt>
                <c:pt idx="9">
                  <c:v>90.001-100.000</c:v>
                </c:pt>
                <c:pt idx="10">
                  <c:v>100.001-150.000</c:v>
                </c:pt>
                <c:pt idx="11">
                  <c:v>150.001-200.000</c:v>
                </c:pt>
                <c:pt idx="12">
                  <c:v>Oltre 200.000</c:v>
                </c:pt>
              </c:strCache>
            </c:strRef>
          </c:cat>
          <c:val>
            <c:numRef>
              <c:f>Foglio2!$M$68:$M$80</c:f>
              <c:numCache>
                <c:formatCode>#,##0</c:formatCode>
                <c:ptCount val="13"/>
                <c:pt idx="0">
                  <c:v>49908</c:v>
                </c:pt>
                <c:pt idx="1">
                  <c:v>11817</c:v>
                </c:pt>
                <c:pt idx="2">
                  <c:v>21130</c:v>
                </c:pt>
                <c:pt idx="3">
                  <c:v>23011</c:v>
                </c:pt>
                <c:pt idx="4">
                  <c:v>21798</c:v>
                </c:pt>
                <c:pt idx="5">
                  <c:v>17652</c:v>
                </c:pt>
                <c:pt idx="6">
                  <c:v>13034</c:v>
                </c:pt>
                <c:pt idx="7">
                  <c:v>9054</c:v>
                </c:pt>
                <c:pt idx="8">
                  <c:v>6207</c:v>
                </c:pt>
                <c:pt idx="9">
                  <c:v>4464</c:v>
                </c:pt>
                <c:pt idx="10">
                  <c:v>10068</c:v>
                </c:pt>
                <c:pt idx="11">
                  <c:v>3153</c:v>
                </c:pt>
                <c:pt idx="12">
                  <c:v>4595</c:v>
                </c:pt>
              </c:numCache>
            </c:numRef>
          </c:val>
          <c:extLst>
            <c:ext xmlns:c16="http://schemas.microsoft.com/office/drawing/2014/chart" uri="{C3380CC4-5D6E-409C-BE32-E72D297353CC}">
              <c16:uniqueId val="{00000007-7E64-47FA-96DC-5D18815D17AE}"/>
            </c:ext>
          </c:extLst>
        </c:ser>
        <c:ser>
          <c:idx val="11"/>
          <c:order val="11"/>
          <c:tx>
            <c:strRef>
              <c:f>Foglio2!$N$67</c:f>
              <c:strCache>
                <c:ptCount val="1"/>
                <c:pt idx="0">
                  <c:v>2014</c:v>
                </c:pt>
              </c:strCache>
            </c:strRef>
          </c:tx>
          <c:spPr>
            <a:solidFill>
              <a:schemeClr val="accent6">
                <a:lumMod val="60000"/>
              </a:schemeClr>
            </a:solidFill>
            <a:ln>
              <a:noFill/>
            </a:ln>
            <a:effectLst/>
          </c:spPr>
          <c:invertIfNegative val="0"/>
          <c:cat>
            <c:strRef>
              <c:f>Foglio2!$B$68:$B$80</c:f>
              <c:strCache>
                <c:ptCount val="13"/>
                <c:pt idx="0">
                  <c:v>Esenti</c:v>
                </c:pt>
                <c:pt idx="1">
                  <c:v>Fino a 20.000</c:v>
                </c:pt>
                <c:pt idx="2">
                  <c:v>20.001- 30.000</c:v>
                </c:pt>
                <c:pt idx="3">
                  <c:v>30.001- 40.000</c:v>
                </c:pt>
                <c:pt idx="4">
                  <c:v>40.001- 50.000</c:v>
                </c:pt>
                <c:pt idx="5">
                  <c:v>50.001- 60.000</c:v>
                </c:pt>
                <c:pt idx="6">
                  <c:v>60.001- 70.000</c:v>
                </c:pt>
                <c:pt idx="7">
                  <c:v>70.001- 80.000</c:v>
                </c:pt>
                <c:pt idx="8">
                  <c:v>80.001- 90.000</c:v>
                </c:pt>
                <c:pt idx="9">
                  <c:v>90.001-100.000</c:v>
                </c:pt>
                <c:pt idx="10">
                  <c:v>100.001-150.000</c:v>
                </c:pt>
                <c:pt idx="11">
                  <c:v>150.001-200.000</c:v>
                </c:pt>
                <c:pt idx="12">
                  <c:v>Oltre 200.000</c:v>
                </c:pt>
              </c:strCache>
            </c:strRef>
          </c:cat>
          <c:val>
            <c:numRef>
              <c:f>Foglio2!$N$68:$N$80</c:f>
              <c:numCache>
                <c:formatCode>#,##0</c:formatCode>
                <c:ptCount val="13"/>
                <c:pt idx="0">
                  <c:v>50647</c:v>
                </c:pt>
                <c:pt idx="1">
                  <c:v>12130</c:v>
                </c:pt>
                <c:pt idx="2">
                  <c:v>21134</c:v>
                </c:pt>
                <c:pt idx="3">
                  <c:v>23030</c:v>
                </c:pt>
                <c:pt idx="4">
                  <c:v>21786</c:v>
                </c:pt>
                <c:pt idx="5">
                  <c:v>17857</c:v>
                </c:pt>
                <c:pt idx="6">
                  <c:v>13177</c:v>
                </c:pt>
                <c:pt idx="7">
                  <c:v>9231</c:v>
                </c:pt>
                <c:pt idx="8">
                  <c:v>6421</c:v>
                </c:pt>
                <c:pt idx="9">
                  <c:v>4586</c:v>
                </c:pt>
                <c:pt idx="10">
                  <c:v>10529</c:v>
                </c:pt>
                <c:pt idx="11">
                  <c:v>3207</c:v>
                </c:pt>
                <c:pt idx="12">
                  <c:v>4800</c:v>
                </c:pt>
              </c:numCache>
            </c:numRef>
          </c:val>
          <c:extLst>
            <c:ext xmlns:c16="http://schemas.microsoft.com/office/drawing/2014/chart" uri="{C3380CC4-5D6E-409C-BE32-E72D297353CC}">
              <c16:uniqueId val="{00000008-7E64-47FA-96DC-5D18815D17AE}"/>
            </c:ext>
          </c:extLst>
        </c:ser>
        <c:ser>
          <c:idx val="12"/>
          <c:order val="12"/>
          <c:tx>
            <c:strRef>
              <c:f>Foglio2!$O$67</c:f>
              <c:strCache>
                <c:ptCount val="1"/>
                <c:pt idx="0">
                  <c:v>2015</c:v>
                </c:pt>
              </c:strCache>
            </c:strRef>
          </c:tx>
          <c:spPr>
            <a:solidFill>
              <a:schemeClr val="accent1">
                <a:lumMod val="80000"/>
                <a:lumOff val="20000"/>
              </a:schemeClr>
            </a:solidFill>
            <a:ln>
              <a:noFill/>
            </a:ln>
            <a:effectLst/>
          </c:spPr>
          <c:invertIfNegative val="0"/>
          <c:cat>
            <c:strRef>
              <c:f>Foglio2!$B$68:$B$80</c:f>
              <c:strCache>
                <c:ptCount val="13"/>
                <c:pt idx="0">
                  <c:v>Esenti</c:v>
                </c:pt>
                <c:pt idx="1">
                  <c:v>Fino a 20.000</c:v>
                </c:pt>
                <c:pt idx="2">
                  <c:v>20.001- 30.000</c:v>
                </c:pt>
                <c:pt idx="3">
                  <c:v>30.001- 40.000</c:v>
                </c:pt>
                <c:pt idx="4">
                  <c:v>40.001- 50.000</c:v>
                </c:pt>
                <c:pt idx="5">
                  <c:v>50.001- 60.000</c:v>
                </c:pt>
                <c:pt idx="6">
                  <c:v>60.001- 70.000</c:v>
                </c:pt>
                <c:pt idx="7">
                  <c:v>70.001- 80.000</c:v>
                </c:pt>
                <c:pt idx="8">
                  <c:v>80.001- 90.000</c:v>
                </c:pt>
                <c:pt idx="9">
                  <c:v>90.001-100.000</c:v>
                </c:pt>
                <c:pt idx="10">
                  <c:v>100.001-150.000</c:v>
                </c:pt>
                <c:pt idx="11">
                  <c:v>150.001-200.000</c:v>
                </c:pt>
                <c:pt idx="12">
                  <c:v>Oltre 200.000</c:v>
                </c:pt>
              </c:strCache>
            </c:strRef>
          </c:cat>
          <c:val>
            <c:numRef>
              <c:f>Foglio2!$O$68:$O$80</c:f>
              <c:numCache>
                <c:formatCode>#,##0</c:formatCode>
                <c:ptCount val="13"/>
                <c:pt idx="0">
                  <c:v>52103</c:v>
                </c:pt>
                <c:pt idx="1">
                  <c:v>12166</c:v>
                </c:pt>
                <c:pt idx="2">
                  <c:v>21205</c:v>
                </c:pt>
                <c:pt idx="3">
                  <c:v>23162</c:v>
                </c:pt>
                <c:pt idx="4">
                  <c:v>21645</c:v>
                </c:pt>
                <c:pt idx="5">
                  <c:v>18045</c:v>
                </c:pt>
                <c:pt idx="6">
                  <c:v>13014</c:v>
                </c:pt>
                <c:pt idx="7">
                  <c:v>9292</c:v>
                </c:pt>
                <c:pt idx="8">
                  <c:v>6605</c:v>
                </c:pt>
                <c:pt idx="9">
                  <c:v>4714</c:v>
                </c:pt>
                <c:pt idx="10">
                  <c:v>10917</c:v>
                </c:pt>
                <c:pt idx="11">
                  <c:v>3299</c:v>
                </c:pt>
                <c:pt idx="12">
                  <c:v>5011</c:v>
                </c:pt>
              </c:numCache>
            </c:numRef>
          </c:val>
          <c:extLst>
            <c:ext xmlns:c16="http://schemas.microsoft.com/office/drawing/2014/chart" uri="{C3380CC4-5D6E-409C-BE32-E72D297353CC}">
              <c16:uniqueId val="{00000009-7E64-47FA-96DC-5D18815D17AE}"/>
            </c:ext>
          </c:extLst>
        </c:ser>
        <c:ser>
          <c:idx val="13"/>
          <c:order val="13"/>
          <c:tx>
            <c:strRef>
              <c:f>Foglio2!$P$67</c:f>
              <c:strCache>
                <c:ptCount val="1"/>
                <c:pt idx="0">
                  <c:v>2016</c:v>
                </c:pt>
              </c:strCache>
            </c:strRef>
          </c:tx>
          <c:spPr>
            <a:solidFill>
              <a:schemeClr val="accent2">
                <a:lumMod val="80000"/>
                <a:lumOff val="20000"/>
              </a:schemeClr>
            </a:solidFill>
            <a:ln>
              <a:noFill/>
            </a:ln>
            <a:effectLst/>
          </c:spPr>
          <c:invertIfNegative val="0"/>
          <c:cat>
            <c:strRef>
              <c:f>Foglio2!$B$68:$B$80</c:f>
              <c:strCache>
                <c:ptCount val="13"/>
                <c:pt idx="0">
                  <c:v>Esenti</c:v>
                </c:pt>
                <c:pt idx="1">
                  <c:v>Fino a 20.000</c:v>
                </c:pt>
                <c:pt idx="2">
                  <c:v>20.001- 30.000</c:v>
                </c:pt>
                <c:pt idx="3">
                  <c:v>30.001- 40.000</c:v>
                </c:pt>
                <c:pt idx="4">
                  <c:v>40.001- 50.000</c:v>
                </c:pt>
                <c:pt idx="5">
                  <c:v>50.001- 60.000</c:v>
                </c:pt>
                <c:pt idx="6">
                  <c:v>60.001- 70.000</c:v>
                </c:pt>
                <c:pt idx="7">
                  <c:v>70.001- 80.000</c:v>
                </c:pt>
                <c:pt idx="8">
                  <c:v>80.001- 90.000</c:v>
                </c:pt>
                <c:pt idx="9">
                  <c:v>90.001-100.000</c:v>
                </c:pt>
                <c:pt idx="10">
                  <c:v>100.001-150.000</c:v>
                </c:pt>
                <c:pt idx="11">
                  <c:v>150.001-200.000</c:v>
                </c:pt>
                <c:pt idx="12">
                  <c:v>Oltre 200.000</c:v>
                </c:pt>
              </c:strCache>
            </c:strRef>
          </c:cat>
          <c:val>
            <c:numRef>
              <c:f>Foglio2!$P$68:$P$80</c:f>
              <c:numCache>
                <c:formatCode>#,##0</c:formatCode>
                <c:ptCount val="13"/>
                <c:pt idx="0">
                  <c:v>53834</c:v>
                </c:pt>
                <c:pt idx="1">
                  <c:v>12113</c:v>
                </c:pt>
                <c:pt idx="2">
                  <c:v>20999</c:v>
                </c:pt>
                <c:pt idx="3">
                  <c:v>23120</c:v>
                </c:pt>
                <c:pt idx="4">
                  <c:v>21617</c:v>
                </c:pt>
                <c:pt idx="5">
                  <c:v>17880</c:v>
                </c:pt>
                <c:pt idx="6">
                  <c:v>13230</c:v>
                </c:pt>
                <c:pt idx="7">
                  <c:v>9315</c:v>
                </c:pt>
                <c:pt idx="8">
                  <c:v>6564</c:v>
                </c:pt>
                <c:pt idx="9">
                  <c:v>4805</c:v>
                </c:pt>
                <c:pt idx="10">
                  <c:v>11120</c:v>
                </c:pt>
                <c:pt idx="11">
                  <c:v>3435</c:v>
                </c:pt>
                <c:pt idx="12">
                  <c:v>5136</c:v>
                </c:pt>
              </c:numCache>
            </c:numRef>
          </c:val>
          <c:extLst>
            <c:ext xmlns:c16="http://schemas.microsoft.com/office/drawing/2014/chart" uri="{C3380CC4-5D6E-409C-BE32-E72D297353CC}">
              <c16:uniqueId val="{0000000A-7E64-47FA-96DC-5D18815D17AE}"/>
            </c:ext>
          </c:extLst>
        </c:ser>
        <c:ser>
          <c:idx val="14"/>
          <c:order val="14"/>
          <c:tx>
            <c:strRef>
              <c:f>Foglio2!$Q$67</c:f>
              <c:strCache>
                <c:ptCount val="1"/>
                <c:pt idx="0">
                  <c:v>2017</c:v>
                </c:pt>
              </c:strCache>
            </c:strRef>
          </c:tx>
          <c:spPr>
            <a:solidFill>
              <a:schemeClr val="accent3">
                <a:lumMod val="80000"/>
                <a:lumOff val="20000"/>
              </a:schemeClr>
            </a:solidFill>
            <a:ln>
              <a:noFill/>
            </a:ln>
            <a:effectLst/>
          </c:spPr>
          <c:invertIfNegative val="0"/>
          <c:cat>
            <c:strRef>
              <c:f>Foglio2!$B$68:$B$80</c:f>
              <c:strCache>
                <c:ptCount val="13"/>
                <c:pt idx="0">
                  <c:v>Esenti</c:v>
                </c:pt>
                <c:pt idx="1">
                  <c:v>Fino a 20.000</c:v>
                </c:pt>
                <c:pt idx="2">
                  <c:v>20.001- 30.000</c:v>
                </c:pt>
                <c:pt idx="3">
                  <c:v>30.001- 40.000</c:v>
                </c:pt>
                <c:pt idx="4">
                  <c:v>40.001- 50.000</c:v>
                </c:pt>
                <c:pt idx="5">
                  <c:v>50.001- 60.000</c:v>
                </c:pt>
                <c:pt idx="6">
                  <c:v>60.001- 70.000</c:v>
                </c:pt>
                <c:pt idx="7">
                  <c:v>70.001- 80.000</c:v>
                </c:pt>
                <c:pt idx="8">
                  <c:v>80.001- 90.000</c:v>
                </c:pt>
                <c:pt idx="9">
                  <c:v>90.001-100.000</c:v>
                </c:pt>
                <c:pt idx="10">
                  <c:v>100.001-150.000</c:v>
                </c:pt>
                <c:pt idx="11">
                  <c:v>150.001-200.000</c:v>
                </c:pt>
                <c:pt idx="12">
                  <c:v>Oltre 200.000</c:v>
                </c:pt>
              </c:strCache>
            </c:strRef>
          </c:cat>
          <c:val>
            <c:numRef>
              <c:f>Foglio2!$Q$68:$Q$80</c:f>
              <c:numCache>
                <c:formatCode>#,##0</c:formatCode>
                <c:ptCount val="13"/>
                <c:pt idx="0">
                  <c:v>54492</c:v>
                </c:pt>
                <c:pt idx="1">
                  <c:v>12286</c:v>
                </c:pt>
                <c:pt idx="2">
                  <c:v>20469</c:v>
                </c:pt>
                <c:pt idx="3">
                  <c:v>22958</c:v>
                </c:pt>
                <c:pt idx="4">
                  <c:v>21750</c:v>
                </c:pt>
                <c:pt idx="5">
                  <c:v>18206</c:v>
                </c:pt>
                <c:pt idx="6">
                  <c:v>13079</c:v>
                </c:pt>
                <c:pt idx="7">
                  <c:v>9510</c:v>
                </c:pt>
                <c:pt idx="8">
                  <c:v>6668</c:v>
                </c:pt>
                <c:pt idx="9">
                  <c:v>4930</c:v>
                </c:pt>
                <c:pt idx="10">
                  <c:v>11408</c:v>
                </c:pt>
                <c:pt idx="11">
                  <c:v>3653</c:v>
                </c:pt>
                <c:pt idx="12">
                  <c:v>5289</c:v>
                </c:pt>
              </c:numCache>
            </c:numRef>
          </c:val>
          <c:extLst>
            <c:ext xmlns:c16="http://schemas.microsoft.com/office/drawing/2014/chart" uri="{C3380CC4-5D6E-409C-BE32-E72D297353CC}">
              <c16:uniqueId val="{0000000B-7E64-47FA-96DC-5D18815D17AE}"/>
            </c:ext>
          </c:extLst>
        </c:ser>
        <c:dLbls>
          <c:showLegendKey val="0"/>
          <c:showVal val="0"/>
          <c:showCatName val="0"/>
          <c:showSerName val="0"/>
          <c:showPercent val="0"/>
          <c:showBubbleSize val="0"/>
        </c:dLbls>
        <c:gapWidth val="219"/>
        <c:overlap val="-27"/>
        <c:axId val="494817872"/>
        <c:axId val="494813280"/>
        <c:extLst>
          <c:ext xmlns:c15="http://schemas.microsoft.com/office/drawing/2012/chart" uri="{02D57815-91ED-43cb-92C2-25804820EDAC}">
            <c15:filteredBarSeries>
              <c15:ser>
                <c:idx val="0"/>
                <c:order val="0"/>
                <c:tx>
                  <c:strRef>
                    <c:extLst>
                      <c:ext uri="{02D57815-91ED-43cb-92C2-25804820EDAC}">
                        <c15:formulaRef>
                          <c15:sqref>Foglio2!$C$67</c15:sqref>
                        </c15:formulaRef>
                      </c:ext>
                    </c:extLst>
                    <c:strCache>
                      <c:ptCount val="1"/>
                      <c:pt idx="0">
                        <c:v>2003</c:v>
                      </c:pt>
                    </c:strCache>
                  </c:strRef>
                </c:tx>
                <c:spPr>
                  <a:solidFill>
                    <a:schemeClr val="accent1"/>
                  </a:solidFill>
                  <a:ln>
                    <a:noFill/>
                  </a:ln>
                  <a:effectLst/>
                </c:spPr>
                <c:invertIfNegative val="0"/>
                <c:cat>
                  <c:strRef>
                    <c:extLst>
                      <c:ext uri="{02D57815-91ED-43cb-92C2-25804820EDAC}">
                        <c15:formulaRef>
                          <c15:sqref>Foglio2!$B$68:$B$80</c15:sqref>
                        </c15:formulaRef>
                      </c:ext>
                    </c:extLst>
                    <c:strCache>
                      <c:ptCount val="13"/>
                      <c:pt idx="0">
                        <c:v>Esenti</c:v>
                      </c:pt>
                      <c:pt idx="1">
                        <c:v>Fino a 20.000</c:v>
                      </c:pt>
                      <c:pt idx="2">
                        <c:v>20.001- 30.000</c:v>
                      </c:pt>
                      <c:pt idx="3">
                        <c:v>30.001- 40.000</c:v>
                      </c:pt>
                      <c:pt idx="4">
                        <c:v>40.001- 50.000</c:v>
                      </c:pt>
                      <c:pt idx="5">
                        <c:v>50.001- 60.000</c:v>
                      </c:pt>
                      <c:pt idx="6">
                        <c:v>60.001- 70.000</c:v>
                      </c:pt>
                      <c:pt idx="7">
                        <c:v>70.001- 80.000</c:v>
                      </c:pt>
                      <c:pt idx="8">
                        <c:v>80.001- 90.000</c:v>
                      </c:pt>
                      <c:pt idx="9">
                        <c:v>90.001-100.000</c:v>
                      </c:pt>
                      <c:pt idx="10">
                        <c:v>100.001-150.000</c:v>
                      </c:pt>
                      <c:pt idx="11">
                        <c:v>150.001-200.000</c:v>
                      </c:pt>
                      <c:pt idx="12">
                        <c:v>Oltre 200.000</c:v>
                      </c:pt>
                    </c:strCache>
                  </c:strRef>
                </c:cat>
                <c:val>
                  <c:numRef>
                    <c:extLst>
                      <c:ext uri="{02D57815-91ED-43cb-92C2-25804820EDAC}">
                        <c15:formulaRef>
                          <c15:sqref>Foglio2!$C$68:$C$80</c15:sqref>
                        </c15:formulaRef>
                      </c:ext>
                    </c:extLst>
                    <c:numCache>
                      <c:formatCode>#,##0</c:formatCode>
                      <c:ptCount val="13"/>
                      <c:pt idx="0">
                        <c:v>39753</c:v>
                      </c:pt>
                      <c:pt idx="1">
                        <c:v>14550</c:v>
                      </c:pt>
                      <c:pt idx="2">
                        <c:v>23797</c:v>
                      </c:pt>
                      <c:pt idx="3">
                        <c:v>24907</c:v>
                      </c:pt>
                      <c:pt idx="4">
                        <c:v>21625</c:v>
                      </c:pt>
                      <c:pt idx="5">
                        <c:v>16441</c:v>
                      </c:pt>
                      <c:pt idx="6">
                        <c:v>11459</c:v>
                      </c:pt>
                      <c:pt idx="7">
                        <c:v>7521</c:v>
                      </c:pt>
                      <c:pt idx="8">
                        <c:v>4959</c:v>
                      </c:pt>
                      <c:pt idx="9">
                        <c:v>3368</c:v>
                      </c:pt>
                      <c:pt idx="10">
                        <c:v>7499</c:v>
                      </c:pt>
                      <c:pt idx="11">
                        <c:v>2429</c:v>
                      </c:pt>
                      <c:pt idx="12">
                        <c:v>3031</c:v>
                      </c:pt>
                    </c:numCache>
                  </c:numRef>
                </c:val>
                <c:extLst>
                  <c:ext xmlns:c16="http://schemas.microsoft.com/office/drawing/2014/chart" uri="{C3380CC4-5D6E-409C-BE32-E72D297353CC}">
                    <c16:uniqueId val="{0000000C-7E64-47FA-96DC-5D18815D17AE}"/>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Foglio2!$D$67</c15:sqref>
                        </c15:formulaRef>
                      </c:ext>
                    </c:extLst>
                    <c:strCache>
                      <c:ptCount val="1"/>
                      <c:pt idx="0">
                        <c:v>2004</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Foglio2!$B$68:$B$80</c15:sqref>
                        </c15:formulaRef>
                      </c:ext>
                    </c:extLst>
                    <c:strCache>
                      <c:ptCount val="13"/>
                      <c:pt idx="0">
                        <c:v>Esenti</c:v>
                      </c:pt>
                      <c:pt idx="1">
                        <c:v>Fino a 20.000</c:v>
                      </c:pt>
                      <c:pt idx="2">
                        <c:v>20.001- 30.000</c:v>
                      </c:pt>
                      <c:pt idx="3">
                        <c:v>30.001- 40.000</c:v>
                      </c:pt>
                      <c:pt idx="4">
                        <c:v>40.001- 50.000</c:v>
                      </c:pt>
                      <c:pt idx="5">
                        <c:v>50.001- 60.000</c:v>
                      </c:pt>
                      <c:pt idx="6">
                        <c:v>60.001- 70.000</c:v>
                      </c:pt>
                      <c:pt idx="7">
                        <c:v>70.001- 80.000</c:v>
                      </c:pt>
                      <c:pt idx="8">
                        <c:v>80.001- 90.000</c:v>
                      </c:pt>
                      <c:pt idx="9">
                        <c:v>90.001-100.000</c:v>
                      </c:pt>
                      <c:pt idx="10">
                        <c:v>100.001-150.000</c:v>
                      </c:pt>
                      <c:pt idx="11">
                        <c:v>150.001-200.000</c:v>
                      </c:pt>
                      <c:pt idx="12">
                        <c:v>Oltre 200.000</c:v>
                      </c:pt>
                    </c:strCache>
                  </c:strRef>
                </c:cat>
                <c:val>
                  <c:numRef>
                    <c:extLst xmlns:c15="http://schemas.microsoft.com/office/drawing/2012/chart">
                      <c:ext xmlns:c15="http://schemas.microsoft.com/office/drawing/2012/chart" uri="{02D57815-91ED-43cb-92C2-25804820EDAC}">
                        <c15:formulaRef>
                          <c15:sqref>Foglio2!$D$68:$D$80</c15:sqref>
                        </c15:formulaRef>
                      </c:ext>
                    </c:extLst>
                    <c:numCache>
                      <c:formatCode>#,##0</c:formatCode>
                      <c:ptCount val="13"/>
                      <c:pt idx="0">
                        <c:v>39380</c:v>
                      </c:pt>
                      <c:pt idx="1">
                        <c:v>14905</c:v>
                      </c:pt>
                      <c:pt idx="2">
                        <c:v>23461</c:v>
                      </c:pt>
                      <c:pt idx="3">
                        <c:v>24651</c:v>
                      </c:pt>
                      <c:pt idx="4">
                        <c:v>21412</c:v>
                      </c:pt>
                      <c:pt idx="5">
                        <c:v>16362</c:v>
                      </c:pt>
                      <c:pt idx="6">
                        <c:v>11362</c:v>
                      </c:pt>
                      <c:pt idx="7">
                        <c:v>7603</c:v>
                      </c:pt>
                      <c:pt idx="8">
                        <c:v>5002</c:v>
                      </c:pt>
                      <c:pt idx="9">
                        <c:v>3441</c:v>
                      </c:pt>
                      <c:pt idx="10">
                        <c:v>7304</c:v>
                      </c:pt>
                      <c:pt idx="11">
                        <c:v>2549</c:v>
                      </c:pt>
                      <c:pt idx="12">
                        <c:v>3075</c:v>
                      </c:pt>
                    </c:numCache>
                  </c:numRef>
                </c:val>
                <c:extLst xmlns:c15="http://schemas.microsoft.com/office/drawing/2012/chart">
                  <c:ext xmlns:c16="http://schemas.microsoft.com/office/drawing/2014/chart" uri="{C3380CC4-5D6E-409C-BE32-E72D297353CC}">
                    <c16:uniqueId val="{0000000D-7E64-47FA-96DC-5D18815D17AE}"/>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Foglio2!$E$67</c15:sqref>
                        </c15:formulaRef>
                      </c:ext>
                    </c:extLst>
                    <c:strCache>
                      <c:ptCount val="1"/>
                      <c:pt idx="0">
                        <c:v>2005</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Foglio2!$B$68:$B$80</c15:sqref>
                        </c15:formulaRef>
                      </c:ext>
                    </c:extLst>
                    <c:strCache>
                      <c:ptCount val="13"/>
                      <c:pt idx="0">
                        <c:v>Esenti</c:v>
                      </c:pt>
                      <c:pt idx="1">
                        <c:v>Fino a 20.000</c:v>
                      </c:pt>
                      <c:pt idx="2">
                        <c:v>20.001- 30.000</c:v>
                      </c:pt>
                      <c:pt idx="3">
                        <c:v>30.001- 40.000</c:v>
                      </c:pt>
                      <c:pt idx="4">
                        <c:v>40.001- 50.000</c:v>
                      </c:pt>
                      <c:pt idx="5">
                        <c:v>50.001- 60.000</c:v>
                      </c:pt>
                      <c:pt idx="6">
                        <c:v>60.001- 70.000</c:v>
                      </c:pt>
                      <c:pt idx="7">
                        <c:v>70.001- 80.000</c:v>
                      </c:pt>
                      <c:pt idx="8">
                        <c:v>80.001- 90.000</c:v>
                      </c:pt>
                      <c:pt idx="9">
                        <c:v>90.001-100.000</c:v>
                      </c:pt>
                      <c:pt idx="10">
                        <c:v>100.001-150.000</c:v>
                      </c:pt>
                      <c:pt idx="11">
                        <c:v>150.001-200.000</c:v>
                      </c:pt>
                      <c:pt idx="12">
                        <c:v>Oltre 200.000</c:v>
                      </c:pt>
                    </c:strCache>
                  </c:strRef>
                </c:cat>
                <c:val>
                  <c:numRef>
                    <c:extLst xmlns:c15="http://schemas.microsoft.com/office/drawing/2012/chart">
                      <c:ext xmlns:c15="http://schemas.microsoft.com/office/drawing/2012/chart" uri="{02D57815-91ED-43cb-92C2-25804820EDAC}">
                        <c15:formulaRef>
                          <c15:sqref>Foglio2!$E$68:$E$80</c15:sqref>
                        </c15:formulaRef>
                      </c:ext>
                    </c:extLst>
                    <c:numCache>
                      <c:formatCode>#,##0</c:formatCode>
                      <c:ptCount val="13"/>
                      <c:pt idx="0">
                        <c:v>41470</c:v>
                      </c:pt>
                      <c:pt idx="1">
                        <c:v>14440</c:v>
                      </c:pt>
                      <c:pt idx="2">
                        <c:v>22980</c:v>
                      </c:pt>
                      <c:pt idx="3">
                        <c:v>24204</c:v>
                      </c:pt>
                      <c:pt idx="4">
                        <c:v>21317</c:v>
                      </c:pt>
                      <c:pt idx="5">
                        <c:v>16134</c:v>
                      </c:pt>
                      <c:pt idx="6">
                        <c:v>11498</c:v>
                      </c:pt>
                      <c:pt idx="7">
                        <c:v>7733</c:v>
                      </c:pt>
                      <c:pt idx="8">
                        <c:v>5020</c:v>
                      </c:pt>
                      <c:pt idx="9">
                        <c:v>3526</c:v>
                      </c:pt>
                      <c:pt idx="10">
                        <c:v>7684</c:v>
                      </c:pt>
                      <c:pt idx="11">
                        <c:v>2593</c:v>
                      </c:pt>
                      <c:pt idx="12">
                        <c:v>3248</c:v>
                      </c:pt>
                    </c:numCache>
                  </c:numRef>
                </c:val>
                <c:extLst xmlns:c15="http://schemas.microsoft.com/office/drawing/2012/chart">
                  <c:ext xmlns:c16="http://schemas.microsoft.com/office/drawing/2014/chart" uri="{C3380CC4-5D6E-409C-BE32-E72D297353CC}">
                    <c16:uniqueId val="{0000000E-7E64-47FA-96DC-5D18815D17AE}"/>
                  </c:ext>
                </c:extLst>
              </c15:ser>
            </c15:filteredBarSeries>
          </c:ext>
        </c:extLst>
      </c:barChart>
      <c:catAx>
        <c:axId val="49481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crossAx val="494813280"/>
        <c:crosses val="autoZero"/>
        <c:auto val="1"/>
        <c:lblAlgn val="ctr"/>
        <c:lblOffset val="100"/>
        <c:noMultiLvlLbl val="0"/>
      </c:catAx>
      <c:valAx>
        <c:axId val="494813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crossAx val="4948178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CH"/>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fr-CH" b="0">
                <a:solidFill>
                  <a:sysClr val="windowText" lastClr="000000"/>
                </a:solidFill>
              </a:rPr>
              <a:t>Occupati</a:t>
            </a:r>
            <a:r>
              <a:rPr lang="fr-CH" b="0" baseline="0">
                <a:solidFill>
                  <a:sysClr val="windowText" lastClr="000000"/>
                </a:solidFill>
              </a:rPr>
              <a:t> secondo tipo di permesso</a:t>
            </a:r>
          </a:p>
          <a:p>
            <a:pPr>
              <a:defRPr/>
            </a:pPr>
            <a:r>
              <a:rPr lang="fr-CH" sz="1000" b="0" baseline="0">
                <a:solidFill>
                  <a:sysClr val="windowText" lastClr="000000"/>
                </a:solidFill>
              </a:rPr>
              <a:t>Valori assoluti per tipo di permesso (in migliaia)</a:t>
            </a:r>
            <a:endParaRPr lang="fr-CH" sz="1000" b="0">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it-CH"/>
        </a:p>
      </c:txPr>
    </c:title>
    <c:autoTitleDeleted val="0"/>
    <c:plotArea>
      <c:layout/>
      <c:lineChart>
        <c:grouping val="standard"/>
        <c:varyColors val="0"/>
        <c:ser>
          <c:idx val="1"/>
          <c:order val="1"/>
          <c:tx>
            <c:strRef>
              <c:f>'Serie dal 2002'!$C$9</c:f>
              <c:strCache>
                <c:ptCount val="1"/>
                <c:pt idx="0">
                  <c:v>Svizzeri</c:v>
                </c:pt>
              </c:strCache>
            </c:strRef>
          </c:tx>
          <c:spPr>
            <a:ln w="31750" cap="rnd">
              <a:solidFill>
                <a:schemeClr val="accent2"/>
              </a:solidFill>
              <a:round/>
            </a:ln>
            <a:effectLst>
              <a:outerShdw blurRad="40000" dist="23000" dir="5400000" rotWithShape="0">
                <a:srgbClr val="000000">
                  <a:alpha val="35000"/>
                </a:srgbClr>
              </a:outerShdw>
            </a:effectLst>
          </c:spPr>
          <c:marker>
            <c:symbol val="circle"/>
            <c:size val="6"/>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2"/>
                    </a:solidFill>
                    <a:latin typeface="+mn-lt"/>
                    <a:ea typeface="+mn-ea"/>
                    <a:cs typeface="+mn-cs"/>
                  </a:defRPr>
                </a:pPr>
                <a:endParaRPr lang="it-CH"/>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'Serie dal 2002'!$A$14:$A$27</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extLst/>
            </c:numRef>
          </c:cat>
          <c:val>
            <c:numRef>
              <c:f>'Serie dal 2002'!$C$14:$C$27</c:f>
              <c:numCache>
                <c:formatCode>#,##0.0</c:formatCode>
                <c:ptCount val="14"/>
                <c:pt idx="0">
                  <c:v>107.487581763348</c:v>
                </c:pt>
                <c:pt idx="1">
                  <c:v>107.200503373464</c:v>
                </c:pt>
                <c:pt idx="2">
                  <c:v>112.193635440089</c:v>
                </c:pt>
                <c:pt idx="3">
                  <c:v>112.048522608529</c:v>
                </c:pt>
                <c:pt idx="4">
                  <c:v>115.218692220832</c:v>
                </c:pt>
                <c:pt idx="5">
                  <c:v>118.04275433726799</c:v>
                </c:pt>
                <c:pt idx="6">
                  <c:v>115.440969726398</c:v>
                </c:pt>
                <c:pt idx="7">
                  <c:v>117.211361585669</c:v>
                </c:pt>
                <c:pt idx="8">
                  <c:v>115.906396345621</c:v>
                </c:pt>
                <c:pt idx="9">
                  <c:v>115.577951425743</c:v>
                </c:pt>
                <c:pt idx="10">
                  <c:v>115.615812286061</c:v>
                </c:pt>
                <c:pt idx="11">
                  <c:v>118.371329121694</c:v>
                </c:pt>
                <c:pt idx="12">
                  <c:v>118.708301512113</c:v>
                </c:pt>
                <c:pt idx="13">
                  <c:v>112.00680742751901</c:v>
                </c:pt>
              </c:numCache>
              <c:extLst/>
            </c:numRef>
          </c:val>
          <c:smooth val="0"/>
          <c:extLst>
            <c:ext xmlns:c16="http://schemas.microsoft.com/office/drawing/2014/chart" uri="{C3380CC4-5D6E-409C-BE32-E72D297353CC}">
              <c16:uniqueId val="{00000000-C2A3-4A12-9A4E-9CC1DE7B734E}"/>
            </c:ext>
          </c:extLst>
        </c:ser>
        <c:ser>
          <c:idx val="3"/>
          <c:order val="3"/>
          <c:tx>
            <c:strRef>
              <c:f>'Serie dal 2002'!$E$9</c:f>
              <c:strCache>
                <c:ptCount val="1"/>
                <c:pt idx="0">
                  <c:v>Stranieri domiciliati</c:v>
                </c:pt>
              </c:strCache>
            </c:strRef>
          </c:tx>
          <c:spPr>
            <a:ln w="31750" cap="rnd">
              <a:solidFill>
                <a:schemeClr val="accent4"/>
              </a:solidFill>
              <a:round/>
            </a:ln>
            <a:effectLst>
              <a:outerShdw blurRad="40000" dist="23000" dir="5400000" rotWithShape="0">
                <a:srgbClr val="000000">
                  <a:alpha val="35000"/>
                </a:srgbClr>
              </a:outerShdw>
            </a:effectLst>
          </c:spPr>
          <c:marker>
            <c:symbol val="circle"/>
            <c:size val="6"/>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s>
            <c:dLbl>
              <c:idx val="0"/>
              <c:layout/>
              <c:spPr>
                <a:noFill/>
                <a:ln>
                  <a:noFill/>
                </a:ln>
                <a:effectLst/>
              </c:spPr>
              <c:txPr>
                <a:bodyPr rot="0" spcFirstLastPara="1" vertOverflow="ellipsis" horzOverflow="clip" vert="horz" wrap="square" lIns="0" tIns="0" rIns="38100" bIns="0" anchor="ctr" anchorCtr="1">
                  <a:spAutoFit/>
                </a:bodyPr>
                <a:lstStyle/>
                <a:p>
                  <a:pPr>
                    <a:defRPr sz="700" b="0" i="0" u="none" strike="noStrike" kern="1200" baseline="0">
                      <a:solidFill>
                        <a:schemeClr val="tx2"/>
                      </a:solidFill>
                      <a:latin typeface="+mn-lt"/>
                      <a:ea typeface="+mn-ea"/>
                      <a:cs typeface="+mn-cs"/>
                    </a:defRPr>
                  </a:pPr>
                  <a:endParaRPr lang="it-CH"/>
                </a:p>
              </c:txPr>
              <c:dLblPos val="b"/>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ext>
                <c:ext xmlns:c16="http://schemas.microsoft.com/office/drawing/2014/chart" uri="{C3380CC4-5D6E-409C-BE32-E72D297353CC}">
                  <c16:uniqueId val="{00000001-C2A3-4A12-9A4E-9CC1DE7B734E}"/>
                </c:ext>
              </c:extLst>
            </c:dLbl>
            <c:dLbl>
              <c:idx val="1"/>
              <c:layout/>
              <c:spPr>
                <a:noFill/>
                <a:ln>
                  <a:noFill/>
                </a:ln>
                <a:effectLst/>
              </c:spPr>
              <c:txPr>
                <a:bodyPr rot="0" spcFirstLastPara="1" vertOverflow="ellipsis" horzOverflow="clip" vert="horz" wrap="square" lIns="0" tIns="0" rIns="38100" bIns="0" anchor="ctr" anchorCtr="1">
                  <a:spAutoFit/>
                </a:bodyPr>
                <a:lstStyle/>
                <a:p>
                  <a:pPr>
                    <a:defRPr sz="700" b="0" i="0" u="none" strike="noStrike" kern="1200" baseline="0">
                      <a:solidFill>
                        <a:schemeClr val="tx2"/>
                      </a:solidFill>
                      <a:latin typeface="+mn-lt"/>
                      <a:ea typeface="+mn-ea"/>
                      <a:cs typeface="+mn-cs"/>
                    </a:defRPr>
                  </a:pPr>
                  <a:endParaRPr lang="it-CH"/>
                </a:p>
              </c:txPr>
              <c:dLblPos val="b"/>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ext>
                <c:ext xmlns:c16="http://schemas.microsoft.com/office/drawing/2014/chart" uri="{C3380CC4-5D6E-409C-BE32-E72D297353CC}">
                  <c16:uniqueId val="{00000002-C2A3-4A12-9A4E-9CC1DE7B734E}"/>
                </c:ext>
              </c:extLst>
            </c:dLbl>
            <c:dLbl>
              <c:idx val="2"/>
              <c:layout/>
              <c:spPr>
                <a:noFill/>
                <a:ln>
                  <a:noFill/>
                </a:ln>
                <a:effectLst/>
              </c:spPr>
              <c:txPr>
                <a:bodyPr rot="0" spcFirstLastPara="1" vertOverflow="ellipsis" horzOverflow="clip" vert="horz" wrap="square" lIns="0" tIns="0" rIns="38100" bIns="0" anchor="ctr" anchorCtr="1">
                  <a:spAutoFit/>
                </a:bodyPr>
                <a:lstStyle/>
                <a:p>
                  <a:pPr>
                    <a:defRPr sz="700" b="0" i="0" u="none" strike="noStrike" kern="1200" baseline="0">
                      <a:solidFill>
                        <a:schemeClr val="tx2"/>
                      </a:solidFill>
                      <a:latin typeface="+mn-lt"/>
                      <a:ea typeface="+mn-ea"/>
                      <a:cs typeface="+mn-cs"/>
                    </a:defRPr>
                  </a:pPr>
                  <a:endParaRPr lang="it-CH"/>
                </a:p>
              </c:txPr>
              <c:dLblPos val="b"/>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ext>
                <c:ext xmlns:c16="http://schemas.microsoft.com/office/drawing/2014/chart" uri="{C3380CC4-5D6E-409C-BE32-E72D297353CC}">
                  <c16:uniqueId val="{00000003-C2A3-4A12-9A4E-9CC1DE7B734E}"/>
                </c:ext>
              </c:extLst>
            </c:dLbl>
            <c:dLbl>
              <c:idx val="3"/>
              <c:layout/>
              <c:spPr>
                <a:noFill/>
                <a:ln>
                  <a:noFill/>
                </a:ln>
                <a:effectLst/>
              </c:spPr>
              <c:txPr>
                <a:bodyPr rot="0" spcFirstLastPara="1" vertOverflow="ellipsis" horzOverflow="clip" vert="horz" wrap="square" lIns="0" tIns="0" rIns="38100" bIns="19050" anchor="ctr" anchorCtr="1">
                  <a:spAutoFit/>
                </a:bodyPr>
                <a:lstStyle/>
                <a:p>
                  <a:pPr>
                    <a:defRPr sz="700" b="0" i="0" u="none" strike="noStrike" kern="1200" baseline="0">
                      <a:solidFill>
                        <a:schemeClr val="tx2"/>
                      </a:solidFill>
                      <a:latin typeface="+mn-lt"/>
                      <a:ea typeface="+mn-ea"/>
                      <a:cs typeface="+mn-cs"/>
                    </a:defRPr>
                  </a:pPr>
                  <a:endParaRPr lang="it-CH"/>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ext>
                <c:ext xmlns:c16="http://schemas.microsoft.com/office/drawing/2014/chart" uri="{C3380CC4-5D6E-409C-BE32-E72D297353CC}">
                  <c16:uniqueId val="{00000004-C2A3-4A12-9A4E-9CC1DE7B734E}"/>
                </c:ext>
              </c:extLst>
            </c:dLbl>
            <c:dLbl>
              <c:idx val="4"/>
              <c:layout/>
              <c:spPr>
                <a:noFill/>
                <a:ln>
                  <a:noFill/>
                </a:ln>
                <a:effectLst/>
              </c:spPr>
              <c:txPr>
                <a:bodyPr rot="0" spcFirstLastPara="1" vertOverflow="ellipsis" horzOverflow="clip" vert="horz" wrap="square" lIns="0" tIns="0" rIns="38100" bIns="19050" anchor="ctr" anchorCtr="1">
                  <a:spAutoFit/>
                </a:bodyPr>
                <a:lstStyle/>
                <a:p>
                  <a:pPr>
                    <a:defRPr sz="700" b="0" i="0" u="none" strike="noStrike" kern="1200" baseline="0">
                      <a:solidFill>
                        <a:schemeClr val="tx2"/>
                      </a:solidFill>
                      <a:latin typeface="+mn-lt"/>
                      <a:ea typeface="+mn-ea"/>
                      <a:cs typeface="+mn-cs"/>
                    </a:defRPr>
                  </a:pPr>
                  <a:endParaRPr lang="it-CH"/>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ext>
                <c:ext xmlns:c16="http://schemas.microsoft.com/office/drawing/2014/chart" uri="{C3380CC4-5D6E-409C-BE32-E72D297353CC}">
                  <c16:uniqueId val="{00000005-C2A3-4A12-9A4E-9CC1DE7B734E}"/>
                </c:ext>
              </c:extLst>
            </c:dLbl>
            <c:dLbl>
              <c:idx val="5"/>
              <c:layout/>
              <c:spPr>
                <a:noFill/>
                <a:ln>
                  <a:noFill/>
                </a:ln>
                <a:effectLst/>
              </c:spPr>
              <c:txPr>
                <a:bodyPr rot="0" spcFirstLastPara="1" vertOverflow="ellipsis" horzOverflow="clip" vert="horz" wrap="square" lIns="0" tIns="0" rIns="38100" bIns="19050" anchor="ctr" anchorCtr="1">
                  <a:spAutoFit/>
                </a:bodyPr>
                <a:lstStyle/>
                <a:p>
                  <a:pPr>
                    <a:defRPr sz="700" b="0" i="0" u="none" strike="noStrike" kern="1200" baseline="0">
                      <a:solidFill>
                        <a:schemeClr val="tx2"/>
                      </a:solidFill>
                      <a:latin typeface="+mn-lt"/>
                      <a:ea typeface="+mn-ea"/>
                      <a:cs typeface="+mn-cs"/>
                    </a:defRPr>
                  </a:pPr>
                  <a:endParaRPr lang="it-CH"/>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ext>
                <c:ext xmlns:c16="http://schemas.microsoft.com/office/drawing/2014/chart" uri="{C3380CC4-5D6E-409C-BE32-E72D297353CC}">
                  <c16:uniqueId val="{00000006-C2A3-4A12-9A4E-9CC1DE7B734E}"/>
                </c:ext>
              </c:extLst>
            </c:dLbl>
            <c:dLbl>
              <c:idx val="6"/>
              <c:layout/>
              <c:spPr>
                <a:noFill/>
                <a:ln>
                  <a:noFill/>
                </a:ln>
                <a:effectLst/>
              </c:spPr>
              <c:txPr>
                <a:bodyPr rot="0" spcFirstLastPara="1" vertOverflow="ellipsis" horzOverflow="clip" vert="horz" wrap="square" lIns="0" tIns="0" rIns="38100" bIns="19050" anchor="ctr" anchorCtr="1">
                  <a:spAutoFit/>
                </a:bodyPr>
                <a:lstStyle/>
                <a:p>
                  <a:pPr>
                    <a:defRPr sz="700" b="0" i="0" u="none" strike="noStrike" kern="1200" baseline="0">
                      <a:solidFill>
                        <a:schemeClr val="tx2"/>
                      </a:solidFill>
                      <a:latin typeface="+mn-lt"/>
                      <a:ea typeface="+mn-ea"/>
                      <a:cs typeface="+mn-cs"/>
                    </a:defRPr>
                  </a:pPr>
                  <a:endParaRPr lang="it-CH"/>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ext>
                <c:ext xmlns:c16="http://schemas.microsoft.com/office/drawing/2014/chart" uri="{C3380CC4-5D6E-409C-BE32-E72D297353CC}">
                  <c16:uniqueId val="{00000007-C2A3-4A12-9A4E-9CC1DE7B734E}"/>
                </c:ext>
              </c:extLst>
            </c:dLbl>
            <c:dLbl>
              <c:idx val="7"/>
              <c:layout/>
              <c:spPr>
                <a:noFill/>
                <a:ln>
                  <a:noFill/>
                </a:ln>
                <a:effectLst/>
              </c:spPr>
              <c:txPr>
                <a:bodyPr rot="0" spcFirstLastPara="1" vertOverflow="ellipsis" horzOverflow="clip" vert="horz" wrap="square" lIns="0" tIns="0" rIns="38100" bIns="19050" anchor="ctr" anchorCtr="1">
                  <a:spAutoFit/>
                </a:bodyPr>
                <a:lstStyle/>
                <a:p>
                  <a:pPr>
                    <a:defRPr sz="700" b="0" i="0" u="none" strike="noStrike" kern="1200" baseline="0">
                      <a:solidFill>
                        <a:schemeClr val="tx2"/>
                      </a:solidFill>
                      <a:latin typeface="+mn-lt"/>
                      <a:ea typeface="+mn-ea"/>
                      <a:cs typeface="+mn-cs"/>
                    </a:defRPr>
                  </a:pPr>
                  <a:endParaRPr lang="it-CH"/>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ext>
                <c:ext xmlns:c16="http://schemas.microsoft.com/office/drawing/2014/chart" uri="{C3380CC4-5D6E-409C-BE32-E72D297353CC}">
                  <c16:uniqueId val="{00000008-C2A3-4A12-9A4E-9CC1DE7B734E}"/>
                </c:ext>
              </c:extLst>
            </c:dLbl>
            <c:dLbl>
              <c:idx val="8"/>
              <c:layout/>
              <c:spPr>
                <a:noFill/>
                <a:ln>
                  <a:noFill/>
                </a:ln>
                <a:effectLst/>
              </c:spPr>
              <c:txPr>
                <a:bodyPr rot="0" spcFirstLastPara="1" vertOverflow="ellipsis" horzOverflow="clip" vert="horz" wrap="square" lIns="0" tIns="0" rIns="38100" bIns="19050" anchor="ctr" anchorCtr="1">
                  <a:spAutoFit/>
                </a:bodyPr>
                <a:lstStyle/>
                <a:p>
                  <a:pPr>
                    <a:defRPr sz="700" b="0" i="0" u="none" strike="noStrike" kern="1200" baseline="0">
                      <a:solidFill>
                        <a:schemeClr val="tx2"/>
                      </a:solidFill>
                      <a:latin typeface="+mn-lt"/>
                      <a:ea typeface="+mn-ea"/>
                      <a:cs typeface="+mn-cs"/>
                    </a:defRPr>
                  </a:pPr>
                  <a:endParaRPr lang="it-CH"/>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ext>
                <c:ext xmlns:c16="http://schemas.microsoft.com/office/drawing/2014/chart" uri="{C3380CC4-5D6E-409C-BE32-E72D297353CC}">
                  <c16:uniqueId val="{00000009-C2A3-4A12-9A4E-9CC1DE7B734E}"/>
                </c:ext>
              </c:extLst>
            </c:dLbl>
            <c:dLbl>
              <c:idx val="9"/>
              <c:layout/>
              <c:spPr>
                <a:noFill/>
                <a:ln>
                  <a:noFill/>
                </a:ln>
                <a:effectLst/>
              </c:spPr>
              <c:txPr>
                <a:bodyPr rot="0" spcFirstLastPara="1" vertOverflow="ellipsis" horzOverflow="clip" vert="horz" wrap="square" lIns="0" tIns="0" rIns="38100" bIns="19050" anchor="ctr" anchorCtr="1">
                  <a:spAutoFit/>
                </a:bodyPr>
                <a:lstStyle/>
                <a:p>
                  <a:pPr>
                    <a:defRPr sz="700" b="0" i="0" u="none" strike="noStrike" kern="1200" baseline="0">
                      <a:solidFill>
                        <a:schemeClr val="tx2"/>
                      </a:solidFill>
                      <a:latin typeface="+mn-lt"/>
                      <a:ea typeface="+mn-ea"/>
                      <a:cs typeface="+mn-cs"/>
                    </a:defRPr>
                  </a:pPr>
                  <a:endParaRPr lang="it-CH"/>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ext>
                <c:ext xmlns:c16="http://schemas.microsoft.com/office/drawing/2014/chart" uri="{C3380CC4-5D6E-409C-BE32-E72D297353CC}">
                  <c16:uniqueId val="{0000000A-C2A3-4A12-9A4E-9CC1DE7B734E}"/>
                </c:ext>
              </c:extLst>
            </c:dLbl>
            <c:dLbl>
              <c:idx val="10"/>
              <c:layout/>
              <c:spPr>
                <a:noFill/>
                <a:ln>
                  <a:noFill/>
                </a:ln>
                <a:effectLst/>
              </c:spPr>
              <c:txPr>
                <a:bodyPr rot="0" spcFirstLastPara="1" vertOverflow="ellipsis" horzOverflow="clip" vert="horz" wrap="square" lIns="0" tIns="0" rIns="38100" bIns="19050" anchor="ctr" anchorCtr="1">
                  <a:spAutoFit/>
                </a:bodyPr>
                <a:lstStyle/>
                <a:p>
                  <a:pPr>
                    <a:defRPr sz="700" b="0" i="0" u="none" strike="noStrike" kern="1200" baseline="0">
                      <a:solidFill>
                        <a:schemeClr val="tx2"/>
                      </a:solidFill>
                      <a:latin typeface="+mn-lt"/>
                      <a:ea typeface="+mn-ea"/>
                      <a:cs typeface="+mn-cs"/>
                    </a:defRPr>
                  </a:pPr>
                  <a:endParaRPr lang="it-CH"/>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ext>
                <c:ext xmlns:c16="http://schemas.microsoft.com/office/drawing/2014/chart" uri="{C3380CC4-5D6E-409C-BE32-E72D297353CC}">
                  <c16:uniqueId val="{0000000B-C2A3-4A12-9A4E-9CC1DE7B734E}"/>
                </c:ext>
              </c:extLst>
            </c:dLbl>
            <c:dLbl>
              <c:idx val="11"/>
              <c:layout/>
              <c:spPr>
                <a:noFill/>
                <a:ln>
                  <a:noFill/>
                </a:ln>
                <a:effectLst/>
              </c:spPr>
              <c:txPr>
                <a:bodyPr rot="0" spcFirstLastPara="1" vertOverflow="ellipsis" horzOverflow="clip" vert="horz" wrap="square" lIns="0" tIns="0" rIns="38100" bIns="19050" anchor="ctr" anchorCtr="1">
                  <a:spAutoFit/>
                </a:bodyPr>
                <a:lstStyle/>
                <a:p>
                  <a:pPr>
                    <a:defRPr sz="700" b="0" i="0" u="none" strike="noStrike" kern="1200" baseline="0">
                      <a:solidFill>
                        <a:schemeClr val="tx2"/>
                      </a:solidFill>
                      <a:latin typeface="+mn-lt"/>
                      <a:ea typeface="+mn-ea"/>
                      <a:cs typeface="+mn-cs"/>
                    </a:defRPr>
                  </a:pPr>
                  <a:endParaRPr lang="it-CH"/>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ext>
                <c:ext xmlns:c16="http://schemas.microsoft.com/office/drawing/2014/chart" uri="{C3380CC4-5D6E-409C-BE32-E72D297353CC}">
                  <c16:uniqueId val="{0000000C-C2A3-4A12-9A4E-9CC1DE7B734E}"/>
                </c:ext>
              </c:extLst>
            </c:dLbl>
            <c:dLbl>
              <c:idx val="12"/>
              <c:layout/>
              <c:spPr>
                <a:noFill/>
                <a:ln>
                  <a:noFill/>
                </a:ln>
                <a:effectLst/>
              </c:spPr>
              <c:txPr>
                <a:bodyPr rot="0" spcFirstLastPara="1" vertOverflow="ellipsis" horzOverflow="clip" vert="horz" wrap="square" lIns="0" tIns="0" rIns="38100" bIns="19050" anchor="ctr" anchorCtr="1">
                  <a:spAutoFit/>
                </a:bodyPr>
                <a:lstStyle/>
                <a:p>
                  <a:pPr>
                    <a:defRPr sz="700" b="0" i="0" u="none" strike="noStrike" kern="1200" baseline="0">
                      <a:solidFill>
                        <a:schemeClr val="tx2"/>
                      </a:solidFill>
                      <a:latin typeface="+mn-lt"/>
                      <a:ea typeface="+mn-ea"/>
                      <a:cs typeface="+mn-cs"/>
                    </a:defRPr>
                  </a:pPr>
                  <a:endParaRPr lang="it-CH"/>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ext>
                <c:ext xmlns:c16="http://schemas.microsoft.com/office/drawing/2014/chart" uri="{C3380CC4-5D6E-409C-BE32-E72D297353CC}">
                  <c16:uniqueId val="{0000000D-C2A3-4A12-9A4E-9CC1DE7B734E}"/>
                </c:ext>
              </c:extLst>
            </c:dLbl>
            <c:dLbl>
              <c:idx val="13"/>
              <c:layout/>
              <c:spPr>
                <a:noFill/>
                <a:ln>
                  <a:noFill/>
                </a:ln>
                <a:effectLst/>
              </c:spPr>
              <c:txPr>
                <a:bodyPr rot="0" spcFirstLastPara="1" vertOverflow="ellipsis" horzOverflow="clip" vert="horz" wrap="square" lIns="0" tIns="0" rIns="38100" bIns="19050" anchor="ctr" anchorCtr="1">
                  <a:spAutoFit/>
                </a:bodyPr>
                <a:lstStyle/>
                <a:p>
                  <a:pPr>
                    <a:defRPr sz="700" b="0" i="0" u="none" strike="noStrike" kern="1200" baseline="0">
                      <a:solidFill>
                        <a:schemeClr val="tx2"/>
                      </a:solidFill>
                      <a:latin typeface="+mn-lt"/>
                      <a:ea typeface="+mn-ea"/>
                      <a:cs typeface="+mn-cs"/>
                    </a:defRPr>
                  </a:pPr>
                  <a:endParaRPr lang="it-CH"/>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ext>
                <c:ext xmlns:c16="http://schemas.microsoft.com/office/drawing/2014/chart" uri="{C3380CC4-5D6E-409C-BE32-E72D297353CC}">
                  <c16:uniqueId val="{0000000E-C2A3-4A12-9A4E-9CC1DE7B734E}"/>
                </c:ext>
              </c:extLst>
            </c:dLbl>
            <c:spPr>
              <a:noFill/>
              <a:ln>
                <a:noFill/>
              </a:ln>
              <a:effectLst/>
            </c:spPr>
            <c:txPr>
              <a:bodyPr rot="0" spcFirstLastPara="1" vertOverflow="ellipsis" horzOverflow="clip" vert="horz" wrap="square" lIns="0" tIns="19050" rIns="38100" bIns="19050" anchor="ctr" anchorCtr="1">
                <a:spAutoFit/>
              </a:bodyPr>
              <a:lstStyle/>
              <a:p>
                <a:pPr>
                  <a:defRPr sz="700" b="0" i="0" u="none" strike="noStrike" kern="1200" baseline="0">
                    <a:solidFill>
                      <a:schemeClr val="tx2"/>
                    </a:solidFill>
                    <a:latin typeface="+mn-lt"/>
                    <a:ea typeface="+mn-ea"/>
                    <a:cs typeface="+mn-cs"/>
                  </a:defRPr>
                </a:pPr>
                <a:endParaRPr lang="it-CH"/>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tx2">
                          <a:lumMod val="35000"/>
                          <a:lumOff val="65000"/>
                        </a:schemeClr>
                      </a:solidFill>
                    </a:ln>
                    <a:effectLst/>
                  </c:spPr>
                </c15:leaderLines>
              </c:ext>
            </c:extLst>
          </c:dLbls>
          <c:cat>
            <c:numRef>
              <c:f>'Serie dal 2002'!$A$14:$A$27</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extLst/>
            </c:numRef>
          </c:cat>
          <c:val>
            <c:numRef>
              <c:f>'Serie dal 2002'!$E$14:$E$27</c:f>
              <c:numCache>
                <c:formatCode>#,##0.0</c:formatCode>
                <c:ptCount val="14"/>
                <c:pt idx="0">
                  <c:v>29.278318784179898</c:v>
                </c:pt>
                <c:pt idx="1">
                  <c:v>30.2314557304388</c:v>
                </c:pt>
                <c:pt idx="2">
                  <c:v>29.1733133082191</c:v>
                </c:pt>
                <c:pt idx="3">
                  <c:v>28.542075784120499</c:v>
                </c:pt>
                <c:pt idx="4">
                  <c:v>27.487749999999998</c:v>
                </c:pt>
                <c:pt idx="5">
                  <c:v>25.361499999999999</c:v>
                </c:pt>
                <c:pt idx="6">
                  <c:v>26.581250000000001</c:v>
                </c:pt>
                <c:pt idx="7">
                  <c:v>28.19575</c:v>
                </c:pt>
                <c:pt idx="8">
                  <c:v>29.045500000000001</c:v>
                </c:pt>
                <c:pt idx="9">
                  <c:v>26.952249999999999</c:v>
                </c:pt>
                <c:pt idx="10">
                  <c:v>27.13025</c:v>
                </c:pt>
                <c:pt idx="11">
                  <c:v>26.12725</c:v>
                </c:pt>
                <c:pt idx="12">
                  <c:v>25.934000000000001</c:v>
                </c:pt>
                <c:pt idx="13">
                  <c:v>27.4755</c:v>
                </c:pt>
              </c:numCache>
              <c:extLst/>
            </c:numRef>
          </c:val>
          <c:smooth val="0"/>
          <c:extLst>
            <c:ext xmlns:c16="http://schemas.microsoft.com/office/drawing/2014/chart" uri="{C3380CC4-5D6E-409C-BE32-E72D297353CC}">
              <c16:uniqueId val="{0000000F-C2A3-4A12-9A4E-9CC1DE7B734E}"/>
            </c:ext>
          </c:extLst>
        </c:ser>
        <c:ser>
          <c:idx val="4"/>
          <c:order val="4"/>
          <c:tx>
            <c:strRef>
              <c:f>'Serie dal 2002'!$F$9</c:f>
              <c:strCache>
                <c:ptCount val="1"/>
                <c:pt idx="0">
                  <c:v>Stranieri dimoranti</c:v>
                </c:pt>
              </c:strCache>
            </c:strRef>
          </c:tx>
          <c:spPr>
            <a:ln w="31750" cap="rnd">
              <a:solidFill>
                <a:schemeClr val="accent5"/>
              </a:solidFill>
              <a:round/>
            </a:ln>
            <a:effectLst>
              <a:outerShdw blurRad="40000" dist="23000" dir="5400000" rotWithShape="0">
                <a:srgbClr val="000000">
                  <a:alpha val="35000"/>
                </a:srgbClr>
              </a:outerShdw>
            </a:effectLst>
          </c:spPr>
          <c:marker>
            <c:symbol val="circle"/>
            <c:size val="6"/>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s>
            <c:spPr>
              <a:noFill/>
              <a:ln>
                <a:noFill/>
              </a:ln>
              <a:effectLst/>
            </c:spPr>
            <c:txPr>
              <a:bodyPr rot="0" spcFirstLastPara="1" vertOverflow="ellipsis" horzOverflow="clip" vert="horz" wrap="square" lIns="38100" tIns="19050" rIns="38100" bIns="0" anchor="ctr" anchorCtr="1">
                <a:spAutoFit/>
              </a:bodyPr>
              <a:lstStyle/>
              <a:p>
                <a:pPr>
                  <a:defRPr sz="700" b="0" i="0" u="none" strike="noStrike" kern="1200" baseline="0">
                    <a:solidFill>
                      <a:schemeClr val="tx2"/>
                    </a:solidFill>
                    <a:latin typeface="+mn-lt"/>
                    <a:ea typeface="+mn-ea"/>
                    <a:cs typeface="+mn-cs"/>
                  </a:defRPr>
                </a:pPr>
                <a:endParaRPr lang="it-CH"/>
              </a:p>
            </c:txPr>
            <c:dLblPos val="b"/>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layout/>
                <c15:showLeaderLines val="1"/>
                <c15:leaderLines>
                  <c:spPr>
                    <a:ln w="9525">
                      <a:solidFill>
                        <a:schemeClr val="tx2">
                          <a:lumMod val="35000"/>
                          <a:lumOff val="65000"/>
                        </a:schemeClr>
                      </a:solidFill>
                    </a:ln>
                    <a:effectLst/>
                  </c:spPr>
                </c15:leaderLines>
              </c:ext>
            </c:extLst>
          </c:dLbls>
          <c:cat>
            <c:numRef>
              <c:f>'Serie dal 2002'!$A$14:$A$27</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extLst/>
            </c:numRef>
          </c:cat>
          <c:val>
            <c:numRef>
              <c:f>'Serie dal 2002'!$F$14:$F$27</c:f>
              <c:numCache>
                <c:formatCode>#,##0.0</c:formatCode>
                <c:ptCount val="14"/>
                <c:pt idx="0">
                  <c:v>11.2222300196806</c:v>
                </c:pt>
                <c:pt idx="1">
                  <c:v>11.7947107580731</c:v>
                </c:pt>
                <c:pt idx="2">
                  <c:v>12.9641183630314</c:v>
                </c:pt>
                <c:pt idx="3">
                  <c:v>14.7612643397302</c:v>
                </c:pt>
                <c:pt idx="4">
                  <c:v>12.7095</c:v>
                </c:pt>
                <c:pt idx="5">
                  <c:v>16.251999999999999</c:v>
                </c:pt>
                <c:pt idx="6">
                  <c:v>15.121</c:v>
                </c:pt>
                <c:pt idx="7">
                  <c:v>15.178750000000001</c:v>
                </c:pt>
                <c:pt idx="8">
                  <c:v>17.225249999999999</c:v>
                </c:pt>
                <c:pt idx="9">
                  <c:v>20.69275</c:v>
                </c:pt>
                <c:pt idx="10">
                  <c:v>23.09</c:v>
                </c:pt>
                <c:pt idx="11">
                  <c:v>24.436499999999999</c:v>
                </c:pt>
                <c:pt idx="12">
                  <c:v>22.297499999999999</c:v>
                </c:pt>
                <c:pt idx="13">
                  <c:v>22.339500000000001</c:v>
                </c:pt>
              </c:numCache>
              <c:extLst/>
            </c:numRef>
          </c:val>
          <c:smooth val="0"/>
          <c:extLst>
            <c:ext xmlns:c16="http://schemas.microsoft.com/office/drawing/2014/chart" uri="{C3380CC4-5D6E-409C-BE32-E72D297353CC}">
              <c16:uniqueId val="{00000010-C2A3-4A12-9A4E-9CC1DE7B734E}"/>
            </c:ext>
          </c:extLst>
        </c:ser>
        <c:ser>
          <c:idx val="5"/>
          <c:order val="5"/>
          <c:tx>
            <c:strRef>
              <c:f>'Serie dal 2002'!$G$9</c:f>
              <c:strCache>
                <c:ptCount val="1"/>
                <c:pt idx="0">
                  <c:v>Frontalieri</c:v>
                </c:pt>
              </c:strCache>
            </c:strRef>
          </c:tx>
          <c:spPr>
            <a:ln w="31750" cap="rnd">
              <a:solidFill>
                <a:schemeClr val="accent6"/>
              </a:solidFill>
              <a:round/>
            </a:ln>
            <a:effectLst>
              <a:outerShdw blurRad="40000" dist="23000" dir="5400000" rotWithShape="0">
                <a:srgbClr val="000000">
                  <a:alpha val="35000"/>
                </a:srgbClr>
              </a:outerShdw>
            </a:effectLst>
          </c:spPr>
          <c:marker>
            <c:symbol val="circle"/>
            <c:size val="6"/>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2"/>
                    </a:solidFill>
                    <a:latin typeface="+mn-lt"/>
                    <a:ea typeface="+mn-ea"/>
                    <a:cs typeface="+mn-cs"/>
                  </a:defRPr>
                </a:pPr>
                <a:endParaRPr lang="it-CH"/>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'Serie dal 2002'!$A$14:$A$27</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extLst/>
            </c:numRef>
          </c:cat>
          <c:val>
            <c:numRef>
              <c:f>'Serie dal 2002'!$G$14:$G$27</c:f>
              <c:numCache>
                <c:formatCode>#,##0.0</c:formatCode>
                <c:ptCount val="14"/>
                <c:pt idx="0">
                  <c:v>36.812550000000002</c:v>
                </c:pt>
                <c:pt idx="1">
                  <c:v>40.402999999999999</c:v>
                </c:pt>
                <c:pt idx="2">
                  <c:v>44.158499999999997</c:v>
                </c:pt>
                <c:pt idx="3">
                  <c:v>45.722149999999999</c:v>
                </c:pt>
                <c:pt idx="4">
                  <c:v>48.201824532753697</c:v>
                </c:pt>
                <c:pt idx="5">
                  <c:v>51.919397099955603</c:v>
                </c:pt>
                <c:pt idx="6">
                  <c:v>55.603552911876498</c:v>
                </c:pt>
                <c:pt idx="7">
                  <c:v>59.036683667451697</c:v>
                </c:pt>
                <c:pt idx="8">
                  <c:v>62.399583378453002</c:v>
                </c:pt>
                <c:pt idx="9">
                  <c:v>64.354117517646003</c:v>
                </c:pt>
                <c:pt idx="10">
                  <c:v>65.023859672982297</c:v>
                </c:pt>
                <c:pt idx="11">
                  <c:v>67.0140083256221</c:v>
                </c:pt>
                <c:pt idx="12">
                  <c:v>67.771288997008696</c:v>
                </c:pt>
                <c:pt idx="13">
                  <c:v>69.304128199541495</c:v>
                </c:pt>
              </c:numCache>
              <c:extLst/>
            </c:numRef>
          </c:val>
          <c:smooth val="0"/>
          <c:extLst>
            <c:ext xmlns:c16="http://schemas.microsoft.com/office/drawing/2014/chart" uri="{C3380CC4-5D6E-409C-BE32-E72D297353CC}">
              <c16:uniqueId val="{00000011-C2A3-4A12-9A4E-9CC1DE7B734E}"/>
            </c:ext>
          </c:extLst>
        </c:ser>
        <c:dLbls>
          <c:showLegendKey val="0"/>
          <c:showVal val="0"/>
          <c:showCatName val="0"/>
          <c:showSerName val="0"/>
          <c:showPercent val="0"/>
          <c:showBubbleSize val="0"/>
        </c:dLbls>
        <c:marker val="1"/>
        <c:smooth val="0"/>
        <c:axId val="488295392"/>
        <c:axId val="488295720"/>
        <c:extLst>
          <c:ext xmlns:c15="http://schemas.microsoft.com/office/drawing/2012/chart" uri="{02D57815-91ED-43cb-92C2-25804820EDAC}">
            <c15:filteredLineSeries>
              <c15:ser>
                <c:idx val="0"/>
                <c:order val="0"/>
                <c:tx>
                  <c:strRef>
                    <c:extLst>
                      <c:ext uri="{02D57815-91ED-43cb-92C2-25804820EDAC}">
                        <c15:formulaRef>
                          <c15:sqref>'Serie dal 2002'!$B$9</c15:sqref>
                        </c15:formulaRef>
                      </c:ext>
                    </c:extLst>
                    <c:strCache>
                      <c:ptCount val="1"/>
                      <c:pt idx="0">
                        <c:v>Totale</c:v>
                      </c:pt>
                    </c:strCache>
                  </c:strRef>
                </c:tx>
                <c:spPr>
                  <a:ln w="31750" cap="rnd">
                    <a:solidFill>
                      <a:schemeClr val="accent1"/>
                    </a:solidFill>
                    <a:round/>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cat>
                  <c:numRef>
                    <c:extLst>
                      <c:ext uri="{02D57815-91ED-43cb-92C2-25804820EDAC}">
                        <c15:formulaRef>
                          <c15:sqref>'Serie dal 2002'!$A$14:$A$27</c15:sqref>
                        </c15:formulaRef>
                      </c:ext>
                    </c:extLst>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extLst>
                      <c:ext uri="{02D57815-91ED-43cb-92C2-25804820EDAC}">
                        <c15:formulaRef>
                          <c15:sqref>'Serie dal 2002'!$B$14:$B$27</c15:sqref>
                        </c15:formulaRef>
                      </c:ext>
                    </c:extLst>
                    <c:numCache>
                      <c:formatCode>#,##0.0</c:formatCode>
                      <c:ptCount val="14"/>
                      <c:pt idx="0">
                        <c:v>188.62818056720801</c:v>
                      </c:pt>
                      <c:pt idx="1">
                        <c:v>193.66050134179699</c:v>
                      </c:pt>
                      <c:pt idx="2">
                        <c:v>201.760067111339</c:v>
                      </c:pt>
                      <c:pt idx="3">
                        <c:v>203.87451273238</c:v>
                      </c:pt>
                      <c:pt idx="4">
                        <c:v>206.434613304864</c:v>
                      </c:pt>
                      <c:pt idx="5">
                        <c:v>214.54731148249201</c:v>
                      </c:pt>
                      <c:pt idx="6">
                        <c:v>215.70140678921999</c:v>
                      </c:pt>
                      <c:pt idx="7">
                        <c:v>222.59262186649099</c:v>
                      </c:pt>
                      <c:pt idx="8">
                        <c:v>227.29643863084701</c:v>
                      </c:pt>
                      <c:pt idx="9">
                        <c:v>229.85597328856599</c:v>
                      </c:pt>
                      <c:pt idx="10">
                        <c:v>233.527954272225</c:v>
                      </c:pt>
                      <c:pt idx="11">
                        <c:v>238.804781713539</c:v>
                      </c:pt>
                      <c:pt idx="12">
                        <c:v>237.54358045754699</c:v>
                      </c:pt>
                      <c:pt idx="13">
                        <c:v>233.91171907898001</c:v>
                      </c:pt>
                    </c:numCache>
                  </c:numRef>
                </c:val>
                <c:smooth val="0"/>
                <c:extLst>
                  <c:ext xmlns:c16="http://schemas.microsoft.com/office/drawing/2014/chart" uri="{C3380CC4-5D6E-409C-BE32-E72D297353CC}">
                    <c16:uniqueId val="{00000012-C2A3-4A12-9A4E-9CC1DE7B734E}"/>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'Serie dal 2002'!$D$9</c15:sqref>
                        </c15:formulaRef>
                      </c:ext>
                    </c:extLst>
                    <c:strCache>
                      <c:ptCount val="1"/>
                      <c:pt idx="0">
                        <c:v>Totale Stranieri</c:v>
                      </c:pt>
                    </c:strCache>
                  </c:strRef>
                </c:tx>
                <c:spPr>
                  <a:ln w="31750" cap="rnd">
                    <a:solidFill>
                      <a:schemeClr val="accent3"/>
                    </a:solidFill>
                    <a:round/>
                  </a:ln>
                  <a:effectLst>
                    <a:outerShdw blurRad="40000" dist="23000" dir="5400000" rotWithShape="0">
                      <a:srgbClr val="000000">
                        <a:alpha val="35000"/>
                      </a:srgbClr>
                    </a:outerShdw>
                  </a:effectLst>
                </c:spPr>
                <c:marker>
                  <c:symbol val="circle"/>
                  <c:size val="6"/>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cat>
                  <c:numRef>
                    <c:extLst xmlns:c15="http://schemas.microsoft.com/office/drawing/2012/chart">
                      <c:ext xmlns:c15="http://schemas.microsoft.com/office/drawing/2012/chart" uri="{02D57815-91ED-43cb-92C2-25804820EDAC}">
                        <c15:formulaRef>
                          <c15:sqref>'Serie dal 2002'!$A$14:$A$27</c15:sqref>
                        </c15:formulaRef>
                      </c:ext>
                    </c:extLst>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extLst xmlns:c15="http://schemas.microsoft.com/office/drawing/2012/chart">
                      <c:ext xmlns:c15="http://schemas.microsoft.com/office/drawing/2012/chart" uri="{02D57815-91ED-43cb-92C2-25804820EDAC}">
                        <c15:formulaRef>
                          <c15:sqref>'Serie dal 2002'!$D$14:$D$27</c15:sqref>
                        </c15:formulaRef>
                      </c:ext>
                    </c:extLst>
                    <c:numCache>
                      <c:formatCode>#,##0.0</c:formatCode>
                      <c:ptCount val="14"/>
                      <c:pt idx="0">
                        <c:v>81.140598803860499</c:v>
                      </c:pt>
                      <c:pt idx="1">
                        <c:v>86.459997968332502</c:v>
                      </c:pt>
                      <c:pt idx="2">
                        <c:v>89.566431671250399</c:v>
                      </c:pt>
                      <c:pt idx="3">
                        <c:v>91.825990123850701</c:v>
                      </c:pt>
                      <c:pt idx="4">
                        <c:v>91.215921084031365</c:v>
                      </c:pt>
                      <c:pt idx="5">
                        <c:v>96.504557145223202</c:v>
                      </c:pt>
                      <c:pt idx="6">
                        <c:v>100.26043706282206</c:v>
                      </c:pt>
                      <c:pt idx="7">
                        <c:v>105.38126028082236</c:v>
                      </c:pt>
                      <c:pt idx="8">
                        <c:v>111.3900422852261</c:v>
                      </c:pt>
                      <c:pt idx="9">
                        <c:v>114.27802186282356</c:v>
                      </c:pt>
                      <c:pt idx="10">
                        <c:v>117.91214198616444</c:v>
                      </c:pt>
                      <c:pt idx="11">
                        <c:v>120.43345259184497</c:v>
                      </c:pt>
                      <c:pt idx="12">
                        <c:v>118.83527894543379</c:v>
                      </c:pt>
                      <c:pt idx="13">
                        <c:v>121.90491165146052</c:v>
                      </c:pt>
                    </c:numCache>
                  </c:numRef>
                </c:val>
                <c:smooth val="0"/>
                <c:extLst xmlns:c15="http://schemas.microsoft.com/office/drawing/2012/chart">
                  <c:ext xmlns:c16="http://schemas.microsoft.com/office/drawing/2014/chart" uri="{C3380CC4-5D6E-409C-BE32-E72D297353CC}">
                    <c16:uniqueId val="{00000013-C2A3-4A12-9A4E-9CC1DE7B734E}"/>
                  </c:ext>
                </c:extLst>
              </c15:ser>
            </c15:filteredLineSeries>
          </c:ext>
        </c:extLst>
      </c:lineChart>
      <c:catAx>
        <c:axId val="488295392"/>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it-CH"/>
          </a:p>
        </c:txPr>
        <c:crossAx val="488295720"/>
        <c:crosses val="autoZero"/>
        <c:auto val="1"/>
        <c:lblAlgn val="ctr"/>
        <c:lblOffset val="100"/>
        <c:noMultiLvlLbl val="0"/>
      </c:catAx>
      <c:valAx>
        <c:axId val="488295720"/>
        <c:scaling>
          <c:orientation val="minMax"/>
          <c:max val="125"/>
          <c:min val="0"/>
        </c:scaling>
        <c:delete val="0"/>
        <c:axPos val="l"/>
        <c:majorGridlines>
          <c:spPr>
            <a:ln w="9525" cap="flat" cmpd="sng" algn="ctr">
              <a:solidFill>
                <a:schemeClr val="tx1">
                  <a:alpha val="45000"/>
                </a:schemeClr>
              </a:solidFill>
              <a:round/>
            </a:ln>
            <a:effectLst/>
          </c:spPr>
        </c:majorGridlines>
        <c:numFmt formatCode="#,##0.0" sourceLinked="1"/>
        <c:majorTickMark val="in"/>
        <c:minorTickMark val="in"/>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it-CH"/>
          </a:p>
        </c:txPr>
        <c:crossAx val="488295392"/>
        <c:crosses val="autoZero"/>
        <c:crossBetween val="between"/>
        <c:majorUnit val="1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it-CH"/>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it-CH"/>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H">
                <a:solidFill>
                  <a:sysClr val="windowText" lastClr="000000"/>
                </a:solidFill>
              </a:rPr>
              <a:t>Lavoratori interinali</a:t>
            </a:r>
          </a:p>
        </c:rich>
      </c:tx>
      <c:layout>
        <c:manualLayout>
          <c:xMode val="edge"/>
          <c:yMode val="edge"/>
          <c:x val="0.36587704479205091"/>
          <c:y val="0"/>
        </c:manualLayout>
      </c:layout>
      <c:overlay val="0"/>
      <c:spPr>
        <a:noFill/>
        <a:ln>
          <a:noFill/>
        </a:ln>
        <a:effectLst/>
      </c:spPr>
    </c:title>
    <c:autoTitleDeleted val="0"/>
    <c:plotArea>
      <c:layout/>
      <c:lineChart>
        <c:grouping val="standard"/>
        <c:varyColors val="0"/>
        <c:ser>
          <c:idx val="0"/>
          <c:order val="0"/>
          <c:tx>
            <c:strRef>
              <c:f>'Serie dal 2000'!$B$6:$B$8</c:f>
              <c:strCache>
                <c:ptCount val="3"/>
                <c:pt idx="2">
                  <c:v>Totale</c:v>
                </c:pt>
              </c:strCache>
            </c:strRef>
          </c:tx>
          <c:spPr>
            <a:ln w="28575" cap="rnd">
              <a:solidFill>
                <a:srgbClr val="00B0F0"/>
              </a:solidFill>
              <a:round/>
            </a:ln>
            <a:effectLst/>
          </c:spPr>
          <c:marker>
            <c:symbol val="circle"/>
            <c:size val="5"/>
            <c:spPr>
              <a:solidFill>
                <a:schemeClr val="accent1"/>
              </a:solidFill>
              <a:ln w="9525">
                <a:solidFill>
                  <a:srgbClr val="00B0F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B0F0"/>
                    </a:solidFill>
                    <a:latin typeface="+mn-lt"/>
                    <a:ea typeface="+mn-ea"/>
                    <a:cs typeface="+mn-cs"/>
                  </a:defRPr>
                </a:pPr>
                <a:endParaRPr lang="it-CH"/>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'Serie dal 2000'!$A$9:$A$28</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'Serie dal 2000'!$B$9:$B$28</c:f>
              <c:numCache>
                <c:formatCode>#,##0</c:formatCode>
                <c:ptCount val="20"/>
                <c:pt idx="0">
                  <c:v>4520</c:v>
                </c:pt>
                <c:pt idx="1">
                  <c:v>4911</c:v>
                </c:pt>
                <c:pt idx="2">
                  <c:v>5036</c:v>
                </c:pt>
                <c:pt idx="3">
                  <c:v>5391</c:v>
                </c:pt>
                <c:pt idx="4">
                  <c:v>5809</c:v>
                </c:pt>
                <c:pt idx="5">
                  <c:v>5800</c:v>
                </c:pt>
                <c:pt idx="6">
                  <c:v>7397</c:v>
                </c:pt>
                <c:pt idx="7">
                  <c:v>8408</c:v>
                </c:pt>
                <c:pt idx="8">
                  <c:v>10201</c:v>
                </c:pt>
                <c:pt idx="9">
                  <c:v>8222</c:v>
                </c:pt>
                <c:pt idx="10">
                  <c:v>10337</c:v>
                </c:pt>
                <c:pt idx="11">
                  <c:v>10880</c:v>
                </c:pt>
                <c:pt idx="12">
                  <c:v>13368</c:v>
                </c:pt>
                <c:pt idx="13">
                  <c:v>10830</c:v>
                </c:pt>
                <c:pt idx="14">
                  <c:v>11477</c:v>
                </c:pt>
                <c:pt idx="15">
                  <c:v>11557</c:v>
                </c:pt>
                <c:pt idx="16">
                  <c:v>13251</c:v>
                </c:pt>
                <c:pt idx="17">
                  <c:v>15954</c:v>
                </c:pt>
                <c:pt idx="18">
                  <c:v>16137</c:v>
                </c:pt>
                <c:pt idx="19">
                  <c:v>17650</c:v>
                </c:pt>
              </c:numCache>
            </c:numRef>
          </c:val>
          <c:smooth val="0"/>
          <c:extLst>
            <c:ext xmlns:c16="http://schemas.microsoft.com/office/drawing/2014/chart" uri="{C3380CC4-5D6E-409C-BE32-E72D297353CC}">
              <c16:uniqueId val="{00000000-9DF3-4158-BC36-A9116D9EF930}"/>
            </c:ext>
          </c:extLst>
        </c:ser>
        <c:ser>
          <c:idx val="3"/>
          <c:order val="3"/>
          <c:tx>
            <c:strRef>
              <c:f>'Serie dal 2000'!$E$6:$E$8</c:f>
              <c:strCache>
                <c:ptCount val="3"/>
                <c:pt idx="0">
                  <c:v>Svizzeri</c:v>
                </c:pt>
              </c:strCache>
            </c:strRef>
          </c:tx>
          <c:spPr>
            <a:ln w="28575" cap="rnd">
              <a:solidFill>
                <a:srgbClr val="FF0000"/>
              </a:solidFill>
              <a:round/>
            </a:ln>
            <a:effectLst/>
          </c:spPr>
          <c:marker>
            <c:symbol val="circle"/>
            <c:size val="5"/>
            <c:spPr>
              <a:solidFill>
                <a:schemeClr val="accent4"/>
              </a:solidFill>
              <a:ln w="9525">
                <a:solidFill>
                  <a:srgbClr val="FF0000"/>
                </a:solidFill>
              </a:ln>
              <a:effectLst/>
            </c:spPr>
          </c:marker>
          <c:dLbls>
            <c:dLbl>
              <c:idx val="0"/>
              <c:layout>
                <c:manualLayout>
                  <c:x val="-3.506330768609512E-2"/>
                  <c:y val="-3.070637427253201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DF3-4158-BC36-A9116D9EF930}"/>
                </c:ext>
              </c:extLst>
            </c:dLbl>
            <c:dLbl>
              <c:idx val="1"/>
              <c:layout>
                <c:manualLayout>
                  <c:x val="-3.506330768609512E-2"/>
                  <c:y val="-2.542514902827534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DF3-4158-BC36-A9116D9EF930}"/>
                </c:ext>
              </c:extLst>
            </c:dLbl>
            <c:dLbl>
              <c:idx val="2"/>
              <c:layout>
                <c:manualLayout>
                  <c:x val="-3.5063307686095162E-2"/>
                  <c:y val="-3.070637427253201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DF3-4158-BC36-A9116D9EF930}"/>
                </c:ext>
              </c:extLst>
            </c:dLbl>
            <c:dLbl>
              <c:idx val="3"/>
              <c:layout>
                <c:manualLayout>
                  <c:x val="-3.2948472114560812E-2"/>
                  <c:y val="4.323077914706123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DF3-4158-BC36-A9116D9EF930}"/>
                </c:ext>
              </c:extLst>
            </c:dLbl>
            <c:dLbl>
              <c:idx val="4"/>
              <c:layout>
                <c:manualLayout>
                  <c:x val="-3.506330768609512E-2"/>
                  <c:y val="4.323077914706123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DF3-4158-BC36-A9116D9EF930}"/>
                </c:ext>
              </c:extLst>
            </c:dLbl>
            <c:dLbl>
              <c:idx val="5"/>
              <c:layout>
                <c:manualLayout>
                  <c:x val="-3.506330768609512E-2"/>
                  <c:y val="3.266832865854799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9DF3-4158-BC36-A9116D9EF930}"/>
                </c:ext>
              </c:extLst>
            </c:dLbl>
            <c:dLbl>
              <c:idx val="6"/>
              <c:layout>
                <c:manualLayout>
                  <c:x val="-3.506330768609512E-2"/>
                  <c:y val="4.323077914706123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9DF3-4158-BC36-A9116D9EF930}"/>
                </c:ext>
              </c:extLst>
            </c:dLbl>
            <c:dLbl>
              <c:idx val="7"/>
              <c:layout>
                <c:manualLayout>
                  <c:x val="-3.506330768609512E-2"/>
                  <c:y val="3.794955390280456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9DF3-4158-BC36-A9116D9EF930}"/>
                </c:ext>
              </c:extLst>
            </c:dLbl>
            <c:dLbl>
              <c:idx val="8"/>
              <c:layout>
                <c:manualLayout>
                  <c:x val="-3.2948472114560888E-2"/>
                  <c:y val="-3.070637427253201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9DF3-4158-BC36-A9116D9EF930}"/>
                </c:ext>
              </c:extLst>
            </c:dLbl>
            <c:dLbl>
              <c:idx val="9"/>
              <c:layout>
                <c:manualLayout>
                  <c:x val="-3.506330768609512E-2"/>
                  <c:y val="-4.126882476104544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9DF3-4158-BC36-A9116D9EF930}"/>
                </c:ext>
              </c:extLst>
            </c:dLbl>
            <c:spPr>
              <a:noFill/>
              <a:ln>
                <a:noFill/>
              </a:ln>
              <a:effectLst/>
            </c:spPr>
            <c:txPr>
              <a:bodyPr rot="0" spcFirstLastPara="1" vertOverflow="ellipsis" vert="horz" wrap="square" lIns="38100" tIns="0" rIns="38100" bIns="0" anchor="ctr" anchorCtr="1">
                <a:spAutoFit/>
              </a:bodyPr>
              <a:lstStyle/>
              <a:p>
                <a:pPr>
                  <a:defRPr sz="700" b="0" i="0" u="none" strike="noStrike" kern="1200" baseline="0">
                    <a:solidFill>
                      <a:srgbClr val="FF0000"/>
                    </a:solidFill>
                    <a:latin typeface="+mn-lt"/>
                    <a:ea typeface="+mn-ea"/>
                    <a:cs typeface="+mn-cs"/>
                  </a:defRPr>
                </a:pPr>
                <a:endParaRPr lang="it-CH"/>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cat>
            <c:numRef>
              <c:f>'Serie dal 2000'!$A$9:$A$28</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'Serie dal 2000'!$E$9:$E$28</c:f>
              <c:numCache>
                <c:formatCode>#,##0</c:formatCode>
                <c:ptCount val="20"/>
                <c:pt idx="0">
                  <c:v>2511</c:v>
                </c:pt>
                <c:pt idx="1">
                  <c:v>2792</c:v>
                </c:pt>
                <c:pt idx="2">
                  <c:v>2724</c:v>
                </c:pt>
                <c:pt idx="3">
                  <c:v>2432</c:v>
                </c:pt>
                <c:pt idx="4">
                  <c:v>2504</c:v>
                </c:pt>
                <c:pt idx="5">
                  <c:v>2346</c:v>
                </c:pt>
                <c:pt idx="6">
                  <c:v>2713</c:v>
                </c:pt>
                <c:pt idx="7">
                  <c:v>3029</c:v>
                </c:pt>
                <c:pt idx="8">
                  <c:v>3113</c:v>
                </c:pt>
                <c:pt idx="9">
                  <c:v>2282</c:v>
                </c:pt>
                <c:pt idx="10">
                  <c:v>2221</c:v>
                </c:pt>
                <c:pt idx="11">
                  <c:v>2602</c:v>
                </c:pt>
                <c:pt idx="12">
                  <c:v>2438</c:v>
                </c:pt>
                <c:pt idx="13">
                  <c:v>1859</c:v>
                </c:pt>
                <c:pt idx="14">
                  <c:v>1411</c:v>
                </c:pt>
                <c:pt idx="15">
                  <c:v>1495</c:v>
                </c:pt>
                <c:pt idx="16">
                  <c:v>1425</c:v>
                </c:pt>
                <c:pt idx="17">
                  <c:v>1813</c:v>
                </c:pt>
                <c:pt idx="18">
                  <c:v>1692</c:v>
                </c:pt>
                <c:pt idx="19">
                  <c:v>2053</c:v>
                </c:pt>
              </c:numCache>
            </c:numRef>
          </c:val>
          <c:smooth val="0"/>
          <c:extLst>
            <c:ext xmlns:c16="http://schemas.microsoft.com/office/drawing/2014/chart" uri="{C3380CC4-5D6E-409C-BE32-E72D297353CC}">
              <c16:uniqueId val="{0000000B-9DF3-4158-BC36-A9116D9EF930}"/>
            </c:ext>
          </c:extLst>
        </c:ser>
        <c:ser>
          <c:idx val="6"/>
          <c:order val="6"/>
          <c:tx>
            <c:strRef>
              <c:f>'Serie dal 2000'!$H$6:$H$8</c:f>
              <c:strCache>
                <c:ptCount val="3"/>
                <c:pt idx="0">
                  <c:v>Stranieri</c:v>
                </c:pt>
              </c:strCache>
            </c:strRef>
          </c:tx>
          <c:spPr>
            <a:ln w="28575" cap="rnd">
              <a:solidFill>
                <a:schemeClr val="accent3"/>
              </a:solidFill>
              <a:round/>
            </a:ln>
            <a:effectLst/>
          </c:spPr>
          <c:marker>
            <c:symbol val="circle"/>
            <c:size val="5"/>
            <c:spPr>
              <a:solidFill>
                <a:schemeClr val="accent1">
                  <a:lumMod val="60000"/>
                </a:schemeClr>
              </a:solidFill>
              <a:ln w="9525">
                <a:solidFill>
                  <a:schemeClr val="accent3"/>
                </a:solidFill>
              </a:ln>
              <a:effectLst/>
            </c:spPr>
          </c:marker>
          <c:dLbls>
            <c:dLbl>
              <c:idx val="3"/>
              <c:layout>
                <c:manualLayout>
                  <c:x val="-3.7178143257629435E-2"/>
                  <c:y val="-2.73871034142913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9DF3-4158-BC36-A9116D9EF930}"/>
                </c:ext>
              </c:extLst>
            </c:dLbl>
            <c:dLbl>
              <c:idx val="4"/>
              <c:layout>
                <c:manualLayout>
                  <c:x val="-3.506330768609512E-2"/>
                  <c:y val="-3.266832865854799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9DF3-4158-BC36-A9116D9EF930}"/>
                </c:ext>
              </c:extLst>
            </c:dLbl>
            <c:dLbl>
              <c:idx val="5"/>
              <c:layout>
                <c:manualLayout>
                  <c:x val="-3.506330768609512E-2"/>
                  <c:y val="-3.266832865854809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9DF3-4158-BC36-A9116D9EF930}"/>
                </c:ext>
              </c:extLst>
            </c:dLbl>
            <c:dLbl>
              <c:idx val="6"/>
              <c:layout>
                <c:manualLayout>
                  <c:x val="-3.7178143257629477E-2"/>
                  <c:y val="-3.794955390280466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9DF3-4158-BC36-A9116D9EF930}"/>
                </c:ext>
              </c:extLst>
            </c:dLbl>
            <c:dLbl>
              <c:idx val="7"/>
              <c:layout>
                <c:manualLayout>
                  <c:x val="-3.7178143257629435E-2"/>
                  <c:y val="-3.794955390280466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9DF3-4158-BC36-A9116D9EF930}"/>
                </c:ext>
              </c:extLst>
            </c:dLbl>
            <c:dLbl>
              <c:idx val="8"/>
              <c:layout>
                <c:manualLayout>
                  <c:x val="-3.5063307686095203E-2"/>
                  <c:y val="-3.266832865854799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9DF3-4158-BC36-A9116D9EF930}"/>
                </c:ext>
              </c:extLst>
            </c:dLbl>
            <c:dLbl>
              <c:idx val="9"/>
              <c:layout>
                <c:manualLayout>
                  <c:x val="-3.506330768609512E-2"/>
                  <c:y val="-3.266832865854799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9DF3-4158-BC36-A9116D9EF930}"/>
                </c:ext>
              </c:extLst>
            </c:dLbl>
            <c:dLbl>
              <c:idx val="11"/>
              <c:layout>
                <c:manualLayout>
                  <c:x val="-3.5063307686095203E-2"/>
                  <c:y val="4.12688247610452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9DF3-4158-BC36-A9116D9EF930}"/>
                </c:ext>
              </c:extLst>
            </c:dLbl>
            <c:spPr>
              <a:noFill/>
              <a:ln>
                <a:noFill/>
              </a:ln>
              <a:effectLst/>
            </c:spPr>
            <c:txPr>
              <a:bodyPr rot="0" spcFirstLastPara="1" vertOverflow="ellipsis" vert="horz" wrap="square" lIns="38100" tIns="0" rIns="38100" bIns="0" anchor="ctr" anchorCtr="1">
                <a:spAutoFit/>
              </a:bodyPr>
              <a:lstStyle/>
              <a:p>
                <a:pPr>
                  <a:defRPr sz="700" b="0" i="0" u="none" strike="noStrike" kern="1200" baseline="0">
                    <a:solidFill>
                      <a:schemeClr val="accent3"/>
                    </a:solidFill>
                    <a:latin typeface="+mn-lt"/>
                    <a:ea typeface="+mn-ea"/>
                    <a:cs typeface="+mn-cs"/>
                  </a:defRPr>
                </a:pPr>
                <a:endParaRPr lang="it-CH"/>
              </a:p>
            </c:txPr>
            <c:dLblPos val="b"/>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cat>
            <c:numRef>
              <c:f>'Serie dal 2000'!$A$9:$A$28</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'Serie dal 2000'!$H$9:$H$28</c:f>
              <c:numCache>
                <c:formatCode>#,##0</c:formatCode>
                <c:ptCount val="20"/>
                <c:pt idx="0">
                  <c:v>2009</c:v>
                </c:pt>
                <c:pt idx="1">
                  <c:v>2119</c:v>
                </c:pt>
                <c:pt idx="2">
                  <c:v>2312</c:v>
                </c:pt>
                <c:pt idx="3">
                  <c:v>2959</c:v>
                </c:pt>
                <c:pt idx="4">
                  <c:v>3305</c:v>
                </c:pt>
                <c:pt idx="5">
                  <c:v>3454</c:v>
                </c:pt>
                <c:pt idx="6">
                  <c:v>4684</c:v>
                </c:pt>
                <c:pt idx="7">
                  <c:v>5379</c:v>
                </c:pt>
                <c:pt idx="8">
                  <c:v>7088</c:v>
                </c:pt>
                <c:pt idx="9">
                  <c:v>5940</c:v>
                </c:pt>
                <c:pt idx="10">
                  <c:v>8116</c:v>
                </c:pt>
                <c:pt idx="11">
                  <c:v>8278</c:v>
                </c:pt>
                <c:pt idx="12">
                  <c:v>10930</c:v>
                </c:pt>
                <c:pt idx="13">
                  <c:v>8971</c:v>
                </c:pt>
                <c:pt idx="14">
                  <c:v>10066</c:v>
                </c:pt>
                <c:pt idx="15">
                  <c:v>10062</c:v>
                </c:pt>
                <c:pt idx="16">
                  <c:v>11826</c:v>
                </c:pt>
                <c:pt idx="17">
                  <c:v>14141</c:v>
                </c:pt>
                <c:pt idx="18">
                  <c:v>14445</c:v>
                </c:pt>
                <c:pt idx="19">
                  <c:v>15597</c:v>
                </c:pt>
              </c:numCache>
            </c:numRef>
          </c:val>
          <c:smooth val="0"/>
          <c:extLst>
            <c:ext xmlns:c16="http://schemas.microsoft.com/office/drawing/2014/chart" uri="{C3380CC4-5D6E-409C-BE32-E72D297353CC}">
              <c16:uniqueId val="{00000014-9DF3-4158-BC36-A9116D9EF930}"/>
            </c:ext>
          </c:extLst>
        </c:ser>
        <c:dLbls>
          <c:showLegendKey val="0"/>
          <c:showVal val="0"/>
          <c:showCatName val="0"/>
          <c:showSerName val="0"/>
          <c:showPercent val="0"/>
          <c:showBubbleSize val="0"/>
        </c:dLbls>
        <c:marker val="1"/>
        <c:smooth val="0"/>
        <c:axId val="593064104"/>
        <c:axId val="593062136"/>
        <c:extLst>
          <c:ext xmlns:c15="http://schemas.microsoft.com/office/drawing/2012/chart" uri="{02D57815-91ED-43cb-92C2-25804820EDAC}">
            <c15:filteredLineSeries>
              <c15:ser>
                <c:idx val="1"/>
                <c:order val="1"/>
                <c:tx>
                  <c:strRef>
                    <c:extLst>
                      <c:ext uri="{02D57815-91ED-43cb-92C2-25804820EDAC}">
                        <c15:formulaRef>
                          <c15:sqref>'Serie dal 2000'!$C$6:$C$8</c15:sqref>
                        </c15:formulaRef>
                      </c:ext>
                    </c:extLst>
                    <c:strCache>
                      <c:ptCount val="3"/>
                      <c:pt idx="2">
                        <c:v>Uomini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c:ext uri="{02D57815-91ED-43cb-92C2-25804820EDAC}">
                        <c15:formulaRef>
                          <c15:sqref>'Serie dal 2000'!$A$9:$A$28</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c:ext uri="{02D57815-91ED-43cb-92C2-25804820EDAC}">
                        <c15:formulaRef>
                          <c15:sqref>'Serie dal 2000'!$C$9:$C$28</c15:sqref>
                        </c15:formulaRef>
                      </c:ext>
                    </c:extLst>
                    <c:numCache>
                      <c:formatCode>#,##0</c:formatCode>
                      <c:ptCount val="20"/>
                      <c:pt idx="0">
                        <c:v>2982</c:v>
                      </c:pt>
                      <c:pt idx="1">
                        <c:v>3397</c:v>
                      </c:pt>
                      <c:pt idx="2">
                        <c:v>3420</c:v>
                      </c:pt>
                      <c:pt idx="3">
                        <c:v>3430</c:v>
                      </c:pt>
                      <c:pt idx="4">
                        <c:v>3881</c:v>
                      </c:pt>
                      <c:pt idx="5">
                        <c:v>3922</c:v>
                      </c:pt>
                      <c:pt idx="6">
                        <c:v>4923</c:v>
                      </c:pt>
                      <c:pt idx="7">
                        <c:v>5646</c:v>
                      </c:pt>
                      <c:pt idx="8">
                        <c:v>7177</c:v>
                      </c:pt>
                      <c:pt idx="9">
                        <c:v>5728</c:v>
                      </c:pt>
                      <c:pt idx="10">
                        <c:v>7402</c:v>
                      </c:pt>
                      <c:pt idx="11">
                        <c:v>8025</c:v>
                      </c:pt>
                      <c:pt idx="12">
                        <c:v>10220</c:v>
                      </c:pt>
                      <c:pt idx="13">
                        <c:v>8230</c:v>
                      </c:pt>
                      <c:pt idx="14">
                        <c:v>8807</c:v>
                      </c:pt>
                      <c:pt idx="15">
                        <c:v>9163</c:v>
                      </c:pt>
                      <c:pt idx="16">
                        <c:v>10823</c:v>
                      </c:pt>
                      <c:pt idx="17">
                        <c:v>12805</c:v>
                      </c:pt>
                      <c:pt idx="18">
                        <c:v>12972</c:v>
                      </c:pt>
                      <c:pt idx="19">
                        <c:v>13892</c:v>
                      </c:pt>
                    </c:numCache>
                  </c:numRef>
                </c:val>
                <c:smooth val="0"/>
                <c:extLst>
                  <c:ext xmlns:c16="http://schemas.microsoft.com/office/drawing/2014/chart" uri="{C3380CC4-5D6E-409C-BE32-E72D297353CC}">
                    <c16:uniqueId val="{00000015-9DF3-4158-BC36-A9116D9EF930}"/>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'Serie dal 2000'!$D$6:$D$8</c15:sqref>
                        </c15:formulaRef>
                      </c:ext>
                    </c:extLst>
                    <c:strCache>
                      <c:ptCount val="3"/>
                      <c:pt idx="2">
                        <c:v>Donne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'Serie dal 2000'!$A$9:$A$28</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'Serie dal 2000'!$D$9:$D$28</c15:sqref>
                        </c15:formulaRef>
                      </c:ext>
                    </c:extLst>
                    <c:numCache>
                      <c:formatCode>#,##0</c:formatCode>
                      <c:ptCount val="20"/>
                      <c:pt idx="0">
                        <c:v>1538</c:v>
                      </c:pt>
                      <c:pt idx="1">
                        <c:v>1514</c:v>
                      </c:pt>
                      <c:pt idx="2">
                        <c:v>1616</c:v>
                      </c:pt>
                      <c:pt idx="3">
                        <c:v>1961</c:v>
                      </c:pt>
                      <c:pt idx="4">
                        <c:v>1928</c:v>
                      </c:pt>
                      <c:pt idx="5">
                        <c:v>1878</c:v>
                      </c:pt>
                      <c:pt idx="6">
                        <c:v>2474</c:v>
                      </c:pt>
                      <c:pt idx="7">
                        <c:v>2762</c:v>
                      </c:pt>
                      <c:pt idx="8">
                        <c:v>3024</c:v>
                      </c:pt>
                      <c:pt idx="9">
                        <c:v>2494</c:v>
                      </c:pt>
                      <c:pt idx="10">
                        <c:v>2935</c:v>
                      </c:pt>
                      <c:pt idx="11">
                        <c:v>2855</c:v>
                      </c:pt>
                      <c:pt idx="12">
                        <c:v>3148</c:v>
                      </c:pt>
                      <c:pt idx="13">
                        <c:v>2600</c:v>
                      </c:pt>
                      <c:pt idx="14">
                        <c:v>2670</c:v>
                      </c:pt>
                      <c:pt idx="15">
                        <c:v>2394</c:v>
                      </c:pt>
                      <c:pt idx="16">
                        <c:v>2428</c:v>
                      </c:pt>
                      <c:pt idx="17">
                        <c:v>3149</c:v>
                      </c:pt>
                      <c:pt idx="18">
                        <c:v>3165</c:v>
                      </c:pt>
                      <c:pt idx="19">
                        <c:v>3758</c:v>
                      </c:pt>
                    </c:numCache>
                  </c:numRef>
                </c:val>
                <c:smooth val="0"/>
                <c:extLst xmlns:c15="http://schemas.microsoft.com/office/drawing/2012/chart">
                  <c:ext xmlns:c16="http://schemas.microsoft.com/office/drawing/2014/chart" uri="{C3380CC4-5D6E-409C-BE32-E72D297353CC}">
                    <c16:uniqueId val="{00000016-9DF3-4158-BC36-A9116D9EF930}"/>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'Serie dal 2000'!$F$6:$F$8</c15:sqref>
                        </c15:formulaRef>
                      </c:ext>
                    </c:extLst>
                    <c:strCache>
                      <c:ptCount val="3"/>
                      <c:pt idx="0">
                        <c:v>Svizzeri</c:v>
                      </c:pt>
                      <c:pt idx="2">
                        <c:v>Uomini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'Serie dal 2000'!$A$9:$A$28</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'Serie dal 2000'!$F$9:$F$28</c15:sqref>
                        </c15:formulaRef>
                      </c:ext>
                    </c:extLst>
                    <c:numCache>
                      <c:formatCode>#,##0</c:formatCode>
                      <c:ptCount val="20"/>
                      <c:pt idx="0">
                        <c:v>1518</c:v>
                      </c:pt>
                      <c:pt idx="1">
                        <c:v>1823</c:v>
                      </c:pt>
                      <c:pt idx="2">
                        <c:v>1737</c:v>
                      </c:pt>
                      <c:pt idx="3">
                        <c:v>1542</c:v>
                      </c:pt>
                      <c:pt idx="4">
                        <c:v>1594</c:v>
                      </c:pt>
                      <c:pt idx="5">
                        <c:v>1554</c:v>
                      </c:pt>
                      <c:pt idx="6">
                        <c:v>1786</c:v>
                      </c:pt>
                      <c:pt idx="7">
                        <c:v>2107</c:v>
                      </c:pt>
                      <c:pt idx="8">
                        <c:v>2246</c:v>
                      </c:pt>
                      <c:pt idx="9">
                        <c:v>1523</c:v>
                      </c:pt>
                      <c:pt idx="10">
                        <c:v>1506</c:v>
                      </c:pt>
                      <c:pt idx="11">
                        <c:v>1862</c:v>
                      </c:pt>
                      <c:pt idx="12">
                        <c:v>1819</c:v>
                      </c:pt>
                      <c:pt idx="13">
                        <c:v>1317</c:v>
                      </c:pt>
                      <c:pt idx="14">
                        <c:v>905</c:v>
                      </c:pt>
                      <c:pt idx="15">
                        <c:v>928</c:v>
                      </c:pt>
                      <c:pt idx="16">
                        <c:v>940</c:v>
                      </c:pt>
                      <c:pt idx="17">
                        <c:v>1306</c:v>
                      </c:pt>
                      <c:pt idx="18">
                        <c:v>1202</c:v>
                      </c:pt>
                      <c:pt idx="19">
                        <c:v>1453</c:v>
                      </c:pt>
                    </c:numCache>
                  </c:numRef>
                </c:val>
                <c:smooth val="0"/>
                <c:extLst xmlns:c15="http://schemas.microsoft.com/office/drawing/2012/chart">
                  <c:ext xmlns:c16="http://schemas.microsoft.com/office/drawing/2014/chart" uri="{C3380CC4-5D6E-409C-BE32-E72D297353CC}">
                    <c16:uniqueId val="{00000017-9DF3-4158-BC36-A9116D9EF930}"/>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'Serie dal 2000'!$G$6:$G$8</c15:sqref>
                        </c15:formulaRef>
                      </c:ext>
                    </c:extLst>
                    <c:strCache>
                      <c:ptCount val="3"/>
                      <c:pt idx="0">
                        <c:v>Svizzeri</c:v>
                      </c:pt>
                      <c:pt idx="2">
                        <c:v>Donne</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extLst xmlns:c15="http://schemas.microsoft.com/office/drawing/2012/chart">
                      <c:ext xmlns:c15="http://schemas.microsoft.com/office/drawing/2012/chart" uri="{02D57815-91ED-43cb-92C2-25804820EDAC}">
                        <c15:formulaRef>
                          <c15:sqref>'Serie dal 2000'!$A$9:$A$28</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'Serie dal 2000'!$G$9:$G$28</c15:sqref>
                        </c15:formulaRef>
                      </c:ext>
                    </c:extLst>
                    <c:numCache>
                      <c:formatCode>#,##0</c:formatCode>
                      <c:ptCount val="20"/>
                      <c:pt idx="0">
                        <c:v>993</c:v>
                      </c:pt>
                      <c:pt idx="1">
                        <c:v>969</c:v>
                      </c:pt>
                      <c:pt idx="2">
                        <c:v>987</c:v>
                      </c:pt>
                      <c:pt idx="3">
                        <c:v>890</c:v>
                      </c:pt>
                      <c:pt idx="4">
                        <c:v>910</c:v>
                      </c:pt>
                      <c:pt idx="5">
                        <c:v>792</c:v>
                      </c:pt>
                      <c:pt idx="6">
                        <c:v>927</c:v>
                      </c:pt>
                      <c:pt idx="7">
                        <c:v>922</c:v>
                      </c:pt>
                      <c:pt idx="8">
                        <c:v>867</c:v>
                      </c:pt>
                      <c:pt idx="9">
                        <c:v>759</c:v>
                      </c:pt>
                      <c:pt idx="10">
                        <c:v>715</c:v>
                      </c:pt>
                      <c:pt idx="11">
                        <c:v>740</c:v>
                      </c:pt>
                      <c:pt idx="12">
                        <c:v>619</c:v>
                      </c:pt>
                      <c:pt idx="13">
                        <c:v>542</c:v>
                      </c:pt>
                      <c:pt idx="14">
                        <c:v>506</c:v>
                      </c:pt>
                      <c:pt idx="15">
                        <c:v>567</c:v>
                      </c:pt>
                      <c:pt idx="16">
                        <c:v>485</c:v>
                      </c:pt>
                      <c:pt idx="17">
                        <c:v>507</c:v>
                      </c:pt>
                      <c:pt idx="18">
                        <c:v>490</c:v>
                      </c:pt>
                      <c:pt idx="19">
                        <c:v>600</c:v>
                      </c:pt>
                    </c:numCache>
                  </c:numRef>
                </c:val>
                <c:smooth val="0"/>
                <c:extLst xmlns:c15="http://schemas.microsoft.com/office/drawing/2012/chart">
                  <c:ext xmlns:c16="http://schemas.microsoft.com/office/drawing/2014/chart" uri="{C3380CC4-5D6E-409C-BE32-E72D297353CC}">
                    <c16:uniqueId val="{00000018-9DF3-4158-BC36-A9116D9EF930}"/>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'Serie dal 2000'!$I$6:$I$8</c15:sqref>
                        </c15:formulaRef>
                      </c:ext>
                    </c:extLst>
                    <c:strCache>
                      <c:ptCount val="3"/>
                      <c:pt idx="0">
                        <c:v>Stranieri</c:v>
                      </c:pt>
                      <c:pt idx="2">
                        <c:v>Uomini</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xmlns:c15="http://schemas.microsoft.com/office/drawing/2012/chart">
                      <c:ext xmlns:c15="http://schemas.microsoft.com/office/drawing/2012/chart" uri="{02D57815-91ED-43cb-92C2-25804820EDAC}">
                        <c15:formulaRef>
                          <c15:sqref>'Serie dal 2000'!$A$9:$A$28</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'Serie dal 2000'!$I$9:$I$28</c15:sqref>
                        </c15:formulaRef>
                      </c:ext>
                    </c:extLst>
                    <c:numCache>
                      <c:formatCode>#,##0</c:formatCode>
                      <c:ptCount val="20"/>
                      <c:pt idx="0">
                        <c:v>1464</c:v>
                      </c:pt>
                      <c:pt idx="1">
                        <c:v>1574</c:v>
                      </c:pt>
                      <c:pt idx="2">
                        <c:v>1683</c:v>
                      </c:pt>
                      <c:pt idx="3">
                        <c:v>1888</c:v>
                      </c:pt>
                      <c:pt idx="4">
                        <c:v>2287</c:v>
                      </c:pt>
                      <c:pt idx="5">
                        <c:v>2368</c:v>
                      </c:pt>
                      <c:pt idx="6">
                        <c:v>3137</c:v>
                      </c:pt>
                      <c:pt idx="7">
                        <c:v>3539</c:v>
                      </c:pt>
                      <c:pt idx="8">
                        <c:v>4931</c:v>
                      </c:pt>
                      <c:pt idx="9">
                        <c:v>4205</c:v>
                      </c:pt>
                      <c:pt idx="10">
                        <c:v>5896</c:v>
                      </c:pt>
                      <c:pt idx="11">
                        <c:v>6163</c:v>
                      </c:pt>
                      <c:pt idx="12">
                        <c:v>8401</c:v>
                      </c:pt>
                      <c:pt idx="13">
                        <c:v>6913</c:v>
                      </c:pt>
                      <c:pt idx="14">
                        <c:v>7902</c:v>
                      </c:pt>
                      <c:pt idx="15">
                        <c:v>8235</c:v>
                      </c:pt>
                      <c:pt idx="16">
                        <c:v>9883</c:v>
                      </c:pt>
                      <c:pt idx="17">
                        <c:v>11499</c:v>
                      </c:pt>
                      <c:pt idx="18">
                        <c:v>11770</c:v>
                      </c:pt>
                      <c:pt idx="19">
                        <c:v>12439</c:v>
                      </c:pt>
                    </c:numCache>
                  </c:numRef>
                </c:val>
                <c:smooth val="0"/>
                <c:extLst xmlns:c15="http://schemas.microsoft.com/office/drawing/2012/chart">
                  <c:ext xmlns:c16="http://schemas.microsoft.com/office/drawing/2014/chart" uri="{C3380CC4-5D6E-409C-BE32-E72D297353CC}">
                    <c16:uniqueId val="{00000019-9DF3-4158-BC36-A9116D9EF930}"/>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'Serie dal 2000'!$J$6:$J$8</c15:sqref>
                        </c15:formulaRef>
                      </c:ext>
                    </c:extLst>
                    <c:strCache>
                      <c:ptCount val="3"/>
                      <c:pt idx="0">
                        <c:v>Stranieri</c:v>
                      </c:pt>
                      <c:pt idx="2">
                        <c:v>Donne</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'Serie dal 2000'!$A$9:$A$28</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'Serie dal 2000'!$J$9:$J$28</c15:sqref>
                        </c15:formulaRef>
                      </c:ext>
                    </c:extLst>
                    <c:numCache>
                      <c:formatCode>#,##0</c:formatCode>
                      <c:ptCount val="20"/>
                      <c:pt idx="0">
                        <c:v>545</c:v>
                      </c:pt>
                      <c:pt idx="1">
                        <c:v>545</c:v>
                      </c:pt>
                      <c:pt idx="2">
                        <c:v>629</c:v>
                      </c:pt>
                      <c:pt idx="3">
                        <c:v>1071</c:v>
                      </c:pt>
                      <c:pt idx="4">
                        <c:v>1018</c:v>
                      </c:pt>
                      <c:pt idx="5">
                        <c:v>1086</c:v>
                      </c:pt>
                      <c:pt idx="6">
                        <c:v>1547</c:v>
                      </c:pt>
                      <c:pt idx="7">
                        <c:v>1840</c:v>
                      </c:pt>
                      <c:pt idx="8">
                        <c:v>2157</c:v>
                      </c:pt>
                      <c:pt idx="9">
                        <c:v>1735</c:v>
                      </c:pt>
                      <c:pt idx="10">
                        <c:v>2220</c:v>
                      </c:pt>
                      <c:pt idx="11">
                        <c:v>2115</c:v>
                      </c:pt>
                      <c:pt idx="12">
                        <c:v>2529</c:v>
                      </c:pt>
                      <c:pt idx="13">
                        <c:v>2058</c:v>
                      </c:pt>
                      <c:pt idx="14">
                        <c:v>2164</c:v>
                      </c:pt>
                      <c:pt idx="15">
                        <c:v>1827</c:v>
                      </c:pt>
                      <c:pt idx="16">
                        <c:v>1943</c:v>
                      </c:pt>
                      <c:pt idx="17">
                        <c:v>2642</c:v>
                      </c:pt>
                      <c:pt idx="18">
                        <c:v>2675</c:v>
                      </c:pt>
                      <c:pt idx="19">
                        <c:v>3158</c:v>
                      </c:pt>
                    </c:numCache>
                  </c:numRef>
                </c:val>
                <c:smooth val="0"/>
                <c:extLst xmlns:c15="http://schemas.microsoft.com/office/drawing/2012/chart">
                  <c:ext xmlns:c16="http://schemas.microsoft.com/office/drawing/2014/chart" uri="{C3380CC4-5D6E-409C-BE32-E72D297353CC}">
                    <c16:uniqueId val="{0000001A-9DF3-4158-BC36-A9116D9EF930}"/>
                  </c:ext>
                </c:extLst>
              </c15:ser>
            </c15:filteredLineSeries>
          </c:ext>
        </c:extLst>
      </c:lineChart>
      <c:catAx>
        <c:axId val="593064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crossAx val="593062136"/>
        <c:crosses val="autoZero"/>
        <c:auto val="1"/>
        <c:lblAlgn val="ctr"/>
        <c:lblOffset val="100"/>
        <c:noMultiLvlLbl val="0"/>
      </c:catAx>
      <c:valAx>
        <c:axId val="593062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crossAx val="593064104"/>
        <c:crosses val="autoZero"/>
        <c:crossBetween val="between"/>
        <c:majorUnit val="20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it-CH"/>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0E3415-B5F8-43D6-A9F7-69346C701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9345</Words>
  <Characters>53269</Characters>
  <Application>Microsoft Office Word</Application>
  <DocSecurity>0</DocSecurity>
  <Lines>443</Lines>
  <Paragraphs>124</Paragraphs>
  <ScaleCrop>false</ScaleCrop>
  <HeadingPairs>
    <vt:vector size="2" baseType="variant">
      <vt:variant>
        <vt:lpstr>Titolo</vt:lpstr>
      </vt:variant>
      <vt:variant>
        <vt:i4>1</vt:i4>
      </vt:variant>
    </vt:vector>
  </HeadingPairs>
  <TitlesOfParts>
    <vt:vector size="1" baseType="lpstr">
      <vt:lpstr/>
    </vt:vector>
  </TitlesOfParts>
  <Company>Amministrazione Cantonale</Company>
  <LinksUpToDate>false</LinksUpToDate>
  <CharactersWithSpaces>62490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Venturi Luca / T128124</dc:creator>
  <cp:keywords/>
  <cp:lastModifiedBy>Morandi Marisa</cp:lastModifiedBy>
  <cp:revision>2</cp:revision>
  <cp:lastPrinted>2021-02-08T09:57:00Z</cp:lastPrinted>
  <dcterms:created xsi:type="dcterms:W3CDTF">2021-02-09T12:56:00Z</dcterms:created>
  <dcterms:modified xsi:type="dcterms:W3CDTF">2021-02-09T12:56:00Z</dcterms:modified>
</cp:coreProperties>
</file>