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31" w:rsidRDefault="00CD7131" w:rsidP="00CD7131">
      <w:pPr>
        <w:rPr>
          <w:rFonts w:cs="Arial"/>
          <w:sz w:val="20"/>
          <w:szCs w:val="20"/>
        </w:rPr>
      </w:pPr>
      <w:r>
        <w:rPr>
          <w:rFonts w:ascii="Gill Sans MT" w:hAnsi="Gill Sans MT"/>
          <w:b/>
          <w:sz w:val="56"/>
          <w:szCs w:val="56"/>
        </w:rPr>
        <w:t>Rapporto</w:t>
      </w:r>
    </w:p>
    <w:p w:rsidR="00B860C2" w:rsidRPr="00CD7131" w:rsidRDefault="00B860C2" w:rsidP="00B860C2">
      <w:pPr>
        <w:rPr>
          <w:rFonts w:cs="Arial"/>
          <w:sz w:val="18"/>
          <w:szCs w:val="18"/>
        </w:rPr>
      </w:pPr>
      <w:bookmarkStart w:id="0" w:name="_GoBack"/>
    </w:p>
    <w:p w:rsidR="00CD7131" w:rsidRPr="00CD7131" w:rsidRDefault="00CD7131" w:rsidP="00B860C2">
      <w:pPr>
        <w:rPr>
          <w:rFonts w:cs="Arial"/>
          <w:sz w:val="18"/>
          <w:szCs w:val="18"/>
        </w:rPr>
      </w:pPr>
    </w:p>
    <w:bookmarkEnd w:id="0"/>
    <w:p w:rsidR="00B860C2" w:rsidRDefault="00CD0D07" w:rsidP="00B860C2">
      <w:pPr>
        <w:tabs>
          <w:tab w:val="left" w:pos="2098"/>
          <w:tab w:val="left" w:pos="4933"/>
        </w:tabs>
        <w:rPr>
          <w:rFonts w:cs="Arial"/>
          <w:szCs w:val="24"/>
        </w:rPr>
      </w:pPr>
      <w:r>
        <w:rPr>
          <w:rFonts w:cs="Arial"/>
          <w:b/>
          <w:sz w:val="32"/>
          <w:szCs w:val="32"/>
        </w:rPr>
        <w:t>7</w:t>
      </w:r>
      <w:r w:rsidR="005B19BB">
        <w:rPr>
          <w:rFonts w:cs="Arial"/>
          <w:b/>
          <w:sz w:val="32"/>
          <w:szCs w:val="32"/>
        </w:rPr>
        <w:t>656</w:t>
      </w:r>
      <w:r w:rsidR="00B860C2" w:rsidRPr="008B4137">
        <w:rPr>
          <w:rFonts w:cs="Arial"/>
          <w:b/>
          <w:sz w:val="32"/>
          <w:szCs w:val="32"/>
        </w:rPr>
        <w:t xml:space="preserve"> R</w:t>
      </w:r>
      <w:r w:rsidR="00B860C2" w:rsidRPr="008B4137">
        <w:rPr>
          <w:rFonts w:cs="Arial"/>
          <w:sz w:val="28"/>
          <w:szCs w:val="28"/>
        </w:rPr>
        <w:tab/>
      </w:r>
      <w:r w:rsidR="005B19BB">
        <w:rPr>
          <w:rFonts w:cs="Arial"/>
          <w:sz w:val="28"/>
          <w:szCs w:val="28"/>
        </w:rPr>
        <w:t>2</w:t>
      </w:r>
      <w:r>
        <w:rPr>
          <w:rFonts w:cs="Arial"/>
          <w:sz w:val="28"/>
          <w:szCs w:val="28"/>
        </w:rPr>
        <w:t xml:space="preserve"> marzo 2021</w:t>
      </w:r>
      <w:r w:rsidR="00B860C2" w:rsidRPr="008B4137">
        <w:rPr>
          <w:rFonts w:cs="Arial"/>
          <w:sz w:val="28"/>
          <w:szCs w:val="28"/>
        </w:rPr>
        <w:tab/>
      </w:r>
      <w:r w:rsidR="005B19BB" w:rsidRPr="00FA0CF1">
        <w:rPr>
          <w:rFonts w:cs="Arial"/>
          <w:color w:val="000000" w:themeColor="text1"/>
          <w:sz w:val="28"/>
          <w:szCs w:val="28"/>
        </w:rPr>
        <w:t>FINANZE E ECONOMIA</w:t>
      </w:r>
    </w:p>
    <w:p w:rsidR="00B860C2" w:rsidRDefault="00B860C2" w:rsidP="00B860C2">
      <w:pPr>
        <w:rPr>
          <w:rFonts w:cs="Arial"/>
          <w:szCs w:val="24"/>
        </w:rPr>
      </w:pPr>
    </w:p>
    <w:p w:rsidR="00A0486F" w:rsidRDefault="00A0486F" w:rsidP="00B860C2">
      <w:pPr>
        <w:rPr>
          <w:rFonts w:cs="Arial"/>
          <w:szCs w:val="24"/>
        </w:rPr>
      </w:pPr>
    </w:p>
    <w:p w:rsidR="00A0486F" w:rsidRDefault="00A0486F" w:rsidP="00B860C2">
      <w:pPr>
        <w:rPr>
          <w:rFonts w:cs="Arial"/>
          <w:szCs w:val="24"/>
        </w:rPr>
      </w:pPr>
    </w:p>
    <w:p w:rsidR="005B19BB" w:rsidRPr="00FA0CF1" w:rsidRDefault="005B19BB" w:rsidP="005B19BB">
      <w:pPr>
        <w:tabs>
          <w:tab w:val="left" w:pos="284"/>
          <w:tab w:val="left" w:pos="567"/>
        </w:tabs>
        <w:rPr>
          <w:rFonts w:cs="Arial"/>
          <w:b/>
          <w:color w:val="000000" w:themeColor="text1"/>
          <w:sz w:val="28"/>
          <w:szCs w:val="28"/>
        </w:rPr>
      </w:pPr>
      <w:r w:rsidRPr="00FA0CF1">
        <w:rPr>
          <w:rFonts w:cs="Arial"/>
          <w:b/>
          <w:color w:val="000000" w:themeColor="text1"/>
          <w:sz w:val="28"/>
          <w:szCs w:val="28"/>
        </w:rPr>
        <w:t xml:space="preserve">della Commissione economia e lavoro </w:t>
      </w:r>
    </w:p>
    <w:p w:rsidR="00A0486F" w:rsidRDefault="005B19BB" w:rsidP="00A0486F">
      <w:pPr>
        <w:tabs>
          <w:tab w:val="left" w:pos="567"/>
        </w:tabs>
        <w:spacing w:after="120"/>
        <w:rPr>
          <w:rFonts w:cs="Arial"/>
          <w:b/>
          <w:color w:val="000000" w:themeColor="text1"/>
          <w:sz w:val="28"/>
          <w:szCs w:val="28"/>
        </w:rPr>
      </w:pPr>
      <w:r w:rsidRPr="00FA0CF1">
        <w:rPr>
          <w:rFonts w:cs="Arial"/>
          <w:b/>
          <w:color w:val="000000" w:themeColor="text1"/>
          <w:sz w:val="28"/>
          <w:szCs w:val="28"/>
        </w:rPr>
        <w:t>sul messaggio</w:t>
      </w:r>
      <w:r>
        <w:rPr>
          <w:rFonts w:cs="Arial"/>
          <w:b/>
          <w:color w:val="000000" w:themeColor="text1"/>
          <w:sz w:val="28"/>
          <w:szCs w:val="28"/>
        </w:rPr>
        <w:t xml:space="preserve"> </w:t>
      </w:r>
      <w:r w:rsidRPr="00FA0CF1">
        <w:rPr>
          <w:rFonts w:cs="Arial"/>
          <w:b/>
          <w:bCs/>
          <w:color w:val="000000" w:themeColor="text1"/>
          <w:sz w:val="28"/>
          <w:szCs w:val="28"/>
        </w:rPr>
        <w:t>17 aprile 2019 concernente</w:t>
      </w:r>
      <w:r w:rsidRPr="00FA0CF1">
        <w:rPr>
          <w:rFonts w:cs="Arial"/>
          <w:b/>
          <w:color w:val="000000" w:themeColor="text1"/>
          <w:sz w:val="28"/>
          <w:szCs w:val="28"/>
        </w:rPr>
        <w:t xml:space="preserve"> </w:t>
      </w:r>
    </w:p>
    <w:p w:rsidR="00A0486F" w:rsidRPr="00A0486F" w:rsidRDefault="005B19BB" w:rsidP="00A0486F">
      <w:pPr>
        <w:tabs>
          <w:tab w:val="left" w:pos="567"/>
        </w:tabs>
        <w:spacing w:after="120"/>
        <w:rPr>
          <w:rFonts w:cs="Arial"/>
          <w:b/>
          <w:color w:val="000000" w:themeColor="text1"/>
          <w:sz w:val="28"/>
          <w:szCs w:val="28"/>
        </w:rPr>
      </w:pPr>
      <w:r w:rsidRPr="00A0486F">
        <w:rPr>
          <w:rFonts w:cs="Arial"/>
          <w:b/>
          <w:color w:val="000000" w:themeColor="text1"/>
          <w:sz w:val="28"/>
          <w:szCs w:val="28"/>
        </w:rPr>
        <w:t>la r</w:t>
      </w:r>
      <w:r w:rsidRPr="00A0486F">
        <w:rPr>
          <w:rFonts w:cs="Arial"/>
          <w:b/>
          <w:sz w:val="28"/>
          <w:szCs w:val="28"/>
        </w:rPr>
        <w:t>egistrazione sistematica degli stabilimenti d’alloggio dati in locazione ad uso turistico</w:t>
      </w:r>
    </w:p>
    <w:p w:rsidR="005B19BB" w:rsidRPr="00A0486F" w:rsidRDefault="005B19BB" w:rsidP="00A0486F">
      <w:pPr>
        <w:pStyle w:val="Paragrafoelenco"/>
        <w:tabs>
          <w:tab w:val="left" w:pos="284"/>
          <w:tab w:val="left" w:pos="567"/>
        </w:tabs>
        <w:rPr>
          <w:rFonts w:cs="Arial"/>
          <w:b/>
          <w:color w:val="000000" w:themeColor="text1"/>
          <w:sz w:val="28"/>
          <w:szCs w:val="28"/>
        </w:rPr>
      </w:pPr>
      <w:r w:rsidRPr="00A0486F">
        <w:rPr>
          <w:rFonts w:cs="Arial"/>
          <w:b/>
          <w:color w:val="000000" w:themeColor="text1"/>
          <w:sz w:val="28"/>
          <w:szCs w:val="28"/>
        </w:rPr>
        <w:t>la p</w:t>
      </w:r>
      <w:r w:rsidRPr="00A0486F">
        <w:rPr>
          <w:rFonts w:cs="Arial"/>
          <w:b/>
          <w:sz w:val="28"/>
          <w:szCs w:val="28"/>
        </w:rPr>
        <w:t>roposta di modifica della Legge sul turismo (</w:t>
      </w:r>
      <w:proofErr w:type="spellStart"/>
      <w:r w:rsidRPr="00A0486F">
        <w:rPr>
          <w:rFonts w:cs="Arial"/>
          <w:b/>
          <w:sz w:val="28"/>
          <w:szCs w:val="28"/>
        </w:rPr>
        <w:t>LTur</w:t>
      </w:r>
      <w:proofErr w:type="spellEnd"/>
      <w:r w:rsidRPr="00A0486F">
        <w:rPr>
          <w:rFonts w:cs="Arial"/>
          <w:b/>
          <w:sz w:val="28"/>
          <w:szCs w:val="28"/>
        </w:rPr>
        <w:t>) volta a permettere la riscossione della tassa di soggiorno tramite le piattaforme online a incasso diretto</w:t>
      </w:r>
    </w:p>
    <w:p w:rsidR="005B19BB" w:rsidRPr="00A0486F" w:rsidRDefault="005B19BB" w:rsidP="005B19BB">
      <w:pPr>
        <w:tabs>
          <w:tab w:val="left" w:pos="284"/>
          <w:tab w:val="left" w:pos="567"/>
        </w:tabs>
        <w:rPr>
          <w:rFonts w:cs="Arial"/>
          <w:bCs/>
          <w:color w:val="000000" w:themeColor="text1"/>
          <w:szCs w:val="24"/>
        </w:rPr>
      </w:pPr>
    </w:p>
    <w:p w:rsidR="005B19BB" w:rsidRPr="00A0486F" w:rsidRDefault="005B19BB" w:rsidP="005B19BB">
      <w:pPr>
        <w:tabs>
          <w:tab w:val="left" w:pos="284"/>
          <w:tab w:val="left" w:pos="567"/>
        </w:tabs>
        <w:rPr>
          <w:rFonts w:cs="Arial"/>
          <w:bCs/>
          <w:color w:val="000000" w:themeColor="text1"/>
          <w:szCs w:val="24"/>
        </w:rPr>
      </w:pPr>
    </w:p>
    <w:p w:rsidR="005B19BB" w:rsidRPr="00A0486F" w:rsidRDefault="005B19BB" w:rsidP="005B19BB">
      <w:pPr>
        <w:pStyle w:val="NormaleWeb"/>
        <w:spacing w:before="0" w:beforeAutospacing="0" w:after="0" w:afterAutospacing="0"/>
        <w:jc w:val="both"/>
        <w:rPr>
          <w:rFonts w:ascii="Arial" w:hAnsi="Arial" w:cs="Arial"/>
          <w:bCs/>
          <w:color w:val="000000" w:themeColor="text1"/>
        </w:rPr>
      </w:pPr>
    </w:p>
    <w:p w:rsidR="005B19BB" w:rsidRPr="00A0486F" w:rsidRDefault="005B19BB" w:rsidP="00A0486F">
      <w:pPr>
        <w:pStyle w:val="NormaleWeb"/>
        <w:tabs>
          <w:tab w:val="left" w:pos="567"/>
        </w:tabs>
        <w:spacing w:before="0" w:beforeAutospacing="0" w:after="120" w:afterAutospacing="0"/>
        <w:jc w:val="both"/>
        <w:rPr>
          <w:rFonts w:ascii="Arial" w:hAnsi="Arial" w:cs="Arial"/>
          <w:b/>
          <w:bCs/>
          <w:color w:val="000000" w:themeColor="text1"/>
        </w:rPr>
      </w:pPr>
      <w:r w:rsidRPr="00A0486F">
        <w:rPr>
          <w:rFonts w:ascii="Arial" w:hAnsi="Arial" w:cs="Arial"/>
          <w:b/>
          <w:bCs/>
          <w:color w:val="000000" w:themeColor="text1"/>
        </w:rPr>
        <w:t xml:space="preserve">1. </w:t>
      </w:r>
      <w:r w:rsidR="00A0486F">
        <w:rPr>
          <w:rFonts w:ascii="Arial" w:hAnsi="Arial" w:cs="Arial"/>
          <w:b/>
          <w:bCs/>
          <w:color w:val="000000" w:themeColor="text1"/>
        </w:rPr>
        <w:tab/>
      </w:r>
      <w:r w:rsidRPr="00A0486F">
        <w:rPr>
          <w:rFonts w:ascii="Arial" w:hAnsi="Arial" w:cs="Arial"/>
          <w:b/>
          <w:bCs/>
          <w:color w:val="000000" w:themeColor="text1"/>
        </w:rPr>
        <w:t>IL MESSAGGIO GOVERNATIVO</w:t>
      </w:r>
    </w:p>
    <w:p w:rsidR="005B19BB" w:rsidRPr="00FA0CF1" w:rsidRDefault="005B19BB" w:rsidP="005B19BB">
      <w:pPr>
        <w:rPr>
          <w:rFonts w:cs="Arial"/>
          <w:color w:val="000000" w:themeColor="text1"/>
        </w:rPr>
      </w:pPr>
      <w:r w:rsidRPr="00FA0CF1">
        <w:rPr>
          <w:rFonts w:cs="Arial"/>
          <w:bCs/>
          <w:color w:val="000000" w:themeColor="text1"/>
        </w:rPr>
        <w:t xml:space="preserve">In sintesi il Consiglio di Stato </w:t>
      </w:r>
      <w:r w:rsidRPr="00FA0CF1">
        <w:rPr>
          <w:rFonts w:cs="Arial"/>
        </w:rPr>
        <w:t>propone modifiche della legge sul turismo (</w:t>
      </w:r>
      <w:proofErr w:type="spellStart"/>
      <w:r w:rsidRPr="00FA0CF1">
        <w:rPr>
          <w:rFonts w:cs="Arial"/>
        </w:rPr>
        <w:t>LTur</w:t>
      </w:r>
      <w:proofErr w:type="spellEnd"/>
      <w:r w:rsidRPr="00FA0CF1">
        <w:rPr>
          <w:rFonts w:cs="Arial"/>
        </w:rPr>
        <w:t xml:space="preserve">) volte da un lato a </w:t>
      </w:r>
      <w:r w:rsidRPr="00FA0CF1">
        <w:rPr>
          <w:rFonts w:cs="Arial"/>
          <w:b/>
          <w:bCs/>
        </w:rPr>
        <w:t>registrare sistematicamente tutti gli stabilimenti di alloggio</w:t>
      </w:r>
      <w:r w:rsidRPr="00FA0CF1">
        <w:rPr>
          <w:rFonts w:cs="Arial"/>
        </w:rPr>
        <w:t xml:space="preserve"> allo scopo di ottenere un maggior controllo </w:t>
      </w:r>
      <w:r w:rsidRPr="00FA0CF1">
        <w:rPr>
          <w:rFonts w:cs="Arial"/>
          <w:color w:val="000000" w:themeColor="text1"/>
        </w:rPr>
        <w:t xml:space="preserve">dell’offerta turistica e dall’altro ad </w:t>
      </w:r>
      <w:r w:rsidRPr="00FA0CF1">
        <w:rPr>
          <w:rFonts w:cs="Arial"/>
          <w:b/>
          <w:bCs/>
          <w:color w:val="000000" w:themeColor="text1"/>
        </w:rPr>
        <w:t>adeguare le modalità di riscossione della tassa di soggiorno alle nuove forme di prenotazione tramite piattaforme online a incasso diretto</w:t>
      </w:r>
      <w:r w:rsidRPr="00FA0CF1">
        <w:rPr>
          <w:rFonts w:cs="Arial"/>
          <w:color w:val="000000" w:themeColor="text1"/>
        </w:rPr>
        <w:t>; il tutto con gli obiettivi di</w:t>
      </w:r>
      <w:r w:rsidRPr="00FA0CF1">
        <w:rPr>
          <w:rFonts w:cs="Arial"/>
          <w:b/>
          <w:bCs/>
          <w:color w:val="000000" w:themeColor="text1"/>
        </w:rPr>
        <w:t xml:space="preserve"> </w:t>
      </w:r>
      <w:r w:rsidRPr="00FA0CF1">
        <w:rPr>
          <w:rFonts w:cs="Arial"/>
          <w:color w:val="000000" w:themeColor="text1"/>
        </w:rPr>
        <w:t>garantire l’incasso sistematico della tassa di soggiorno e della tassa di promozione turistica (vale a dire probabilmente più soldi per il sistema turistico), garantire l’annuncio automatico dei pernottamenti alla Polizia (più sicurezza) e assicurarsi che gli oggetti messi sul mercato siano idonei</w:t>
      </w:r>
      <w:r w:rsidRPr="00FA0CF1">
        <w:rPr>
          <w:rFonts w:cs="Arial"/>
          <w:b/>
          <w:bCs/>
          <w:color w:val="000000" w:themeColor="text1"/>
        </w:rPr>
        <w:t xml:space="preserve"> </w:t>
      </w:r>
      <w:r w:rsidRPr="00FA0CF1">
        <w:rPr>
          <w:rFonts w:cs="Arial"/>
          <w:color w:val="000000" w:themeColor="text1"/>
        </w:rPr>
        <w:t xml:space="preserve">per l’attività ricettiva (più qualità ed equità). </w:t>
      </w:r>
    </w:p>
    <w:p w:rsidR="005B19BB" w:rsidRPr="00FA0CF1" w:rsidRDefault="005B19BB" w:rsidP="005B19BB">
      <w:pPr>
        <w:rPr>
          <w:rFonts w:cs="Arial"/>
          <w:color w:val="000000" w:themeColor="text1"/>
        </w:rPr>
      </w:pPr>
    </w:p>
    <w:p w:rsidR="005B19BB" w:rsidRPr="00FA0CF1" w:rsidRDefault="005B19BB" w:rsidP="005B19BB">
      <w:pPr>
        <w:rPr>
          <w:rFonts w:cs="Arial"/>
          <w:color w:val="000000" w:themeColor="text1"/>
        </w:rPr>
      </w:pPr>
      <w:r w:rsidRPr="00FA0CF1">
        <w:rPr>
          <w:rFonts w:cs="Arial"/>
          <w:b/>
          <w:bCs/>
        </w:rPr>
        <w:t xml:space="preserve">Le modifiche proposte secondo il Consiglio di Stato si rendono necessarie anche a fronte del forte aumento di posti letto dati in locazione ad uso turistico in camere, appartamenti e case private attraverso delle piattaforme virtuali, come ad esempio (ma non solo) </w:t>
      </w:r>
      <w:proofErr w:type="spellStart"/>
      <w:r w:rsidRPr="00FA0CF1">
        <w:rPr>
          <w:rFonts w:cs="Arial"/>
          <w:b/>
          <w:bCs/>
        </w:rPr>
        <w:t>Airbnb</w:t>
      </w:r>
      <w:proofErr w:type="spellEnd"/>
      <w:r w:rsidRPr="00FA0CF1">
        <w:rPr>
          <w:rFonts w:cs="Arial"/>
          <w:b/>
          <w:bCs/>
        </w:rPr>
        <w:t>.</w:t>
      </w:r>
      <w:r w:rsidRPr="00FA0CF1">
        <w:rPr>
          <w:rFonts w:cs="Arial"/>
        </w:rPr>
        <w:t xml:space="preserve"> Si tratta di una nuova forma di offerta ricettiva molto dinamica che secondo il governo cantonale rappresenta certo un’opportunità di crescita turistica per le destinazioni, ma che al contempo nasconde qualche insidia che va gestita, come ad esempio la pressione sul settore alberghiero o il non rispetto (anche in buona fede) di vari disposti di legge, con conseguenze su entrate (turistiche e fiscali), qualità e sicurezza. </w:t>
      </w:r>
    </w:p>
    <w:p w:rsidR="005B19BB" w:rsidRPr="00FA0CF1" w:rsidRDefault="005B19BB" w:rsidP="005B19BB">
      <w:pPr>
        <w:rPr>
          <w:rFonts w:cs="Arial"/>
          <w:color w:val="000000" w:themeColor="text1"/>
        </w:rPr>
      </w:pPr>
    </w:p>
    <w:p w:rsidR="005B19BB" w:rsidRPr="00FA0CF1" w:rsidRDefault="005B19BB" w:rsidP="0001002B">
      <w:pPr>
        <w:spacing w:after="120"/>
        <w:rPr>
          <w:rFonts w:cs="Arial"/>
          <w:color w:val="000000" w:themeColor="text1"/>
        </w:rPr>
      </w:pPr>
      <w:r w:rsidRPr="00FA0CF1">
        <w:rPr>
          <w:rFonts w:cs="Arial"/>
          <w:color w:val="000000" w:themeColor="text1"/>
        </w:rPr>
        <w:t xml:space="preserve">Gli </w:t>
      </w:r>
      <w:r w:rsidRPr="00FA0CF1">
        <w:rPr>
          <w:rFonts w:cs="Arial"/>
          <w:b/>
          <w:bCs/>
          <w:color w:val="000000" w:themeColor="text1"/>
        </w:rPr>
        <w:t>effetti positivi</w:t>
      </w:r>
      <w:r w:rsidRPr="00FA0CF1">
        <w:rPr>
          <w:rFonts w:cs="Arial"/>
          <w:color w:val="000000" w:themeColor="text1"/>
        </w:rPr>
        <w:t xml:space="preserve"> attesi, secondo il messaggio governativo, sono i seguenti:</w:t>
      </w:r>
    </w:p>
    <w:p w:rsidR="005B19BB" w:rsidRPr="00BF139E" w:rsidRDefault="005B19BB" w:rsidP="0001002B">
      <w:pPr>
        <w:numPr>
          <w:ilvl w:val="0"/>
          <w:numId w:val="13"/>
        </w:numPr>
        <w:spacing w:after="100"/>
        <w:ind w:left="284" w:hanging="284"/>
        <w:rPr>
          <w:rFonts w:cs="Arial"/>
          <w:b/>
          <w:bCs/>
          <w:color w:val="000000" w:themeColor="text1"/>
        </w:rPr>
      </w:pPr>
      <w:r w:rsidRPr="001A7F99">
        <w:rPr>
          <w:rFonts w:cs="Arial"/>
          <w:b/>
          <w:bCs/>
          <w:color w:val="000000" w:themeColor="text1"/>
        </w:rPr>
        <w:t>un quadro realistico dell’offerta ricettiva a disposizione delle OTR, che devono provvedere alla sua promozione;</w:t>
      </w:r>
    </w:p>
    <w:p w:rsidR="005B19BB" w:rsidRPr="00BF139E" w:rsidRDefault="005B19BB" w:rsidP="0001002B">
      <w:pPr>
        <w:numPr>
          <w:ilvl w:val="0"/>
          <w:numId w:val="13"/>
        </w:numPr>
        <w:spacing w:after="100"/>
        <w:ind w:left="284" w:hanging="284"/>
        <w:rPr>
          <w:rFonts w:cs="Arial"/>
          <w:color w:val="000000" w:themeColor="text1"/>
        </w:rPr>
      </w:pPr>
      <w:r w:rsidRPr="001A7F99">
        <w:rPr>
          <w:rFonts w:cs="Arial"/>
          <w:b/>
          <w:bCs/>
          <w:color w:val="000000" w:themeColor="text1"/>
        </w:rPr>
        <w:t>parità di trattamento tra le varie tipologie di strutture ricettive e canali di vendita</w:t>
      </w:r>
      <w:r w:rsidRPr="00FA0CF1">
        <w:rPr>
          <w:rFonts w:cs="Arial"/>
          <w:color w:val="000000" w:themeColor="text1"/>
        </w:rPr>
        <w:t>;</w:t>
      </w:r>
    </w:p>
    <w:p w:rsidR="005B19BB" w:rsidRPr="00BF139E" w:rsidRDefault="005B19BB" w:rsidP="0001002B">
      <w:pPr>
        <w:numPr>
          <w:ilvl w:val="0"/>
          <w:numId w:val="13"/>
        </w:numPr>
        <w:spacing w:after="100"/>
        <w:ind w:left="284" w:hanging="284"/>
        <w:rPr>
          <w:rFonts w:cs="Arial"/>
          <w:color w:val="000000" w:themeColor="text1"/>
        </w:rPr>
      </w:pPr>
      <w:r w:rsidRPr="001A7F99">
        <w:rPr>
          <w:rFonts w:cs="Arial"/>
          <w:b/>
          <w:bCs/>
          <w:color w:val="000000" w:themeColor="text1"/>
        </w:rPr>
        <w:t>incasso sistematico della tassa di soggiorno, della tassa di promozione turistica e dei contributi comunali a favore del sistema turistico</w:t>
      </w:r>
      <w:r w:rsidRPr="00FA0CF1">
        <w:rPr>
          <w:rFonts w:cs="Arial"/>
          <w:color w:val="000000" w:themeColor="text1"/>
        </w:rPr>
        <w:t>;</w:t>
      </w:r>
    </w:p>
    <w:p w:rsidR="005B19BB" w:rsidRPr="00BF139E" w:rsidRDefault="005B19BB" w:rsidP="0001002B">
      <w:pPr>
        <w:numPr>
          <w:ilvl w:val="0"/>
          <w:numId w:val="13"/>
        </w:numPr>
        <w:spacing w:after="120"/>
        <w:ind w:left="284" w:hanging="284"/>
        <w:rPr>
          <w:rFonts w:cs="Arial"/>
          <w:color w:val="000000" w:themeColor="text1"/>
        </w:rPr>
      </w:pPr>
      <w:r w:rsidRPr="001A7F99">
        <w:rPr>
          <w:rFonts w:cs="Arial"/>
          <w:b/>
          <w:bCs/>
          <w:color w:val="000000" w:themeColor="text1"/>
        </w:rPr>
        <w:t>una maggiore sicurezza sul territorio grazie all’annuncio alla Polizia</w:t>
      </w:r>
      <w:r w:rsidRPr="00FA0CF1">
        <w:rPr>
          <w:rFonts w:cs="Arial"/>
          <w:color w:val="000000" w:themeColor="text1"/>
        </w:rPr>
        <w:t>;</w:t>
      </w:r>
    </w:p>
    <w:p w:rsidR="005B19BB" w:rsidRPr="001A7F99" w:rsidRDefault="005B19BB" w:rsidP="00A0486F">
      <w:pPr>
        <w:numPr>
          <w:ilvl w:val="0"/>
          <w:numId w:val="13"/>
        </w:numPr>
        <w:ind w:left="284" w:hanging="284"/>
        <w:rPr>
          <w:rFonts w:cs="Arial"/>
          <w:b/>
          <w:bCs/>
          <w:color w:val="000000" w:themeColor="text1"/>
        </w:rPr>
      </w:pPr>
      <w:r w:rsidRPr="001A7F99">
        <w:rPr>
          <w:rFonts w:cs="Arial"/>
          <w:b/>
          <w:bCs/>
          <w:color w:val="000000" w:themeColor="text1"/>
        </w:rPr>
        <w:t>l’eliminazione del fenomeno di subaffitto non dichiarato, grazie alla necessaria autocertificazione.</w:t>
      </w:r>
    </w:p>
    <w:p w:rsidR="005B19BB" w:rsidRPr="00FA0CF1" w:rsidRDefault="005B19BB" w:rsidP="005B19BB">
      <w:pPr>
        <w:rPr>
          <w:rFonts w:cs="Arial"/>
          <w:color w:val="000000" w:themeColor="text1"/>
        </w:rPr>
      </w:pPr>
      <w:r w:rsidRPr="00FA0CF1">
        <w:rPr>
          <w:rFonts w:cs="Arial"/>
          <w:color w:val="000000" w:themeColor="text1"/>
        </w:rPr>
        <w:lastRenderedPageBreak/>
        <w:t xml:space="preserve">In sostanza il Consiglio di Stato propone un </w:t>
      </w:r>
      <w:r w:rsidRPr="00FA0CF1">
        <w:rPr>
          <w:rFonts w:cs="Arial"/>
          <w:b/>
          <w:bCs/>
          <w:color w:val="000000" w:themeColor="text1"/>
        </w:rPr>
        <w:t>sistema di registrazione di tutti i datori di alloggio, sottoposti o meno alla Lear, tramite numero identificativo</w:t>
      </w:r>
      <w:r w:rsidRPr="00FA0CF1">
        <w:rPr>
          <w:rFonts w:cs="Arial"/>
          <w:color w:val="000000" w:themeColor="text1"/>
        </w:rPr>
        <w:t xml:space="preserve">, grazie al quale tutti gli oggetti messi sul mercato saranno controllati e sottoposti all’obbligatoria riscossione di tassa di soggiorno (TS) e tassa di promozione (TPT). Per garantire che nessun pernottamento si possa sottrarre a questo pagamento è previsto </w:t>
      </w:r>
      <w:r w:rsidRPr="00FA0CF1">
        <w:rPr>
          <w:rFonts w:cs="Arial"/>
          <w:b/>
          <w:bCs/>
          <w:color w:val="000000" w:themeColor="text1"/>
        </w:rPr>
        <w:t>l’inserimento di una nuova categoria di alloggi – sia nella legge (art. 21) che nel regolamento (art.</w:t>
      </w:r>
      <w:r w:rsidR="0001002B">
        <w:rPr>
          <w:rFonts w:cs="Arial"/>
          <w:b/>
          <w:bCs/>
          <w:color w:val="000000" w:themeColor="text1"/>
        </w:rPr>
        <w:t xml:space="preserve"> </w:t>
      </w:r>
      <w:r w:rsidRPr="00FA0CF1">
        <w:rPr>
          <w:rFonts w:cs="Arial"/>
          <w:b/>
          <w:bCs/>
          <w:color w:val="000000" w:themeColor="text1"/>
        </w:rPr>
        <w:t>11) – che raggrupperà “</w:t>
      </w:r>
      <w:r w:rsidRPr="00FA0CF1">
        <w:rPr>
          <w:rFonts w:cs="Arial"/>
          <w:b/>
          <w:bCs/>
          <w:i/>
          <w:iCs/>
          <w:color w:val="000000" w:themeColor="text1"/>
        </w:rPr>
        <w:t>camere, appartamenti o case date in locazione ad uso turistico o alloggi turistici simili</w:t>
      </w:r>
      <w:r w:rsidRPr="00FA0CF1">
        <w:rPr>
          <w:rFonts w:cs="Arial"/>
          <w:b/>
          <w:bCs/>
          <w:color w:val="000000" w:themeColor="text1"/>
        </w:rPr>
        <w:t>”</w:t>
      </w:r>
      <w:r w:rsidRPr="00FA0CF1">
        <w:rPr>
          <w:rFonts w:cs="Arial"/>
          <w:bCs/>
          <w:color w:val="000000" w:themeColor="text1"/>
        </w:rPr>
        <w:t xml:space="preserve">. Le trattative con </w:t>
      </w:r>
      <w:proofErr w:type="spellStart"/>
      <w:r w:rsidRPr="00FA0CF1">
        <w:rPr>
          <w:rFonts w:cs="Arial"/>
          <w:bCs/>
          <w:color w:val="000000" w:themeColor="text1"/>
        </w:rPr>
        <w:t>Airbnb</w:t>
      </w:r>
      <w:proofErr w:type="spellEnd"/>
      <w:r w:rsidRPr="00FA0CF1">
        <w:rPr>
          <w:rFonts w:cs="Arial"/>
          <w:bCs/>
          <w:color w:val="000000" w:themeColor="text1"/>
        </w:rPr>
        <w:t xml:space="preserve"> – spiega il messaggio governativo – hanno portato il Cantone a decidere di </w:t>
      </w:r>
      <w:r w:rsidRPr="00FA0CF1">
        <w:rPr>
          <w:rFonts w:cs="Arial"/>
          <w:b/>
          <w:color w:val="000000" w:themeColor="text1"/>
        </w:rPr>
        <w:t>far riversare all’Agenzia Turistica Ticinese (ATT) le tasse di soggiorno prelevate tramite il portale online</w:t>
      </w:r>
      <w:r w:rsidRPr="00FA0CF1">
        <w:rPr>
          <w:rFonts w:cs="Arial"/>
          <w:bCs/>
          <w:color w:val="000000" w:themeColor="text1"/>
        </w:rPr>
        <w:t xml:space="preserve"> al momento della prenotazione dell’alloggio: per fare questo occorre modificare nella </w:t>
      </w:r>
      <w:proofErr w:type="spellStart"/>
      <w:r w:rsidRPr="00FA0CF1">
        <w:rPr>
          <w:rFonts w:cs="Arial"/>
          <w:bCs/>
          <w:color w:val="000000" w:themeColor="text1"/>
        </w:rPr>
        <w:t>LTur</w:t>
      </w:r>
      <w:proofErr w:type="spellEnd"/>
      <w:r w:rsidRPr="00FA0CF1">
        <w:rPr>
          <w:rFonts w:cs="Arial"/>
          <w:bCs/>
          <w:color w:val="000000" w:themeColor="text1"/>
        </w:rPr>
        <w:t xml:space="preserve"> i compiti dell’ATT (nello specifico, il compito aggiuntivo sarà quello di concludere accordi con terzi, in particolare le piattaforme online a incasso diretto). I proventi della tassa di soggiorno applicata ai pernottamenti tramite piattaforme a incasso diretto </w:t>
      </w:r>
      <w:r w:rsidRPr="00FA0CF1">
        <w:rPr>
          <w:rFonts w:cs="Arial"/>
          <w:color w:val="000000" w:themeColor="text1"/>
        </w:rPr>
        <w:t>possono essere usati dall’ATT, previo accordo con le quattro OTR, per il finanziamento di progetti turistici cantonali o, se non fosse il caso, possono essere riversati alle OTR.</w:t>
      </w:r>
      <w:r w:rsidRPr="00FA0CF1">
        <w:rPr>
          <w:rFonts w:cs="Arial"/>
          <w:bCs/>
          <w:color w:val="000000" w:themeColor="text1"/>
        </w:rPr>
        <w:t xml:space="preserve"> </w:t>
      </w:r>
    </w:p>
    <w:p w:rsidR="005B19BB" w:rsidRPr="00A0486F" w:rsidRDefault="005B19BB" w:rsidP="005B19BB">
      <w:pPr>
        <w:rPr>
          <w:rFonts w:cs="Arial"/>
          <w:bCs/>
          <w:color w:val="000000" w:themeColor="text1"/>
        </w:rPr>
      </w:pPr>
    </w:p>
    <w:p w:rsidR="005B19BB" w:rsidRPr="00FA0CF1" w:rsidRDefault="005B19BB" w:rsidP="005B19BB">
      <w:pPr>
        <w:rPr>
          <w:rFonts w:cs="Arial"/>
          <w:color w:val="000000" w:themeColor="text1"/>
        </w:rPr>
      </w:pPr>
      <w:r w:rsidRPr="00FA0CF1">
        <w:rPr>
          <w:rFonts w:cs="Arial"/>
          <w:b/>
          <w:bCs/>
          <w:color w:val="000000" w:themeColor="text1"/>
        </w:rPr>
        <w:t xml:space="preserve">La tassa di soggiorno per la nuova categoria di alloggi definita nel </w:t>
      </w:r>
      <w:proofErr w:type="spellStart"/>
      <w:r w:rsidRPr="00FA0CF1">
        <w:rPr>
          <w:rFonts w:cs="Arial"/>
          <w:b/>
          <w:bCs/>
          <w:color w:val="000000" w:themeColor="text1"/>
        </w:rPr>
        <w:t>RLTur</w:t>
      </w:r>
      <w:proofErr w:type="spellEnd"/>
      <w:r w:rsidRPr="00FA0CF1">
        <w:rPr>
          <w:rFonts w:cs="Arial"/>
          <w:b/>
          <w:bCs/>
          <w:color w:val="000000" w:themeColor="text1"/>
        </w:rPr>
        <w:t xml:space="preserve"> è fissata a franchi </w:t>
      </w:r>
      <w:proofErr w:type="gramStart"/>
      <w:r w:rsidRPr="00FA0CF1">
        <w:rPr>
          <w:rFonts w:cs="Arial"/>
          <w:b/>
          <w:bCs/>
          <w:color w:val="000000" w:themeColor="text1"/>
        </w:rPr>
        <w:t>2.-</w:t>
      </w:r>
      <w:proofErr w:type="gramEnd"/>
      <w:r w:rsidRPr="00FA0CF1">
        <w:rPr>
          <w:rFonts w:cs="Arial"/>
          <w:color w:val="000000" w:themeColor="text1"/>
        </w:rPr>
        <w:t xml:space="preserve">; un importo che – visto che in Ticino per la camere di albergo la tassa di soggiorno è differenziata in funzione delle categorie di alloggio – è più basso rispetto a quello per le camere d’albergo, che possono comunque essere inserite sulle piattaforme: ATT dovrà dunque valutare se e come offrire loro il Ticino Ticket. </w:t>
      </w:r>
      <w:r w:rsidRPr="00FA0CF1">
        <w:rPr>
          <w:rFonts w:cs="Arial"/>
          <w:b/>
          <w:bCs/>
          <w:color w:val="000000" w:themeColor="text1"/>
        </w:rPr>
        <w:t xml:space="preserve">Il Consiglio di Stato – basandosi sui dati 2018 forniti da </w:t>
      </w:r>
      <w:proofErr w:type="spellStart"/>
      <w:r w:rsidRPr="00FA0CF1">
        <w:rPr>
          <w:rFonts w:cs="Arial"/>
          <w:b/>
          <w:bCs/>
          <w:color w:val="000000" w:themeColor="text1"/>
        </w:rPr>
        <w:t>Airbnb</w:t>
      </w:r>
      <w:proofErr w:type="spellEnd"/>
      <w:r w:rsidRPr="00FA0CF1">
        <w:rPr>
          <w:rFonts w:cs="Arial"/>
          <w:b/>
          <w:bCs/>
          <w:color w:val="000000" w:themeColor="text1"/>
        </w:rPr>
        <w:t xml:space="preserve"> – stima in circa CHF 600'000 l’anno gli incassi con una regolamentazione al 100% degli alloggi. </w:t>
      </w:r>
      <w:r w:rsidRPr="00FA0CF1">
        <w:rPr>
          <w:rFonts w:cs="Arial"/>
          <w:color w:val="000000" w:themeColor="text1"/>
        </w:rPr>
        <w:t xml:space="preserve">Incasso che potrebbe essere così ripartito: </w:t>
      </w:r>
    </w:p>
    <w:p w:rsidR="005B19BB" w:rsidRPr="00FA0CF1" w:rsidRDefault="005B19BB" w:rsidP="005B19BB">
      <w:pPr>
        <w:rPr>
          <w:rFonts w:cs="Arial"/>
          <w:color w:val="000000" w:themeColor="text1"/>
        </w:rPr>
      </w:pPr>
    </w:p>
    <w:tbl>
      <w:tblPr>
        <w:tblStyle w:val="Grigliatabella"/>
        <w:tblW w:w="0" w:type="auto"/>
        <w:jc w:val="center"/>
        <w:tblLook w:val="04A0" w:firstRow="1" w:lastRow="0" w:firstColumn="1" w:lastColumn="0" w:noHBand="0" w:noVBand="1"/>
      </w:tblPr>
      <w:tblGrid>
        <w:gridCol w:w="4106"/>
        <w:gridCol w:w="2236"/>
        <w:gridCol w:w="2268"/>
      </w:tblGrid>
      <w:tr w:rsidR="005B19BB" w:rsidRPr="00FA0CF1" w:rsidTr="0001002B">
        <w:trPr>
          <w:jc w:val="center"/>
        </w:trPr>
        <w:tc>
          <w:tcPr>
            <w:tcW w:w="4106"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Incasso tassa di soggiorno (TS)</w:t>
            </w:r>
          </w:p>
        </w:tc>
        <w:tc>
          <w:tcPr>
            <w:tcW w:w="2236"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175'000 x 2.-</w:t>
            </w:r>
          </w:p>
        </w:tc>
        <w:tc>
          <w:tcPr>
            <w:tcW w:w="2268"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CHF 350'000.-</w:t>
            </w:r>
          </w:p>
        </w:tc>
      </w:tr>
      <w:tr w:rsidR="005B19BB" w:rsidRPr="00FA0CF1" w:rsidTr="0001002B">
        <w:trPr>
          <w:jc w:val="center"/>
        </w:trPr>
        <w:tc>
          <w:tcPr>
            <w:tcW w:w="4106"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 xml:space="preserve">Incasso tassa di promozione (TPT) </w:t>
            </w:r>
          </w:p>
        </w:tc>
        <w:tc>
          <w:tcPr>
            <w:tcW w:w="2236"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175'000 x 1.25</w:t>
            </w:r>
          </w:p>
        </w:tc>
        <w:tc>
          <w:tcPr>
            <w:tcW w:w="2268"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CHF 220'000.-</w:t>
            </w:r>
          </w:p>
        </w:tc>
      </w:tr>
      <w:tr w:rsidR="005B19BB" w:rsidRPr="00FA0CF1" w:rsidTr="0001002B">
        <w:trPr>
          <w:jc w:val="center"/>
        </w:trPr>
        <w:tc>
          <w:tcPr>
            <w:tcW w:w="4106"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Incasso contributi comunali</w:t>
            </w:r>
          </w:p>
        </w:tc>
        <w:tc>
          <w:tcPr>
            <w:tcW w:w="2236" w:type="dxa"/>
          </w:tcPr>
          <w:p w:rsidR="005B19BB" w:rsidRPr="00FA0CF1" w:rsidRDefault="005B19BB" w:rsidP="0001002B">
            <w:pPr>
              <w:spacing w:before="40" w:after="40"/>
              <w:rPr>
                <w:rFonts w:eastAsia="Times New Roman" w:cs="Arial"/>
                <w:color w:val="000000" w:themeColor="text1"/>
                <w:szCs w:val="20"/>
              </w:rPr>
            </w:pPr>
          </w:p>
        </w:tc>
        <w:tc>
          <w:tcPr>
            <w:tcW w:w="2268"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CHF 24'000.-</w:t>
            </w:r>
          </w:p>
        </w:tc>
      </w:tr>
      <w:tr w:rsidR="005B19BB" w:rsidRPr="00FA0CF1" w:rsidTr="0001002B">
        <w:trPr>
          <w:jc w:val="center"/>
        </w:trPr>
        <w:tc>
          <w:tcPr>
            <w:tcW w:w="4106" w:type="dxa"/>
          </w:tcPr>
          <w:p w:rsidR="005B19BB" w:rsidRPr="00FA0CF1" w:rsidRDefault="005B19BB" w:rsidP="0001002B">
            <w:pPr>
              <w:spacing w:before="40" w:after="40"/>
              <w:rPr>
                <w:rFonts w:eastAsia="Times New Roman" w:cs="Arial"/>
                <w:color w:val="000000" w:themeColor="text1"/>
                <w:szCs w:val="20"/>
              </w:rPr>
            </w:pPr>
            <w:r w:rsidRPr="00FA0CF1">
              <w:rPr>
                <w:rFonts w:eastAsia="Times New Roman" w:cs="Arial"/>
                <w:color w:val="000000" w:themeColor="text1"/>
                <w:szCs w:val="20"/>
              </w:rPr>
              <w:t>TOTALE</w:t>
            </w:r>
          </w:p>
        </w:tc>
        <w:tc>
          <w:tcPr>
            <w:tcW w:w="2236" w:type="dxa"/>
          </w:tcPr>
          <w:p w:rsidR="005B19BB" w:rsidRPr="00FA0CF1" w:rsidRDefault="005B19BB" w:rsidP="0001002B">
            <w:pPr>
              <w:spacing w:before="40" w:after="40"/>
              <w:rPr>
                <w:rFonts w:eastAsia="Times New Roman" w:cs="Arial"/>
                <w:color w:val="000000" w:themeColor="text1"/>
                <w:szCs w:val="20"/>
              </w:rPr>
            </w:pPr>
          </w:p>
        </w:tc>
        <w:tc>
          <w:tcPr>
            <w:tcW w:w="2268" w:type="dxa"/>
          </w:tcPr>
          <w:p w:rsidR="005B19BB" w:rsidRPr="00FA0CF1" w:rsidRDefault="005B19BB" w:rsidP="0001002B">
            <w:pPr>
              <w:spacing w:before="40" w:after="40"/>
              <w:rPr>
                <w:rFonts w:eastAsia="Times New Roman" w:cs="Arial"/>
                <w:b/>
                <w:bCs/>
                <w:color w:val="000000" w:themeColor="text1"/>
                <w:szCs w:val="20"/>
              </w:rPr>
            </w:pPr>
            <w:r w:rsidRPr="00FA0CF1">
              <w:rPr>
                <w:rFonts w:eastAsia="Times New Roman" w:cs="Arial"/>
                <w:b/>
                <w:bCs/>
                <w:color w:val="000000" w:themeColor="text1"/>
                <w:szCs w:val="20"/>
              </w:rPr>
              <w:t>CHF 594'000.-</w:t>
            </w:r>
          </w:p>
        </w:tc>
      </w:tr>
    </w:tbl>
    <w:p w:rsidR="005B19BB" w:rsidRPr="00FA0CF1" w:rsidRDefault="005B19BB" w:rsidP="0001002B">
      <w:pPr>
        <w:spacing w:before="40" w:after="40"/>
        <w:rPr>
          <w:rFonts w:cs="Arial"/>
          <w:color w:val="000000" w:themeColor="text1"/>
        </w:rPr>
      </w:pPr>
    </w:p>
    <w:p w:rsidR="005B19BB" w:rsidRPr="00FA0CF1" w:rsidRDefault="005B19BB" w:rsidP="005B19BB">
      <w:pPr>
        <w:rPr>
          <w:rFonts w:cs="Arial"/>
          <w:color w:val="000000" w:themeColor="text1"/>
        </w:rPr>
      </w:pPr>
      <w:r w:rsidRPr="00FA0CF1">
        <w:rPr>
          <w:rFonts w:cs="Arial"/>
          <w:b/>
          <w:bCs/>
          <w:color w:val="000000" w:themeColor="text1"/>
        </w:rPr>
        <w:t xml:space="preserve">Visto che alcuni di questi alloggi evidentemente già rispettano ad oggi i disposti di legge e riversano le relative tasse alle OTR, non è dato ora </w:t>
      </w:r>
      <w:r>
        <w:rPr>
          <w:rFonts w:cs="Arial"/>
          <w:b/>
          <w:bCs/>
          <w:color w:val="000000" w:themeColor="text1"/>
        </w:rPr>
        <w:t xml:space="preserve">sapere </w:t>
      </w:r>
      <w:r w:rsidRPr="00FA0CF1">
        <w:rPr>
          <w:rFonts w:cs="Arial"/>
          <w:b/>
          <w:bCs/>
          <w:color w:val="000000" w:themeColor="text1"/>
        </w:rPr>
        <w:t>quanto sarà l’incasso aggiuntivo rispetto alla situazione attuale</w:t>
      </w:r>
      <w:r w:rsidRPr="00FA0CF1">
        <w:rPr>
          <w:rFonts w:cs="Arial"/>
          <w:color w:val="000000" w:themeColor="text1"/>
        </w:rPr>
        <w:t xml:space="preserve">. </w:t>
      </w:r>
    </w:p>
    <w:p w:rsidR="005B19BB" w:rsidRPr="00FA0CF1" w:rsidRDefault="005B19BB" w:rsidP="005B19BB">
      <w:pPr>
        <w:rPr>
          <w:rFonts w:cs="Arial"/>
          <w:color w:val="000000" w:themeColor="text1"/>
        </w:rPr>
      </w:pPr>
    </w:p>
    <w:p w:rsidR="005B19BB" w:rsidRPr="00FA0CF1" w:rsidRDefault="005B19BB" w:rsidP="00A0486F">
      <w:pPr>
        <w:spacing w:after="120"/>
        <w:rPr>
          <w:rFonts w:cs="Arial"/>
          <w:color w:val="000000" w:themeColor="text1"/>
        </w:rPr>
      </w:pPr>
      <w:r w:rsidRPr="00FA0CF1">
        <w:rPr>
          <w:rFonts w:cs="Arial"/>
          <w:color w:val="000000" w:themeColor="text1"/>
        </w:rPr>
        <w:t>Al fine di garantire l’incasso sistematico della tassa di soggiorno e della tassa di promozione turistica, di garantire l’annuncio automatico dei pernottamenti alla Polizia e di assicurarsi che gli oggetti messi sul mercato siano idonei per l’attività ricettiva, il Consiglio di Stato nel messaggio governativo propone alcune modifiche della Legge sul turismo (</w:t>
      </w:r>
      <w:proofErr w:type="spellStart"/>
      <w:r w:rsidRPr="00FA0CF1">
        <w:rPr>
          <w:rFonts w:cs="Arial"/>
          <w:color w:val="000000" w:themeColor="text1"/>
        </w:rPr>
        <w:t>LTur</w:t>
      </w:r>
      <w:proofErr w:type="spellEnd"/>
      <w:r w:rsidRPr="00FA0CF1">
        <w:rPr>
          <w:rFonts w:cs="Arial"/>
          <w:color w:val="000000" w:themeColor="text1"/>
        </w:rPr>
        <w:t>), in particolare:</w:t>
      </w:r>
    </w:p>
    <w:p w:rsidR="005B19BB" w:rsidRPr="00FA0CF1" w:rsidRDefault="00A0486F" w:rsidP="00A0486F">
      <w:pPr>
        <w:pStyle w:val="Paragrafoelenco"/>
        <w:tabs>
          <w:tab w:val="left" w:pos="284"/>
        </w:tabs>
        <w:spacing w:after="120"/>
        <w:ind w:left="284" w:hanging="284"/>
        <w:rPr>
          <w:rFonts w:cs="Arial"/>
          <w:b/>
          <w:color w:val="000000" w:themeColor="text1"/>
        </w:rPr>
      </w:pPr>
      <w:r>
        <w:rPr>
          <w:rFonts w:cs="Arial"/>
          <w:b/>
          <w:color w:val="000000" w:themeColor="text1"/>
        </w:rPr>
        <w:t>-</w:t>
      </w:r>
      <w:r>
        <w:rPr>
          <w:rFonts w:cs="Arial"/>
          <w:b/>
          <w:color w:val="000000" w:themeColor="text1"/>
        </w:rPr>
        <w:tab/>
      </w:r>
      <w:r w:rsidR="005B19BB" w:rsidRPr="00FA0CF1">
        <w:rPr>
          <w:rFonts w:cs="Arial"/>
          <w:b/>
          <w:color w:val="000000" w:themeColor="text1"/>
        </w:rPr>
        <w:t xml:space="preserve">l’attribuzione all’ATT del compito di concludere con terzi accordi necessari per </w:t>
      </w:r>
      <w:r>
        <w:rPr>
          <w:rFonts w:cs="Arial"/>
          <w:b/>
          <w:color w:val="000000" w:themeColor="text1"/>
        </w:rPr>
        <w:t xml:space="preserve">- </w:t>
      </w:r>
      <w:r w:rsidR="005B19BB" w:rsidRPr="00FA0CF1">
        <w:rPr>
          <w:rFonts w:cs="Arial"/>
          <w:b/>
          <w:color w:val="000000" w:themeColor="text1"/>
        </w:rPr>
        <w:t>l’applicazione della presente legge;</w:t>
      </w:r>
    </w:p>
    <w:p w:rsidR="005B19BB" w:rsidRPr="00FA0CF1" w:rsidRDefault="00A0486F" w:rsidP="00A0486F">
      <w:pPr>
        <w:pStyle w:val="Paragrafoelenco"/>
        <w:tabs>
          <w:tab w:val="left" w:pos="284"/>
        </w:tabs>
        <w:spacing w:after="120"/>
        <w:ind w:left="284" w:hanging="284"/>
        <w:rPr>
          <w:rFonts w:cs="Arial"/>
          <w:b/>
          <w:color w:val="000000" w:themeColor="text1"/>
        </w:rPr>
      </w:pPr>
      <w:r>
        <w:rPr>
          <w:rFonts w:cs="Arial"/>
          <w:b/>
          <w:color w:val="000000" w:themeColor="text1"/>
        </w:rPr>
        <w:t>-</w:t>
      </w:r>
      <w:r>
        <w:rPr>
          <w:rFonts w:cs="Arial"/>
          <w:b/>
          <w:color w:val="000000" w:themeColor="text1"/>
        </w:rPr>
        <w:tab/>
      </w:r>
      <w:r w:rsidR="005B19BB" w:rsidRPr="00FA0CF1">
        <w:rPr>
          <w:rFonts w:cs="Arial"/>
          <w:b/>
          <w:color w:val="000000" w:themeColor="text1"/>
        </w:rPr>
        <w:t>una nuova definizione della tassa di soggiorno e degli stabilimenti d’alloggio;</w:t>
      </w:r>
    </w:p>
    <w:p w:rsidR="005B19BB" w:rsidRPr="00FA0CF1" w:rsidRDefault="00A0486F" w:rsidP="00A0486F">
      <w:pPr>
        <w:pStyle w:val="Paragrafoelenco"/>
        <w:tabs>
          <w:tab w:val="left" w:pos="284"/>
        </w:tabs>
        <w:contextualSpacing/>
        <w:rPr>
          <w:rFonts w:cs="Arial"/>
          <w:color w:val="000000" w:themeColor="text1"/>
        </w:rPr>
      </w:pPr>
      <w:r>
        <w:rPr>
          <w:rFonts w:cs="Arial"/>
          <w:b/>
          <w:color w:val="000000" w:themeColor="text1"/>
        </w:rPr>
        <w:t>-</w:t>
      </w:r>
      <w:r>
        <w:rPr>
          <w:rFonts w:cs="Arial"/>
          <w:b/>
          <w:color w:val="000000" w:themeColor="text1"/>
        </w:rPr>
        <w:tab/>
      </w:r>
      <w:r w:rsidR="005B19BB" w:rsidRPr="00FA0CF1">
        <w:rPr>
          <w:rFonts w:cs="Arial"/>
          <w:b/>
          <w:color w:val="000000" w:themeColor="text1"/>
        </w:rPr>
        <w:t>l’introduzione di un numero identificativo</w:t>
      </w:r>
      <w:r w:rsidR="005B19BB" w:rsidRPr="00FA0CF1">
        <w:rPr>
          <w:rFonts w:cs="Arial"/>
          <w:bCs/>
          <w:color w:val="000000" w:themeColor="text1"/>
        </w:rPr>
        <w:t>.</w:t>
      </w:r>
    </w:p>
    <w:p w:rsidR="005B19BB" w:rsidRPr="00FA0CF1" w:rsidRDefault="005B19BB" w:rsidP="005B19BB">
      <w:pPr>
        <w:rPr>
          <w:rFonts w:cs="Arial"/>
          <w:color w:val="000000" w:themeColor="text1"/>
        </w:rPr>
      </w:pPr>
    </w:p>
    <w:p w:rsidR="005B19BB" w:rsidRDefault="005B19BB" w:rsidP="005B19BB">
      <w:pPr>
        <w:rPr>
          <w:rFonts w:cs="Arial"/>
          <w:b/>
          <w:bCs/>
          <w:color w:val="000000" w:themeColor="text1"/>
        </w:rPr>
      </w:pPr>
      <w:r w:rsidRPr="00FA0CF1">
        <w:rPr>
          <w:rFonts w:cs="Arial"/>
          <w:b/>
          <w:bCs/>
          <w:color w:val="000000" w:themeColor="text1"/>
        </w:rPr>
        <w:t xml:space="preserve">Modifiche legislative e procedurali che il rapporto rinuncia a presentare nel dettaglio, essendo la loro declinazione – come si vedrà nei capitoli seguenti – superata dagli eventi e quindi aggiornata. Restano invece validi principi e campi di applicazione.  </w:t>
      </w:r>
    </w:p>
    <w:p w:rsidR="005B19BB" w:rsidRPr="00A0486F" w:rsidRDefault="005B19BB" w:rsidP="00A0486F">
      <w:pPr>
        <w:tabs>
          <w:tab w:val="left" w:pos="567"/>
        </w:tabs>
        <w:spacing w:after="120"/>
        <w:rPr>
          <w:rFonts w:cs="Arial"/>
          <w:b/>
          <w:bCs/>
          <w:color w:val="000000" w:themeColor="text1"/>
          <w:szCs w:val="24"/>
        </w:rPr>
      </w:pPr>
      <w:r w:rsidRPr="00A0486F">
        <w:rPr>
          <w:rFonts w:cs="Arial"/>
          <w:b/>
          <w:bCs/>
          <w:color w:val="000000" w:themeColor="text1"/>
          <w:szCs w:val="24"/>
        </w:rPr>
        <w:lastRenderedPageBreak/>
        <w:t xml:space="preserve">2. </w:t>
      </w:r>
      <w:r w:rsidR="00A0486F">
        <w:rPr>
          <w:rFonts w:cs="Arial"/>
          <w:b/>
          <w:bCs/>
          <w:color w:val="000000" w:themeColor="text1"/>
          <w:szCs w:val="24"/>
        </w:rPr>
        <w:tab/>
      </w:r>
      <w:r w:rsidRPr="00A0486F">
        <w:rPr>
          <w:rFonts w:cs="Arial"/>
          <w:b/>
          <w:bCs/>
          <w:color w:val="000000" w:themeColor="text1"/>
          <w:szCs w:val="24"/>
        </w:rPr>
        <w:t>AGGIORNAMENTO DEL MESSAGGIO</w:t>
      </w:r>
    </w:p>
    <w:p w:rsidR="005B19BB" w:rsidRDefault="005B19BB" w:rsidP="005B19BB">
      <w:pPr>
        <w:rPr>
          <w:rFonts w:cs="Arial"/>
          <w:bCs/>
          <w:color w:val="000000" w:themeColor="text1"/>
        </w:rPr>
      </w:pPr>
      <w:r w:rsidRPr="00FA0CF1">
        <w:rPr>
          <w:rFonts w:cs="Arial"/>
          <w:bCs/>
          <w:color w:val="000000" w:themeColor="text1"/>
        </w:rPr>
        <w:t xml:space="preserve">Con lettera del 2 dicembre 2020, il Consiglio di Stato ha fornito alla Commissione economia e lavoro un aggiornamento del messaggio governativo. Aggiornamento dovuto non solo a degli auspici formulati per mezzo dei relatori dalla stessa commissione, in particolare per una semplificazione e digitalizzazione della procedura (ritenuta molto complessa e scoraggiante per il dichiarante), ma anche a seguito del manifestarsi di un refuso, degli ulteriori sviluppi nelle trattative nel frattempo intercorse con alcuni portali di riservazione online e dell’elaborazione – con il coinvolgimento degli attori sul territorio – di un nuovo modello procedurale. </w:t>
      </w:r>
    </w:p>
    <w:p w:rsidR="00A0486F" w:rsidRDefault="00A0486F" w:rsidP="005B19BB">
      <w:pPr>
        <w:rPr>
          <w:rFonts w:cs="Arial"/>
          <w:bCs/>
          <w:color w:val="000000" w:themeColor="text1"/>
        </w:rPr>
      </w:pPr>
    </w:p>
    <w:p w:rsidR="00A0486F" w:rsidRPr="00FA0CF1" w:rsidRDefault="00A0486F" w:rsidP="005B19BB">
      <w:pPr>
        <w:rPr>
          <w:rFonts w:cs="Arial"/>
          <w:bCs/>
          <w:color w:val="000000" w:themeColor="text1"/>
        </w:rPr>
      </w:pPr>
    </w:p>
    <w:p w:rsidR="005B19BB" w:rsidRPr="00A0486F" w:rsidRDefault="005B19BB" w:rsidP="00A0486F">
      <w:pPr>
        <w:tabs>
          <w:tab w:val="left" w:pos="567"/>
        </w:tabs>
        <w:spacing w:after="120"/>
        <w:rPr>
          <w:rFonts w:cs="Arial"/>
          <w:b/>
          <w:color w:val="000000" w:themeColor="text1"/>
        </w:rPr>
      </w:pPr>
      <w:r w:rsidRPr="00A0486F">
        <w:rPr>
          <w:rFonts w:cs="Arial"/>
          <w:b/>
          <w:color w:val="000000" w:themeColor="text1"/>
        </w:rPr>
        <w:t xml:space="preserve">2.1 </w:t>
      </w:r>
      <w:r w:rsidR="00A0486F">
        <w:rPr>
          <w:rFonts w:cs="Arial"/>
          <w:b/>
          <w:color w:val="000000" w:themeColor="text1"/>
        </w:rPr>
        <w:tab/>
      </w:r>
      <w:r w:rsidRPr="00A0486F">
        <w:rPr>
          <w:rFonts w:cs="Arial"/>
          <w:b/>
          <w:color w:val="000000" w:themeColor="text1"/>
        </w:rPr>
        <w:t>Correzione del refuso</w:t>
      </w:r>
    </w:p>
    <w:p w:rsidR="005B19BB" w:rsidRPr="00FA0CF1" w:rsidRDefault="005B19BB" w:rsidP="00A0486F">
      <w:pPr>
        <w:spacing w:after="120"/>
        <w:rPr>
          <w:rFonts w:cs="Arial"/>
          <w:bCs/>
          <w:color w:val="000000" w:themeColor="text1"/>
        </w:rPr>
      </w:pPr>
      <w:r w:rsidRPr="00FA0CF1">
        <w:rPr>
          <w:rFonts w:cs="Arial"/>
          <w:bCs/>
          <w:color w:val="000000" w:themeColor="text1"/>
        </w:rPr>
        <w:t>Il messaggio governativo – per far fronte alle problematiche relative alla messa sul mercato anche di singole camere da parte dei proprietari d’alloggio privati (</w:t>
      </w:r>
      <w:proofErr w:type="spellStart"/>
      <w:r w:rsidRPr="00FA0CF1">
        <w:rPr>
          <w:rFonts w:cs="Arial"/>
          <w:bCs/>
          <w:color w:val="000000" w:themeColor="text1"/>
        </w:rPr>
        <w:t>sharing</w:t>
      </w:r>
      <w:proofErr w:type="spellEnd"/>
      <w:r w:rsidRPr="00FA0CF1">
        <w:rPr>
          <w:rFonts w:cs="Arial"/>
          <w:bCs/>
          <w:color w:val="000000" w:themeColor="text1"/>
        </w:rPr>
        <w:t xml:space="preserve"> economy) – propone l’introduzione nella legge sul turismo (</w:t>
      </w:r>
      <w:proofErr w:type="spellStart"/>
      <w:r w:rsidRPr="00FA0CF1">
        <w:rPr>
          <w:rFonts w:cs="Arial"/>
          <w:bCs/>
          <w:color w:val="000000" w:themeColor="text1"/>
        </w:rPr>
        <w:t>LTur</w:t>
      </w:r>
      <w:proofErr w:type="spellEnd"/>
      <w:r w:rsidRPr="00FA0CF1">
        <w:rPr>
          <w:rFonts w:cs="Arial"/>
          <w:bCs/>
          <w:color w:val="000000" w:themeColor="text1"/>
        </w:rPr>
        <w:t>) di una nuova categoria d’alloggio relativa alle “</w:t>
      </w:r>
      <w:r w:rsidRPr="00FA0CF1">
        <w:rPr>
          <w:rFonts w:cs="Arial"/>
          <w:i/>
          <w:iCs/>
          <w:color w:val="000000" w:themeColor="text1"/>
        </w:rPr>
        <w:t>camere, appartamenti e case date in locazione ad uso turistico</w:t>
      </w:r>
      <w:r w:rsidRPr="00FA0CF1">
        <w:rPr>
          <w:rFonts w:cs="Arial"/>
          <w:color w:val="000000" w:themeColor="text1"/>
        </w:rPr>
        <w:t>” (cfr. art. 21 cpv. 4)</w:t>
      </w:r>
      <w:r w:rsidRPr="00FA0CF1">
        <w:rPr>
          <w:rFonts w:cs="Arial"/>
          <w:bCs/>
          <w:color w:val="000000" w:themeColor="text1"/>
        </w:rPr>
        <w:t xml:space="preserve">. Per uniformare il testo legislativo, questa nuova dicitura è stata riportata in tutti gli articoli di legge che indicavano al loro interno la lista dei datori d’alloggio, incluso erroneamente anche l’art. 21 cpv. 6, che riguarda invece la tassa di soggiorno sotto forma di importo fisso pagata dai proprietari di </w:t>
      </w:r>
      <w:r w:rsidRPr="00FA0CF1">
        <w:rPr>
          <w:rFonts w:cs="Arial"/>
          <w:color w:val="000000" w:themeColor="text1"/>
        </w:rPr>
        <w:t xml:space="preserve">appartamenti e case di vacanza. </w:t>
      </w:r>
      <w:r w:rsidRPr="00FA0CF1">
        <w:rPr>
          <w:rFonts w:cs="Arial"/>
          <w:bCs/>
          <w:color w:val="000000" w:themeColor="text1"/>
        </w:rPr>
        <w:t xml:space="preserve">Questa tassa però non deve essere corrisposta unicamente dai proprietari di appartamenti e case di vacanza date in locazione a scopo turistico, ma anche e soprattutto, dai proprietari che utilizzano personalmente la loro abitazione secondaria senza metterla sul mercato a scopi turistici. </w:t>
      </w:r>
      <w:r w:rsidRPr="00FA0CF1">
        <w:rPr>
          <w:rFonts w:cs="Arial"/>
          <w:b/>
          <w:color w:val="000000" w:themeColor="text1"/>
        </w:rPr>
        <w:t xml:space="preserve">Il testo proposto nel messaggio n. 7656 va pertanto modificato, riprendendo esattamente il contenuto dell’art. 21 cpv. 5 </w:t>
      </w:r>
      <w:proofErr w:type="spellStart"/>
      <w:r w:rsidRPr="00FA0CF1">
        <w:rPr>
          <w:rFonts w:cs="Arial"/>
          <w:b/>
          <w:color w:val="000000" w:themeColor="text1"/>
        </w:rPr>
        <w:t>LTur</w:t>
      </w:r>
      <w:proofErr w:type="spellEnd"/>
      <w:r w:rsidRPr="00FA0CF1">
        <w:rPr>
          <w:rFonts w:cs="Arial"/>
          <w:b/>
          <w:color w:val="000000" w:themeColor="text1"/>
        </w:rPr>
        <w:t xml:space="preserve"> attualmente in vigore. </w:t>
      </w:r>
      <w:r w:rsidRPr="00FA0CF1">
        <w:rPr>
          <w:rFonts w:cs="Arial"/>
          <w:bCs/>
          <w:color w:val="000000" w:themeColor="text1"/>
        </w:rPr>
        <w:t xml:space="preserve">In sostanza: </w:t>
      </w:r>
    </w:p>
    <w:tbl>
      <w:tblPr>
        <w:tblpPr w:leftFromText="141" w:rightFromText="141" w:vertAnchor="text" w:horzAnchor="margin" w:tblpY="1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8"/>
        <w:gridCol w:w="3230"/>
        <w:gridCol w:w="3451"/>
      </w:tblGrid>
      <w:tr w:rsidR="005B19BB" w:rsidRPr="00FA0CF1" w:rsidTr="00A0486F">
        <w:trPr>
          <w:tblHeader/>
        </w:trPr>
        <w:tc>
          <w:tcPr>
            <w:tcW w:w="3208" w:type="dxa"/>
            <w:tcBorders>
              <w:right w:val="single" w:sz="4" w:space="0" w:color="FFFFFF" w:themeColor="background1"/>
            </w:tcBorders>
            <w:shd w:val="clear" w:color="auto" w:fill="000000" w:themeFill="text1"/>
            <w:tcMar>
              <w:top w:w="0" w:type="dxa"/>
              <w:left w:w="108" w:type="dxa"/>
              <w:bottom w:w="0" w:type="dxa"/>
              <w:right w:w="108" w:type="dxa"/>
            </w:tcMar>
            <w:hideMark/>
          </w:tcPr>
          <w:p w:rsidR="005B19BB" w:rsidRPr="00FA0CF1" w:rsidRDefault="005B19BB" w:rsidP="00A0486F">
            <w:pPr>
              <w:spacing w:before="120" w:after="120"/>
              <w:rPr>
                <w:rFonts w:cs="Arial"/>
                <w:b/>
                <w:sz w:val="18"/>
              </w:rPr>
            </w:pPr>
            <w:r w:rsidRPr="00FA0CF1">
              <w:rPr>
                <w:rFonts w:cs="Arial"/>
                <w:b/>
                <w:sz w:val="18"/>
              </w:rPr>
              <w:t xml:space="preserve">Testo attuale </w:t>
            </w:r>
            <w:proofErr w:type="spellStart"/>
            <w:r w:rsidRPr="00FA0CF1">
              <w:rPr>
                <w:rFonts w:cs="Arial"/>
                <w:b/>
                <w:sz w:val="18"/>
              </w:rPr>
              <w:t>LTur</w:t>
            </w:r>
            <w:proofErr w:type="spellEnd"/>
          </w:p>
        </w:tc>
        <w:tc>
          <w:tcPr>
            <w:tcW w:w="3230" w:type="dxa"/>
            <w:tcBorders>
              <w:left w:val="single" w:sz="4" w:space="0" w:color="FFFFFF" w:themeColor="background1"/>
              <w:right w:val="single" w:sz="4" w:space="0" w:color="FFFFFF" w:themeColor="background1"/>
            </w:tcBorders>
            <w:shd w:val="clear" w:color="auto" w:fill="000000" w:themeFill="text1"/>
            <w:tcMar>
              <w:top w:w="0" w:type="dxa"/>
              <w:left w:w="108" w:type="dxa"/>
              <w:bottom w:w="0" w:type="dxa"/>
              <w:right w:w="108" w:type="dxa"/>
            </w:tcMar>
          </w:tcPr>
          <w:p w:rsidR="005B19BB" w:rsidRPr="00FA0CF1" w:rsidRDefault="005B19BB" w:rsidP="00A0486F">
            <w:pPr>
              <w:spacing w:before="120" w:after="120"/>
              <w:rPr>
                <w:rFonts w:cs="Arial"/>
                <w:b/>
                <w:sz w:val="18"/>
              </w:rPr>
            </w:pPr>
            <w:r w:rsidRPr="00FA0CF1">
              <w:rPr>
                <w:rFonts w:cs="Arial"/>
                <w:b/>
                <w:sz w:val="18"/>
              </w:rPr>
              <w:t>Testo messaggio 7656 da emendare</w:t>
            </w:r>
          </w:p>
        </w:tc>
        <w:tc>
          <w:tcPr>
            <w:tcW w:w="3451" w:type="dxa"/>
            <w:tcBorders>
              <w:left w:val="single" w:sz="4" w:space="0" w:color="FFFFFF" w:themeColor="background1"/>
            </w:tcBorders>
            <w:shd w:val="clear" w:color="auto" w:fill="000000" w:themeFill="text1"/>
            <w:tcMar>
              <w:top w:w="0" w:type="dxa"/>
              <w:left w:w="108" w:type="dxa"/>
              <w:bottom w:w="0" w:type="dxa"/>
              <w:right w:w="108" w:type="dxa"/>
            </w:tcMar>
          </w:tcPr>
          <w:p w:rsidR="005B19BB" w:rsidRPr="00FA0CF1" w:rsidRDefault="005B19BB" w:rsidP="00A0486F">
            <w:pPr>
              <w:spacing w:before="120" w:after="120"/>
              <w:rPr>
                <w:rFonts w:cs="Arial"/>
                <w:b/>
                <w:sz w:val="18"/>
              </w:rPr>
            </w:pPr>
            <w:r w:rsidRPr="00FA0CF1">
              <w:rPr>
                <w:rFonts w:cs="Arial"/>
                <w:b/>
                <w:sz w:val="18"/>
              </w:rPr>
              <w:t xml:space="preserve">Testo definitivo (identico all’attuale </w:t>
            </w:r>
            <w:proofErr w:type="spellStart"/>
            <w:r w:rsidRPr="00FA0CF1">
              <w:rPr>
                <w:rFonts w:cs="Arial"/>
                <w:b/>
                <w:sz w:val="18"/>
              </w:rPr>
              <w:t>LTur</w:t>
            </w:r>
            <w:proofErr w:type="spellEnd"/>
            <w:r w:rsidRPr="00FA0CF1">
              <w:rPr>
                <w:rFonts w:cs="Arial"/>
                <w:b/>
                <w:sz w:val="18"/>
              </w:rPr>
              <w:t>)</w:t>
            </w:r>
          </w:p>
        </w:tc>
      </w:tr>
      <w:tr w:rsidR="005B19BB" w:rsidRPr="00FA0CF1" w:rsidTr="00A0486F">
        <w:tc>
          <w:tcPr>
            <w:tcW w:w="3208" w:type="dxa"/>
            <w:tcMar>
              <w:top w:w="0" w:type="dxa"/>
              <w:left w:w="108" w:type="dxa"/>
              <w:bottom w:w="0" w:type="dxa"/>
              <w:right w:w="108" w:type="dxa"/>
            </w:tcMar>
          </w:tcPr>
          <w:p w:rsidR="005B19BB" w:rsidRPr="00FA0CF1" w:rsidRDefault="005B19BB" w:rsidP="00A0486F">
            <w:pPr>
              <w:rPr>
                <w:rFonts w:cs="Arial"/>
                <w:b/>
                <w:bCs/>
                <w:sz w:val="18"/>
              </w:rPr>
            </w:pPr>
            <w:r w:rsidRPr="00FA0CF1">
              <w:rPr>
                <w:rFonts w:cs="Arial"/>
                <w:b/>
                <w:bCs/>
                <w:sz w:val="18"/>
              </w:rPr>
              <w:t>Tassa di soggiorno</w:t>
            </w:r>
          </w:p>
          <w:p w:rsidR="005B19BB" w:rsidRPr="00FA0CF1" w:rsidRDefault="005B19BB" w:rsidP="00A0486F">
            <w:pPr>
              <w:rPr>
                <w:rFonts w:cs="Arial"/>
                <w:b/>
                <w:bCs/>
                <w:sz w:val="18"/>
              </w:rPr>
            </w:pPr>
            <w:r w:rsidRPr="00FA0CF1">
              <w:rPr>
                <w:rFonts w:cs="Arial"/>
                <w:b/>
                <w:bCs/>
                <w:sz w:val="18"/>
              </w:rPr>
              <w:t>Art. 21</w:t>
            </w:r>
          </w:p>
          <w:p w:rsidR="005B19BB" w:rsidRPr="00FA0CF1" w:rsidRDefault="005B19BB" w:rsidP="00A0486F">
            <w:pPr>
              <w:rPr>
                <w:rFonts w:cs="Arial"/>
                <w:bCs/>
                <w:sz w:val="18"/>
              </w:rPr>
            </w:pPr>
          </w:p>
          <w:p w:rsidR="005B19BB" w:rsidRPr="00FA0CF1" w:rsidRDefault="005B19BB" w:rsidP="00A0486F">
            <w:pPr>
              <w:rPr>
                <w:rFonts w:cs="Arial"/>
                <w:bCs/>
                <w:sz w:val="18"/>
              </w:rPr>
            </w:pPr>
            <w:r w:rsidRPr="00FA0CF1">
              <w:rPr>
                <w:rFonts w:cs="Arial"/>
                <w:bCs/>
                <w:sz w:val="18"/>
                <w:vertAlign w:val="superscript"/>
              </w:rPr>
              <w:t>5</w:t>
            </w:r>
            <w:r w:rsidRPr="00FA0CF1">
              <w:rPr>
                <w:rFonts w:cs="Arial"/>
                <w:bCs/>
                <w:sz w:val="18"/>
              </w:rPr>
              <w:t xml:space="preserve">I proprietari di appartamenti o di case di vacanza, così come i membri delle loro famiglie, pagano una tassa di soggiorno nella forma di un importo annuale fisso. Questo importo è compreso tra fr. 15.- e fr. 100.- per posto letto, a secondo dell’accessibilità e dell’offerta turistica esistente dove è ubicata la residenza. </w:t>
            </w:r>
          </w:p>
        </w:tc>
        <w:tc>
          <w:tcPr>
            <w:tcW w:w="3230" w:type="dxa"/>
            <w:tcMar>
              <w:top w:w="0" w:type="dxa"/>
              <w:left w:w="108" w:type="dxa"/>
              <w:bottom w:w="0" w:type="dxa"/>
              <w:right w:w="108" w:type="dxa"/>
            </w:tcMar>
          </w:tcPr>
          <w:p w:rsidR="005B19BB" w:rsidRPr="00FA0CF1" w:rsidRDefault="005B19BB" w:rsidP="00A0486F">
            <w:pPr>
              <w:shd w:val="clear" w:color="auto" w:fill="FFFFFF"/>
              <w:rPr>
                <w:rFonts w:cs="Arial"/>
                <w:b/>
                <w:bCs/>
                <w:sz w:val="18"/>
              </w:rPr>
            </w:pPr>
            <w:r w:rsidRPr="00FA0CF1">
              <w:rPr>
                <w:rFonts w:cs="Arial"/>
                <w:b/>
                <w:bCs/>
                <w:sz w:val="18"/>
              </w:rPr>
              <w:t>Tassa di soggiorno</w:t>
            </w:r>
          </w:p>
          <w:p w:rsidR="005B19BB" w:rsidRPr="00FA0CF1" w:rsidRDefault="005B19BB" w:rsidP="00A0486F">
            <w:pPr>
              <w:shd w:val="clear" w:color="auto" w:fill="FFFFFF"/>
              <w:rPr>
                <w:rFonts w:cs="Arial"/>
                <w:b/>
                <w:bCs/>
                <w:sz w:val="18"/>
              </w:rPr>
            </w:pPr>
            <w:r w:rsidRPr="00FA0CF1">
              <w:rPr>
                <w:rFonts w:cs="Arial"/>
                <w:b/>
                <w:bCs/>
                <w:sz w:val="18"/>
              </w:rPr>
              <w:t>Art. 21</w:t>
            </w:r>
          </w:p>
          <w:p w:rsidR="005B19BB" w:rsidRPr="00FA0CF1" w:rsidRDefault="005B19BB" w:rsidP="00A0486F">
            <w:pPr>
              <w:shd w:val="clear" w:color="auto" w:fill="FFFFFF"/>
              <w:rPr>
                <w:rFonts w:cs="Arial"/>
                <w:b/>
                <w:bCs/>
                <w:sz w:val="18"/>
              </w:rPr>
            </w:pPr>
          </w:p>
          <w:p w:rsidR="005B19BB" w:rsidRPr="00FA0CF1" w:rsidRDefault="005B19BB" w:rsidP="00A0486F">
            <w:pPr>
              <w:shd w:val="clear" w:color="auto" w:fill="FFFFFF"/>
              <w:rPr>
                <w:rFonts w:cs="Arial"/>
                <w:bCs/>
                <w:sz w:val="18"/>
              </w:rPr>
            </w:pPr>
            <w:r w:rsidRPr="00FA0CF1">
              <w:rPr>
                <w:rFonts w:cs="Arial"/>
                <w:bCs/>
                <w:sz w:val="18"/>
                <w:highlight w:val="lightGray"/>
                <w:vertAlign w:val="superscript"/>
              </w:rPr>
              <w:t>6</w:t>
            </w:r>
            <w:r w:rsidRPr="00FA0CF1">
              <w:rPr>
                <w:rFonts w:cs="Arial"/>
                <w:bCs/>
                <w:sz w:val="18"/>
              </w:rPr>
              <w:t xml:space="preserve">I proprietari di </w:t>
            </w:r>
            <w:r w:rsidRPr="00FA0CF1">
              <w:rPr>
                <w:rFonts w:cs="Arial"/>
                <w:bCs/>
                <w:strike/>
                <w:sz w:val="18"/>
                <w:highlight w:val="lightGray"/>
              </w:rPr>
              <w:t>camere</w:t>
            </w:r>
            <w:r w:rsidRPr="00FA0CF1">
              <w:rPr>
                <w:rFonts w:cs="Arial"/>
                <w:bCs/>
                <w:sz w:val="18"/>
              </w:rPr>
              <w:t xml:space="preserve">, appartamenti e case </w:t>
            </w:r>
            <w:r w:rsidRPr="00FA0CF1">
              <w:rPr>
                <w:rFonts w:cs="Arial"/>
                <w:bCs/>
                <w:strike/>
                <w:sz w:val="18"/>
                <w:highlight w:val="lightGray"/>
              </w:rPr>
              <w:t>date in locazione ad uso turistico</w:t>
            </w:r>
            <w:r w:rsidRPr="00FA0CF1">
              <w:rPr>
                <w:rFonts w:cs="Arial"/>
                <w:bCs/>
                <w:sz w:val="18"/>
              </w:rPr>
              <w:t>, così come i membri delle loro famiglie pagano una tassa di soggiorno nella forma di un importo annuale fisso. Questo importo è compreso tra 15.- franchi e 100.- franchi per posto letto, a seconda dell’accessibilità e dell’offerta turistica esistente dove è ubicata la residenza.</w:t>
            </w:r>
          </w:p>
        </w:tc>
        <w:tc>
          <w:tcPr>
            <w:tcW w:w="3451" w:type="dxa"/>
            <w:tcMar>
              <w:top w:w="0" w:type="dxa"/>
              <w:left w:w="108" w:type="dxa"/>
              <w:bottom w:w="0" w:type="dxa"/>
              <w:right w:w="108" w:type="dxa"/>
            </w:tcMar>
          </w:tcPr>
          <w:p w:rsidR="005B19BB" w:rsidRPr="00FA0CF1" w:rsidRDefault="005B19BB" w:rsidP="00A0486F">
            <w:pPr>
              <w:shd w:val="clear" w:color="auto" w:fill="FFFFFF"/>
              <w:rPr>
                <w:rFonts w:cs="Arial"/>
                <w:b/>
                <w:bCs/>
                <w:sz w:val="18"/>
              </w:rPr>
            </w:pPr>
            <w:r w:rsidRPr="00FA0CF1">
              <w:rPr>
                <w:rFonts w:cs="Arial"/>
                <w:b/>
                <w:bCs/>
                <w:sz w:val="18"/>
              </w:rPr>
              <w:t>Tassa di soggiorno</w:t>
            </w:r>
          </w:p>
          <w:p w:rsidR="005B19BB" w:rsidRPr="00FA0CF1" w:rsidRDefault="005B19BB" w:rsidP="00A0486F">
            <w:pPr>
              <w:shd w:val="clear" w:color="auto" w:fill="FFFFFF"/>
              <w:rPr>
                <w:rFonts w:cs="Arial"/>
                <w:b/>
                <w:bCs/>
                <w:sz w:val="18"/>
              </w:rPr>
            </w:pPr>
            <w:r w:rsidRPr="00FA0CF1">
              <w:rPr>
                <w:rFonts w:cs="Arial"/>
                <w:b/>
                <w:bCs/>
                <w:sz w:val="18"/>
              </w:rPr>
              <w:t>Art. 21</w:t>
            </w:r>
          </w:p>
          <w:p w:rsidR="005B19BB" w:rsidRPr="00FA0CF1" w:rsidRDefault="005B19BB" w:rsidP="00A0486F">
            <w:pPr>
              <w:shd w:val="clear" w:color="auto" w:fill="FFFFFF"/>
              <w:rPr>
                <w:rFonts w:cs="Arial"/>
                <w:b/>
                <w:bCs/>
                <w:sz w:val="18"/>
              </w:rPr>
            </w:pPr>
          </w:p>
          <w:p w:rsidR="005B19BB" w:rsidRPr="00FA0CF1" w:rsidRDefault="005B19BB" w:rsidP="00A0486F">
            <w:pPr>
              <w:shd w:val="clear" w:color="auto" w:fill="FFFFFF"/>
              <w:rPr>
                <w:rFonts w:cs="Arial"/>
                <w:bCs/>
                <w:sz w:val="18"/>
              </w:rPr>
            </w:pPr>
            <w:r w:rsidRPr="00FA0CF1">
              <w:rPr>
                <w:rFonts w:cs="Arial"/>
                <w:bCs/>
                <w:sz w:val="18"/>
                <w:highlight w:val="lightGray"/>
                <w:vertAlign w:val="superscript"/>
              </w:rPr>
              <w:t>6</w:t>
            </w:r>
            <w:r w:rsidRPr="00FA0CF1">
              <w:rPr>
                <w:rFonts w:cs="Arial"/>
                <w:bCs/>
                <w:sz w:val="18"/>
                <w:highlight w:val="lightGray"/>
              </w:rPr>
              <w:t>I proprietari di appartamenti o di case di vacanza</w:t>
            </w:r>
            <w:r w:rsidRPr="00FA0CF1">
              <w:rPr>
                <w:rFonts w:cs="Arial"/>
                <w:bCs/>
                <w:sz w:val="18"/>
              </w:rPr>
              <w:t xml:space="preserve">, così come i membri delle loro famiglie pagano una tassa di soggiorno nella forma di un importo annuale fisso. Questo importo è compreso tra </w:t>
            </w:r>
            <w:proofErr w:type="gramStart"/>
            <w:r w:rsidRPr="00FA0CF1">
              <w:rPr>
                <w:rFonts w:cs="Arial"/>
                <w:bCs/>
                <w:sz w:val="18"/>
              </w:rPr>
              <w:t>15.-</w:t>
            </w:r>
            <w:proofErr w:type="gramEnd"/>
            <w:r w:rsidRPr="00FA0CF1">
              <w:rPr>
                <w:rFonts w:cs="Arial"/>
                <w:bCs/>
                <w:sz w:val="18"/>
              </w:rPr>
              <w:t xml:space="preserve"> franchi e 100.- franchi per posto letto, a seconda dell’accessibilità e dell’offerta turistica esistente dove è ubicata la residenza. </w:t>
            </w:r>
          </w:p>
        </w:tc>
      </w:tr>
    </w:tbl>
    <w:p w:rsidR="005B19BB" w:rsidRPr="00FA0CF1" w:rsidRDefault="005B19BB" w:rsidP="005B19BB">
      <w:pPr>
        <w:rPr>
          <w:rFonts w:cs="Arial"/>
          <w:bCs/>
          <w:color w:val="000000" w:themeColor="text1"/>
        </w:rPr>
      </w:pPr>
    </w:p>
    <w:p w:rsidR="005B19BB" w:rsidRDefault="005B19BB" w:rsidP="005B19BB">
      <w:pPr>
        <w:rPr>
          <w:rFonts w:cs="Arial"/>
          <w:bCs/>
          <w:color w:val="000000" w:themeColor="text1"/>
        </w:rPr>
      </w:pPr>
      <w:r w:rsidRPr="00FA0CF1">
        <w:rPr>
          <w:rFonts w:cs="Arial"/>
          <w:bCs/>
          <w:color w:val="000000" w:themeColor="text1"/>
        </w:rPr>
        <w:t xml:space="preserve">Questa formulazione è ripresa nella nuova formalizzazione legislativa della nuova procedura illustrata nel prossimo capitolo. </w:t>
      </w:r>
    </w:p>
    <w:p w:rsidR="005B19BB" w:rsidRDefault="005B19BB" w:rsidP="005B19BB">
      <w:pPr>
        <w:rPr>
          <w:rFonts w:cs="Arial"/>
          <w:bCs/>
          <w:color w:val="000000" w:themeColor="text1"/>
        </w:rPr>
      </w:pPr>
    </w:p>
    <w:p w:rsidR="00A0486F" w:rsidRPr="00FA0CF1" w:rsidRDefault="00A0486F" w:rsidP="005B19BB">
      <w:pPr>
        <w:rPr>
          <w:rFonts w:cs="Arial"/>
          <w:bCs/>
          <w:color w:val="000000" w:themeColor="text1"/>
        </w:rPr>
      </w:pPr>
    </w:p>
    <w:p w:rsidR="005B19BB" w:rsidRPr="00A0486F" w:rsidRDefault="005B19BB" w:rsidP="00A0486F">
      <w:pPr>
        <w:tabs>
          <w:tab w:val="left" w:pos="567"/>
        </w:tabs>
        <w:spacing w:after="120"/>
        <w:rPr>
          <w:rFonts w:cs="Arial"/>
          <w:b/>
          <w:color w:val="000000" w:themeColor="text1"/>
        </w:rPr>
      </w:pPr>
      <w:r w:rsidRPr="00A0486F">
        <w:rPr>
          <w:rFonts w:cs="Arial"/>
          <w:b/>
          <w:color w:val="000000" w:themeColor="text1"/>
        </w:rPr>
        <w:t xml:space="preserve">2.2 </w:t>
      </w:r>
      <w:r w:rsidR="00A0486F">
        <w:rPr>
          <w:rFonts w:cs="Arial"/>
          <w:b/>
          <w:color w:val="000000" w:themeColor="text1"/>
        </w:rPr>
        <w:tab/>
      </w:r>
      <w:r w:rsidRPr="00A0486F">
        <w:rPr>
          <w:rFonts w:cs="Arial"/>
          <w:b/>
          <w:color w:val="000000" w:themeColor="text1"/>
        </w:rPr>
        <w:t>Nuova procedura con relative modifiche</w:t>
      </w:r>
    </w:p>
    <w:p w:rsidR="005B19BB" w:rsidRPr="00FA0CF1" w:rsidRDefault="005B19BB" w:rsidP="005B19BB">
      <w:pPr>
        <w:rPr>
          <w:rFonts w:cs="Arial"/>
          <w:bCs/>
          <w:color w:val="000000" w:themeColor="text1"/>
        </w:rPr>
      </w:pPr>
      <w:r w:rsidRPr="00FA0CF1">
        <w:rPr>
          <w:rFonts w:cs="Arial"/>
          <w:bCs/>
          <w:color w:val="000000" w:themeColor="text1"/>
        </w:rPr>
        <w:t xml:space="preserve">Come già anticipato, nell’aggiornamento inviato alla Commissione economia e lavoro il Consiglio di Stato propone una nuova procedura e dei nuovi disegni di legge rispetto a quelli fissati nel messaggio governativo. Cambiamenti che, specifica il Governo nella lettera del </w:t>
      </w:r>
      <w:r w:rsidR="00C840BD">
        <w:rPr>
          <w:rFonts w:cs="Arial"/>
          <w:bCs/>
          <w:color w:val="000000" w:themeColor="text1"/>
        </w:rPr>
        <w:br/>
      </w:r>
      <w:r w:rsidRPr="00FA0CF1">
        <w:rPr>
          <w:rFonts w:cs="Arial"/>
          <w:bCs/>
          <w:color w:val="000000" w:themeColor="text1"/>
        </w:rPr>
        <w:t xml:space="preserve">2 dicembre 2020, sono stati attentamente ponderati e concertati con le parti interessate. L’Ufficio per lo sviluppo economico (USE) – ha spiegato il Consiglio di Stato – ha lavorato insieme all’Agenzia turistica ticinese (ATT) per permettere che la procedura di registrazione </w:t>
      </w:r>
      <w:r w:rsidRPr="00FA0CF1">
        <w:rPr>
          <w:rFonts w:cs="Arial"/>
          <w:bCs/>
          <w:color w:val="000000" w:themeColor="text1"/>
        </w:rPr>
        <w:lastRenderedPageBreak/>
        <w:t xml:space="preserve">sia più immediata e digitale, da un lato per rispettare i criteri stabiliti dalle piattaforme online come </w:t>
      </w:r>
      <w:proofErr w:type="spellStart"/>
      <w:r w:rsidRPr="00FA0CF1">
        <w:rPr>
          <w:rFonts w:cs="Arial"/>
          <w:bCs/>
          <w:color w:val="000000" w:themeColor="text1"/>
        </w:rPr>
        <w:t>Airbnb</w:t>
      </w:r>
      <w:proofErr w:type="spellEnd"/>
      <w:r w:rsidRPr="00FA0CF1">
        <w:rPr>
          <w:rFonts w:cs="Arial"/>
          <w:bCs/>
          <w:color w:val="000000" w:themeColor="text1"/>
        </w:rPr>
        <w:t xml:space="preserve"> sulla base dell’esperienza effettuata in altre destinazioni, dall’altro per offrire un procedimento più semplice a tutti gli attori coinvolti: comuni, datori di alloggio, organizzazioni turistiche regionali (OTR) e polizia. </w:t>
      </w:r>
    </w:p>
    <w:p w:rsidR="005B19BB" w:rsidRPr="00FA0CF1" w:rsidRDefault="005B19BB" w:rsidP="005B19BB">
      <w:pPr>
        <w:rPr>
          <w:rFonts w:cs="Arial"/>
          <w:bCs/>
          <w:color w:val="000000" w:themeColor="text1"/>
        </w:rPr>
      </w:pPr>
    </w:p>
    <w:p w:rsidR="005B19BB" w:rsidRPr="00FA0CF1" w:rsidRDefault="005B19BB" w:rsidP="005B19BB">
      <w:pPr>
        <w:rPr>
          <w:rFonts w:cs="Arial"/>
          <w:bCs/>
          <w:color w:val="000000" w:themeColor="text1"/>
        </w:rPr>
      </w:pPr>
      <w:r w:rsidRPr="00FA0CF1">
        <w:rPr>
          <w:rFonts w:cs="Arial"/>
          <w:bCs/>
          <w:color w:val="000000" w:themeColor="text1"/>
        </w:rPr>
        <w:t xml:space="preserve">Rispetto alla legge attualmente in vigore (e non al messaggio governativo, superato dagli eventi), il Consiglio di Stato propone quindi la modifica degli art. 15 cpv. 2 lett. l, m (nuove) e cpv. 3, 4, 5, 6 (nuovi), art. 21 </w:t>
      </w:r>
      <w:proofErr w:type="spellStart"/>
      <w:r w:rsidRPr="00FA0CF1">
        <w:rPr>
          <w:rFonts w:cs="Arial"/>
          <w:bCs/>
          <w:color w:val="000000" w:themeColor="text1"/>
        </w:rPr>
        <w:t>cpvv</w:t>
      </w:r>
      <w:proofErr w:type="spellEnd"/>
      <w:r w:rsidRPr="00FA0CF1">
        <w:rPr>
          <w:rFonts w:cs="Arial"/>
          <w:bCs/>
          <w:color w:val="000000" w:themeColor="text1"/>
        </w:rPr>
        <w:t>. 2, 3, 4, 5, 6, 7 (nuovi) e art. 21a (nuovo). Con l’art. 21a il Governo propone, in particolare, di rilasciare il numero identificativo in modo immediato tramite la piattaforma digitale ideata dall’ATT, con un'unica richiesta che verrà poi inoltrata ai vari attori preposti (OTR, polizia e comuni).</w:t>
      </w:r>
    </w:p>
    <w:p w:rsidR="005B19BB" w:rsidRPr="00FA0CF1" w:rsidRDefault="005B19BB" w:rsidP="005B19BB">
      <w:pPr>
        <w:rPr>
          <w:rFonts w:cs="Arial"/>
          <w:bCs/>
          <w:color w:val="000000" w:themeColor="text1"/>
        </w:rPr>
      </w:pPr>
    </w:p>
    <w:p w:rsidR="005B19BB" w:rsidRPr="00FA0CF1" w:rsidRDefault="005B19BB" w:rsidP="00A0486F">
      <w:pPr>
        <w:spacing w:after="120"/>
        <w:rPr>
          <w:rFonts w:cs="Arial"/>
          <w:b/>
          <w:color w:val="000000" w:themeColor="text1"/>
        </w:rPr>
      </w:pPr>
      <w:r w:rsidRPr="00FA0CF1">
        <w:rPr>
          <w:rFonts w:cs="Arial"/>
          <w:b/>
          <w:color w:val="000000" w:themeColor="text1"/>
        </w:rPr>
        <w:t>In estrema sintesi il nuovo modello propone quanto segue:</w:t>
      </w:r>
    </w:p>
    <w:p w:rsidR="005B19BB" w:rsidRPr="00FA0CF1" w:rsidRDefault="00A0486F" w:rsidP="00BE3B18">
      <w:pPr>
        <w:tabs>
          <w:tab w:val="left" w:pos="284"/>
        </w:tabs>
        <w:spacing w:after="80"/>
        <w:ind w:left="284" w:hanging="284"/>
        <w:rPr>
          <w:rFonts w:cs="Arial"/>
          <w:bCs/>
          <w:color w:val="000000" w:themeColor="text1"/>
        </w:rPr>
      </w:pPr>
      <w:r w:rsidRPr="00BE3B18">
        <w:rPr>
          <w:rFonts w:cs="Arial"/>
          <w:color w:val="000000" w:themeColor="text1"/>
        </w:rPr>
        <w:t>-</w:t>
      </w:r>
      <w:r>
        <w:rPr>
          <w:rFonts w:cs="Arial"/>
          <w:b/>
          <w:color w:val="000000" w:themeColor="text1"/>
        </w:rPr>
        <w:tab/>
      </w:r>
      <w:r w:rsidR="005B19BB" w:rsidRPr="00FA0CF1">
        <w:rPr>
          <w:rFonts w:cs="Arial"/>
          <w:b/>
          <w:color w:val="000000" w:themeColor="text1"/>
        </w:rPr>
        <w:t>Per poter esercitare la propria attività, ogni datore di alloggio deve annunciarsi e ottenere un numero identificativo</w:t>
      </w:r>
      <w:r w:rsidR="005B19BB" w:rsidRPr="00FA0CF1">
        <w:rPr>
          <w:rFonts w:cs="Arial"/>
          <w:bCs/>
          <w:color w:val="000000" w:themeColor="text1"/>
        </w:rPr>
        <w:t xml:space="preserve">, il quale deve essere specificato in ogni annuncio (nessun annuncio online o offline può essere pubblicato). </w:t>
      </w:r>
    </w:p>
    <w:p w:rsidR="005B19BB" w:rsidRPr="00FA0CF1" w:rsidRDefault="00A0486F" w:rsidP="00BE3B18">
      <w:pPr>
        <w:tabs>
          <w:tab w:val="left" w:pos="284"/>
        </w:tabs>
        <w:spacing w:after="60"/>
        <w:ind w:left="284" w:hanging="284"/>
        <w:rPr>
          <w:rFonts w:cs="Arial"/>
          <w:bCs/>
          <w:color w:val="000000" w:themeColor="text1"/>
        </w:rPr>
      </w:pPr>
      <w:r w:rsidRPr="00BE3B18">
        <w:rPr>
          <w:rFonts w:cs="Arial"/>
          <w:color w:val="000000" w:themeColor="text1"/>
        </w:rPr>
        <w:t xml:space="preserve">- </w:t>
      </w:r>
      <w:r>
        <w:rPr>
          <w:rFonts w:cs="Arial"/>
          <w:b/>
          <w:color w:val="000000" w:themeColor="text1"/>
        </w:rPr>
        <w:tab/>
      </w:r>
      <w:r w:rsidR="005B19BB" w:rsidRPr="00FA0CF1">
        <w:rPr>
          <w:rFonts w:cs="Arial"/>
          <w:b/>
          <w:color w:val="000000" w:themeColor="text1"/>
        </w:rPr>
        <w:t>Il numero identificativo viene rilasciato dall’Agenzia turistica ticinese (ATT)</w:t>
      </w:r>
      <w:r w:rsidR="005B19BB" w:rsidRPr="00FA0CF1">
        <w:rPr>
          <w:rFonts w:cs="Arial"/>
          <w:bCs/>
          <w:color w:val="000000" w:themeColor="text1"/>
        </w:rPr>
        <w:t>:</w:t>
      </w:r>
    </w:p>
    <w:p w:rsidR="005B19BB" w:rsidRPr="00FA0CF1" w:rsidRDefault="005B19BB" w:rsidP="00BE3B18">
      <w:pPr>
        <w:numPr>
          <w:ilvl w:val="1"/>
          <w:numId w:val="20"/>
        </w:numPr>
        <w:tabs>
          <w:tab w:val="left" w:pos="567"/>
        </w:tabs>
        <w:spacing w:after="60"/>
        <w:ind w:left="568" w:hanging="284"/>
        <w:rPr>
          <w:rFonts w:cs="Arial"/>
          <w:bCs/>
          <w:color w:val="000000" w:themeColor="text1"/>
        </w:rPr>
      </w:pPr>
      <w:r w:rsidRPr="00FA0CF1">
        <w:rPr>
          <w:rFonts w:cs="Arial"/>
          <w:b/>
          <w:color w:val="000000" w:themeColor="text1"/>
        </w:rPr>
        <w:t>gli alloggi già sottoposti alla Lear riceveranno aut</w:t>
      </w:r>
      <w:r>
        <w:rPr>
          <w:rFonts w:cs="Arial"/>
          <w:b/>
          <w:color w:val="000000" w:themeColor="text1"/>
        </w:rPr>
        <w:t>o</w:t>
      </w:r>
      <w:r w:rsidRPr="00FA0CF1">
        <w:rPr>
          <w:rFonts w:cs="Arial"/>
          <w:b/>
          <w:color w:val="000000" w:themeColor="text1"/>
        </w:rPr>
        <w:t>maticamente dall’ATT</w:t>
      </w:r>
      <w:r w:rsidRPr="00FA0CF1">
        <w:rPr>
          <w:rFonts w:cs="Arial"/>
          <w:bCs/>
          <w:color w:val="000000" w:themeColor="text1"/>
        </w:rPr>
        <w:t xml:space="preserve"> il numero identificativo che gli è stato associato direttamente nella banca dati SEPU del Servizio autorizzazioni, commercio e giochi della Polizia cantonale;</w:t>
      </w:r>
    </w:p>
    <w:p w:rsidR="005B19BB" w:rsidRPr="00FA0CF1" w:rsidRDefault="005B19BB" w:rsidP="00BE3B18">
      <w:pPr>
        <w:numPr>
          <w:ilvl w:val="1"/>
          <w:numId w:val="20"/>
        </w:numPr>
        <w:tabs>
          <w:tab w:val="left" w:pos="567"/>
        </w:tabs>
        <w:spacing w:after="80"/>
        <w:ind w:left="568" w:hanging="284"/>
        <w:rPr>
          <w:rFonts w:cs="Arial"/>
          <w:bCs/>
          <w:color w:val="000000" w:themeColor="text1"/>
        </w:rPr>
      </w:pPr>
      <w:r w:rsidRPr="00FA0CF1">
        <w:rPr>
          <w:rFonts w:cs="Arial"/>
          <w:b/>
          <w:color w:val="000000" w:themeColor="text1"/>
        </w:rPr>
        <w:t>gli altri alloggi devono</w:t>
      </w:r>
      <w:r w:rsidRPr="00FA0CF1">
        <w:rPr>
          <w:rFonts w:cs="Arial"/>
          <w:bCs/>
          <w:color w:val="000000" w:themeColor="text1"/>
        </w:rPr>
        <w:t xml:space="preserve"> </w:t>
      </w:r>
      <w:r w:rsidRPr="00FA0CF1">
        <w:rPr>
          <w:rFonts w:cs="Arial"/>
          <w:b/>
          <w:color w:val="000000" w:themeColor="text1"/>
        </w:rPr>
        <w:t>registrarsi tramite l’apposita piattaforma online creata da ATT</w:t>
      </w:r>
      <w:r w:rsidRPr="00FA0CF1">
        <w:rPr>
          <w:rFonts w:cs="Arial"/>
          <w:bCs/>
          <w:color w:val="000000" w:themeColor="text1"/>
        </w:rPr>
        <w:t xml:space="preserve"> (piattaforma che centralizza tutte le informazioni, comprese quell</w:t>
      </w:r>
      <w:r>
        <w:rPr>
          <w:rFonts w:cs="Arial"/>
          <w:bCs/>
          <w:color w:val="000000" w:themeColor="text1"/>
        </w:rPr>
        <w:t>e</w:t>
      </w:r>
      <w:r w:rsidRPr="00FA0CF1">
        <w:rPr>
          <w:rFonts w:cs="Arial"/>
          <w:bCs/>
          <w:color w:val="000000" w:themeColor="text1"/>
        </w:rPr>
        <w:t xml:space="preserve"> della banca dati SEPU). Per iscriversi sono ad esempio richiesti i dati personali del responsabile, quelli relativi all’oggetto (localizzazione, tipologia, camere, posti letto, sito internet e piattaforme utilizzate) e, se del caso, quelli del proprietario (compresa l’autocertificazione in cui l’inquilino dichiara che ha il permesso di subaffittare). Se la compilazione del formulario on-line è completa, il numero identificativo viene rilasciato </w:t>
      </w:r>
      <w:r w:rsidRPr="00FA0CF1">
        <w:rPr>
          <w:rFonts w:cs="Arial"/>
          <w:b/>
          <w:color w:val="000000" w:themeColor="text1"/>
        </w:rPr>
        <w:t>immediatamente</w:t>
      </w:r>
      <w:r w:rsidRPr="00FA0CF1">
        <w:rPr>
          <w:rFonts w:cs="Arial"/>
          <w:bCs/>
          <w:color w:val="000000" w:themeColor="text1"/>
        </w:rPr>
        <w:t xml:space="preserve">. Le strutture hanno </w:t>
      </w:r>
      <w:r w:rsidRPr="00FA0CF1">
        <w:rPr>
          <w:rFonts w:cs="Arial"/>
          <w:b/>
          <w:color w:val="000000" w:themeColor="text1"/>
        </w:rPr>
        <w:t>un anno di tempo</w:t>
      </w:r>
      <w:r w:rsidRPr="00FA0CF1">
        <w:rPr>
          <w:rFonts w:cs="Arial"/>
          <w:bCs/>
          <w:color w:val="000000" w:themeColor="text1"/>
        </w:rPr>
        <w:t xml:space="preserve"> dall’entrata in vigore della legge per ottenere il numero identificativo.  </w:t>
      </w:r>
    </w:p>
    <w:p w:rsidR="005B19BB" w:rsidRPr="00FA0CF1" w:rsidRDefault="00A0486F" w:rsidP="00BE3B18">
      <w:pPr>
        <w:pStyle w:val="Paragrafoelenco"/>
        <w:tabs>
          <w:tab w:val="left" w:pos="284"/>
        </w:tabs>
        <w:spacing w:after="60"/>
        <w:ind w:left="284" w:hanging="284"/>
        <w:rPr>
          <w:rFonts w:cs="Arial"/>
          <w:bCs/>
          <w:color w:val="000000" w:themeColor="text1"/>
        </w:rPr>
      </w:pPr>
      <w:r w:rsidRPr="00BE3B18">
        <w:rPr>
          <w:rFonts w:cs="Arial"/>
          <w:color w:val="000000" w:themeColor="text1"/>
        </w:rPr>
        <w:t xml:space="preserve">- </w:t>
      </w:r>
      <w:r>
        <w:rPr>
          <w:rFonts w:cs="Arial"/>
          <w:b/>
          <w:color w:val="000000" w:themeColor="text1"/>
        </w:rPr>
        <w:tab/>
      </w:r>
      <w:r w:rsidR="005B19BB" w:rsidRPr="00FA0CF1">
        <w:rPr>
          <w:rFonts w:cs="Arial"/>
          <w:b/>
          <w:color w:val="000000" w:themeColor="text1"/>
        </w:rPr>
        <w:t>L’informazione relativa a ogni compilazione del formulario on-line verrà poi inoltrata da ATT sia all’OTR di riferimento che</w:t>
      </w:r>
      <w:r w:rsidR="005B19BB">
        <w:rPr>
          <w:rFonts w:cs="Arial"/>
          <w:b/>
          <w:color w:val="000000" w:themeColor="text1"/>
        </w:rPr>
        <w:t xml:space="preserve"> al C</w:t>
      </w:r>
      <w:r w:rsidR="005B19BB" w:rsidRPr="00FA0CF1">
        <w:rPr>
          <w:rFonts w:cs="Arial"/>
          <w:b/>
          <w:color w:val="000000" w:themeColor="text1"/>
        </w:rPr>
        <w:t>omune di riferimento dell’oggetto</w:t>
      </w:r>
      <w:r w:rsidR="005B19BB" w:rsidRPr="00FA0CF1">
        <w:rPr>
          <w:rFonts w:cs="Arial"/>
          <w:bCs/>
          <w:color w:val="000000" w:themeColor="text1"/>
        </w:rPr>
        <w:t xml:space="preserve">. </w:t>
      </w:r>
    </w:p>
    <w:p w:rsidR="005B19BB" w:rsidRPr="00FA0CF1" w:rsidRDefault="005B19BB" w:rsidP="00BE3B18">
      <w:pPr>
        <w:pStyle w:val="Paragrafoelenco"/>
        <w:numPr>
          <w:ilvl w:val="1"/>
          <w:numId w:val="20"/>
        </w:numPr>
        <w:tabs>
          <w:tab w:val="left" w:pos="567"/>
        </w:tabs>
        <w:spacing w:after="60"/>
        <w:ind w:left="568" w:hanging="284"/>
        <w:rPr>
          <w:rFonts w:cs="Arial"/>
          <w:bCs/>
          <w:color w:val="000000" w:themeColor="text1"/>
        </w:rPr>
      </w:pPr>
      <w:r w:rsidRPr="00FA0CF1">
        <w:rPr>
          <w:rFonts w:cs="Arial"/>
          <w:bCs/>
          <w:color w:val="000000" w:themeColor="text1"/>
        </w:rPr>
        <w:t xml:space="preserve">In particolare </w:t>
      </w:r>
      <w:r w:rsidRPr="00FA0CF1">
        <w:rPr>
          <w:rFonts w:cs="Arial"/>
          <w:b/>
          <w:color w:val="000000" w:themeColor="text1"/>
        </w:rPr>
        <w:t>i</w:t>
      </w:r>
      <w:r>
        <w:rPr>
          <w:rFonts w:cs="Arial"/>
          <w:b/>
          <w:color w:val="000000" w:themeColor="text1"/>
        </w:rPr>
        <w:t xml:space="preserve"> C</w:t>
      </w:r>
      <w:r w:rsidRPr="00FA0CF1">
        <w:rPr>
          <w:rFonts w:cs="Arial"/>
          <w:b/>
          <w:color w:val="000000" w:themeColor="text1"/>
        </w:rPr>
        <w:t>omuni</w:t>
      </w:r>
      <w:r w:rsidRPr="00FA0CF1">
        <w:rPr>
          <w:rFonts w:cs="Arial"/>
          <w:bCs/>
          <w:color w:val="000000" w:themeColor="text1"/>
        </w:rPr>
        <w:t xml:space="preserve"> avranno 6 mesi di tempo per validare il rilascio del numero identificativo, verificando che l’oggetto rispetti le attuali norme edilizie e le disposizioni delle varie leggi il cui controllo è delegato ai comuni (</w:t>
      </w:r>
      <w:proofErr w:type="spellStart"/>
      <w:r w:rsidRPr="00FA0CF1">
        <w:rPr>
          <w:rFonts w:cs="Arial"/>
          <w:bCs/>
          <w:color w:val="000000" w:themeColor="text1"/>
        </w:rPr>
        <w:t>Lex</w:t>
      </w:r>
      <w:proofErr w:type="spellEnd"/>
      <w:r w:rsidRPr="00FA0CF1">
        <w:rPr>
          <w:rFonts w:cs="Arial"/>
          <w:bCs/>
          <w:color w:val="000000" w:themeColor="text1"/>
        </w:rPr>
        <w:t xml:space="preserve"> Weber, abitabilità, destinazione d’uso, e</w:t>
      </w:r>
      <w:r w:rsidR="00BE3B18">
        <w:rPr>
          <w:rFonts w:cs="Arial"/>
          <w:bCs/>
          <w:color w:val="000000" w:themeColor="text1"/>
        </w:rPr>
        <w:t>c</w:t>
      </w:r>
      <w:r w:rsidRPr="00FA0CF1">
        <w:rPr>
          <w:rFonts w:cs="Arial"/>
          <w:bCs/>
          <w:color w:val="000000" w:themeColor="text1"/>
        </w:rPr>
        <w:t xml:space="preserve">c.). </w:t>
      </w:r>
    </w:p>
    <w:p w:rsidR="005B19BB" w:rsidRPr="00FA0CF1" w:rsidRDefault="005B19BB" w:rsidP="00BE3B18">
      <w:pPr>
        <w:pStyle w:val="Paragrafoelenco"/>
        <w:numPr>
          <w:ilvl w:val="1"/>
          <w:numId w:val="20"/>
        </w:numPr>
        <w:tabs>
          <w:tab w:val="left" w:pos="567"/>
        </w:tabs>
        <w:spacing w:after="80"/>
        <w:ind w:left="568" w:hanging="284"/>
        <w:rPr>
          <w:rFonts w:cs="Arial"/>
          <w:bCs/>
          <w:color w:val="000000" w:themeColor="text1"/>
        </w:rPr>
      </w:pPr>
      <w:r w:rsidRPr="00FA0CF1">
        <w:rPr>
          <w:rFonts w:cs="Arial"/>
          <w:bCs/>
          <w:color w:val="000000" w:themeColor="text1"/>
        </w:rPr>
        <w:t xml:space="preserve">Le </w:t>
      </w:r>
      <w:r w:rsidRPr="00FA0CF1">
        <w:rPr>
          <w:rFonts w:cs="Arial"/>
          <w:b/>
          <w:color w:val="000000" w:themeColor="text1"/>
        </w:rPr>
        <w:t>OTR</w:t>
      </w:r>
      <w:r w:rsidRPr="00FA0CF1">
        <w:rPr>
          <w:rFonts w:cs="Arial"/>
          <w:bCs/>
          <w:color w:val="000000" w:themeColor="text1"/>
        </w:rPr>
        <w:t xml:space="preserve"> controllano invece nel tempo la regolare notifica dei pernottamenti e del pagamento delle tasse turistiche. </w:t>
      </w:r>
    </w:p>
    <w:p w:rsidR="005B19BB" w:rsidRPr="00FA0CF1" w:rsidRDefault="00A0486F" w:rsidP="00BE3B18">
      <w:pPr>
        <w:tabs>
          <w:tab w:val="left" w:pos="284"/>
        </w:tabs>
        <w:spacing w:after="80"/>
        <w:ind w:left="284" w:hanging="284"/>
        <w:rPr>
          <w:rFonts w:cs="Arial"/>
          <w:bCs/>
          <w:color w:val="000000" w:themeColor="text1"/>
        </w:rPr>
      </w:pPr>
      <w:r>
        <w:rPr>
          <w:rFonts w:cs="Arial"/>
          <w:bCs/>
          <w:color w:val="000000" w:themeColor="text1"/>
        </w:rPr>
        <w:t>-</w:t>
      </w:r>
      <w:r>
        <w:rPr>
          <w:rFonts w:cs="Arial"/>
          <w:bCs/>
          <w:color w:val="000000" w:themeColor="text1"/>
        </w:rPr>
        <w:tab/>
      </w:r>
      <w:r w:rsidR="005B19BB" w:rsidRPr="00FA0CF1">
        <w:rPr>
          <w:rFonts w:cs="Arial"/>
          <w:bCs/>
          <w:color w:val="000000" w:themeColor="text1"/>
        </w:rPr>
        <w:t xml:space="preserve">La </w:t>
      </w:r>
      <w:r w:rsidR="005B19BB" w:rsidRPr="00FA0CF1">
        <w:rPr>
          <w:rFonts w:cs="Arial"/>
          <w:b/>
          <w:color w:val="000000" w:themeColor="text1"/>
        </w:rPr>
        <w:t xml:space="preserve">polizia </w:t>
      </w:r>
      <w:r w:rsidR="005B19BB" w:rsidRPr="00FA0CF1">
        <w:rPr>
          <w:rFonts w:cs="Arial"/>
          <w:bCs/>
          <w:color w:val="000000" w:themeColor="text1"/>
        </w:rPr>
        <w:t xml:space="preserve">avrà un accesso alla piattaforma creata dall’ATT per avere una panoramica completa degli alloggi messi a disposizione turisticamente, incluso un eventuale controllo con le notifiche che ogni struttura già ora deve sottoporre per legge. </w:t>
      </w:r>
    </w:p>
    <w:p w:rsidR="005B19BB" w:rsidRDefault="00A0486F" w:rsidP="00BE3B18">
      <w:pPr>
        <w:tabs>
          <w:tab w:val="left" w:pos="284"/>
        </w:tabs>
        <w:spacing w:after="240"/>
        <w:ind w:left="284" w:hanging="284"/>
        <w:rPr>
          <w:rFonts w:cs="Arial"/>
          <w:b/>
          <w:color w:val="000000" w:themeColor="text1"/>
        </w:rPr>
      </w:pPr>
      <w:r w:rsidRPr="00BE3B18">
        <w:rPr>
          <w:rFonts w:cs="Arial"/>
          <w:color w:val="000000" w:themeColor="text1"/>
        </w:rPr>
        <w:t>-</w:t>
      </w:r>
      <w:r>
        <w:rPr>
          <w:rFonts w:cs="Arial"/>
          <w:b/>
          <w:color w:val="000000" w:themeColor="text1"/>
        </w:rPr>
        <w:tab/>
      </w:r>
      <w:r w:rsidR="005B19BB" w:rsidRPr="00FA0CF1">
        <w:rPr>
          <w:rFonts w:cs="Arial"/>
          <w:b/>
          <w:color w:val="000000" w:themeColor="text1"/>
        </w:rPr>
        <w:t>Nel caso delle piattaforme ad incasso diretto, la tassa di soggiorno (TS) sarà da loro prelavata al momento della pren</w:t>
      </w:r>
      <w:r w:rsidR="005B19BB">
        <w:rPr>
          <w:rFonts w:cs="Arial"/>
          <w:b/>
          <w:color w:val="000000" w:themeColor="text1"/>
        </w:rPr>
        <w:t>o</w:t>
      </w:r>
      <w:r w:rsidR="005B19BB" w:rsidRPr="00FA0CF1">
        <w:rPr>
          <w:rFonts w:cs="Arial"/>
          <w:b/>
          <w:color w:val="000000" w:themeColor="text1"/>
        </w:rPr>
        <w:t xml:space="preserve">tazione dell’alloggio e pagata direttamente ad ATT. </w:t>
      </w:r>
      <w:r w:rsidR="005B19BB">
        <w:rPr>
          <w:rFonts w:cs="Arial"/>
          <w:bCs/>
          <w:color w:val="000000" w:themeColor="text1"/>
        </w:rPr>
        <w:t>Come precisato nel messaggio gove</w:t>
      </w:r>
      <w:r w:rsidR="005B19BB" w:rsidRPr="00FA0CF1">
        <w:rPr>
          <w:rFonts w:cs="Arial"/>
          <w:bCs/>
          <w:color w:val="000000" w:themeColor="text1"/>
        </w:rPr>
        <w:t xml:space="preserve">rnativo, i proventi della tassa di soggiorno applicata ai pernottamenti tramite piattaforme a incasso diretto </w:t>
      </w:r>
      <w:r w:rsidR="005B19BB" w:rsidRPr="00FA0CF1">
        <w:rPr>
          <w:rFonts w:cs="Arial"/>
          <w:color w:val="000000" w:themeColor="text1"/>
        </w:rPr>
        <w:t>possono essere usati dall’ATT, previo accordo con le quattro OTR, per il finanziamento di progetti turistici cantonali o, se non fosse il caso, possono essere riversati alle OTR.</w:t>
      </w:r>
      <w:r w:rsidR="005B19BB" w:rsidRPr="00FA0CF1">
        <w:rPr>
          <w:rFonts w:cs="Arial"/>
          <w:b/>
          <w:color w:val="000000" w:themeColor="text1"/>
        </w:rPr>
        <w:t xml:space="preserve"> Grazie al numero identificativo, le OTR potranno invece incassare la tassa di promozione turistica (TPT), che sarà richiesta direttamente alla struttura. </w:t>
      </w:r>
    </w:p>
    <w:p w:rsidR="005B19BB" w:rsidRPr="00FA0CF1" w:rsidRDefault="005B19BB" w:rsidP="005B19BB">
      <w:pPr>
        <w:rPr>
          <w:rFonts w:cs="Arial"/>
          <w:b/>
          <w:color w:val="000000" w:themeColor="text1"/>
        </w:rPr>
      </w:pPr>
      <w:r w:rsidRPr="00FA0CF1">
        <w:rPr>
          <w:rFonts w:cs="Arial"/>
          <w:b/>
          <w:color w:val="000000" w:themeColor="text1"/>
        </w:rPr>
        <w:lastRenderedPageBreak/>
        <w:t>Qui di seguito le nuove proposte di modifica, che annullano e sostituiscono quelle formulate dal messaggio governativo.</w:t>
      </w:r>
    </w:p>
    <w:p w:rsidR="005B19BB" w:rsidRPr="00FA0CF1" w:rsidRDefault="005B19BB" w:rsidP="005B19BB">
      <w:pPr>
        <w:rPr>
          <w:rFonts w:cs="Arial"/>
          <w:bCs/>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7"/>
        <w:gridCol w:w="3161"/>
        <w:gridCol w:w="3245"/>
      </w:tblGrid>
      <w:tr w:rsidR="005B19BB" w:rsidRPr="00FA0CF1" w:rsidTr="00A0486F">
        <w:trPr>
          <w:tblHeader/>
        </w:trPr>
        <w:tc>
          <w:tcPr>
            <w:tcW w:w="3087" w:type="dxa"/>
            <w:tcBorders>
              <w:right w:val="single" w:sz="4" w:space="0" w:color="FFFFFF" w:themeColor="background1"/>
            </w:tcBorders>
            <w:shd w:val="clear" w:color="auto" w:fill="000000" w:themeFill="text1"/>
            <w:tcMar>
              <w:top w:w="0" w:type="dxa"/>
              <w:left w:w="108" w:type="dxa"/>
              <w:bottom w:w="0" w:type="dxa"/>
              <w:right w:w="108" w:type="dxa"/>
            </w:tcMar>
            <w:hideMark/>
          </w:tcPr>
          <w:p w:rsidR="005B19BB" w:rsidRPr="00FA0CF1" w:rsidRDefault="005B19BB" w:rsidP="00A0486F">
            <w:pPr>
              <w:rPr>
                <w:rFonts w:cs="Arial"/>
                <w:b/>
                <w:sz w:val="18"/>
                <w:szCs w:val="18"/>
              </w:rPr>
            </w:pPr>
            <w:r w:rsidRPr="00FA0CF1">
              <w:rPr>
                <w:rFonts w:cs="Arial"/>
                <w:b/>
                <w:sz w:val="18"/>
                <w:szCs w:val="18"/>
              </w:rPr>
              <w:t xml:space="preserve">Testo attuale </w:t>
            </w:r>
            <w:proofErr w:type="spellStart"/>
            <w:r w:rsidRPr="00FA0CF1">
              <w:rPr>
                <w:rFonts w:cs="Arial"/>
                <w:b/>
                <w:sz w:val="18"/>
                <w:szCs w:val="18"/>
              </w:rPr>
              <w:t>LTur</w:t>
            </w:r>
            <w:proofErr w:type="spellEnd"/>
          </w:p>
        </w:tc>
        <w:tc>
          <w:tcPr>
            <w:tcW w:w="3161" w:type="dxa"/>
            <w:tcBorders>
              <w:left w:val="single" w:sz="4" w:space="0" w:color="FFFFFF" w:themeColor="background1"/>
              <w:right w:val="single" w:sz="4" w:space="0" w:color="FFFFFF" w:themeColor="background1"/>
            </w:tcBorders>
            <w:shd w:val="clear" w:color="auto" w:fill="000000" w:themeFill="text1"/>
            <w:tcMar>
              <w:top w:w="0" w:type="dxa"/>
              <w:left w:w="108" w:type="dxa"/>
              <w:bottom w:w="0" w:type="dxa"/>
              <w:right w:w="108" w:type="dxa"/>
            </w:tcMar>
          </w:tcPr>
          <w:p w:rsidR="005B19BB" w:rsidRPr="00FA0CF1" w:rsidRDefault="005B19BB" w:rsidP="00A0486F">
            <w:pPr>
              <w:rPr>
                <w:rFonts w:cs="Arial"/>
                <w:b/>
                <w:sz w:val="18"/>
                <w:szCs w:val="18"/>
              </w:rPr>
            </w:pPr>
            <w:r w:rsidRPr="00FA0CF1">
              <w:rPr>
                <w:rFonts w:cs="Arial"/>
                <w:b/>
                <w:sz w:val="18"/>
                <w:szCs w:val="18"/>
              </w:rPr>
              <w:t>Ulteriore proposta di modifica</w:t>
            </w:r>
          </w:p>
          <w:p w:rsidR="005B19BB" w:rsidRPr="00FA0CF1" w:rsidRDefault="005B19BB" w:rsidP="00A0486F">
            <w:pPr>
              <w:rPr>
                <w:rFonts w:cs="Arial"/>
                <w:b/>
                <w:sz w:val="18"/>
                <w:szCs w:val="18"/>
              </w:rPr>
            </w:pPr>
          </w:p>
        </w:tc>
        <w:tc>
          <w:tcPr>
            <w:tcW w:w="3245" w:type="dxa"/>
            <w:tcBorders>
              <w:left w:val="single" w:sz="4" w:space="0" w:color="FFFFFF" w:themeColor="background1"/>
            </w:tcBorders>
            <w:shd w:val="clear" w:color="auto" w:fill="000000" w:themeFill="text1"/>
            <w:tcMar>
              <w:top w:w="0" w:type="dxa"/>
              <w:left w:w="108" w:type="dxa"/>
              <w:bottom w:w="0" w:type="dxa"/>
              <w:right w:w="108" w:type="dxa"/>
            </w:tcMar>
          </w:tcPr>
          <w:p w:rsidR="005B19BB" w:rsidRPr="00FA0CF1" w:rsidRDefault="005B19BB" w:rsidP="00A0486F">
            <w:pPr>
              <w:rPr>
                <w:rFonts w:cs="Arial"/>
                <w:b/>
                <w:sz w:val="18"/>
                <w:szCs w:val="18"/>
              </w:rPr>
            </w:pPr>
            <w:r w:rsidRPr="00FA0CF1">
              <w:rPr>
                <w:rFonts w:cs="Arial"/>
                <w:b/>
                <w:sz w:val="18"/>
                <w:szCs w:val="18"/>
              </w:rPr>
              <w:t>Testo consolidato</w:t>
            </w:r>
          </w:p>
          <w:p w:rsidR="005B19BB" w:rsidRPr="00FA0CF1" w:rsidRDefault="005B19BB" w:rsidP="00A0486F">
            <w:pPr>
              <w:rPr>
                <w:rFonts w:cs="Arial"/>
                <w:b/>
                <w:sz w:val="18"/>
                <w:szCs w:val="18"/>
              </w:rPr>
            </w:pPr>
          </w:p>
        </w:tc>
      </w:tr>
      <w:tr w:rsidR="005B19BB" w:rsidRPr="00FA0CF1" w:rsidTr="00A0486F">
        <w:tc>
          <w:tcPr>
            <w:tcW w:w="9493" w:type="dxa"/>
            <w:gridSpan w:val="3"/>
            <w:shd w:val="clear" w:color="auto" w:fill="D0CECE" w:themeFill="background2" w:themeFillShade="E6"/>
            <w:tcMar>
              <w:top w:w="0" w:type="dxa"/>
              <w:left w:w="108" w:type="dxa"/>
              <w:bottom w:w="0" w:type="dxa"/>
              <w:right w:w="108" w:type="dxa"/>
            </w:tcMar>
          </w:tcPr>
          <w:p w:rsidR="005B19BB" w:rsidRPr="00FA0CF1" w:rsidRDefault="005B19BB" w:rsidP="00A0486F">
            <w:pPr>
              <w:shd w:val="clear" w:color="auto" w:fill="FFFFFF"/>
              <w:jc w:val="center"/>
              <w:rPr>
                <w:rFonts w:cs="Arial"/>
                <w:b/>
                <w:bCs/>
                <w:sz w:val="18"/>
                <w:szCs w:val="18"/>
              </w:rPr>
            </w:pPr>
            <w:r w:rsidRPr="00FA0CF1">
              <w:rPr>
                <w:rFonts w:cs="Arial"/>
                <w:b/>
                <w:bCs/>
                <w:sz w:val="18"/>
                <w:szCs w:val="18"/>
              </w:rPr>
              <w:t>LEGGE SUL TURISMO (</w:t>
            </w:r>
            <w:proofErr w:type="spellStart"/>
            <w:r w:rsidRPr="00FA0CF1">
              <w:rPr>
                <w:rFonts w:cs="Arial"/>
                <w:b/>
                <w:bCs/>
                <w:sz w:val="18"/>
                <w:szCs w:val="18"/>
              </w:rPr>
              <w:t>LTur</w:t>
            </w:r>
            <w:proofErr w:type="spellEnd"/>
            <w:r w:rsidRPr="00FA0CF1">
              <w:rPr>
                <w:rFonts w:cs="Arial"/>
                <w:b/>
                <w:bCs/>
                <w:sz w:val="18"/>
                <w:szCs w:val="18"/>
              </w:rPr>
              <w:t>) del 25 giugno 2014</w:t>
            </w:r>
          </w:p>
        </w:tc>
      </w:tr>
      <w:tr w:rsidR="005B19BB" w:rsidRPr="00FA0CF1" w:rsidTr="00A0486F">
        <w:tc>
          <w:tcPr>
            <w:tcW w:w="9493" w:type="dxa"/>
            <w:gridSpan w:val="3"/>
            <w:tcMar>
              <w:top w:w="0" w:type="dxa"/>
              <w:left w:w="108" w:type="dxa"/>
              <w:bottom w:w="0" w:type="dxa"/>
              <w:right w:w="108" w:type="dxa"/>
            </w:tcMar>
          </w:tcPr>
          <w:p w:rsidR="005B19BB" w:rsidRPr="00FA0CF1" w:rsidRDefault="005B19BB" w:rsidP="00A0486F">
            <w:pPr>
              <w:shd w:val="clear" w:color="auto" w:fill="FFFFFF"/>
              <w:rPr>
                <w:rFonts w:cs="Arial"/>
                <w:b/>
                <w:bCs/>
                <w:sz w:val="18"/>
                <w:szCs w:val="18"/>
              </w:rPr>
            </w:pP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t>TITOLO II – Capitolo primo - Organizzazione</w:t>
            </w:r>
          </w:p>
        </w:tc>
        <w:tc>
          <w:tcPr>
            <w:tcW w:w="3161"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t>[…]</w:t>
            </w:r>
          </w:p>
        </w:tc>
        <w:tc>
          <w:tcPr>
            <w:tcW w:w="3245" w:type="dxa"/>
            <w:tcMar>
              <w:top w:w="0" w:type="dxa"/>
              <w:left w:w="108" w:type="dxa"/>
              <w:bottom w:w="0" w:type="dxa"/>
              <w:right w:w="108" w:type="dxa"/>
            </w:tcMar>
          </w:tcPr>
          <w:p w:rsidR="005B19BB" w:rsidRPr="00FA0CF1" w:rsidRDefault="005B19BB" w:rsidP="00A0486F">
            <w:pPr>
              <w:shd w:val="clear" w:color="auto" w:fill="FFFFFF"/>
              <w:rPr>
                <w:rFonts w:cs="Arial"/>
                <w:b/>
                <w:bCs/>
                <w:sz w:val="18"/>
                <w:szCs w:val="18"/>
              </w:rPr>
            </w:pPr>
            <w:r w:rsidRPr="00FA0CF1">
              <w:rPr>
                <w:rFonts w:cs="Arial"/>
                <w:b/>
                <w:bCs/>
                <w:sz w:val="18"/>
                <w:szCs w:val="18"/>
              </w:rPr>
              <w:t>TITOLO II – Capitolo primo - Organizzazione</w:t>
            </w: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t>Agenzia turistica ticinese (ATT)</w:t>
            </w:r>
          </w:p>
          <w:p w:rsidR="005B19BB" w:rsidRPr="00FA0CF1" w:rsidRDefault="005B19BB" w:rsidP="00A0486F">
            <w:pPr>
              <w:rPr>
                <w:rFonts w:cs="Arial"/>
                <w:b/>
                <w:bCs/>
                <w:sz w:val="18"/>
                <w:szCs w:val="18"/>
              </w:rPr>
            </w:pPr>
            <w:r w:rsidRPr="00FA0CF1">
              <w:rPr>
                <w:rFonts w:cs="Arial"/>
                <w:b/>
                <w:bCs/>
                <w:sz w:val="18"/>
                <w:szCs w:val="18"/>
              </w:rPr>
              <w:t>Art. 15</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2</w:t>
            </w:r>
            <w:r w:rsidRPr="00FA0CF1">
              <w:rPr>
                <w:rFonts w:cs="Arial"/>
                <w:bCs/>
                <w:sz w:val="18"/>
                <w:szCs w:val="18"/>
              </w:rPr>
              <w:t xml:space="preserve">Essa ha in particolare i seguenti compiti: </w:t>
            </w:r>
          </w:p>
          <w:p w:rsidR="005B19BB" w:rsidRPr="00FA0CF1" w:rsidRDefault="005B19BB" w:rsidP="00A0486F">
            <w:pPr>
              <w:rPr>
                <w:rFonts w:cs="Arial"/>
                <w:bCs/>
                <w:sz w:val="18"/>
                <w:szCs w:val="18"/>
              </w:rPr>
            </w:pPr>
            <w:r w:rsidRPr="00FA0CF1">
              <w:rPr>
                <w:rFonts w:cs="Arial"/>
                <w:bCs/>
                <w:sz w:val="18"/>
                <w:szCs w:val="18"/>
              </w:rPr>
              <w:t>[…]</w:t>
            </w:r>
          </w:p>
          <w:p w:rsidR="005B19BB" w:rsidRPr="00FA0CF1" w:rsidRDefault="005B19BB" w:rsidP="00A0486F">
            <w:pPr>
              <w:rPr>
                <w:rFonts w:cs="Arial"/>
                <w:bCs/>
                <w:sz w:val="18"/>
                <w:szCs w:val="18"/>
              </w:rPr>
            </w:pPr>
          </w:p>
          <w:p w:rsidR="005B19BB" w:rsidRPr="00FA0CF1" w:rsidRDefault="005B19BB" w:rsidP="00A0486F">
            <w:pPr>
              <w:rPr>
                <w:rFonts w:cs="Arial"/>
                <w:b/>
                <w:bCs/>
                <w:sz w:val="18"/>
                <w:szCs w:val="18"/>
              </w:rPr>
            </w:pPr>
          </w:p>
        </w:tc>
        <w:tc>
          <w:tcPr>
            <w:tcW w:w="3161"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t>Agenzia turistica ticinese (ATT)</w:t>
            </w:r>
          </w:p>
          <w:p w:rsidR="005B19BB" w:rsidRPr="00FA0CF1" w:rsidRDefault="005B19BB" w:rsidP="00A0486F">
            <w:pPr>
              <w:rPr>
                <w:rFonts w:cs="Arial"/>
                <w:b/>
                <w:bCs/>
                <w:sz w:val="18"/>
                <w:szCs w:val="18"/>
              </w:rPr>
            </w:pPr>
            <w:r w:rsidRPr="00FA0CF1">
              <w:rPr>
                <w:rFonts w:cs="Arial"/>
                <w:b/>
                <w:bCs/>
                <w:sz w:val="18"/>
                <w:szCs w:val="18"/>
              </w:rPr>
              <w:t>Art. 15</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2</w:t>
            </w:r>
            <w:r w:rsidRPr="00FA0CF1">
              <w:rPr>
                <w:rFonts w:cs="Arial"/>
                <w:bCs/>
                <w:sz w:val="18"/>
                <w:szCs w:val="18"/>
              </w:rPr>
              <w:t>[…]</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rPr>
              <w:t>[…]</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rPr>
              <w:t xml:space="preserve">l) </w:t>
            </w:r>
            <w:r w:rsidRPr="00FA0CF1">
              <w:rPr>
                <w:rFonts w:cs="Arial"/>
                <w:bCs/>
                <w:sz w:val="18"/>
                <w:szCs w:val="18"/>
                <w:highlight w:val="lightGray"/>
              </w:rPr>
              <w:t>concludere accordi con terzi, fintanto che essi siano nell’interesse delle OTR e/o dell’ATT o che si rendano necessari per l’attuazione della presente legge.</w:t>
            </w:r>
          </w:p>
          <w:p w:rsidR="005B19BB" w:rsidRPr="00FA0CF1" w:rsidRDefault="005B19BB" w:rsidP="00A0486F">
            <w:pPr>
              <w:rPr>
                <w:rFonts w:cs="Arial"/>
                <w:bCs/>
                <w:sz w:val="18"/>
                <w:szCs w:val="18"/>
              </w:rPr>
            </w:pPr>
            <w:r w:rsidRPr="00FA0CF1">
              <w:rPr>
                <w:rFonts w:cs="Arial"/>
                <w:bCs/>
                <w:sz w:val="18"/>
                <w:szCs w:val="18"/>
              </w:rPr>
              <w:t xml:space="preserve">m) </w:t>
            </w:r>
            <w:r w:rsidRPr="00FA0CF1">
              <w:rPr>
                <w:rFonts w:cs="Arial"/>
                <w:bCs/>
                <w:sz w:val="18"/>
                <w:szCs w:val="18"/>
                <w:highlight w:val="lightGray"/>
              </w:rPr>
              <w:t>sviluppare e gestire la piattaforma online per la registrazione e il rilascio di un numero identificativo per i datori di alloggio definiti dall’art. 21 cpv. 4 con lo scopo di avere una panoramica completa degli alloggi messi a disposizione del mercato turistico cantonale.</w:t>
            </w:r>
            <w:r w:rsidRPr="00FA0CF1">
              <w:rPr>
                <w:rFonts w:cs="Arial"/>
                <w:bCs/>
                <w:sz w:val="18"/>
                <w:szCs w:val="18"/>
              </w:rPr>
              <w:t xml:space="preserve"> </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eastAsia="Arial" w:cs="Arial"/>
                <w:color w:val="000000"/>
                <w:sz w:val="18"/>
                <w:highlight w:val="lightGray"/>
                <w:vertAlign w:val="superscript"/>
              </w:rPr>
              <w:t>3</w:t>
            </w:r>
            <w:r w:rsidRPr="00FA0CF1">
              <w:rPr>
                <w:rFonts w:cs="Arial"/>
                <w:bCs/>
                <w:sz w:val="18"/>
                <w:szCs w:val="18"/>
                <w:highlight w:val="lightGray"/>
              </w:rPr>
              <w:t>La piattaforma online dell’ATT di cui al cpv. 2 lett. m centralizza le informazioni ed è in parte alimentata dalla banca dati SEPU (strutture soggette alla legge sugli esercizi alberghieri e sulla ristorazione del 1° giugno 2010).</w:t>
            </w:r>
          </w:p>
          <w:p w:rsidR="005B19BB" w:rsidRPr="00FA0CF1" w:rsidRDefault="005B19BB" w:rsidP="00A0486F">
            <w:pPr>
              <w:rPr>
                <w:rFonts w:cs="Arial"/>
                <w:bCs/>
                <w:sz w:val="18"/>
                <w:szCs w:val="18"/>
              </w:rPr>
            </w:pPr>
          </w:p>
          <w:p w:rsidR="005B19BB" w:rsidRPr="00FA0CF1" w:rsidRDefault="005B19BB" w:rsidP="00A0486F">
            <w:pPr>
              <w:ind w:right="-2"/>
              <w:rPr>
                <w:rFonts w:cs="Arial"/>
                <w:bCs/>
                <w:sz w:val="18"/>
                <w:szCs w:val="18"/>
                <w:highlight w:val="lightGray"/>
              </w:rPr>
            </w:pPr>
            <w:r w:rsidRPr="00FA0CF1">
              <w:rPr>
                <w:rFonts w:eastAsia="Arial" w:cs="Arial"/>
                <w:color w:val="000000"/>
                <w:sz w:val="18"/>
                <w:highlight w:val="lightGray"/>
                <w:vertAlign w:val="superscript"/>
              </w:rPr>
              <w:t>4</w:t>
            </w:r>
            <w:r w:rsidRPr="00FA0CF1">
              <w:rPr>
                <w:rFonts w:cs="Arial"/>
                <w:bCs/>
                <w:sz w:val="18"/>
                <w:szCs w:val="18"/>
                <w:highlight w:val="lightGray"/>
              </w:rPr>
              <w:t>L’organo responsabile autorizza la trasmissione su base regolare dei dati raccolti nella piattaforma online alle seguenti autorità:</w:t>
            </w:r>
          </w:p>
          <w:p w:rsidR="005B19BB" w:rsidRPr="00FA0CF1" w:rsidRDefault="005B19BB" w:rsidP="00A0486F">
            <w:pPr>
              <w:ind w:left="197" w:hanging="197"/>
              <w:rPr>
                <w:rFonts w:cs="Arial"/>
                <w:bCs/>
                <w:sz w:val="18"/>
                <w:szCs w:val="18"/>
                <w:highlight w:val="lightGray"/>
              </w:rPr>
            </w:pPr>
            <w:r w:rsidRPr="00FA0CF1">
              <w:rPr>
                <w:rFonts w:cs="Arial"/>
                <w:bCs/>
                <w:sz w:val="18"/>
                <w:szCs w:val="18"/>
                <w:highlight w:val="lightGray"/>
              </w:rPr>
              <w:t>-</w:t>
            </w:r>
            <w:r w:rsidRPr="00FA0CF1">
              <w:rPr>
                <w:rFonts w:cs="Arial"/>
                <w:bCs/>
                <w:sz w:val="18"/>
                <w:szCs w:val="18"/>
                <w:highlight w:val="lightGray"/>
              </w:rPr>
              <w:tab/>
              <w:t>Polizia cantonale tramite accesso alla piattaforma online, allo scopo di avere una panoramica completa anche degli alloggi non sottoposti alla Lear;</w:t>
            </w:r>
          </w:p>
          <w:p w:rsidR="005B19BB" w:rsidRPr="00FA0CF1" w:rsidRDefault="005B19BB" w:rsidP="00A0486F">
            <w:pPr>
              <w:ind w:left="197" w:hanging="197"/>
              <w:rPr>
                <w:rFonts w:cs="Arial"/>
                <w:bCs/>
                <w:sz w:val="18"/>
                <w:szCs w:val="18"/>
                <w:highlight w:val="lightGray"/>
              </w:rPr>
            </w:pPr>
            <w:r w:rsidRPr="00FA0CF1">
              <w:rPr>
                <w:rFonts w:cs="Arial"/>
                <w:bCs/>
                <w:sz w:val="18"/>
                <w:szCs w:val="18"/>
                <w:highlight w:val="lightGray"/>
              </w:rPr>
              <w:t>-</w:t>
            </w:r>
            <w:r w:rsidRPr="00FA0CF1">
              <w:rPr>
                <w:rFonts w:cs="Arial"/>
                <w:bCs/>
                <w:sz w:val="18"/>
                <w:szCs w:val="18"/>
                <w:highlight w:val="lightGray"/>
              </w:rPr>
              <w:tab/>
              <w:t>Comuni ticinesi, allo scopo di confermare l’idoneità delle strutture ricettive da locare a uso turistico sul loro territorio;</w:t>
            </w:r>
          </w:p>
          <w:p w:rsidR="005B19BB" w:rsidRPr="00FA0CF1" w:rsidRDefault="005B19BB" w:rsidP="00A0486F">
            <w:pPr>
              <w:ind w:left="197" w:hanging="197"/>
              <w:rPr>
                <w:rFonts w:cs="Arial"/>
                <w:bCs/>
                <w:sz w:val="18"/>
                <w:szCs w:val="18"/>
              </w:rPr>
            </w:pPr>
            <w:r w:rsidRPr="00FA0CF1">
              <w:rPr>
                <w:rFonts w:cs="Arial"/>
                <w:bCs/>
                <w:sz w:val="18"/>
                <w:szCs w:val="18"/>
                <w:highlight w:val="lightGray"/>
              </w:rPr>
              <w:t>-</w:t>
            </w:r>
            <w:r w:rsidRPr="00FA0CF1">
              <w:rPr>
                <w:rFonts w:cs="Arial"/>
                <w:bCs/>
                <w:sz w:val="18"/>
                <w:szCs w:val="18"/>
                <w:highlight w:val="lightGray"/>
              </w:rPr>
              <w:tab/>
              <w:t>OTR, allo scopo di controllare la regolare notifica dei pernottamenti e del pagamento delle tasse turistiche.</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highlight w:val="lightGray"/>
                <w:vertAlign w:val="superscript"/>
              </w:rPr>
              <w:t>5</w:t>
            </w:r>
            <w:r w:rsidRPr="00FA0CF1">
              <w:rPr>
                <w:rFonts w:cs="Arial"/>
                <w:bCs/>
                <w:sz w:val="18"/>
                <w:szCs w:val="18"/>
                <w:highlight w:val="lightGray"/>
              </w:rPr>
              <w:t>I dati delle strutture non più attive vengono conservati al massimo 5 anni, riservata la legge sull’archiviazione e sugli archivi pubblici del 15 marzo 2011 (</w:t>
            </w:r>
            <w:proofErr w:type="spellStart"/>
            <w:r w:rsidRPr="00FA0CF1">
              <w:rPr>
                <w:rFonts w:cs="Arial"/>
                <w:bCs/>
                <w:sz w:val="18"/>
                <w:szCs w:val="18"/>
                <w:highlight w:val="lightGray"/>
              </w:rPr>
              <w:t>LArch</w:t>
            </w:r>
            <w:proofErr w:type="spellEnd"/>
            <w:r w:rsidRPr="00FA0CF1">
              <w:rPr>
                <w:rFonts w:cs="Arial"/>
                <w:bCs/>
                <w:sz w:val="18"/>
                <w:szCs w:val="18"/>
                <w:highlight w:val="lightGray"/>
              </w:rPr>
              <w:t>).</w:t>
            </w:r>
          </w:p>
          <w:p w:rsidR="005B19BB" w:rsidRPr="00FA0CF1" w:rsidRDefault="005B19BB" w:rsidP="00A0486F">
            <w:pPr>
              <w:ind w:right="-2"/>
              <w:rPr>
                <w:rFonts w:cs="Arial"/>
                <w:bCs/>
                <w:sz w:val="18"/>
                <w:szCs w:val="18"/>
              </w:rPr>
            </w:pPr>
          </w:p>
          <w:p w:rsidR="005B19BB" w:rsidRPr="00FA0CF1" w:rsidRDefault="005B19BB" w:rsidP="00A0486F">
            <w:pPr>
              <w:ind w:right="-2"/>
              <w:rPr>
                <w:rFonts w:cs="Arial"/>
                <w:bCs/>
                <w:sz w:val="18"/>
                <w:szCs w:val="18"/>
                <w:highlight w:val="lightGray"/>
              </w:rPr>
            </w:pPr>
            <w:r w:rsidRPr="00FA0CF1">
              <w:rPr>
                <w:rFonts w:eastAsia="Arial" w:cs="Arial"/>
                <w:color w:val="000000"/>
                <w:sz w:val="18"/>
                <w:highlight w:val="lightGray"/>
                <w:vertAlign w:val="superscript"/>
              </w:rPr>
              <w:t>6</w:t>
            </w:r>
            <w:r w:rsidRPr="00FA0CF1">
              <w:rPr>
                <w:rFonts w:cs="Arial"/>
                <w:bCs/>
                <w:sz w:val="18"/>
                <w:szCs w:val="18"/>
                <w:highlight w:val="lightGray"/>
              </w:rPr>
              <w:t>Il Consiglio di Stato disciplina i particolari, segnatamente:</w:t>
            </w:r>
          </w:p>
          <w:p w:rsidR="005B19BB" w:rsidRPr="00FA0CF1" w:rsidRDefault="005B19BB" w:rsidP="00A0486F">
            <w:pPr>
              <w:tabs>
                <w:tab w:val="left" w:pos="197"/>
              </w:tabs>
              <w:ind w:right="-2"/>
              <w:rPr>
                <w:rFonts w:cs="Arial"/>
                <w:bCs/>
                <w:sz w:val="18"/>
                <w:szCs w:val="18"/>
                <w:highlight w:val="lightGray"/>
              </w:rPr>
            </w:pPr>
            <w:r w:rsidRPr="00FA0CF1">
              <w:rPr>
                <w:rFonts w:cs="Arial"/>
                <w:bCs/>
                <w:sz w:val="18"/>
                <w:szCs w:val="18"/>
                <w:highlight w:val="lightGray"/>
              </w:rPr>
              <w:t>a)</w:t>
            </w:r>
            <w:r w:rsidRPr="00FA0CF1">
              <w:rPr>
                <w:rFonts w:cs="Arial"/>
                <w:bCs/>
                <w:sz w:val="18"/>
                <w:szCs w:val="18"/>
                <w:highlight w:val="lightGray"/>
              </w:rPr>
              <w:tab/>
              <w:t xml:space="preserve">il catalogo dei dati personali </w:t>
            </w:r>
            <w:r w:rsidRPr="00FA0CF1">
              <w:rPr>
                <w:rFonts w:cs="Arial"/>
                <w:bCs/>
                <w:sz w:val="18"/>
                <w:szCs w:val="18"/>
                <w:highlight w:val="lightGray"/>
              </w:rPr>
              <w:tab/>
              <w:t>elaborati;</w:t>
            </w:r>
          </w:p>
          <w:p w:rsidR="005B19BB" w:rsidRPr="00FA0CF1" w:rsidRDefault="005B19BB" w:rsidP="00A0486F">
            <w:pPr>
              <w:tabs>
                <w:tab w:val="left" w:pos="197"/>
              </w:tabs>
              <w:ind w:right="-2"/>
              <w:rPr>
                <w:rFonts w:cs="Arial"/>
                <w:bCs/>
                <w:sz w:val="18"/>
                <w:szCs w:val="18"/>
                <w:highlight w:val="lightGray"/>
              </w:rPr>
            </w:pPr>
            <w:r w:rsidRPr="00FA0CF1">
              <w:rPr>
                <w:rFonts w:cs="Arial"/>
                <w:bCs/>
                <w:sz w:val="18"/>
                <w:szCs w:val="18"/>
                <w:highlight w:val="lightGray"/>
              </w:rPr>
              <w:lastRenderedPageBreak/>
              <w:t>b)</w:t>
            </w:r>
            <w:r w:rsidRPr="00FA0CF1">
              <w:rPr>
                <w:rFonts w:cs="Arial"/>
                <w:bCs/>
                <w:sz w:val="18"/>
                <w:szCs w:val="18"/>
                <w:highlight w:val="lightGray"/>
              </w:rPr>
              <w:tab/>
              <w:t xml:space="preserve">i diritti di accesso e la trasmissione </w:t>
            </w:r>
            <w:r w:rsidRPr="00FA0CF1">
              <w:rPr>
                <w:rFonts w:cs="Arial"/>
                <w:bCs/>
                <w:sz w:val="18"/>
                <w:szCs w:val="18"/>
                <w:highlight w:val="lightGray"/>
              </w:rPr>
              <w:tab/>
              <w:t xml:space="preserve">dei dati, tenendo </w:t>
            </w:r>
            <w:r w:rsidRPr="00FA0CF1">
              <w:rPr>
                <w:rFonts w:cs="Arial"/>
                <w:bCs/>
                <w:sz w:val="18"/>
                <w:szCs w:val="18"/>
                <w:highlight w:val="lightGray"/>
              </w:rPr>
              <w:tab/>
              <w:t xml:space="preserve">proporzionatamente conto della </w:t>
            </w:r>
            <w:r w:rsidRPr="00FA0CF1">
              <w:rPr>
                <w:rFonts w:cs="Arial"/>
                <w:bCs/>
                <w:sz w:val="18"/>
                <w:szCs w:val="18"/>
                <w:highlight w:val="lightGray"/>
              </w:rPr>
              <w:tab/>
              <w:t>cerchia dei destinatari;</w:t>
            </w:r>
          </w:p>
          <w:p w:rsidR="005B19BB" w:rsidRPr="00FA0CF1" w:rsidRDefault="005B19BB" w:rsidP="00A0486F">
            <w:pPr>
              <w:tabs>
                <w:tab w:val="left" w:pos="197"/>
              </w:tabs>
              <w:ind w:right="-2"/>
              <w:rPr>
                <w:rFonts w:cs="Arial"/>
                <w:bCs/>
                <w:sz w:val="18"/>
                <w:szCs w:val="18"/>
                <w:highlight w:val="lightGray"/>
              </w:rPr>
            </w:pPr>
            <w:r w:rsidRPr="00FA0CF1">
              <w:rPr>
                <w:rFonts w:cs="Arial"/>
                <w:bCs/>
                <w:sz w:val="18"/>
                <w:szCs w:val="18"/>
                <w:highlight w:val="lightGray"/>
              </w:rPr>
              <w:t>c)</w:t>
            </w:r>
            <w:r w:rsidRPr="00FA0CF1">
              <w:rPr>
                <w:rFonts w:cs="Arial"/>
                <w:bCs/>
                <w:sz w:val="18"/>
                <w:szCs w:val="18"/>
                <w:highlight w:val="lightGray"/>
              </w:rPr>
              <w:tab/>
              <w:t xml:space="preserve">la durata di conservazione, </w:t>
            </w:r>
            <w:r w:rsidRPr="00FA0CF1">
              <w:rPr>
                <w:rFonts w:cs="Arial"/>
                <w:bCs/>
                <w:sz w:val="18"/>
                <w:szCs w:val="18"/>
                <w:highlight w:val="lightGray"/>
              </w:rPr>
              <w:tab/>
              <w:t xml:space="preserve">l’archiviazione e la distruzione dei </w:t>
            </w:r>
            <w:r w:rsidRPr="00FA0CF1">
              <w:rPr>
                <w:rFonts w:cs="Arial"/>
                <w:bCs/>
                <w:sz w:val="18"/>
                <w:szCs w:val="18"/>
                <w:highlight w:val="lightGray"/>
              </w:rPr>
              <w:tab/>
              <w:t>dati;</w:t>
            </w:r>
          </w:p>
          <w:p w:rsidR="005B19BB" w:rsidRPr="00FA0CF1" w:rsidRDefault="005B19BB" w:rsidP="00A0486F">
            <w:pPr>
              <w:tabs>
                <w:tab w:val="left" w:pos="197"/>
              </w:tabs>
              <w:ind w:right="-2"/>
              <w:rPr>
                <w:rFonts w:cs="Arial"/>
                <w:bCs/>
                <w:sz w:val="18"/>
                <w:szCs w:val="18"/>
              </w:rPr>
            </w:pPr>
            <w:r w:rsidRPr="00FA0CF1">
              <w:rPr>
                <w:rFonts w:cs="Arial"/>
                <w:bCs/>
                <w:sz w:val="18"/>
                <w:szCs w:val="18"/>
                <w:highlight w:val="lightGray"/>
              </w:rPr>
              <w:t>d)</w:t>
            </w:r>
            <w:r w:rsidRPr="00FA0CF1">
              <w:rPr>
                <w:rFonts w:cs="Arial"/>
                <w:bCs/>
                <w:sz w:val="18"/>
                <w:szCs w:val="18"/>
                <w:highlight w:val="lightGray"/>
              </w:rPr>
              <w:tab/>
              <w:t>le misure di sicurezza.</w:t>
            </w:r>
          </w:p>
          <w:p w:rsidR="005B19BB" w:rsidRPr="00FA0CF1" w:rsidRDefault="005B19BB" w:rsidP="00A0486F">
            <w:pPr>
              <w:ind w:right="-2"/>
              <w:rPr>
                <w:rFonts w:cs="Arial"/>
                <w:bCs/>
                <w:sz w:val="18"/>
                <w:szCs w:val="18"/>
              </w:rPr>
            </w:pPr>
          </w:p>
        </w:tc>
        <w:tc>
          <w:tcPr>
            <w:tcW w:w="3245"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lastRenderedPageBreak/>
              <w:t>Agenzia turistica ticinese (ATT)</w:t>
            </w:r>
          </w:p>
          <w:p w:rsidR="005B19BB" w:rsidRPr="00FA0CF1" w:rsidRDefault="005B19BB" w:rsidP="00A0486F">
            <w:pPr>
              <w:rPr>
                <w:rFonts w:cs="Arial"/>
                <w:b/>
                <w:bCs/>
                <w:sz w:val="18"/>
                <w:szCs w:val="18"/>
              </w:rPr>
            </w:pPr>
            <w:r w:rsidRPr="00FA0CF1">
              <w:rPr>
                <w:rFonts w:cs="Arial"/>
                <w:b/>
                <w:bCs/>
                <w:sz w:val="18"/>
                <w:szCs w:val="18"/>
              </w:rPr>
              <w:t>Art. 15</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2</w:t>
            </w:r>
            <w:r w:rsidRPr="00FA0CF1">
              <w:rPr>
                <w:rFonts w:cs="Arial"/>
                <w:bCs/>
                <w:sz w:val="18"/>
                <w:szCs w:val="18"/>
              </w:rPr>
              <w:t xml:space="preserve">Essa ha in particolare i seguenti compiti: </w:t>
            </w:r>
          </w:p>
          <w:p w:rsidR="005B19BB" w:rsidRPr="00FA0CF1" w:rsidRDefault="005B19BB" w:rsidP="00A0486F">
            <w:pPr>
              <w:rPr>
                <w:rFonts w:cs="Arial"/>
                <w:bCs/>
                <w:sz w:val="18"/>
                <w:szCs w:val="18"/>
              </w:rPr>
            </w:pPr>
            <w:r w:rsidRPr="00FA0CF1">
              <w:rPr>
                <w:rFonts w:cs="Arial"/>
                <w:bCs/>
                <w:sz w:val="18"/>
                <w:szCs w:val="18"/>
              </w:rPr>
              <w:t>[…]</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rPr>
              <w:t>l) concludere accordi con terzi, fintanto che essi siano nell’interesse delle OTR e/o dell’ATT o che si rendano necessari per l’attuazione della presente legge;</w:t>
            </w:r>
          </w:p>
          <w:p w:rsidR="005B19BB" w:rsidRPr="00FA0CF1" w:rsidRDefault="005B19BB" w:rsidP="00A0486F">
            <w:pPr>
              <w:rPr>
                <w:rFonts w:cs="Arial"/>
                <w:bCs/>
                <w:sz w:val="18"/>
                <w:szCs w:val="18"/>
              </w:rPr>
            </w:pPr>
            <w:r w:rsidRPr="00FA0CF1">
              <w:rPr>
                <w:rFonts w:cs="Arial"/>
                <w:bCs/>
                <w:sz w:val="18"/>
                <w:szCs w:val="18"/>
              </w:rPr>
              <w:t xml:space="preserve">m) sviluppare e gestire la piattaforma online per la registrazione e il rilascio di un numero identificativo per i datori di alloggio definiti dall’art. 21 cpv. 4 con lo scopo di avere una panoramica completa degli alloggi messi a disposizione del mercato turistico cantonale. </w:t>
            </w:r>
          </w:p>
          <w:p w:rsidR="005B19BB" w:rsidRPr="00FA0CF1" w:rsidRDefault="005B19BB" w:rsidP="00A0486F">
            <w:pPr>
              <w:rPr>
                <w:rFonts w:cs="Arial"/>
                <w:bCs/>
                <w:sz w:val="18"/>
                <w:szCs w:val="18"/>
              </w:rPr>
            </w:pPr>
          </w:p>
          <w:p w:rsidR="005B19BB" w:rsidRPr="00FA0CF1" w:rsidRDefault="005B19BB" w:rsidP="00A0486F">
            <w:pPr>
              <w:rPr>
                <w:rFonts w:eastAsia="Arial" w:cs="Arial"/>
                <w:color w:val="000000"/>
                <w:sz w:val="18"/>
                <w:vertAlign w:val="superscript"/>
              </w:rPr>
            </w:pPr>
          </w:p>
          <w:p w:rsidR="005B19BB" w:rsidRPr="00FA0CF1" w:rsidRDefault="005B19BB" w:rsidP="00A0486F">
            <w:pPr>
              <w:rPr>
                <w:rFonts w:cs="Arial"/>
                <w:bCs/>
                <w:sz w:val="18"/>
                <w:szCs w:val="18"/>
              </w:rPr>
            </w:pPr>
            <w:r w:rsidRPr="00FA0CF1">
              <w:rPr>
                <w:rFonts w:eastAsia="Arial" w:cs="Arial"/>
                <w:color w:val="000000"/>
                <w:sz w:val="18"/>
                <w:vertAlign w:val="superscript"/>
              </w:rPr>
              <w:t>3</w:t>
            </w:r>
            <w:r w:rsidRPr="00FA0CF1">
              <w:rPr>
                <w:rFonts w:cs="Arial"/>
                <w:bCs/>
                <w:sz w:val="18"/>
                <w:szCs w:val="18"/>
              </w:rPr>
              <w:t xml:space="preserve">La piattaforma online dell’ATT di cui al cpv. 2 lett. m centralizza le informazioni ed è in parte alimentata dalla banca dati SEPU (strutture soggette alla legge sugli esercizi alberghieri e sulla ristorazione del 1° giugno 2010). </w:t>
            </w:r>
          </w:p>
          <w:p w:rsidR="005B19BB" w:rsidRPr="00FA0CF1" w:rsidRDefault="005B19BB" w:rsidP="00A0486F">
            <w:pPr>
              <w:ind w:right="-2"/>
              <w:rPr>
                <w:rFonts w:cs="Arial"/>
                <w:bCs/>
                <w:sz w:val="18"/>
                <w:szCs w:val="18"/>
              </w:rPr>
            </w:pPr>
          </w:p>
          <w:p w:rsidR="005B19BB" w:rsidRPr="00FA0CF1" w:rsidRDefault="005B19BB" w:rsidP="00A0486F">
            <w:pPr>
              <w:ind w:right="-2"/>
              <w:rPr>
                <w:rFonts w:cs="Arial"/>
                <w:bCs/>
                <w:sz w:val="18"/>
                <w:szCs w:val="18"/>
              </w:rPr>
            </w:pPr>
            <w:r w:rsidRPr="00FA0CF1">
              <w:rPr>
                <w:rFonts w:eastAsia="Arial" w:cs="Arial"/>
                <w:color w:val="000000"/>
                <w:sz w:val="18"/>
                <w:vertAlign w:val="superscript"/>
              </w:rPr>
              <w:t>4</w:t>
            </w:r>
            <w:r w:rsidRPr="00FA0CF1">
              <w:rPr>
                <w:rFonts w:cs="Arial"/>
                <w:bCs/>
                <w:sz w:val="18"/>
                <w:szCs w:val="18"/>
              </w:rPr>
              <w:t>L’organo responsabile autorizza la trasmissione su base regolare dei dati raccolti nella piattaforma online alle seguenti autorità:</w:t>
            </w:r>
          </w:p>
          <w:p w:rsidR="005B19BB" w:rsidRPr="00FA0CF1" w:rsidRDefault="005B19BB" w:rsidP="00A0486F">
            <w:pPr>
              <w:ind w:left="162" w:right="-2" w:hanging="162"/>
              <w:rPr>
                <w:rFonts w:cs="Arial"/>
                <w:bCs/>
                <w:sz w:val="18"/>
                <w:szCs w:val="18"/>
              </w:rPr>
            </w:pPr>
            <w:r w:rsidRPr="00FA0CF1">
              <w:rPr>
                <w:rFonts w:cs="Arial"/>
                <w:bCs/>
                <w:sz w:val="18"/>
                <w:szCs w:val="18"/>
              </w:rPr>
              <w:t>-</w:t>
            </w:r>
            <w:r w:rsidRPr="00FA0CF1">
              <w:rPr>
                <w:rFonts w:cs="Arial"/>
                <w:bCs/>
                <w:sz w:val="18"/>
                <w:szCs w:val="18"/>
              </w:rPr>
              <w:tab/>
              <w:t>Polizia cantonale tramite accesso alla piattaforma online, allo scopo di avere una panoramica completa anche degli alloggi non sottoposti alla Lear;</w:t>
            </w:r>
          </w:p>
          <w:p w:rsidR="005B19BB" w:rsidRPr="00FA0CF1" w:rsidRDefault="005B19BB" w:rsidP="00A0486F">
            <w:pPr>
              <w:ind w:left="162" w:right="-2" w:hanging="162"/>
              <w:rPr>
                <w:rFonts w:cs="Arial"/>
                <w:bCs/>
                <w:sz w:val="18"/>
                <w:szCs w:val="18"/>
              </w:rPr>
            </w:pPr>
            <w:r w:rsidRPr="00FA0CF1">
              <w:rPr>
                <w:rFonts w:cs="Arial"/>
                <w:bCs/>
                <w:sz w:val="18"/>
                <w:szCs w:val="18"/>
              </w:rPr>
              <w:t>-</w:t>
            </w:r>
            <w:r w:rsidRPr="00FA0CF1">
              <w:rPr>
                <w:rFonts w:cs="Arial"/>
                <w:bCs/>
                <w:sz w:val="18"/>
                <w:szCs w:val="18"/>
              </w:rPr>
              <w:tab/>
              <w:t>Comuni ticinesi, allo scopo di confermare l’idoneità delle strutture ricettive da locare a uso turistico sul loro territorio;</w:t>
            </w:r>
          </w:p>
          <w:p w:rsidR="005B19BB" w:rsidRPr="00FA0CF1" w:rsidRDefault="005B19BB" w:rsidP="00A0486F">
            <w:pPr>
              <w:ind w:left="162" w:right="-2" w:hanging="162"/>
              <w:rPr>
                <w:rFonts w:cs="Arial"/>
                <w:bCs/>
                <w:sz w:val="18"/>
                <w:szCs w:val="18"/>
              </w:rPr>
            </w:pPr>
            <w:r w:rsidRPr="00FA0CF1">
              <w:rPr>
                <w:rFonts w:cs="Arial"/>
                <w:bCs/>
                <w:sz w:val="18"/>
                <w:szCs w:val="18"/>
              </w:rPr>
              <w:t>- OTR, allo scopo di controllare la regolare notifica dei pernottamenti e del pagamento delle tasse turistiche.</w:t>
            </w:r>
          </w:p>
          <w:p w:rsidR="005B19BB" w:rsidRPr="00FA0CF1" w:rsidRDefault="005B19BB" w:rsidP="00A0486F">
            <w:pPr>
              <w:ind w:left="160" w:hanging="160"/>
              <w:rPr>
                <w:rFonts w:cs="Arial"/>
                <w:bCs/>
                <w:sz w:val="18"/>
                <w:szCs w:val="18"/>
              </w:rPr>
            </w:pPr>
            <w:r w:rsidRPr="00FA0CF1">
              <w:rPr>
                <w:rFonts w:cs="Arial"/>
                <w:bCs/>
                <w:sz w:val="18"/>
                <w:szCs w:val="18"/>
              </w:rPr>
              <w:t xml:space="preserve"> </w:t>
            </w:r>
          </w:p>
          <w:p w:rsidR="005B19BB" w:rsidRPr="00FA0CF1" w:rsidRDefault="005B19BB" w:rsidP="00A0486F">
            <w:pPr>
              <w:rPr>
                <w:rFonts w:cs="Arial"/>
                <w:bCs/>
                <w:sz w:val="18"/>
                <w:szCs w:val="18"/>
              </w:rPr>
            </w:pPr>
            <w:r w:rsidRPr="00FA0CF1">
              <w:rPr>
                <w:rFonts w:cs="Arial"/>
                <w:bCs/>
                <w:sz w:val="18"/>
                <w:szCs w:val="18"/>
                <w:vertAlign w:val="superscript"/>
              </w:rPr>
              <w:t>5</w:t>
            </w:r>
            <w:r w:rsidRPr="00FA0CF1">
              <w:rPr>
                <w:rFonts w:cs="Arial"/>
                <w:bCs/>
                <w:sz w:val="18"/>
                <w:szCs w:val="18"/>
              </w:rPr>
              <w:t>I dati delle strutture non più attive vengono conservati al massimo 5 anni, riservata la legge sull’archiviazione e sugli archivi pubblici del 15 marzo 2011 (</w:t>
            </w:r>
            <w:proofErr w:type="spellStart"/>
            <w:r w:rsidRPr="00FA0CF1">
              <w:rPr>
                <w:rFonts w:cs="Arial"/>
                <w:bCs/>
                <w:sz w:val="18"/>
                <w:szCs w:val="18"/>
              </w:rPr>
              <w:t>LArch</w:t>
            </w:r>
            <w:proofErr w:type="spellEnd"/>
            <w:r w:rsidRPr="00FA0CF1">
              <w:rPr>
                <w:rFonts w:cs="Arial"/>
                <w:bCs/>
                <w:sz w:val="18"/>
                <w:szCs w:val="18"/>
              </w:rPr>
              <w:t>).</w:t>
            </w:r>
          </w:p>
          <w:p w:rsidR="005B19BB" w:rsidRPr="00FA0CF1" w:rsidRDefault="005B19BB" w:rsidP="00A0486F">
            <w:pPr>
              <w:ind w:right="-2"/>
              <w:rPr>
                <w:rFonts w:cs="Arial"/>
                <w:bCs/>
                <w:sz w:val="18"/>
                <w:szCs w:val="18"/>
              </w:rPr>
            </w:pPr>
          </w:p>
          <w:p w:rsidR="005B19BB" w:rsidRPr="00FA0CF1" w:rsidRDefault="005B19BB" w:rsidP="00A0486F">
            <w:pPr>
              <w:ind w:right="-2"/>
              <w:rPr>
                <w:rFonts w:cs="Arial"/>
                <w:bCs/>
                <w:sz w:val="18"/>
                <w:szCs w:val="18"/>
              </w:rPr>
            </w:pPr>
            <w:r w:rsidRPr="00FA0CF1">
              <w:rPr>
                <w:rFonts w:eastAsia="Arial" w:cs="Arial"/>
                <w:color w:val="000000"/>
                <w:sz w:val="18"/>
                <w:vertAlign w:val="superscript"/>
              </w:rPr>
              <w:t>6</w:t>
            </w:r>
            <w:r w:rsidRPr="00FA0CF1">
              <w:rPr>
                <w:rFonts w:cs="Arial"/>
                <w:bCs/>
                <w:sz w:val="18"/>
                <w:szCs w:val="18"/>
              </w:rPr>
              <w:t>Il Consiglio di Stato disciplina i particolari, segnatamente:</w:t>
            </w:r>
          </w:p>
          <w:p w:rsidR="005B19BB" w:rsidRPr="00FA0CF1" w:rsidRDefault="005B19BB" w:rsidP="005B19BB">
            <w:pPr>
              <w:numPr>
                <w:ilvl w:val="0"/>
                <w:numId w:val="28"/>
              </w:numPr>
              <w:ind w:left="162" w:right="-2" w:hanging="162"/>
              <w:rPr>
                <w:rFonts w:cs="Arial"/>
                <w:bCs/>
                <w:sz w:val="18"/>
                <w:szCs w:val="18"/>
              </w:rPr>
            </w:pPr>
            <w:r w:rsidRPr="00FA0CF1">
              <w:rPr>
                <w:rFonts w:cs="Arial"/>
                <w:bCs/>
                <w:sz w:val="18"/>
                <w:szCs w:val="18"/>
              </w:rPr>
              <w:lastRenderedPageBreak/>
              <w:t>il catalogo dei dati personali elaborati;</w:t>
            </w:r>
          </w:p>
          <w:p w:rsidR="005B19BB" w:rsidRPr="00FA0CF1" w:rsidRDefault="005B19BB" w:rsidP="005B19BB">
            <w:pPr>
              <w:numPr>
                <w:ilvl w:val="0"/>
                <w:numId w:val="28"/>
              </w:numPr>
              <w:ind w:left="162" w:right="-2" w:hanging="162"/>
              <w:rPr>
                <w:rFonts w:cs="Arial"/>
                <w:bCs/>
                <w:sz w:val="18"/>
                <w:szCs w:val="18"/>
              </w:rPr>
            </w:pPr>
            <w:r w:rsidRPr="00FA0CF1">
              <w:rPr>
                <w:rFonts w:cs="Arial"/>
                <w:bCs/>
                <w:sz w:val="18"/>
                <w:szCs w:val="18"/>
              </w:rPr>
              <w:t>i diritti di accesso e la trasmissione dei dati, tenendo proporzionatamente conto della cerchia dei destinatari;</w:t>
            </w:r>
          </w:p>
          <w:p w:rsidR="005B19BB" w:rsidRPr="00FA0CF1" w:rsidRDefault="005B19BB" w:rsidP="005B19BB">
            <w:pPr>
              <w:numPr>
                <w:ilvl w:val="0"/>
                <w:numId w:val="28"/>
              </w:numPr>
              <w:ind w:left="162" w:right="-2" w:hanging="162"/>
              <w:rPr>
                <w:rFonts w:cs="Arial"/>
                <w:bCs/>
                <w:sz w:val="18"/>
                <w:szCs w:val="18"/>
              </w:rPr>
            </w:pPr>
            <w:r w:rsidRPr="00FA0CF1">
              <w:rPr>
                <w:rFonts w:cs="Arial"/>
                <w:bCs/>
                <w:sz w:val="18"/>
                <w:szCs w:val="18"/>
              </w:rPr>
              <w:t>la durata di conservazione, l’archiviazione e la distruzione dei dati;</w:t>
            </w:r>
          </w:p>
          <w:p w:rsidR="005B19BB" w:rsidRPr="00FA0CF1" w:rsidRDefault="005B19BB" w:rsidP="005B19BB">
            <w:pPr>
              <w:numPr>
                <w:ilvl w:val="0"/>
                <w:numId w:val="28"/>
              </w:numPr>
              <w:ind w:left="162" w:right="-2" w:hanging="162"/>
              <w:rPr>
                <w:rFonts w:cs="Arial"/>
                <w:bCs/>
                <w:sz w:val="18"/>
                <w:szCs w:val="18"/>
              </w:rPr>
            </w:pPr>
            <w:r w:rsidRPr="00FA0CF1">
              <w:rPr>
                <w:rFonts w:cs="Arial"/>
                <w:bCs/>
                <w:sz w:val="18"/>
                <w:szCs w:val="18"/>
              </w:rPr>
              <w:t>le misure di sicurezza.</w:t>
            </w:r>
          </w:p>
          <w:p w:rsidR="005B19BB" w:rsidRPr="00FA0CF1" w:rsidRDefault="005B19BB" w:rsidP="00A0486F">
            <w:pPr>
              <w:rPr>
                <w:rFonts w:cs="Arial"/>
                <w:bCs/>
                <w:sz w:val="18"/>
                <w:szCs w:val="18"/>
              </w:rPr>
            </w:pP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lastRenderedPageBreak/>
              <w:t>Capitolo quarto – tasse per il turismo</w:t>
            </w:r>
          </w:p>
        </w:tc>
        <w:tc>
          <w:tcPr>
            <w:tcW w:w="3161"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t>Capitolo quarto – tasse per il turismo</w:t>
            </w:r>
          </w:p>
        </w:tc>
        <w:tc>
          <w:tcPr>
            <w:tcW w:w="3245" w:type="dxa"/>
            <w:tcMar>
              <w:top w:w="0" w:type="dxa"/>
              <w:left w:w="108" w:type="dxa"/>
              <w:bottom w:w="0" w:type="dxa"/>
              <w:right w:w="108" w:type="dxa"/>
            </w:tcMar>
          </w:tcPr>
          <w:p w:rsidR="005B19BB" w:rsidRPr="00FA0CF1" w:rsidRDefault="005B19BB" w:rsidP="00A0486F">
            <w:pPr>
              <w:shd w:val="clear" w:color="auto" w:fill="FFFFFF"/>
              <w:rPr>
                <w:rFonts w:cs="Arial"/>
                <w:b/>
                <w:bCs/>
                <w:sz w:val="18"/>
                <w:szCs w:val="18"/>
              </w:rPr>
            </w:pPr>
            <w:r w:rsidRPr="00FA0CF1">
              <w:rPr>
                <w:rFonts w:cs="Arial"/>
                <w:b/>
                <w:bCs/>
                <w:sz w:val="18"/>
                <w:szCs w:val="18"/>
              </w:rPr>
              <w:t>Capitolo quarto – tasse per il turismo</w:t>
            </w: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t>Tassa di soggiorno</w:t>
            </w:r>
          </w:p>
          <w:p w:rsidR="005B19BB" w:rsidRPr="00FA0CF1" w:rsidRDefault="005B19BB" w:rsidP="00BE3B18">
            <w:pPr>
              <w:spacing w:after="120"/>
              <w:rPr>
                <w:rFonts w:cs="Arial"/>
                <w:b/>
                <w:bCs/>
                <w:sz w:val="18"/>
                <w:szCs w:val="18"/>
              </w:rPr>
            </w:pPr>
            <w:r w:rsidRPr="00FA0CF1">
              <w:rPr>
                <w:rFonts w:cs="Arial"/>
                <w:b/>
                <w:bCs/>
                <w:sz w:val="18"/>
                <w:szCs w:val="18"/>
              </w:rPr>
              <w:t>Art. 21</w:t>
            </w:r>
          </w:p>
          <w:p w:rsidR="005B19BB" w:rsidRPr="00FA0CF1" w:rsidRDefault="005B19BB" w:rsidP="00A0486F">
            <w:pPr>
              <w:rPr>
                <w:rFonts w:cs="Arial"/>
                <w:bCs/>
                <w:sz w:val="18"/>
                <w:szCs w:val="18"/>
              </w:rPr>
            </w:pPr>
            <w:r w:rsidRPr="00FA0CF1">
              <w:rPr>
                <w:rFonts w:cs="Arial"/>
                <w:bCs/>
                <w:sz w:val="18"/>
                <w:szCs w:val="18"/>
              </w:rPr>
              <w:t>[…]</w:t>
            </w:r>
          </w:p>
          <w:p w:rsidR="005B19BB" w:rsidRPr="00FA0CF1" w:rsidRDefault="005B19BB" w:rsidP="00A0486F">
            <w:pPr>
              <w:rPr>
                <w:rFonts w:cs="Arial"/>
                <w:bCs/>
                <w:sz w:val="18"/>
                <w:szCs w:val="18"/>
                <w:vertAlign w:val="superscript"/>
              </w:rPr>
            </w:pPr>
          </w:p>
          <w:p w:rsidR="005B19BB" w:rsidRPr="00FA0CF1" w:rsidRDefault="005B19BB" w:rsidP="00A0486F">
            <w:pPr>
              <w:rPr>
                <w:rFonts w:cs="Arial"/>
                <w:bCs/>
                <w:sz w:val="18"/>
                <w:szCs w:val="18"/>
              </w:rPr>
            </w:pPr>
            <w:r w:rsidRPr="00FA0CF1">
              <w:rPr>
                <w:rFonts w:cs="Arial"/>
                <w:bCs/>
                <w:sz w:val="18"/>
                <w:szCs w:val="18"/>
                <w:vertAlign w:val="superscript"/>
              </w:rPr>
              <w:t>4</w:t>
            </w:r>
            <w:r w:rsidRPr="00FA0CF1">
              <w:rPr>
                <w:rFonts w:cs="Arial"/>
                <w:bCs/>
                <w:sz w:val="18"/>
                <w:szCs w:val="18"/>
              </w:rPr>
              <w:t>L’importo della tassa di soggiorno, differenziato in funzione delle categorie di alloggio, è di fr. 0.50 al minimo e di fr. 4.50 al massimo per pernottamento.</w:t>
            </w:r>
          </w:p>
          <w:p w:rsidR="005B19BB" w:rsidRPr="00FA0CF1" w:rsidRDefault="005B19BB" w:rsidP="00A0486F">
            <w:pPr>
              <w:rPr>
                <w:rFonts w:cs="Arial"/>
                <w:bCs/>
                <w:sz w:val="18"/>
                <w:szCs w:val="18"/>
                <w:vertAlign w:val="superscript"/>
              </w:rPr>
            </w:pPr>
          </w:p>
          <w:p w:rsidR="005B19BB" w:rsidRPr="00FA0CF1" w:rsidRDefault="005B19BB" w:rsidP="00A0486F">
            <w:pPr>
              <w:rPr>
                <w:rFonts w:cs="Arial"/>
                <w:bCs/>
                <w:sz w:val="18"/>
                <w:szCs w:val="18"/>
              </w:rPr>
            </w:pPr>
            <w:r w:rsidRPr="00FA0CF1">
              <w:rPr>
                <w:rFonts w:cs="Arial"/>
                <w:bCs/>
                <w:sz w:val="18"/>
                <w:szCs w:val="18"/>
                <w:vertAlign w:val="superscript"/>
              </w:rPr>
              <w:t>2</w:t>
            </w:r>
            <w:r w:rsidRPr="00FA0CF1">
              <w:rPr>
                <w:rFonts w:cs="Arial"/>
                <w:bCs/>
                <w:sz w:val="18"/>
                <w:szCs w:val="18"/>
              </w:rPr>
              <w:t>Sono soggette al pagamento della tassa di soggiorno tutte le persone che pernottano in un Comune che non è quello del domicilio ai sensi del Codice civile svizzero, come ospiti in alberghi, pensioni, ostelli della gioventù, ristoranti con alloggio, campeggi, alloggi collettivi, capanne, appartamenti e case di vacanza, camper e altri stabilimenti o veicoli analoghi.</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3</w:t>
            </w:r>
            <w:r w:rsidRPr="00FA0CF1">
              <w:rPr>
                <w:rFonts w:cs="Arial"/>
                <w:bCs/>
                <w:sz w:val="18"/>
                <w:szCs w:val="18"/>
              </w:rPr>
              <w:t>I datori di alloggio e i proprietari di appartamenti e case di vacanza date in locazione sono responsabili dell’incasso della tassa di soggiorno e del suo riversamento alle OTR.</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5</w:t>
            </w:r>
            <w:r w:rsidRPr="00FA0CF1">
              <w:rPr>
                <w:rFonts w:cs="Arial"/>
                <w:bCs/>
                <w:sz w:val="18"/>
                <w:szCs w:val="18"/>
              </w:rPr>
              <w:t xml:space="preserve">I proprietari di appartamenti o di case di vacanza, così come i membri delle loro famiglie, pagano una tassa di soggiorno nella forma di un importo annuale fisso. Questo importo è compreso tra fr. 15.- e fr. 100.- per posto letto, a secondo dell’accessibilità e dell’offerta turistica esistente dove è ubicata la residenza. </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6</w:t>
            </w:r>
            <w:r w:rsidRPr="00FA0CF1">
              <w:rPr>
                <w:rFonts w:cs="Arial"/>
                <w:bCs/>
                <w:sz w:val="18"/>
                <w:szCs w:val="18"/>
              </w:rPr>
              <w:t>Al pagamento dell’importo annuale fisso sono pure tenuti gli ospiti nei campeggi o che hanno in usufrutto o che affittano appartamenti o case di vacanza, per un periodo pari o superiore a 3 mesi.</w:t>
            </w:r>
          </w:p>
          <w:p w:rsidR="005B19BB" w:rsidRPr="00FA0CF1" w:rsidRDefault="005B19BB" w:rsidP="00A0486F">
            <w:pPr>
              <w:rPr>
                <w:rFonts w:cs="Arial"/>
                <w:bCs/>
                <w:sz w:val="18"/>
                <w:szCs w:val="18"/>
              </w:rPr>
            </w:pPr>
          </w:p>
        </w:tc>
        <w:tc>
          <w:tcPr>
            <w:tcW w:w="3161"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lastRenderedPageBreak/>
              <w:t>Tassa di soggiorno</w:t>
            </w:r>
          </w:p>
          <w:p w:rsidR="005B19BB" w:rsidRPr="00FA0CF1" w:rsidRDefault="005B19BB" w:rsidP="00BE3B18">
            <w:pPr>
              <w:spacing w:after="120"/>
              <w:rPr>
                <w:rFonts w:cs="Arial"/>
                <w:b/>
                <w:bCs/>
                <w:sz w:val="18"/>
                <w:szCs w:val="18"/>
              </w:rPr>
            </w:pPr>
            <w:r w:rsidRPr="00FA0CF1">
              <w:rPr>
                <w:rFonts w:cs="Arial"/>
                <w:b/>
                <w:bCs/>
                <w:sz w:val="18"/>
                <w:szCs w:val="18"/>
              </w:rPr>
              <w:t>Art. 21</w:t>
            </w:r>
          </w:p>
          <w:p w:rsidR="005B19BB" w:rsidRPr="00FA0CF1" w:rsidRDefault="005B19BB" w:rsidP="00A0486F">
            <w:pPr>
              <w:rPr>
                <w:rFonts w:cs="Arial"/>
                <w:bCs/>
                <w:sz w:val="18"/>
                <w:szCs w:val="18"/>
              </w:rPr>
            </w:pPr>
            <w:r w:rsidRPr="00FA0CF1">
              <w:rPr>
                <w:rFonts w:cs="Arial"/>
                <w:bCs/>
                <w:sz w:val="18"/>
                <w:szCs w:val="18"/>
              </w:rPr>
              <w:t>[…]</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highlight w:val="lightGray"/>
                <w:vertAlign w:val="superscript"/>
              </w:rPr>
              <w:t>2</w:t>
            </w:r>
            <w:r w:rsidRPr="00FA0CF1">
              <w:rPr>
                <w:rFonts w:cs="Arial"/>
                <w:bCs/>
                <w:sz w:val="18"/>
                <w:szCs w:val="18"/>
              </w:rPr>
              <w:t>L’importo della tassa di soggiorno, differenziato in funzione delle categorie di alloggio, è di 0.50 franchi al minimo e di 4.50 franchi al massimo per pernottamento.</w:t>
            </w:r>
          </w:p>
          <w:p w:rsidR="005B19BB" w:rsidRPr="00FA0CF1" w:rsidRDefault="005B19BB" w:rsidP="00A0486F">
            <w:pPr>
              <w:rPr>
                <w:rFonts w:cs="Arial"/>
                <w:bCs/>
                <w:sz w:val="18"/>
                <w:szCs w:val="18"/>
                <w:vertAlign w:val="superscript"/>
              </w:rPr>
            </w:pPr>
          </w:p>
          <w:p w:rsidR="005B19BB" w:rsidRPr="00FA0CF1" w:rsidRDefault="005B19BB" w:rsidP="00A0486F">
            <w:pPr>
              <w:rPr>
                <w:rFonts w:cs="Arial"/>
                <w:bCs/>
                <w:sz w:val="18"/>
                <w:szCs w:val="18"/>
              </w:rPr>
            </w:pPr>
            <w:r w:rsidRPr="00FA0CF1">
              <w:rPr>
                <w:rFonts w:cs="Arial"/>
                <w:bCs/>
                <w:sz w:val="18"/>
                <w:szCs w:val="18"/>
                <w:highlight w:val="lightGray"/>
                <w:vertAlign w:val="superscript"/>
              </w:rPr>
              <w:t>3</w:t>
            </w:r>
            <w:r w:rsidRPr="00FA0CF1">
              <w:rPr>
                <w:rFonts w:cs="Arial"/>
                <w:bCs/>
                <w:sz w:val="18"/>
                <w:szCs w:val="18"/>
              </w:rPr>
              <w:t xml:space="preserve">Sono soggette al pagamento della tassa di soggiorno tutte le persone che pernottano </w:t>
            </w:r>
            <w:r w:rsidRPr="00FA0CF1">
              <w:rPr>
                <w:rFonts w:cs="Arial"/>
                <w:bCs/>
                <w:sz w:val="18"/>
                <w:szCs w:val="18"/>
                <w:highlight w:val="lightGray"/>
              </w:rPr>
              <w:t>quali ospiti in uno stabilimento d’alloggio</w:t>
            </w:r>
            <w:r w:rsidRPr="00FA0CF1">
              <w:rPr>
                <w:rFonts w:cs="Arial"/>
                <w:bCs/>
                <w:sz w:val="18"/>
                <w:szCs w:val="18"/>
              </w:rPr>
              <w:t xml:space="preserve"> in un comune che non è quello del domicilio ai sensi del Codice civile svizzero. </w:t>
            </w:r>
          </w:p>
          <w:p w:rsidR="005B19BB" w:rsidRPr="00FA0CF1" w:rsidRDefault="005B19BB" w:rsidP="00A0486F">
            <w:pPr>
              <w:rPr>
                <w:rFonts w:cs="Arial"/>
                <w:bCs/>
                <w:sz w:val="18"/>
                <w:szCs w:val="18"/>
                <w:vertAlign w:val="superscript"/>
              </w:rPr>
            </w:pPr>
          </w:p>
          <w:p w:rsidR="005B19BB" w:rsidRPr="00FA0CF1" w:rsidRDefault="005B19BB" w:rsidP="00A0486F">
            <w:pPr>
              <w:rPr>
                <w:rFonts w:cs="Arial"/>
                <w:bCs/>
                <w:sz w:val="18"/>
                <w:szCs w:val="18"/>
              </w:rPr>
            </w:pPr>
            <w:r w:rsidRPr="00FA0CF1">
              <w:rPr>
                <w:rFonts w:cs="Arial"/>
                <w:bCs/>
                <w:sz w:val="18"/>
                <w:szCs w:val="18"/>
                <w:highlight w:val="lightGray"/>
                <w:vertAlign w:val="superscript"/>
              </w:rPr>
              <w:t>4</w:t>
            </w:r>
            <w:r w:rsidRPr="00FA0CF1">
              <w:rPr>
                <w:rFonts w:cs="Arial"/>
                <w:bCs/>
                <w:sz w:val="18"/>
                <w:szCs w:val="18"/>
                <w:highlight w:val="lightGray"/>
              </w:rPr>
              <w:t>Quali stabilimenti d’alloggio s’intendono alberghi, pensioni, ostelli della gioventù, ristoranti con alloggio, campeggi, alloggi collettivi, capanne, camere, appartamenti e case date in locazione ad uso turistico, camper e altri stabilimenti analoghi, purché essi siano adatti all’alloggio ripetuto di ospiti.</w:t>
            </w:r>
            <w:r w:rsidRPr="00FA0CF1">
              <w:rPr>
                <w:rFonts w:cs="Arial"/>
                <w:bCs/>
                <w:sz w:val="18"/>
                <w:szCs w:val="18"/>
              </w:rPr>
              <w:t xml:space="preserve"> </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highlight w:val="lightGray"/>
                <w:vertAlign w:val="superscript"/>
              </w:rPr>
              <w:t>5</w:t>
            </w:r>
            <w:r w:rsidRPr="00FA0CF1">
              <w:rPr>
                <w:rFonts w:cs="Arial"/>
                <w:bCs/>
                <w:sz w:val="18"/>
                <w:szCs w:val="18"/>
              </w:rPr>
              <w:t xml:space="preserve">I datori di alloggio e i proprietari di </w:t>
            </w:r>
            <w:r w:rsidRPr="00FA0CF1">
              <w:rPr>
                <w:rFonts w:cs="Arial"/>
                <w:bCs/>
                <w:sz w:val="18"/>
                <w:szCs w:val="18"/>
                <w:highlight w:val="lightGray"/>
              </w:rPr>
              <w:t>camere</w:t>
            </w:r>
            <w:r w:rsidRPr="00FA0CF1">
              <w:rPr>
                <w:rFonts w:cs="Arial"/>
                <w:bCs/>
                <w:sz w:val="18"/>
                <w:szCs w:val="18"/>
              </w:rPr>
              <w:t xml:space="preserve">, appartamenti e case </w:t>
            </w:r>
            <w:r w:rsidRPr="00FA0CF1">
              <w:rPr>
                <w:rFonts w:cs="Arial"/>
                <w:bCs/>
                <w:sz w:val="18"/>
                <w:szCs w:val="18"/>
                <w:highlight w:val="lightGray"/>
              </w:rPr>
              <w:t>date in locazione ad uso turistico</w:t>
            </w:r>
            <w:r w:rsidRPr="00FA0CF1">
              <w:rPr>
                <w:rFonts w:cs="Arial"/>
                <w:bCs/>
                <w:sz w:val="18"/>
                <w:szCs w:val="18"/>
              </w:rPr>
              <w:t xml:space="preserve"> sono responsabili dell’incasso della tassa di soggiorno e del suo riversamento alle OTR, </w:t>
            </w:r>
            <w:r w:rsidRPr="00FA0CF1">
              <w:rPr>
                <w:rFonts w:cs="Arial"/>
                <w:bCs/>
                <w:sz w:val="18"/>
                <w:szCs w:val="18"/>
                <w:highlight w:val="lightGray"/>
              </w:rPr>
              <w:t>salvo laddove l’ATT sia stata delegata di tale compito (art. 15 cpv. 2 lett. l).</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highlight w:val="lightGray"/>
                <w:vertAlign w:val="superscript"/>
              </w:rPr>
              <w:t>6</w:t>
            </w:r>
            <w:r w:rsidRPr="00FA0CF1">
              <w:rPr>
                <w:rFonts w:cs="Arial"/>
                <w:bCs/>
                <w:sz w:val="18"/>
                <w:szCs w:val="18"/>
              </w:rPr>
              <w:t>Proprietari di appartamenti o case di vacanza, così come i membri delle loro famiglie, pagano una tassa di soggiorno nella forma di un importo annuale fisso. Questo importo è compreso tra 15 franchi e 100 franchi per posto letto, a seconda dell’accessibilità e dell’offerta turistica esistente dove è ubicata la residenza.</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highlight w:val="lightGray"/>
                <w:vertAlign w:val="superscript"/>
              </w:rPr>
              <w:t>7</w:t>
            </w:r>
            <w:r w:rsidRPr="00FA0CF1">
              <w:rPr>
                <w:rFonts w:cs="Arial"/>
                <w:bCs/>
                <w:sz w:val="18"/>
                <w:szCs w:val="18"/>
              </w:rPr>
              <w:t xml:space="preserve">Sono pure tenuti al pagamento dell’importo annuale fisso gli ospiti nei campeggi o che hanno in usufrutto o che affittano camere, appartamenti e </w:t>
            </w:r>
            <w:r w:rsidRPr="00FA0CF1">
              <w:rPr>
                <w:rFonts w:cs="Arial"/>
                <w:bCs/>
                <w:sz w:val="18"/>
                <w:szCs w:val="18"/>
                <w:highlight w:val="lightGray"/>
              </w:rPr>
              <w:t xml:space="preserve">case date in </w:t>
            </w:r>
            <w:r w:rsidRPr="00FA0CF1">
              <w:rPr>
                <w:rFonts w:cs="Arial"/>
                <w:bCs/>
                <w:sz w:val="18"/>
                <w:szCs w:val="18"/>
                <w:highlight w:val="lightGray"/>
              </w:rPr>
              <w:lastRenderedPageBreak/>
              <w:t>locazione ad uso turistico</w:t>
            </w:r>
            <w:r w:rsidRPr="00FA0CF1">
              <w:rPr>
                <w:rFonts w:cs="Arial"/>
                <w:bCs/>
                <w:sz w:val="18"/>
                <w:szCs w:val="18"/>
              </w:rPr>
              <w:t>, per un periodo pari o superiore a 3 mesi.</w:t>
            </w:r>
          </w:p>
          <w:p w:rsidR="005B19BB" w:rsidRPr="00FA0CF1" w:rsidRDefault="005B19BB" w:rsidP="00A0486F">
            <w:pPr>
              <w:rPr>
                <w:rFonts w:cs="Arial"/>
                <w:bCs/>
                <w:sz w:val="18"/>
                <w:szCs w:val="18"/>
              </w:rPr>
            </w:pPr>
          </w:p>
        </w:tc>
        <w:tc>
          <w:tcPr>
            <w:tcW w:w="3245" w:type="dxa"/>
            <w:tcMar>
              <w:top w:w="0" w:type="dxa"/>
              <w:left w:w="108" w:type="dxa"/>
              <w:bottom w:w="0" w:type="dxa"/>
              <w:right w:w="108" w:type="dxa"/>
            </w:tcMar>
          </w:tcPr>
          <w:p w:rsidR="005B19BB" w:rsidRPr="00FA0CF1" w:rsidRDefault="005B19BB" w:rsidP="00A0486F">
            <w:pPr>
              <w:shd w:val="clear" w:color="auto" w:fill="FFFFFF"/>
              <w:rPr>
                <w:rFonts w:cs="Arial"/>
                <w:b/>
                <w:bCs/>
                <w:sz w:val="18"/>
                <w:szCs w:val="18"/>
              </w:rPr>
            </w:pPr>
            <w:r w:rsidRPr="00FA0CF1">
              <w:rPr>
                <w:rFonts w:cs="Arial"/>
                <w:b/>
                <w:bCs/>
                <w:sz w:val="18"/>
                <w:szCs w:val="18"/>
              </w:rPr>
              <w:lastRenderedPageBreak/>
              <w:t>Tassa di soggiorno</w:t>
            </w:r>
          </w:p>
          <w:p w:rsidR="005B19BB" w:rsidRPr="00FA0CF1" w:rsidRDefault="005B19BB" w:rsidP="00BE3B18">
            <w:pPr>
              <w:shd w:val="clear" w:color="auto" w:fill="FFFFFF"/>
              <w:spacing w:after="120"/>
              <w:rPr>
                <w:rFonts w:cs="Arial"/>
                <w:b/>
                <w:bCs/>
                <w:sz w:val="18"/>
                <w:szCs w:val="18"/>
              </w:rPr>
            </w:pPr>
            <w:r w:rsidRPr="00FA0CF1">
              <w:rPr>
                <w:rFonts w:cs="Arial"/>
                <w:b/>
                <w:bCs/>
                <w:sz w:val="18"/>
                <w:szCs w:val="18"/>
              </w:rPr>
              <w:t>Art. 21</w:t>
            </w:r>
          </w:p>
          <w:p w:rsidR="005B19BB" w:rsidRPr="00FA0CF1" w:rsidRDefault="005B19BB" w:rsidP="00A0486F">
            <w:pPr>
              <w:shd w:val="clear" w:color="auto" w:fill="FFFFFF"/>
              <w:rPr>
                <w:rFonts w:cs="Arial"/>
                <w:bCs/>
                <w:sz w:val="18"/>
                <w:szCs w:val="18"/>
              </w:rPr>
            </w:pPr>
            <w:r w:rsidRPr="00FA0CF1">
              <w:rPr>
                <w:rFonts w:cs="Arial"/>
                <w:bCs/>
                <w:sz w:val="18"/>
                <w:szCs w:val="18"/>
              </w:rPr>
              <w:t>[…]</w:t>
            </w:r>
          </w:p>
          <w:p w:rsidR="005B19BB" w:rsidRPr="00FA0CF1" w:rsidRDefault="005B19BB" w:rsidP="00A0486F">
            <w:pPr>
              <w:shd w:val="clear" w:color="auto" w:fill="FFFFFF"/>
              <w:rPr>
                <w:rFonts w:cs="Arial"/>
                <w:b/>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2</w:t>
            </w:r>
            <w:r w:rsidRPr="00FA0CF1">
              <w:rPr>
                <w:rFonts w:cs="Arial"/>
                <w:bCs/>
                <w:sz w:val="18"/>
                <w:szCs w:val="18"/>
              </w:rPr>
              <w:t>L’importo della tassa di soggiorno, differenziato in funzione delle categorie di alloggio, è di 0.50 franchi al minimo e di 4.50 franchi al massimo per pernottamento.</w:t>
            </w:r>
          </w:p>
          <w:p w:rsidR="005B19BB" w:rsidRPr="00FA0CF1" w:rsidRDefault="005B19BB" w:rsidP="00A0486F">
            <w:pPr>
              <w:rPr>
                <w:rFonts w:cs="Arial"/>
                <w:bCs/>
                <w:sz w:val="18"/>
                <w:szCs w:val="18"/>
                <w:vertAlign w:val="superscript"/>
              </w:rPr>
            </w:pPr>
          </w:p>
          <w:p w:rsidR="005B19BB" w:rsidRPr="00FA0CF1" w:rsidRDefault="005B19BB" w:rsidP="00A0486F">
            <w:pPr>
              <w:rPr>
                <w:rFonts w:cs="Arial"/>
                <w:bCs/>
                <w:sz w:val="18"/>
                <w:szCs w:val="18"/>
              </w:rPr>
            </w:pPr>
            <w:r w:rsidRPr="00FA0CF1">
              <w:rPr>
                <w:rFonts w:cs="Arial"/>
                <w:bCs/>
                <w:sz w:val="18"/>
                <w:szCs w:val="18"/>
                <w:vertAlign w:val="superscript"/>
              </w:rPr>
              <w:t>3</w:t>
            </w:r>
            <w:r w:rsidRPr="00FA0CF1">
              <w:rPr>
                <w:rFonts w:cs="Arial"/>
                <w:bCs/>
                <w:sz w:val="18"/>
                <w:szCs w:val="18"/>
              </w:rPr>
              <w:t xml:space="preserve">Sono soggette al pagamento della tassa di soggiorno tutte le persone che pernottano quali ospiti in uno stabilimento d’alloggio in un comune che non è quello del domicilio ai sensi del Codice civile svizzero. </w:t>
            </w:r>
          </w:p>
          <w:p w:rsidR="005B19BB" w:rsidRPr="00FA0CF1" w:rsidRDefault="005B19BB" w:rsidP="00A0486F">
            <w:pPr>
              <w:shd w:val="clear" w:color="auto" w:fill="FFFFFF"/>
              <w:rPr>
                <w:rFonts w:cs="Arial"/>
                <w:bCs/>
                <w:sz w:val="18"/>
                <w:szCs w:val="18"/>
                <w:vertAlign w:val="superscript"/>
              </w:rPr>
            </w:pPr>
          </w:p>
          <w:p w:rsidR="005B19BB" w:rsidRPr="00FA0CF1" w:rsidRDefault="005B19BB" w:rsidP="00A0486F">
            <w:pPr>
              <w:shd w:val="clear" w:color="auto" w:fill="FFFFFF"/>
              <w:rPr>
                <w:rFonts w:cs="Arial"/>
                <w:bCs/>
                <w:sz w:val="18"/>
                <w:szCs w:val="18"/>
              </w:rPr>
            </w:pPr>
            <w:r w:rsidRPr="00FA0CF1">
              <w:rPr>
                <w:rFonts w:cs="Arial"/>
                <w:bCs/>
                <w:sz w:val="18"/>
                <w:szCs w:val="18"/>
                <w:vertAlign w:val="superscript"/>
              </w:rPr>
              <w:t>4</w:t>
            </w:r>
            <w:r w:rsidRPr="00FA0CF1">
              <w:rPr>
                <w:rFonts w:cs="Arial"/>
                <w:bCs/>
                <w:sz w:val="18"/>
                <w:szCs w:val="18"/>
              </w:rPr>
              <w:t>Quali stabilimenti d’alloggio s’intendono alberghi, pensioni, ostelli della gioventù, ristoranti con alloggio, campeggi, alloggi collettivi, capanne, camere, appartamenti e case date in locazione ad uso turistico, camper e altri stabilimenti analoghi, purché essi siano adatti all’alloggio ripetuto di ospiti.</w:t>
            </w:r>
          </w:p>
          <w:p w:rsidR="005B19BB" w:rsidRPr="00FA0CF1" w:rsidRDefault="005B19BB" w:rsidP="00A0486F">
            <w:pPr>
              <w:shd w:val="clear" w:color="auto" w:fill="FFFFFF"/>
              <w:rPr>
                <w:rFonts w:cs="Arial"/>
                <w:bCs/>
                <w:sz w:val="18"/>
                <w:szCs w:val="18"/>
              </w:rPr>
            </w:pPr>
          </w:p>
          <w:p w:rsidR="005B19BB" w:rsidRPr="00FA0CF1" w:rsidRDefault="005B19BB" w:rsidP="00A0486F">
            <w:pPr>
              <w:shd w:val="clear" w:color="auto" w:fill="FFFFFF"/>
              <w:rPr>
                <w:rFonts w:cs="Arial"/>
                <w:b/>
                <w:bCs/>
                <w:sz w:val="18"/>
                <w:szCs w:val="18"/>
              </w:rPr>
            </w:pPr>
            <w:r w:rsidRPr="00FA0CF1">
              <w:rPr>
                <w:rFonts w:cs="Arial"/>
                <w:bCs/>
                <w:sz w:val="18"/>
                <w:szCs w:val="18"/>
                <w:vertAlign w:val="superscript"/>
              </w:rPr>
              <w:t>5</w:t>
            </w:r>
            <w:r w:rsidRPr="00FA0CF1">
              <w:rPr>
                <w:rFonts w:cs="Arial"/>
                <w:bCs/>
                <w:sz w:val="18"/>
                <w:szCs w:val="18"/>
              </w:rPr>
              <w:t>I datori di alloggio e i proprietari di camere, appartamenti e case date in locazione ad uso turistico sono responsabili dell’incasso della tassa di soggiorno e del suo riversamento alle OTR, salvo laddove l’ATT sia stata delegata di tale compito (art. 15 cpv. 2 lett. l).</w:t>
            </w:r>
          </w:p>
          <w:p w:rsidR="005B19BB" w:rsidRPr="00FA0CF1" w:rsidRDefault="005B19BB" w:rsidP="00A0486F">
            <w:pPr>
              <w:shd w:val="clear" w:color="auto" w:fill="FFFFFF"/>
              <w:rPr>
                <w:rFonts w:cs="Arial"/>
                <w:b/>
                <w:bCs/>
                <w:sz w:val="18"/>
                <w:szCs w:val="18"/>
              </w:rPr>
            </w:pPr>
          </w:p>
          <w:p w:rsidR="005B19BB" w:rsidRPr="00FA0CF1" w:rsidRDefault="005B19BB" w:rsidP="00A0486F">
            <w:pPr>
              <w:shd w:val="clear" w:color="auto" w:fill="FFFFFF"/>
              <w:rPr>
                <w:rFonts w:cs="Arial"/>
                <w:bCs/>
                <w:sz w:val="18"/>
                <w:szCs w:val="18"/>
              </w:rPr>
            </w:pPr>
            <w:r w:rsidRPr="00FA0CF1">
              <w:rPr>
                <w:rFonts w:cs="Arial"/>
                <w:bCs/>
                <w:sz w:val="18"/>
                <w:szCs w:val="18"/>
                <w:vertAlign w:val="superscript"/>
              </w:rPr>
              <w:t>6</w:t>
            </w:r>
            <w:r w:rsidRPr="00FA0CF1">
              <w:rPr>
                <w:rFonts w:cs="Arial"/>
                <w:bCs/>
                <w:sz w:val="18"/>
                <w:szCs w:val="18"/>
              </w:rPr>
              <w:t xml:space="preserve">Proprietari di appartamenti o case di vacanza, così come i membri delle loro famiglie, pagano una tassa di soggiorno nella forma di un importo annuale fisso. Questo importo è compreso tra 15 franchi e 100 franchi per posto letto, a seconda dell’accessibilità e dell’offerta turistica esistente dove è ubicata la residenza. </w:t>
            </w:r>
          </w:p>
          <w:p w:rsidR="005B19BB" w:rsidRPr="00FA0CF1" w:rsidRDefault="005B19BB" w:rsidP="00A0486F">
            <w:pPr>
              <w:shd w:val="clear" w:color="auto" w:fill="FFFFFF"/>
              <w:rPr>
                <w:rFonts w:cs="Arial"/>
                <w:bCs/>
                <w:sz w:val="18"/>
                <w:szCs w:val="18"/>
              </w:rPr>
            </w:pPr>
          </w:p>
          <w:p w:rsidR="005B19BB" w:rsidRPr="00FA0CF1" w:rsidRDefault="005B19BB" w:rsidP="00A0486F">
            <w:pPr>
              <w:shd w:val="clear" w:color="auto" w:fill="FFFFFF"/>
              <w:rPr>
                <w:rFonts w:cs="Arial"/>
                <w:bCs/>
                <w:sz w:val="18"/>
                <w:szCs w:val="18"/>
              </w:rPr>
            </w:pPr>
          </w:p>
          <w:p w:rsidR="005B19BB" w:rsidRPr="00FA0CF1" w:rsidRDefault="005B19BB" w:rsidP="00A0486F">
            <w:pPr>
              <w:shd w:val="clear" w:color="auto" w:fill="FFFFFF"/>
              <w:rPr>
                <w:rFonts w:cs="Arial"/>
                <w:bCs/>
                <w:sz w:val="18"/>
                <w:szCs w:val="18"/>
              </w:rPr>
            </w:pPr>
            <w:r w:rsidRPr="00FA0CF1">
              <w:rPr>
                <w:rFonts w:cs="Arial"/>
                <w:bCs/>
                <w:sz w:val="18"/>
                <w:szCs w:val="18"/>
                <w:vertAlign w:val="superscript"/>
              </w:rPr>
              <w:t>7</w:t>
            </w:r>
            <w:r w:rsidRPr="00FA0CF1">
              <w:rPr>
                <w:rFonts w:cs="Arial"/>
                <w:bCs/>
                <w:sz w:val="18"/>
                <w:szCs w:val="18"/>
              </w:rPr>
              <w:t xml:space="preserve">Sono pure tenuti al pagamento dell’importo annuale fisso gli ospiti nei campeggi o che hanno in usufrutto o che affittano camere, appartamenti e case date in locazione ad uso turistico, </w:t>
            </w:r>
            <w:r w:rsidRPr="00FA0CF1">
              <w:rPr>
                <w:rFonts w:cs="Arial"/>
                <w:bCs/>
                <w:sz w:val="18"/>
                <w:szCs w:val="18"/>
              </w:rPr>
              <w:lastRenderedPageBreak/>
              <w:t xml:space="preserve">per un periodo pari o superiore a 3 mesi. </w:t>
            </w: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p>
        </w:tc>
        <w:tc>
          <w:tcPr>
            <w:tcW w:w="3161" w:type="dxa"/>
            <w:tcMar>
              <w:top w:w="0" w:type="dxa"/>
              <w:left w:w="108" w:type="dxa"/>
              <w:bottom w:w="0" w:type="dxa"/>
              <w:right w:w="108" w:type="dxa"/>
            </w:tcMar>
          </w:tcPr>
          <w:p w:rsidR="005B19BB" w:rsidRPr="00FA0CF1" w:rsidRDefault="005B19BB" w:rsidP="00A0486F">
            <w:pPr>
              <w:rPr>
                <w:rFonts w:cs="Arial"/>
                <w:b/>
                <w:bCs/>
                <w:sz w:val="18"/>
                <w:szCs w:val="18"/>
                <w:highlight w:val="lightGray"/>
              </w:rPr>
            </w:pPr>
            <w:r w:rsidRPr="00FA0CF1">
              <w:rPr>
                <w:rFonts w:cs="Arial"/>
                <w:b/>
                <w:bCs/>
                <w:sz w:val="18"/>
                <w:szCs w:val="18"/>
                <w:highlight w:val="lightGray"/>
              </w:rPr>
              <w:t>Numero identificativo</w:t>
            </w:r>
          </w:p>
          <w:p w:rsidR="005B19BB" w:rsidRPr="00FA0CF1" w:rsidRDefault="005B19BB" w:rsidP="00A0486F">
            <w:pPr>
              <w:rPr>
                <w:rFonts w:cs="Arial"/>
                <w:b/>
                <w:bCs/>
                <w:sz w:val="18"/>
                <w:szCs w:val="18"/>
                <w:highlight w:val="lightGray"/>
              </w:rPr>
            </w:pPr>
            <w:r w:rsidRPr="00FA0CF1">
              <w:rPr>
                <w:rFonts w:cs="Arial"/>
                <w:b/>
                <w:bCs/>
                <w:sz w:val="18"/>
                <w:szCs w:val="18"/>
                <w:highlight w:val="lightGray"/>
              </w:rPr>
              <w:t xml:space="preserve">Art. 21a </w:t>
            </w:r>
          </w:p>
          <w:p w:rsidR="005B19BB" w:rsidRPr="00FA0CF1" w:rsidRDefault="005B19BB" w:rsidP="00A0486F">
            <w:pPr>
              <w:rPr>
                <w:rFonts w:cs="Arial"/>
                <w:b/>
                <w:bCs/>
                <w:sz w:val="18"/>
                <w:szCs w:val="18"/>
                <w:highlight w:val="lightGray"/>
              </w:rPr>
            </w:pPr>
          </w:p>
          <w:p w:rsidR="005B19BB" w:rsidRPr="00FA0CF1" w:rsidRDefault="005B19BB" w:rsidP="00A0486F">
            <w:pPr>
              <w:ind w:right="-2"/>
              <w:rPr>
                <w:rFonts w:eastAsia="Lora" w:cs="Arial"/>
                <w:color w:val="000000"/>
                <w:sz w:val="18"/>
                <w:szCs w:val="18"/>
              </w:rPr>
            </w:pPr>
            <w:r w:rsidRPr="00FA0CF1">
              <w:rPr>
                <w:rFonts w:eastAsia="UICTFontTextStyleBody" w:cs="Arial"/>
                <w:color w:val="000000"/>
                <w:sz w:val="18"/>
                <w:szCs w:val="18"/>
                <w:highlight w:val="lightGray"/>
                <w:vertAlign w:val="superscript"/>
              </w:rPr>
              <w:t>1</w:t>
            </w:r>
            <w:r w:rsidRPr="00FA0CF1">
              <w:rPr>
                <w:rFonts w:eastAsia="Arial" w:cs="Arial"/>
                <w:sz w:val="18"/>
                <w:szCs w:val="18"/>
                <w:highlight w:val="lightGray"/>
              </w:rPr>
              <w:t>Ogni datore di alloggio, cosi come definito nell’art. 21 cpv. 4, per poter esercitare la propria attività, deve annunciarsi e ottenere un numero identificativo per il tramite dell’apposita piattaforma online dell’ATT.</w:t>
            </w:r>
            <w:r w:rsidRPr="00FA0CF1">
              <w:rPr>
                <w:rFonts w:eastAsia="Lora" w:cs="Arial"/>
                <w:color w:val="000000"/>
                <w:sz w:val="18"/>
                <w:szCs w:val="18"/>
                <w:highlight w:val="lightGray"/>
              </w:rPr>
              <w:t> Ai datori di alloggio che sottostanno alla Lear e che al momento dell’introduzione della presente legge sono già correttamente iscritti all’interno della banca dati SEPU viene assegnato automaticamente il numero identificativo.</w:t>
            </w:r>
          </w:p>
          <w:p w:rsidR="005B19BB" w:rsidRPr="00FA0CF1" w:rsidRDefault="005B19BB" w:rsidP="00A0486F">
            <w:pPr>
              <w:ind w:right="-2"/>
              <w:rPr>
                <w:rFonts w:eastAsia="Lora" w:cs="Arial"/>
                <w:color w:val="000000"/>
                <w:sz w:val="18"/>
                <w:szCs w:val="18"/>
              </w:rPr>
            </w:pPr>
          </w:p>
          <w:p w:rsidR="005B19BB" w:rsidRPr="00FA0CF1" w:rsidRDefault="005B19BB" w:rsidP="00A0486F">
            <w:pPr>
              <w:rPr>
                <w:rFonts w:eastAsia="Arial" w:cs="Arial"/>
                <w:sz w:val="18"/>
                <w:szCs w:val="18"/>
                <w:highlight w:val="lightGray"/>
              </w:rPr>
            </w:pPr>
            <w:r w:rsidRPr="00FA0CF1">
              <w:rPr>
                <w:rFonts w:eastAsia="Arial" w:cs="Arial"/>
                <w:sz w:val="18"/>
                <w:szCs w:val="18"/>
                <w:highlight w:val="lightGray"/>
                <w:vertAlign w:val="superscript"/>
              </w:rPr>
              <w:t>2</w:t>
            </w:r>
            <w:r w:rsidRPr="00FA0CF1">
              <w:rPr>
                <w:rFonts w:eastAsia="Arial" w:cs="Arial"/>
                <w:sz w:val="18"/>
                <w:szCs w:val="18"/>
                <w:highlight w:val="lightGray"/>
              </w:rPr>
              <w:t>Agli alloggi che non sottostanno alla Lear viene rilasciato il numero identificativo immediatamente al termine dell’invio e della compilazione del formulario digitale creato dall’ATT, a condizione che i datori di questi alloggi inseriscano in modo completo i dati richiesti relativi alla struttura ricettiva.</w:t>
            </w:r>
          </w:p>
          <w:p w:rsidR="005B19BB" w:rsidRPr="00FA0CF1" w:rsidRDefault="005B19BB" w:rsidP="00A0486F">
            <w:pPr>
              <w:rPr>
                <w:rFonts w:eastAsia="Arial" w:cs="Arial"/>
                <w:sz w:val="18"/>
                <w:szCs w:val="18"/>
                <w:highlight w:val="lightGray"/>
              </w:rPr>
            </w:pPr>
          </w:p>
          <w:p w:rsidR="005B19BB" w:rsidRPr="00FA0CF1" w:rsidRDefault="005B19BB" w:rsidP="00A0486F">
            <w:pPr>
              <w:rPr>
                <w:rFonts w:eastAsia="Arial" w:cs="Arial"/>
                <w:sz w:val="18"/>
                <w:szCs w:val="18"/>
                <w:highlight w:val="lightGray"/>
              </w:rPr>
            </w:pPr>
            <w:r w:rsidRPr="00FA0CF1">
              <w:rPr>
                <w:rFonts w:eastAsia="Arial" w:cs="Arial"/>
                <w:sz w:val="18"/>
                <w:szCs w:val="18"/>
                <w:highlight w:val="lightGray"/>
                <w:vertAlign w:val="superscript"/>
              </w:rPr>
              <w:t>3</w:t>
            </w:r>
            <w:r w:rsidRPr="00FA0CF1">
              <w:rPr>
                <w:rFonts w:eastAsia="Arial" w:cs="Arial"/>
                <w:sz w:val="18"/>
                <w:szCs w:val="18"/>
                <w:highlight w:val="lightGray"/>
              </w:rPr>
              <w:t>I comuni, per il tramite della piattaforma online dell’ATT, sono tenuti a confermare, entro 6 mesi dalla data di rilascio del numero identificativo, l’idoneità delle strutture ricettive da locare a uso turistico sul loro territorio che non sottostanno alla Lear. In casi particolari può essere concessa una deroga relativa alla tempistica di conferma.</w:t>
            </w:r>
          </w:p>
          <w:p w:rsidR="005B19BB" w:rsidRPr="00FA0CF1" w:rsidRDefault="005B19BB" w:rsidP="00A0486F">
            <w:pPr>
              <w:rPr>
                <w:rFonts w:eastAsia="Arial" w:cs="Arial"/>
                <w:sz w:val="18"/>
                <w:szCs w:val="18"/>
                <w:highlight w:val="lightGray"/>
              </w:rPr>
            </w:pPr>
          </w:p>
          <w:p w:rsidR="005B19BB" w:rsidRPr="00FA0CF1" w:rsidRDefault="005B19BB" w:rsidP="00A0486F">
            <w:pPr>
              <w:rPr>
                <w:rFonts w:eastAsia="Arial" w:cs="Arial"/>
                <w:color w:val="000000"/>
                <w:sz w:val="18"/>
                <w:szCs w:val="18"/>
                <w:highlight w:val="lightGray"/>
              </w:rPr>
            </w:pPr>
            <w:r w:rsidRPr="00FA0CF1">
              <w:rPr>
                <w:rFonts w:eastAsia="Arial" w:cs="Arial"/>
                <w:color w:val="000000"/>
                <w:sz w:val="18"/>
                <w:szCs w:val="18"/>
                <w:highlight w:val="lightGray"/>
                <w:vertAlign w:val="superscript"/>
              </w:rPr>
              <w:t>4</w:t>
            </w:r>
            <w:r w:rsidRPr="00FA0CF1">
              <w:rPr>
                <w:rFonts w:eastAsia="Arial" w:cs="Arial"/>
                <w:color w:val="000000"/>
                <w:sz w:val="18"/>
                <w:szCs w:val="18"/>
                <w:highlight w:val="lightGray"/>
              </w:rPr>
              <w:t>I datori di alloggio che pubblicano la loro struttura devono fornire e pubblicare il loro numero identificativo all’interno dell’annuncio. Nessun annuncio online e offline può essere pubblicato senza numero identificativo. In caso di abuso è applicabile l’art. 36.</w:t>
            </w:r>
          </w:p>
          <w:p w:rsidR="005B19BB" w:rsidRPr="00FA0CF1" w:rsidRDefault="005B19BB" w:rsidP="00A0486F">
            <w:pPr>
              <w:rPr>
                <w:rFonts w:eastAsia="Arial" w:cs="Arial"/>
                <w:color w:val="000000"/>
                <w:sz w:val="18"/>
                <w:szCs w:val="18"/>
                <w:highlight w:val="lightGray"/>
              </w:rPr>
            </w:pPr>
          </w:p>
          <w:p w:rsidR="005B19BB" w:rsidRPr="00FA0CF1" w:rsidRDefault="005B19BB" w:rsidP="00A0486F">
            <w:pPr>
              <w:rPr>
                <w:rFonts w:eastAsia="Arial" w:cs="Arial"/>
                <w:sz w:val="18"/>
                <w:szCs w:val="18"/>
                <w:highlight w:val="lightGray"/>
              </w:rPr>
            </w:pPr>
            <w:r w:rsidRPr="00FA0CF1">
              <w:rPr>
                <w:rFonts w:eastAsia="Arial" w:cs="Arial"/>
                <w:color w:val="000000"/>
                <w:sz w:val="18"/>
                <w:szCs w:val="18"/>
                <w:highlight w:val="lightGray"/>
                <w:vertAlign w:val="superscript"/>
              </w:rPr>
              <w:t>5</w:t>
            </w:r>
            <w:r w:rsidRPr="00FA0CF1">
              <w:rPr>
                <w:rFonts w:eastAsia="Arial" w:cs="Arial"/>
                <w:color w:val="000000"/>
                <w:sz w:val="18"/>
                <w:szCs w:val="18"/>
                <w:highlight w:val="lightGray"/>
              </w:rPr>
              <w:t>I datori di alloggio</w:t>
            </w:r>
            <w:r w:rsidRPr="00FA0CF1">
              <w:rPr>
                <w:rFonts w:eastAsia="Arial" w:cs="Arial"/>
                <w:sz w:val="18"/>
                <w:szCs w:val="18"/>
                <w:highlight w:val="lightGray"/>
              </w:rPr>
              <w:t xml:space="preserve"> ritenuti non idonei ai sensi dell’art. 21a cpv. </w:t>
            </w:r>
            <w:r w:rsidRPr="00FA0CF1">
              <w:rPr>
                <w:rFonts w:eastAsia="Arial" w:cs="Arial"/>
                <w:color w:val="000000"/>
                <w:sz w:val="18"/>
                <w:szCs w:val="18"/>
                <w:highlight w:val="lightGray"/>
              </w:rPr>
              <w:t>3</w:t>
            </w:r>
            <w:r w:rsidRPr="00FA0CF1">
              <w:rPr>
                <w:rFonts w:eastAsia="Arial" w:cs="Arial"/>
                <w:sz w:val="18"/>
                <w:szCs w:val="18"/>
                <w:highlight w:val="lightGray"/>
              </w:rPr>
              <w:t xml:space="preserve"> o che</w:t>
            </w:r>
            <w:r w:rsidRPr="00FA0CF1">
              <w:rPr>
                <w:rFonts w:eastAsia="Arial" w:cs="Arial"/>
                <w:color w:val="000000"/>
                <w:sz w:val="18"/>
                <w:szCs w:val="18"/>
                <w:highlight w:val="lightGray"/>
              </w:rPr>
              <w:t xml:space="preserve"> non si sono registrati definitivamente</w:t>
            </w:r>
            <w:r w:rsidRPr="00FA0CF1">
              <w:rPr>
                <w:rFonts w:eastAsia="Arial" w:cs="Arial"/>
                <w:sz w:val="18"/>
                <w:szCs w:val="18"/>
                <w:highlight w:val="lightGray"/>
              </w:rPr>
              <w:t>, non possono in nessun modo locare turisticamente la loro struttura, sia per il tramite di piattaforme online che per il tramite di altri canali. Le OTR devono segnalare i casi di contravvenzione.</w:t>
            </w:r>
          </w:p>
          <w:p w:rsidR="005B19BB" w:rsidRPr="00FA0CF1" w:rsidRDefault="005B19BB" w:rsidP="00A0486F">
            <w:pPr>
              <w:rPr>
                <w:rFonts w:eastAsia="Arial" w:cs="Arial"/>
                <w:sz w:val="18"/>
                <w:szCs w:val="18"/>
                <w:highlight w:val="lightGray"/>
              </w:rPr>
            </w:pPr>
          </w:p>
          <w:p w:rsidR="005B19BB" w:rsidRPr="00FA0CF1" w:rsidRDefault="005B19BB" w:rsidP="00A0486F">
            <w:pPr>
              <w:rPr>
                <w:rFonts w:eastAsia="Arial" w:cs="Arial"/>
                <w:b/>
                <w:sz w:val="18"/>
                <w:szCs w:val="18"/>
                <w:highlight w:val="lightGray"/>
              </w:rPr>
            </w:pPr>
            <w:r w:rsidRPr="00FA0CF1">
              <w:rPr>
                <w:rFonts w:eastAsia="Arial" w:cs="Arial"/>
                <w:b/>
                <w:sz w:val="18"/>
                <w:szCs w:val="18"/>
                <w:highlight w:val="lightGray"/>
              </w:rPr>
              <w:t>II Disposizione transitoria dell’art. 21a</w:t>
            </w:r>
          </w:p>
          <w:p w:rsidR="005B19BB" w:rsidRPr="00FA0CF1" w:rsidRDefault="005B19BB" w:rsidP="00A0486F">
            <w:pPr>
              <w:rPr>
                <w:rFonts w:cs="Arial"/>
                <w:bCs/>
                <w:strike/>
                <w:sz w:val="18"/>
                <w:szCs w:val="18"/>
              </w:rPr>
            </w:pPr>
            <w:r w:rsidRPr="00FA0CF1">
              <w:rPr>
                <w:rFonts w:eastAsia="Arial" w:cs="Arial"/>
                <w:sz w:val="18"/>
                <w:szCs w:val="18"/>
                <w:highlight w:val="lightGray"/>
              </w:rPr>
              <w:t xml:space="preserve">I datori di alloggio non assoggettati alla Lear che, al momento dell’entrata in vigore della modifica del ………. </w:t>
            </w:r>
            <w:r w:rsidRPr="00FA0CF1">
              <w:rPr>
                <w:rFonts w:eastAsia="Arial" w:cs="Arial"/>
                <w:sz w:val="18"/>
                <w:szCs w:val="18"/>
                <w:highlight w:val="lightGray"/>
              </w:rPr>
              <w:lastRenderedPageBreak/>
              <w:t>già locano turisticamente le loro strutture ricettive, hanno un anno di tempo per ottenere il numero identificativo.</w:t>
            </w:r>
          </w:p>
        </w:tc>
        <w:tc>
          <w:tcPr>
            <w:tcW w:w="3245"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lastRenderedPageBreak/>
              <w:t>Numero identificativo</w:t>
            </w:r>
          </w:p>
          <w:p w:rsidR="005B19BB" w:rsidRPr="00FA0CF1" w:rsidRDefault="005B19BB" w:rsidP="00A0486F">
            <w:pPr>
              <w:rPr>
                <w:rFonts w:cs="Arial"/>
                <w:b/>
                <w:bCs/>
                <w:sz w:val="18"/>
                <w:szCs w:val="18"/>
              </w:rPr>
            </w:pPr>
            <w:r w:rsidRPr="00FA0CF1">
              <w:rPr>
                <w:rFonts w:cs="Arial"/>
                <w:b/>
                <w:bCs/>
                <w:sz w:val="18"/>
                <w:szCs w:val="18"/>
              </w:rPr>
              <w:t xml:space="preserve">Art. 21a </w:t>
            </w:r>
          </w:p>
          <w:p w:rsidR="005B19BB" w:rsidRPr="00FA0CF1" w:rsidRDefault="005B19BB" w:rsidP="00A0486F">
            <w:pPr>
              <w:rPr>
                <w:rFonts w:cs="Arial"/>
                <w:b/>
                <w:bCs/>
                <w:sz w:val="18"/>
                <w:szCs w:val="18"/>
              </w:rPr>
            </w:pPr>
          </w:p>
          <w:p w:rsidR="005B19BB" w:rsidRPr="00FA0CF1" w:rsidRDefault="005B19BB" w:rsidP="00A0486F">
            <w:pPr>
              <w:ind w:right="-2"/>
              <w:rPr>
                <w:rFonts w:eastAsia="Lora" w:cs="Arial"/>
                <w:color w:val="000000"/>
                <w:sz w:val="18"/>
                <w:szCs w:val="18"/>
              </w:rPr>
            </w:pPr>
            <w:r w:rsidRPr="00FA0CF1">
              <w:rPr>
                <w:rFonts w:eastAsia="UICTFontTextStyleBody" w:cs="Arial"/>
                <w:color w:val="000000"/>
                <w:sz w:val="18"/>
                <w:szCs w:val="18"/>
                <w:vertAlign w:val="superscript"/>
              </w:rPr>
              <w:t>1</w:t>
            </w:r>
            <w:r w:rsidRPr="00FA0CF1">
              <w:rPr>
                <w:rFonts w:eastAsia="Arial" w:cs="Arial"/>
                <w:sz w:val="18"/>
                <w:szCs w:val="18"/>
              </w:rPr>
              <w:t>Ogni datore di alloggio, cosi come definito nell’art. 21 cpv. 4, per poter esercitare la propria attività, deve annunciarsi e ottenere un numero identificativo per il tramite dell’apposita piattaforma online dell’ATT.</w:t>
            </w:r>
            <w:r w:rsidRPr="00FA0CF1">
              <w:rPr>
                <w:rFonts w:eastAsia="Lora" w:cs="Arial"/>
                <w:color w:val="000000"/>
                <w:sz w:val="18"/>
                <w:szCs w:val="18"/>
              </w:rPr>
              <w:t> Ai datori di alloggio che sottostanno alla Lear e che al momento dell’introduzione della presente legge sono già correttamente iscritti all’interno della banca dati SEPU viene assegnato automaticamente il numero identificativo.</w:t>
            </w:r>
          </w:p>
          <w:p w:rsidR="005B19BB" w:rsidRPr="00FA0CF1" w:rsidRDefault="005B19BB" w:rsidP="00A0486F">
            <w:pPr>
              <w:ind w:right="-2"/>
              <w:rPr>
                <w:rFonts w:eastAsia="Arial" w:cs="Arial"/>
                <w:sz w:val="18"/>
                <w:szCs w:val="18"/>
              </w:rPr>
            </w:pPr>
          </w:p>
          <w:p w:rsidR="005B19BB" w:rsidRPr="00FA0CF1" w:rsidRDefault="005B19BB" w:rsidP="00A0486F">
            <w:pPr>
              <w:rPr>
                <w:rFonts w:eastAsia="Arial" w:cs="Arial"/>
                <w:sz w:val="18"/>
                <w:szCs w:val="18"/>
              </w:rPr>
            </w:pPr>
            <w:r w:rsidRPr="00FA0CF1">
              <w:rPr>
                <w:rFonts w:eastAsia="Arial" w:cs="Arial"/>
                <w:sz w:val="18"/>
                <w:szCs w:val="18"/>
                <w:vertAlign w:val="superscript"/>
              </w:rPr>
              <w:t>2</w:t>
            </w:r>
            <w:r w:rsidRPr="00FA0CF1">
              <w:rPr>
                <w:rFonts w:eastAsia="Arial" w:cs="Arial"/>
                <w:sz w:val="18"/>
                <w:szCs w:val="18"/>
              </w:rPr>
              <w:t>Agli alloggi che non sottostanno alla Lear viene rilasciato il numero identificativo immediatamente al termine dell’invio e della compilazione del formulario digitale creato dall’ATT, a condizione che i datori di questi alloggi inseriscano in modo completo i dati richiesti relativi alla struttura ricettiva.</w:t>
            </w:r>
          </w:p>
          <w:p w:rsidR="005B19BB" w:rsidRPr="00FA0CF1" w:rsidRDefault="005B19BB" w:rsidP="00A0486F">
            <w:pPr>
              <w:ind w:right="-2"/>
              <w:rPr>
                <w:rFonts w:eastAsia="Arial" w:cs="Arial"/>
                <w:sz w:val="18"/>
                <w:szCs w:val="18"/>
              </w:rPr>
            </w:pPr>
          </w:p>
          <w:p w:rsidR="005B19BB" w:rsidRPr="00FA0CF1" w:rsidRDefault="005B19BB" w:rsidP="00A0486F">
            <w:pPr>
              <w:rPr>
                <w:rFonts w:eastAsia="Arial" w:cs="Arial"/>
                <w:sz w:val="18"/>
                <w:szCs w:val="18"/>
              </w:rPr>
            </w:pPr>
            <w:r w:rsidRPr="00FA0CF1">
              <w:rPr>
                <w:rFonts w:eastAsia="Arial" w:cs="Arial"/>
                <w:sz w:val="18"/>
                <w:szCs w:val="18"/>
                <w:vertAlign w:val="superscript"/>
              </w:rPr>
              <w:t>3</w:t>
            </w:r>
            <w:r w:rsidRPr="00FA0CF1">
              <w:rPr>
                <w:rFonts w:eastAsia="Arial" w:cs="Arial"/>
                <w:sz w:val="18"/>
                <w:szCs w:val="18"/>
              </w:rPr>
              <w:t>I comuni, per il tramite della piattaforma online dell’ATT, sono tenuti a confermare, entro 6 mesi dalla data di rilascio del numero identificativo, l’idoneità delle strutture ricettive da locare a uso turistico sul loro territorio che non sottostanno alla Lear. In casi particolari può essere concessa una deroga relativa alla tempistica di conferma.</w:t>
            </w:r>
          </w:p>
          <w:p w:rsidR="005B19BB" w:rsidRPr="00FA0CF1" w:rsidRDefault="005B19BB" w:rsidP="00A0486F">
            <w:pPr>
              <w:rPr>
                <w:rFonts w:eastAsia="Arial" w:cs="Arial"/>
                <w:sz w:val="18"/>
                <w:szCs w:val="18"/>
              </w:rPr>
            </w:pPr>
          </w:p>
          <w:p w:rsidR="005B19BB" w:rsidRPr="00FA0CF1" w:rsidRDefault="005B19BB" w:rsidP="00A0486F">
            <w:pPr>
              <w:rPr>
                <w:rFonts w:eastAsia="Arial" w:cs="Arial"/>
                <w:color w:val="000000"/>
                <w:sz w:val="18"/>
                <w:szCs w:val="18"/>
              </w:rPr>
            </w:pPr>
            <w:r w:rsidRPr="00FA0CF1">
              <w:rPr>
                <w:rFonts w:eastAsia="Arial" w:cs="Arial"/>
                <w:color w:val="000000"/>
                <w:sz w:val="18"/>
                <w:szCs w:val="18"/>
                <w:vertAlign w:val="superscript"/>
              </w:rPr>
              <w:t>4</w:t>
            </w:r>
            <w:r w:rsidRPr="00FA0CF1">
              <w:rPr>
                <w:rFonts w:eastAsia="Arial" w:cs="Arial"/>
                <w:color w:val="000000"/>
                <w:sz w:val="18"/>
                <w:szCs w:val="18"/>
              </w:rPr>
              <w:t>I datori di alloggio che pubblicano la loro struttura devono fornire e pubblicare il loro numero identificativo all’interno dell’annuncio. Nessun annuncio online e offline può essere pubblicato senza numero identificativo. In caso di abuso è applicabile l’art. 36.</w:t>
            </w:r>
          </w:p>
          <w:p w:rsidR="005B19BB" w:rsidRPr="00FA0CF1" w:rsidRDefault="005B19BB" w:rsidP="00A0486F">
            <w:pPr>
              <w:rPr>
                <w:rFonts w:eastAsia="Arial" w:cs="Arial"/>
                <w:color w:val="000000"/>
                <w:sz w:val="18"/>
                <w:szCs w:val="18"/>
              </w:rPr>
            </w:pPr>
          </w:p>
          <w:p w:rsidR="005B19BB" w:rsidRPr="00FA0CF1" w:rsidRDefault="005B19BB" w:rsidP="00A0486F">
            <w:pPr>
              <w:rPr>
                <w:rFonts w:eastAsia="Arial" w:cs="Arial"/>
                <w:sz w:val="18"/>
                <w:szCs w:val="18"/>
              </w:rPr>
            </w:pPr>
            <w:r w:rsidRPr="00FA0CF1">
              <w:rPr>
                <w:rFonts w:eastAsia="Arial" w:cs="Arial"/>
                <w:color w:val="000000"/>
                <w:sz w:val="18"/>
                <w:szCs w:val="18"/>
                <w:vertAlign w:val="superscript"/>
              </w:rPr>
              <w:t>5</w:t>
            </w:r>
            <w:r w:rsidRPr="00FA0CF1">
              <w:rPr>
                <w:rFonts w:eastAsia="Arial" w:cs="Arial"/>
                <w:color w:val="000000"/>
                <w:sz w:val="18"/>
                <w:szCs w:val="18"/>
              </w:rPr>
              <w:t>I datori di alloggio</w:t>
            </w:r>
            <w:r w:rsidRPr="00FA0CF1">
              <w:rPr>
                <w:rFonts w:eastAsia="Arial" w:cs="Arial"/>
                <w:sz w:val="18"/>
                <w:szCs w:val="18"/>
              </w:rPr>
              <w:t xml:space="preserve"> ritenuti non idonei ai sensi dell’art. 21a cpv. </w:t>
            </w:r>
            <w:r w:rsidRPr="00FA0CF1">
              <w:rPr>
                <w:rFonts w:eastAsia="Arial" w:cs="Arial"/>
                <w:color w:val="000000"/>
                <w:sz w:val="18"/>
                <w:szCs w:val="18"/>
              </w:rPr>
              <w:t>3</w:t>
            </w:r>
            <w:r w:rsidRPr="00FA0CF1">
              <w:rPr>
                <w:rFonts w:eastAsia="Arial" w:cs="Arial"/>
                <w:sz w:val="18"/>
                <w:szCs w:val="18"/>
              </w:rPr>
              <w:t xml:space="preserve"> o che</w:t>
            </w:r>
            <w:r w:rsidRPr="00FA0CF1">
              <w:rPr>
                <w:rFonts w:eastAsia="Arial" w:cs="Arial"/>
                <w:color w:val="000000"/>
                <w:sz w:val="18"/>
                <w:szCs w:val="18"/>
              </w:rPr>
              <w:t xml:space="preserve"> non si sono registrati definitivamente</w:t>
            </w:r>
            <w:r w:rsidRPr="00FA0CF1">
              <w:rPr>
                <w:rFonts w:eastAsia="Arial" w:cs="Arial"/>
                <w:sz w:val="18"/>
                <w:szCs w:val="18"/>
              </w:rPr>
              <w:t>, non possono in nessun modo locare turisticamente la loro struttura, sia per il tramite di piattaforme online che per il tramite di altri canali. Le OTR devono segnalare i casi di contravvenzione.</w:t>
            </w:r>
          </w:p>
          <w:p w:rsidR="005B19BB" w:rsidRPr="00FA0CF1" w:rsidRDefault="005B19BB" w:rsidP="00A0486F">
            <w:pPr>
              <w:rPr>
                <w:rFonts w:eastAsia="Arial" w:cs="Arial"/>
                <w:sz w:val="18"/>
                <w:szCs w:val="18"/>
              </w:rPr>
            </w:pPr>
          </w:p>
          <w:p w:rsidR="005B19BB" w:rsidRPr="00FA0CF1" w:rsidRDefault="005B19BB" w:rsidP="00A0486F">
            <w:pPr>
              <w:rPr>
                <w:rFonts w:eastAsia="Arial" w:cs="Arial"/>
                <w:sz w:val="18"/>
                <w:szCs w:val="18"/>
              </w:rPr>
            </w:pPr>
          </w:p>
          <w:p w:rsidR="005B19BB" w:rsidRPr="00FA0CF1" w:rsidRDefault="005B19BB" w:rsidP="00A0486F">
            <w:pPr>
              <w:rPr>
                <w:rFonts w:eastAsia="Arial" w:cs="Arial"/>
                <w:b/>
                <w:sz w:val="18"/>
                <w:szCs w:val="18"/>
              </w:rPr>
            </w:pPr>
            <w:r w:rsidRPr="00FA0CF1">
              <w:rPr>
                <w:rFonts w:eastAsia="Arial" w:cs="Arial"/>
                <w:b/>
                <w:sz w:val="18"/>
                <w:szCs w:val="18"/>
              </w:rPr>
              <w:t>II Disposizione transitoria dell’art. 21a</w:t>
            </w:r>
          </w:p>
          <w:p w:rsidR="005B19BB" w:rsidRPr="00FA0CF1" w:rsidRDefault="005B19BB" w:rsidP="00A0486F">
            <w:pPr>
              <w:rPr>
                <w:rFonts w:cs="Arial"/>
                <w:bCs/>
                <w:strike/>
                <w:sz w:val="18"/>
                <w:szCs w:val="18"/>
              </w:rPr>
            </w:pPr>
            <w:r w:rsidRPr="00FA0CF1">
              <w:rPr>
                <w:rFonts w:eastAsia="Arial" w:cs="Arial"/>
                <w:sz w:val="18"/>
                <w:szCs w:val="18"/>
              </w:rPr>
              <w:t xml:space="preserve">I datori di alloggio non assoggettati alla Lear che, al momento dell’entrata in vigore della modifica del ………. già </w:t>
            </w:r>
            <w:r w:rsidRPr="00FA0CF1">
              <w:rPr>
                <w:rFonts w:eastAsia="Arial" w:cs="Arial"/>
                <w:sz w:val="18"/>
                <w:szCs w:val="18"/>
              </w:rPr>
              <w:lastRenderedPageBreak/>
              <w:t xml:space="preserve">locano turisticamente le loro strutture ricettive, hanno un anno di tempo per ottenere il numero identificativo. </w:t>
            </w:r>
          </w:p>
        </w:tc>
      </w:tr>
    </w:tbl>
    <w:p w:rsidR="005B19BB" w:rsidRDefault="005B19BB" w:rsidP="005B19BB">
      <w:pPr>
        <w:rPr>
          <w:rFonts w:cs="Arial"/>
          <w:bCs/>
          <w:color w:val="000000" w:themeColor="text1"/>
        </w:rPr>
      </w:pPr>
    </w:p>
    <w:p w:rsidR="00BE3B18" w:rsidRPr="00FA0CF1" w:rsidRDefault="00BE3B18" w:rsidP="005B19BB">
      <w:pPr>
        <w:rPr>
          <w:rFonts w:cs="Arial"/>
          <w:bCs/>
          <w:color w:val="000000" w:themeColor="text1"/>
        </w:rPr>
      </w:pPr>
    </w:p>
    <w:p w:rsidR="005B19BB" w:rsidRPr="00BE3B18" w:rsidRDefault="005B19BB" w:rsidP="00BE3B18">
      <w:pPr>
        <w:tabs>
          <w:tab w:val="left" w:pos="567"/>
        </w:tabs>
        <w:spacing w:after="120"/>
        <w:rPr>
          <w:rFonts w:cs="Arial"/>
          <w:b/>
          <w:color w:val="000000" w:themeColor="text1"/>
        </w:rPr>
      </w:pPr>
      <w:r w:rsidRPr="00BE3B18">
        <w:rPr>
          <w:rFonts w:cs="Arial"/>
          <w:b/>
          <w:color w:val="000000" w:themeColor="text1"/>
        </w:rPr>
        <w:t>2.3</w:t>
      </w:r>
      <w:r w:rsidR="00BE3B18">
        <w:rPr>
          <w:rFonts w:cs="Arial"/>
          <w:b/>
          <w:color w:val="000000" w:themeColor="text1"/>
        </w:rPr>
        <w:tab/>
      </w:r>
      <w:r w:rsidRPr="00BE3B18">
        <w:rPr>
          <w:rFonts w:cs="Arial"/>
          <w:b/>
          <w:color w:val="000000" w:themeColor="text1"/>
        </w:rPr>
        <w:t>Modifica Legge sugli esercizi alberghieri e sulla ristorazione (Lear)</w:t>
      </w:r>
    </w:p>
    <w:p w:rsidR="005B19BB" w:rsidRPr="00BE3B18" w:rsidRDefault="005B19BB" w:rsidP="005B19BB">
      <w:pPr>
        <w:rPr>
          <w:rFonts w:cs="Arial"/>
          <w:b/>
        </w:rPr>
      </w:pPr>
      <w:r w:rsidRPr="00FA0CF1">
        <w:rPr>
          <w:rFonts w:cs="Arial"/>
          <w:bCs/>
          <w:color w:val="000000" w:themeColor="text1"/>
        </w:rPr>
        <w:t xml:space="preserve">Per consentire il corretto funzionamento della nuova piattaforma online dell’ATT si rende necessaria anche una modifica della Lear che consenta, in conformità con la legislazione sulla protezione dei dati, lo scambio di determinate informazioni tra la piattaforma online dell’ATT e la banca dati SEPU. </w:t>
      </w:r>
      <w:r w:rsidRPr="00FA0CF1">
        <w:rPr>
          <w:rFonts w:cs="Arial"/>
          <w:b/>
          <w:color w:val="000000" w:themeColor="text1"/>
        </w:rPr>
        <w:t>Il Consiglio di Stato propone quindi di introdurre gli articoli 51, 51</w:t>
      </w:r>
      <w:r>
        <w:rPr>
          <w:rFonts w:cs="Arial"/>
          <w:b/>
          <w:color w:val="000000" w:themeColor="text1"/>
        </w:rPr>
        <w:t>a</w:t>
      </w:r>
      <w:r w:rsidRPr="00FA0CF1">
        <w:rPr>
          <w:rFonts w:cs="Arial"/>
          <w:b/>
          <w:color w:val="000000" w:themeColor="text1"/>
        </w:rPr>
        <w:t xml:space="preserve"> e 51b relativi alla banca dati, così come formulati qui di seguito.</w:t>
      </w:r>
      <w:r w:rsidRPr="00FA0CF1">
        <w:rPr>
          <w:rFonts w:cs="Arial"/>
          <w:bCs/>
          <w:color w:val="000000" w:themeColor="text1"/>
        </w:rPr>
        <w:t xml:space="preserve"> </w:t>
      </w:r>
      <w:r w:rsidRPr="00FA0CF1">
        <w:rPr>
          <w:rFonts w:cs="Arial"/>
          <w:b/>
          <w:color w:val="000000" w:themeColor="text1"/>
        </w:rPr>
        <w:t>In sostanza si tratta di una formalizzazione legisl</w:t>
      </w:r>
      <w:r>
        <w:rPr>
          <w:rFonts w:cs="Arial"/>
          <w:b/>
          <w:color w:val="000000" w:themeColor="text1"/>
        </w:rPr>
        <w:t>a</w:t>
      </w:r>
      <w:r w:rsidRPr="00FA0CF1">
        <w:rPr>
          <w:rFonts w:cs="Arial"/>
          <w:b/>
          <w:color w:val="000000" w:themeColor="text1"/>
        </w:rPr>
        <w:t xml:space="preserve">tiva di ciò che esiste già. </w:t>
      </w:r>
    </w:p>
    <w:p w:rsidR="005B19BB" w:rsidRPr="00FA0CF1" w:rsidRDefault="005B19BB" w:rsidP="005B19BB">
      <w:pPr>
        <w:rPr>
          <w:rFonts w:cs="Arial"/>
          <w:bCs/>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7"/>
        <w:gridCol w:w="3161"/>
        <w:gridCol w:w="3245"/>
      </w:tblGrid>
      <w:tr w:rsidR="005B19BB" w:rsidRPr="00FA0CF1" w:rsidTr="00A0486F">
        <w:trPr>
          <w:tblHeader/>
        </w:trPr>
        <w:tc>
          <w:tcPr>
            <w:tcW w:w="3087" w:type="dxa"/>
            <w:tcBorders>
              <w:right w:val="single" w:sz="4" w:space="0" w:color="FFFFFF" w:themeColor="background1"/>
            </w:tcBorders>
            <w:shd w:val="clear" w:color="auto" w:fill="000000" w:themeFill="text1"/>
            <w:tcMar>
              <w:top w:w="0" w:type="dxa"/>
              <w:left w:w="108" w:type="dxa"/>
              <w:bottom w:w="0" w:type="dxa"/>
              <w:right w:w="108" w:type="dxa"/>
            </w:tcMar>
            <w:hideMark/>
          </w:tcPr>
          <w:p w:rsidR="005B19BB" w:rsidRPr="00FA0CF1" w:rsidRDefault="005B19BB" w:rsidP="00A0486F">
            <w:pPr>
              <w:rPr>
                <w:rFonts w:cs="Arial"/>
                <w:b/>
                <w:sz w:val="18"/>
                <w:szCs w:val="18"/>
              </w:rPr>
            </w:pPr>
            <w:r w:rsidRPr="00FA0CF1">
              <w:rPr>
                <w:rFonts w:cs="Arial"/>
                <w:b/>
                <w:sz w:val="18"/>
                <w:szCs w:val="18"/>
              </w:rPr>
              <w:t>Testo attuale Lear</w:t>
            </w:r>
          </w:p>
        </w:tc>
        <w:tc>
          <w:tcPr>
            <w:tcW w:w="3161" w:type="dxa"/>
            <w:tcBorders>
              <w:left w:val="single" w:sz="4" w:space="0" w:color="FFFFFF" w:themeColor="background1"/>
              <w:right w:val="single" w:sz="4" w:space="0" w:color="FFFFFF" w:themeColor="background1"/>
            </w:tcBorders>
            <w:shd w:val="clear" w:color="auto" w:fill="000000" w:themeFill="text1"/>
            <w:tcMar>
              <w:top w:w="0" w:type="dxa"/>
              <w:left w:w="108" w:type="dxa"/>
              <w:bottom w:w="0" w:type="dxa"/>
              <w:right w:w="108" w:type="dxa"/>
            </w:tcMar>
          </w:tcPr>
          <w:p w:rsidR="005B19BB" w:rsidRPr="00FA0CF1" w:rsidRDefault="005B19BB" w:rsidP="00A0486F">
            <w:pPr>
              <w:rPr>
                <w:rFonts w:cs="Arial"/>
                <w:b/>
                <w:sz w:val="18"/>
                <w:szCs w:val="18"/>
              </w:rPr>
            </w:pPr>
            <w:r w:rsidRPr="00FA0CF1">
              <w:rPr>
                <w:rFonts w:cs="Arial"/>
                <w:b/>
                <w:sz w:val="18"/>
                <w:szCs w:val="18"/>
              </w:rPr>
              <w:t>Proposta di modifica</w:t>
            </w:r>
          </w:p>
          <w:p w:rsidR="005B19BB" w:rsidRPr="00FA0CF1" w:rsidRDefault="005B19BB" w:rsidP="00A0486F">
            <w:pPr>
              <w:rPr>
                <w:rFonts w:cs="Arial"/>
                <w:b/>
                <w:sz w:val="18"/>
                <w:szCs w:val="18"/>
              </w:rPr>
            </w:pPr>
          </w:p>
        </w:tc>
        <w:tc>
          <w:tcPr>
            <w:tcW w:w="3245" w:type="dxa"/>
            <w:tcBorders>
              <w:left w:val="single" w:sz="4" w:space="0" w:color="FFFFFF" w:themeColor="background1"/>
            </w:tcBorders>
            <w:shd w:val="clear" w:color="auto" w:fill="000000" w:themeFill="text1"/>
            <w:tcMar>
              <w:top w:w="0" w:type="dxa"/>
              <w:left w:w="108" w:type="dxa"/>
              <w:bottom w:w="0" w:type="dxa"/>
              <w:right w:w="108" w:type="dxa"/>
            </w:tcMar>
          </w:tcPr>
          <w:p w:rsidR="005B19BB" w:rsidRPr="00FA0CF1" w:rsidRDefault="005B19BB" w:rsidP="00A0486F">
            <w:pPr>
              <w:rPr>
                <w:rFonts w:cs="Arial"/>
                <w:b/>
                <w:sz w:val="18"/>
                <w:szCs w:val="18"/>
              </w:rPr>
            </w:pPr>
            <w:r w:rsidRPr="00FA0CF1">
              <w:rPr>
                <w:rFonts w:cs="Arial"/>
                <w:b/>
                <w:sz w:val="18"/>
                <w:szCs w:val="18"/>
              </w:rPr>
              <w:t>Testo consolidato</w:t>
            </w:r>
          </w:p>
          <w:p w:rsidR="005B19BB" w:rsidRPr="00FA0CF1" w:rsidRDefault="005B19BB" w:rsidP="00A0486F">
            <w:pPr>
              <w:rPr>
                <w:rFonts w:cs="Arial"/>
                <w:b/>
                <w:sz w:val="18"/>
                <w:szCs w:val="18"/>
              </w:rPr>
            </w:pPr>
          </w:p>
        </w:tc>
      </w:tr>
      <w:tr w:rsidR="005B19BB" w:rsidRPr="00FA0CF1" w:rsidTr="00A0486F">
        <w:tc>
          <w:tcPr>
            <w:tcW w:w="9493" w:type="dxa"/>
            <w:gridSpan w:val="3"/>
            <w:shd w:val="clear" w:color="auto" w:fill="D0CECE" w:themeFill="background2" w:themeFillShade="E6"/>
            <w:tcMar>
              <w:top w:w="0" w:type="dxa"/>
              <w:left w:w="108" w:type="dxa"/>
              <w:bottom w:w="0" w:type="dxa"/>
              <w:right w:w="108" w:type="dxa"/>
            </w:tcMar>
          </w:tcPr>
          <w:p w:rsidR="005B19BB" w:rsidRPr="00FA0CF1" w:rsidRDefault="005B19BB" w:rsidP="00A0486F">
            <w:pPr>
              <w:shd w:val="clear" w:color="auto" w:fill="FFFFFF"/>
              <w:jc w:val="center"/>
              <w:rPr>
                <w:rFonts w:cs="Arial"/>
                <w:b/>
                <w:bCs/>
                <w:sz w:val="18"/>
                <w:szCs w:val="18"/>
              </w:rPr>
            </w:pPr>
            <w:r w:rsidRPr="00FA0CF1">
              <w:rPr>
                <w:rFonts w:cs="Arial"/>
                <w:b/>
                <w:bCs/>
                <w:sz w:val="18"/>
                <w:szCs w:val="18"/>
              </w:rPr>
              <w:t>LEGGE SUGLI ESERCIZI ALBERGHIERI E SULLA  RISTORAZIONE (LEAR) del 1° giugno 2010</w:t>
            </w:r>
          </w:p>
        </w:tc>
      </w:tr>
      <w:tr w:rsidR="005B19BB" w:rsidRPr="00FA0CF1" w:rsidTr="00A0486F">
        <w:tc>
          <w:tcPr>
            <w:tcW w:w="9493" w:type="dxa"/>
            <w:gridSpan w:val="3"/>
            <w:tcMar>
              <w:top w:w="0" w:type="dxa"/>
              <w:left w:w="108" w:type="dxa"/>
              <w:bottom w:w="0" w:type="dxa"/>
              <w:right w:w="108" w:type="dxa"/>
            </w:tcMar>
          </w:tcPr>
          <w:p w:rsidR="005B19BB" w:rsidRPr="00FA0CF1" w:rsidRDefault="005B19BB" w:rsidP="00A0486F">
            <w:pPr>
              <w:shd w:val="clear" w:color="auto" w:fill="FFFFFF"/>
              <w:rPr>
                <w:rFonts w:cs="Arial"/>
                <w:b/>
                <w:bCs/>
                <w:sz w:val="18"/>
                <w:szCs w:val="18"/>
              </w:rPr>
            </w:pP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p>
        </w:tc>
        <w:tc>
          <w:tcPr>
            <w:tcW w:w="3161" w:type="dxa"/>
            <w:tcMar>
              <w:top w:w="0" w:type="dxa"/>
              <w:left w:w="108" w:type="dxa"/>
              <w:bottom w:w="0" w:type="dxa"/>
              <w:right w:w="108" w:type="dxa"/>
            </w:tcMar>
          </w:tcPr>
          <w:p w:rsidR="005B19BB" w:rsidRPr="00FA0CF1" w:rsidRDefault="005B19BB" w:rsidP="00A0486F">
            <w:pPr>
              <w:rPr>
                <w:rFonts w:cs="Arial"/>
                <w:b/>
                <w:bCs/>
                <w:sz w:val="18"/>
                <w:szCs w:val="18"/>
                <w:highlight w:val="lightGray"/>
              </w:rPr>
            </w:pPr>
            <w:r w:rsidRPr="00FA0CF1">
              <w:rPr>
                <w:rFonts w:cs="Arial"/>
                <w:b/>
                <w:bCs/>
                <w:sz w:val="18"/>
                <w:szCs w:val="18"/>
                <w:highlight w:val="lightGray"/>
              </w:rPr>
              <w:t>CAPITOLO XV</w:t>
            </w:r>
          </w:p>
          <w:p w:rsidR="005B19BB" w:rsidRPr="00FA0CF1" w:rsidRDefault="005B19BB" w:rsidP="00A0486F">
            <w:pPr>
              <w:rPr>
                <w:rFonts w:cs="Arial"/>
                <w:b/>
                <w:bCs/>
                <w:sz w:val="18"/>
                <w:szCs w:val="18"/>
                <w:highlight w:val="lightGray"/>
              </w:rPr>
            </w:pPr>
            <w:r w:rsidRPr="00FA0CF1">
              <w:rPr>
                <w:rFonts w:cs="Arial"/>
                <w:b/>
                <w:bCs/>
                <w:sz w:val="18"/>
                <w:szCs w:val="18"/>
                <w:highlight w:val="lightGray"/>
              </w:rPr>
              <w:t>Banca dati</w:t>
            </w:r>
          </w:p>
        </w:tc>
        <w:tc>
          <w:tcPr>
            <w:tcW w:w="3245"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t>CAPITOLO XV</w:t>
            </w:r>
          </w:p>
          <w:p w:rsidR="005B19BB" w:rsidRPr="00FA0CF1" w:rsidRDefault="005B19BB" w:rsidP="00A0486F">
            <w:pPr>
              <w:shd w:val="clear" w:color="auto" w:fill="FFFFFF"/>
              <w:rPr>
                <w:rFonts w:cs="Arial"/>
                <w:b/>
                <w:bCs/>
                <w:sz w:val="18"/>
                <w:szCs w:val="18"/>
              </w:rPr>
            </w:pPr>
            <w:r w:rsidRPr="00FA0CF1">
              <w:rPr>
                <w:rFonts w:cs="Arial"/>
                <w:b/>
                <w:bCs/>
                <w:sz w:val="18"/>
                <w:szCs w:val="18"/>
              </w:rPr>
              <w:t>Banca dati</w:t>
            </w: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p>
        </w:tc>
        <w:tc>
          <w:tcPr>
            <w:tcW w:w="3161" w:type="dxa"/>
            <w:tcMar>
              <w:top w:w="0" w:type="dxa"/>
              <w:left w:w="108" w:type="dxa"/>
              <w:bottom w:w="0" w:type="dxa"/>
              <w:right w:w="108" w:type="dxa"/>
            </w:tcMar>
          </w:tcPr>
          <w:p w:rsidR="005B19BB" w:rsidRPr="00FA0CF1" w:rsidRDefault="005B19BB" w:rsidP="00A0486F">
            <w:pPr>
              <w:rPr>
                <w:rFonts w:cs="Arial"/>
                <w:b/>
                <w:bCs/>
                <w:sz w:val="18"/>
                <w:szCs w:val="18"/>
                <w:highlight w:val="lightGray"/>
              </w:rPr>
            </w:pPr>
            <w:r w:rsidRPr="00FA0CF1">
              <w:rPr>
                <w:rFonts w:cs="Arial"/>
                <w:b/>
                <w:bCs/>
                <w:sz w:val="18"/>
                <w:szCs w:val="18"/>
                <w:highlight w:val="lightGray"/>
              </w:rPr>
              <w:t>Banca dati</w:t>
            </w:r>
          </w:p>
          <w:p w:rsidR="005B19BB" w:rsidRPr="00FA0CF1" w:rsidRDefault="005B19BB" w:rsidP="005B19BB">
            <w:pPr>
              <w:pStyle w:val="Paragrafoelenco"/>
              <w:numPr>
                <w:ilvl w:val="0"/>
                <w:numId w:val="23"/>
              </w:numPr>
              <w:spacing w:line="276" w:lineRule="auto"/>
              <w:ind w:left="206" w:hanging="218"/>
              <w:contextualSpacing/>
              <w:rPr>
                <w:rFonts w:cs="Arial"/>
                <w:b/>
                <w:bCs/>
                <w:sz w:val="18"/>
                <w:szCs w:val="18"/>
                <w:highlight w:val="lightGray"/>
              </w:rPr>
            </w:pPr>
            <w:r w:rsidRPr="00FA0CF1">
              <w:rPr>
                <w:rFonts w:cs="Arial"/>
                <w:b/>
                <w:bCs/>
                <w:sz w:val="18"/>
                <w:szCs w:val="18"/>
                <w:highlight w:val="lightGray"/>
              </w:rPr>
              <w:t>disposizioni generali</w:t>
            </w:r>
          </w:p>
          <w:p w:rsidR="005B19BB" w:rsidRPr="00FA0CF1" w:rsidRDefault="005B19BB" w:rsidP="00A0486F">
            <w:pPr>
              <w:rPr>
                <w:rFonts w:cs="Arial"/>
                <w:b/>
                <w:bCs/>
                <w:sz w:val="18"/>
                <w:szCs w:val="18"/>
                <w:highlight w:val="lightGray"/>
              </w:rPr>
            </w:pPr>
            <w:r w:rsidRPr="00FA0CF1">
              <w:rPr>
                <w:rFonts w:cs="Arial"/>
                <w:b/>
                <w:bCs/>
                <w:sz w:val="18"/>
                <w:szCs w:val="18"/>
                <w:highlight w:val="lightGray"/>
              </w:rPr>
              <w:t>Art. 51</w:t>
            </w:r>
          </w:p>
          <w:p w:rsidR="005B19BB" w:rsidRPr="00FA0CF1" w:rsidRDefault="005B19BB" w:rsidP="00A0486F">
            <w:pPr>
              <w:rPr>
                <w:rFonts w:cs="Arial"/>
                <w:bCs/>
                <w:sz w:val="18"/>
                <w:szCs w:val="18"/>
                <w:highlight w:val="lightGray"/>
              </w:rPr>
            </w:pPr>
          </w:p>
          <w:p w:rsidR="005B19BB" w:rsidRPr="00FA0CF1" w:rsidRDefault="005B19BB" w:rsidP="00A0486F">
            <w:pPr>
              <w:rPr>
                <w:rFonts w:cs="Arial"/>
                <w:bCs/>
                <w:sz w:val="18"/>
                <w:szCs w:val="18"/>
                <w:highlight w:val="lightGray"/>
              </w:rPr>
            </w:pPr>
            <w:r w:rsidRPr="00FA0CF1">
              <w:rPr>
                <w:rFonts w:cs="Arial"/>
                <w:bCs/>
                <w:sz w:val="18"/>
                <w:szCs w:val="18"/>
                <w:highlight w:val="lightGray"/>
                <w:vertAlign w:val="superscript"/>
              </w:rPr>
              <w:t>1</w:t>
            </w:r>
            <w:r w:rsidRPr="00FA0CF1">
              <w:rPr>
                <w:rFonts w:cs="Arial"/>
                <w:bCs/>
                <w:sz w:val="18"/>
                <w:szCs w:val="18"/>
                <w:highlight w:val="lightGray"/>
              </w:rPr>
              <w:t>Il Consiglio di Stato istituisce una banca dati (SEPU) nella quale sono registrati gli esercizi pubblici che sottostanno alla presente legge nonché le notifiche degli ospiti alla polizia.</w:t>
            </w:r>
          </w:p>
          <w:p w:rsidR="005B19BB" w:rsidRPr="00FA0CF1" w:rsidRDefault="005B19BB" w:rsidP="00A0486F">
            <w:pPr>
              <w:rPr>
                <w:rFonts w:cs="Arial"/>
                <w:bCs/>
                <w:sz w:val="18"/>
                <w:szCs w:val="18"/>
                <w:highlight w:val="lightGray"/>
              </w:rPr>
            </w:pPr>
          </w:p>
          <w:p w:rsidR="005B19BB" w:rsidRPr="00FA0CF1" w:rsidRDefault="005B19BB" w:rsidP="00A0486F">
            <w:pPr>
              <w:rPr>
                <w:rFonts w:cs="Arial"/>
                <w:bCs/>
                <w:sz w:val="18"/>
                <w:szCs w:val="18"/>
                <w:highlight w:val="lightGray"/>
              </w:rPr>
            </w:pPr>
            <w:r w:rsidRPr="00FA0CF1">
              <w:rPr>
                <w:rFonts w:cs="Arial"/>
                <w:bCs/>
                <w:sz w:val="18"/>
                <w:szCs w:val="18"/>
                <w:highlight w:val="lightGray"/>
                <w:vertAlign w:val="superscript"/>
              </w:rPr>
              <w:t>2</w:t>
            </w:r>
            <w:r w:rsidRPr="00FA0CF1">
              <w:rPr>
                <w:rFonts w:cs="Arial"/>
                <w:bCs/>
                <w:sz w:val="18"/>
                <w:szCs w:val="18"/>
                <w:highlight w:val="lightGray"/>
              </w:rPr>
              <w:t>Il Dipartimento, con il supporto tecnico del Centro sistemi informativi, è l’organo responsabile per la gestione della banca dati SEPU e regola l’accesso degli utilizzatori appartenenti all’amministrazione cantonale.</w:t>
            </w:r>
          </w:p>
          <w:p w:rsidR="005B19BB" w:rsidRPr="00FA0CF1" w:rsidRDefault="005B19BB" w:rsidP="00A0486F">
            <w:pPr>
              <w:rPr>
                <w:rFonts w:cs="Arial"/>
                <w:bCs/>
                <w:sz w:val="18"/>
                <w:szCs w:val="18"/>
                <w:highlight w:val="lightGray"/>
              </w:rPr>
            </w:pPr>
          </w:p>
          <w:p w:rsidR="005B19BB" w:rsidRPr="00FA0CF1" w:rsidRDefault="005B19BB" w:rsidP="00A0486F">
            <w:pPr>
              <w:rPr>
                <w:rFonts w:cs="Arial"/>
                <w:bCs/>
                <w:sz w:val="18"/>
                <w:szCs w:val="18"/>
                <w:highlight w:val="lightGray"/>
              </w:rPr>
            </w:pPr>
            <w:r w:rsidRPr="00FA0CF1">
              <w:rPr>
                <w:rFonts w:cs="Arial"/>
                <w:bCs/>
                <w:sz w:val="18"/>
                <w:szCs w:val="18"/>
                <w:highlight w:val="lightGray"/>
                <w:vertAlign w:val="superscript"/>
              </w:rPr>
              <w:t>3</w:t>
            </w:r>
            <w:r w:rsidRPr="00FA0CF1">
              <w:rPr>
                <w:rFonts w:cs="Arial"/>
                <w:bCs/>
                <w:sz w:val="18"/>
                <w:szCs w:val="18"/>
                <w:highlight w:val="lightGray"/>
              </w:rPr>
              <w:t>La banca dati persegue i seguenti scopi:</w:t>
            </w:r>
          </w:p>
          <w:p w:rsidR="005B19BB" w:rsidRPr="00FA0CF1" w:rsidRDefault="005B19BB" w:rsidP="005B19BB">
            <w:pPr>
              <w:numPr>
                <w:ilvl w:val="0"/>
                <w:numId w:val="22"/>
              </w:numPr>
              <w:ind w:left="206" w:hanging="206"/>
              <w:rPr>
                <w:rFonts w:cs="Arial"/>
                <w:bCs/>
                <w:sz w:val="18"/>
                <w:szCs w:val="18"/>
                <w:highlight w:val="lightGray"/>
              </w:rPr>
            </w:pPr>
            <w:r w:rsidRPr="00FA0CF1">
              <w:rPr>
                <w:rFonts w:cs="Arial"/>
                <w:bCs/>
                <w:sz w:val="18"/>
                <w:szCs w:val="18"/>
                <w:highlight w:val="lightGray"/>
              </w:rPr>
              <w:t>la verifica dell’adempimento dei presupposti della presente legge per il rilascio dell’autorizzazione per la conduzione degli esercizi pubblici;</w:t>
            </w:r>
          </w:p>
          <w:p w:rsidR="005B19BB" w:rsidRPr="00FA0CF1" w:rsidRDefault="005B19BB" w:rsidP="005B19BB">
            <w:pPr>
              <w:numPr>
                <w:ilvl w:val="0"/>
                <w:numId w:val="22"/>
              </w:numPr>
              <w:ind w:left="206" w:hanging="206"/>
              <w:rPr>
                <w:rFonts w:cs="Arial"/>
                <w:bCs/>
                <w:sz w:val="18"/>
                <w:szCs w:val="18"/>
                <w:highlight w:val="lightGray"/>
              </w:rPr>
            </w:pPr>
            <w:r w:rsidRPr="00FA0CF1">
              <w:rPr>
                <w:rFonts w:cs="Arial"/>
                <w:bCs/>
                <w:sz w:val="18"/>
                <w:szCs w:val="18"/>
                <w:highlight w:val="lightGray"/>
              </w:rPr>
              <w:t>il monitoraggio nonché l’ottimizzazione dei controlli dell’attività;</w:t>
            </w:r>
          </w:p>
          <w:p w:rsidR="005B19BB" w:rsidRPr="00FA0CF1" w:rsidRDefault="005B19BB" w:rsidP="005B19BB">
            <w:pPr>
              <w:numPr>
                <w:ilvl w:val="0"/>
                <w:numId w:val="22"/>
              </w:numPr>
              <w:ind w:left="206" w:hanging="206"/>
              <w:rPr>
                <w:rFonts w:cs="Arial"/>
                <w:bCs/>
                <w:sz w:val="18"/>
                <w:szCs w:val="18"/>
                <w:highlight w:val="lightGray"/>
              </w:rPr>
            </w:pPr>
            <w:r w:rsidRPr="00FA0CF1">
              <w:rPr>
                <w:rFonts w:cs="Arial"/>
                <w:bCs/>
                <w:sz w:val="18"/>
                <w:szCs w:val="18"/>
                <w:highlight w:val="lightGray"/>
              </w:rPr>
              <w:t>l’allestimento di statistiche anonimizzate;</w:t>
            </w:r>
          </w:p>
          <w:p w:rsidR="005B19BB" w:rsidRPr="00FA0CF1" w:rsidRDefault="005B19BB" w:rsidP="005B19BB">
            <w:pPr>
              <w:numPr>
                <w:ilvl w:val="0"/>
                <w:numId w:val="22"/>
              </w:numPr>
              <w:ind w:left="206" w:hanging="206"/>
              <w:rPr>
                <w:rFonts w:cs="Arial"/>
                <w:bCs/>
                <w:sz w:val="18"/>
                <w:szCs w:val="18"/>
                <w:highlight w:val="lightGray"/>
              </w:rPr>
            </w:pPr>
            <w:r w:rsidRPr="00FA0CF1">
              <w:rPr>
                <w:rFonts w:cs="Arial"/>
                <w:bCs/>
                <w:sz w:val="18"/>
                <w:szCs w:val="18"/>
                <w:highlight w:val="lightGray"/>
              </w:rPr>
              <w:t>la verifica degli ospiti presenti sul territorio cantonale.</w:t>
            </w:r>
          </w:p>
          <w:p w:rsidR="005B19BB" w:rsidRPr="00FA0CF1" w:rsidRDefault="005B19BB" w:rsidP="00A0486F">
            <w:pPr>
              <w:ind w:left="206"/>
              <w:rPr>
                <w:rFonts w:cs="Arial"/>
                <w:bCs/>
                <w:sz w:val="18"/>
                <w:szCs w:val="18"/>
                <w:highlight w:val="lightGray"/>
              </w:rPr>
            </w:pPr>
          </w:p>
          <w:p w:rsidR="005B19BB" w:rsidRPr="00FA0CF1" w:rsidRDefault="005B19BB" w:rsidP="00A0486F">
            <w:pPr>
              <w:rPr>
                <w:rFonts w:cs="Arial"/>
                <w:bCs/>
                <w:sz w:val="18"/>
                <w:szCs w:val="18"/>
                <w:highlight w:val="lightGray"/>
              </w:rPr>
            </w:pPr>
            <w:r w:rsidRPr="00FA0CF1">
              <w:rPr>
                <w:rFonts w:cs="Arial"/>
                <w:bCs/>
                <w:sz w:val="18"/>
                <w:szCs w:val="18"/>
                <w:highlight w:val="lightGray"/>
                <w:vertAlign w:val="superscript"/>
              </w:rPr>
              <w:t>4</w:t>
            </w:r>
            <w:r w:rsidRPr="00FA0CF1">
              <w:rPr>
                <w:rFonts w:cs="Arial"/>
                <w:bCs/>
                <w:sz w:val="18"/>
                <w:szCs w:val="18"/>
                <w:highlight w:val="lightGray"/>
              </w:rPr>
              <w:t>La banca dati contiene dati personali necessari all’adempimento degli scopi di cui al cpv. 3, inclusi dati meritevoli di particolare protezione relativi alle sanzioni penali e amministrative e il certificato medico relativo all’idoneità a svolgere la professione.</w:t>
            </w:r>
          </w:p>
          <w:p w:rsidR="005B19BB" w:rsidRPr="00FA0CF1" w:rsidRDefault="005B19BB" w:rsidP="00A0486F">
            <w:pPr>
              <w:rPr>
                <w:rFonts w:cs="Arial"/>
                <w:bCs/>
                <w:sz w:val="18"/>
                <w:szCs w:val="18"/>
                <w:highlight w:val="lightGray"/>
              </w:rPr>
            </w:pPr>
          </w:p>
        </w:tc>
        <w:tc>
          <w:tcPr>
            <w:tcW w:w="3245" w:type="dxa"/>
            <w:tcMar>
              <w:top w:w="0" w:type="dxa"/>
              <w:left w:w="108" w:type="dxa"/>
              <w:bottom w:w="0" w:type="dxa"/>
              <w:right w:w="108" w:type="dxa"/>
            </w:tcMar>
          </w:tcPr>
          <w:p w:rsidR="005B19BB" w:rsidRPr="00FA0CF1" w:rsidRDefault="005B19BB" w:rsidP="00A0486F">
            <w:pPr>
              <w:rPr>
                <w:rFonts w:cs="Arial"/>
                <w:b/>
                <w:bCs/>
                <w:sz w:val="18"/>
                <w:szCs w:val="18"/>
              </w:rPr>
            </w:pPr>
            <w:r w:rsidRPr="00FA0CF1">
              <w:rPr>
                <w:rFonts w:cs="Arial"/>
                <w:b/>
                <w:bCs/>
                <w:sz w:val="18"/>
                <w:szCs w:val="18"/>
              </w:rPr>
              <w:lastRenderedPageBreak/>
              <w:t>Banca dati</w:t>
            </w:r>
          </w:p>
          <w:p w:rsidR="005B19BB" w:rsidRPr="00FA0CF1" w:rsidRDefault="005B19BB" w:rsidP="005B19BB">
            <w:pPr>
              <w:pStyle w:val="Paragrafoelenco"/>
              <w:numPr>
                <w:ilvl w:val="0"/>
                <w:numId w:val="25"/>
              </w:numPr>
              <w:spacing w:line="276" w:lineRule="auto"/>
              <w:ind w:left="304" w:hanging="284"/>
              <w:contextualSpacing/>
              <w:rPr>
                <w:rFonts w:cs="Arial"/>
                <w:b/>
                <w:bCs/>
                <w:sz w:val="18"/>
                <w:szCs w:val="18"/>
              </w:rPr>
            </w:pPr>
            <w:r w:rsidRPr="00FA0CF1">
              <w:rPr>
                <w:rFonts w:cs="Arial"/>
                <w:b/>
                <w:bCs/>
                <w:sz w:val="18"/>
                <w:szCs w:val="18"/>
              </w:rPr>
              <w:t>disposizioni generali</w:t>
            </w:r>
          </w:p>
          <w:p w:rsidR="005B19BB" w:rsidRPr="00FA0CF1" w:rsidRDefault="005B19BB" w:rsidP="00A0486F">
            <w:pPr>
              <w:rPr>
                <w:rFonts w:cs="Arial"/>
                <w:b/>
                <w:bCs/>
                <w:sz w:val="18"/>
                <w:szCs w:val="18"/>
              </w:rPr>
            </w:pPr>
            <w:r w:rsidRPr="00FA0CF1">
              <w:rPr>
                <w:rFonts w:cs="Arial"/>
                <w:b/>
                <w:bCs/>
                <w:sz w:val="18"/>
                <w:szCs w:val="18"/>
              </w:rPr>
              <w:t>Art. 51</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1</w:t>
            </w:r>
            <w:r w:rsidRPr="00FA0CF1">
              <w:rPr>
                <w:rFonts w:cs="Arial"/>
                <w:bCs/>
                <w:sz w:val="18"/>
                <w:szCs w:val="18"/>
              </w:rPr>
              <w:t xml:space="preserve">Il Consiglio di Stato istituisce una banca dati (SEPU) nella quale sono registrati gli esercizi pubblici che sottostanno alla presente legge nonché le notifiche degli ospiti alla polizia. </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2</w:t>
            </w:r>
            <w:r w:rsidRPr="00FA0CF1">
              <w:rPr>
                <w:rFonts w:cs="Arial"/>
                <w:bCs/>
                <w:sz w:val="18"/>
                <w:szCs w:val="18"/>
              </w:rPr>
              <w:t>Il Dipartimento, con il supporto tecnico del Centro sistemi informativi, è l’organo responsabile per la gestione della banca dati SEPU e regola l’accesso degli utilizzatori appartenenti all’amministrazione cantonale.</w:t>
            </w:r>
          </w:p>
          <w:p w:rsidR="005B19BB" w:rsidRPr="00FA0CF1" w:rsidRDefault="005B19BB" w:rsidP="00A0486F">
            <w:pPr>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3</w:t>
            </w:r>
            <w:r w:rsidRPr="00FA0CF1">
              <w:rPr>
                <w:rFonts w:cs="Arial"/>
                <w:bCs/>
                <w:sz w:val="18"/>
                <w:szCs w:val="18"/>
              </w:rPr>
              <w:t>La banca dati persegue i seguenti scopi:</w:t>
            </w:r>
          </w:p>
          <w:p w:rsidR="005B19BB" w:rsidRPr="00FA0CF1" w:rsidRDefault="005B19BB" w:rsidP="005B19BB">
            <w:pPr>
              <w:numPr>
                <w:ilvl w:val="0"/>
                <w:numId w:val="24"/>
              </w:numPr>
              <w:ind w:left="304" w:hanging="304"/>
              <w:rPr>
                <w:rFonts w:cs="Arial"/>
                <w:bCs/>
                <w:sz w:val="18"/>
                <w:szCs w:val="18"/>
              </w:rPr>
            </w:pPr>
            <w:r w:rsidRPr="00FA0CF1">
              <w:rPr>
                <w:rFonts w:cs="Arial"/>
                <w:bCs/>
                <w:sz w:val="18"/>
                <w:szCs w:val="18"/>
              </w:rPr>
              <w:t>la verifica dell’adempimento dei presupposti della presente legge per il rilascio dell’autorizzazione per la conduzione degli esercizi pubblici;</w:t>
            </w:r>
          </w:p>
          <w:p w:rsidR="005B19BB" w:rsidRPr="00FA0CF1" w:rsidRDefault="005B19BB" w:rsidP="005B19BB">
            <w:pPr>
              <w:numPr>
                <w:ilvl w:val="0"/>
                <w:numId w:val="24"/>
              </w:numPr>
              <w:ind w:left="304" w:hanging="304"/>
              <w:rPr>
                <w:rFonts w:cs="Arial"/>
                <w:bCs/>
                <w:sz w:val="18"/>
                <w:szCs w:val="18"/>
              </w:rPr>
            </w:pPr>
            <w:r w:rsidRPr="00FA0CF1">
              <w:rPr>
                <w:rFonts w:cs="Arial"/>
                <w:bCs/>
                <w:sz w:val="18"/>
                <w:szCs w:val="18"/>
              </w:rPr>
              <w:t>il monitoraggio nonché l’ottimizzazione dei controlli dell’attività;</w:t>
            </w:r>
          </w:p>
          <w:p w:rsidR="005B19BB" w:rsidRPr="00FA0CF1" w:rsidRDefault="005B19BB" w:rsidP="005B19BB">
            <w:pPr>
              <w:numPr>
                <w:ilvl w:val="0"/>
                <w:numId w:val="24"/>
              </w:numPr>
              <w:ind w:left="304" w:hanging="304"/>
              <w:rPr>
                <w:rFonts w:cs="Arial"/>
                <w:bCs/>
                <w:sz w:val="18"/>
                <w:szCs w:val="18"/>
              </w:rPr>
            </w:pPr>
            <w:r w:rsidRPr="00FA0CF1">
              <w:rPr>
                <w:rFonts w:cs="Arial"/>
                <w:bCs/>
                <w:sz w:val="18"/>
                <w:szCs w:val="18"/>
              </w:rPr>
              <w:t>l’allestimento di statistiche anonimizzate;</w:t>
            </w:r>
          </w:p>
          <w:p w:rsidR="005B19BB" w:rsidRPr="00FA0CF1" w:rsidRDefault="005B19BB" w:rsidP="005B19BB">
            <w:pPr>
              <w:numPr>
                <w:ilvl w:val="0"/>
                <w:numId w:val="24"/>
              </w:numPr>
              <w:ind w:left="304" w:hanging="304"/>
              <w:rPr>
                <w:rFonts w:cs="Arial"/>
                <w:bCs/>
                <w:sz w:val="18"/>
                <w:szCs w:val="18"/>
              </w:rPr>
            </w:pPr>
            <w:r w:rsidRPr="00FA0CF1">
              <w:rPr>
                <w:rFonts w:cs="Arial"/>
                <w:bCs/>
                <w:sz w:val="18"/>
                <w:szCs w:val="18"/>
              </w:rPr>
              <w:t>la verifica degli ospiti presenti sul territorio cantonale.</w:t>
            </w:r>
          </w:p>
          <w:p w:rsidR="005B19BB" w:rsidRPr="00FA0CF1" w:rsidRDefault="005B19BB" w:rsidP="00A0486F">
            <w:pPr>
              <w:ind w:left="304"/>
              <w:rPr>
                <w:rFonts w:cs="Arial"/>
                <w:bCs/>
                <w:sz w:val="18"/>
                <w:szCs w:val="18"/>
              </w:rPr>
            </w:pPr>
          </w:p>
          <w:p w:rsidR="005B19BB" w:rsidRPr="00FA0CF1" w:rsidRDefault="005B19BB" w:rsidP="00A0486F">
            <w:pPr>
              <w:rPr>
                <w:rFonts w:cs="Arial"/>
                <w:bCs/>
                <w:sz w:val="18"/>
                <w:szCs w:val="18"/>
              </w:rPr>
            </w:pPr>
            <w:r w:rsidRPr="00FA0CF1">
              <w:rPr>
                <w:rFonts w:cs="Arial"/>
                <w:bCs/>
                <w:sz w:val="18"/>
                <w:szCs w:val="18"/>
                <w:vertAlign w:val="superscript"/>
              </w:rPr>
              <w:t>4</w:t>
            </w:r>
            <w:r w:rsidRPr="00FA0CF1">
              <w:rPr>
                <w:rFonts w:cs="Arial"/>
                <w:bCs/>
                <w:sz w:val="18"/>
                <w:szCs w:val="18"/>
              </w:rPr>
              <w:t>La banca dati contiene dati personali necessari all’adempimento degli scopi di cui al cpv. 3, inclusi dati meritevoli di particolare protezione relativi alle sanzioni penali e amministrative e il certificato medico relativo all’idoneità a svolgere la professione.</w:t>
            </w:r>
          </w:p>
          <w:p w:rsidR="005B19BB" w:rsidRPr="00FA0CF1" w:rsidRDefault="005B19BB" w:rsidP="00A0486F">
            <w:pPr>
              <w:rPr>
                <w:rFonts w:cs="Arial"/>
                <w:bCs/>
                <w:sz w:val="18"/>
                <w:szCs w:val="18"/>
              </w:rPr>
            </w:pP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Cs/>
                <w:sz w:val="18"/>
                <w:szCs w:val="18"/>
              </w:rPr>
            </w:pPr>
          </w:p>
        </w:tc>
        <w:tc>
          <w:tcPr>
            <w:tcW w:w="3161" w:type="dxa"/>
            <w:tcMar>
              <w:top w:w="0" w:type="dxa"/>
              <w:left w:w="108" w:type="dxa"/>
              <w:bottom w:w="0" w:type="dxa"/>
              <w:right w:w="108" w:type="dxa"/>
            </w:tcMar>
          </w:tcPr>
          <w:p w:rsidR="005B19BB" w:rsidRPr="00FA0CF1" w:rsidRDefault="005B19BB" w:rsidP="005B19BB">
            <w:pPr>
              <w:pStyle w:val="Paragrafoelenco"/>
              <w:numPr>
                <w:ilvl w:val="0"/>
                <w:numId w:val="25"/>
              </w:numPr>
              <w:spacing w:line="276" w:lineRule="auto"/>
              <w:ind w:left="206" w:hanging="206"/>
              <w:contextualSpacing/>
              <w:rPr>
                <w:rFonts w:cs="Arial"/>
                <w:b/>
                <w:bCs/>
                <w:sz w:val="18"/>
                <w:szCs w:val="18"/>
                <w:highlight w:val="lightGray"/>
              </w:rPr>
            </w:pPr>
            <w:r w:rsidRPr="00FA0CF1">
              <w:rPr>
                <w:rFonts w:cs="Arial"/>
                <w:b/>
                <w:bCs/>
                <w:sz w:val="18"/>
                <w:szCs w:val="18"/>
                <w:highlight w:val="lightGray"/>
              </w:rPr>
              <w:t>Disposizioni esecutive</w:t>
            </w:r>
          </w:p>
          <w:p w:rsidR="005B19BB" w:rsidRPr="00FA0CF1" w:rsidRDefault="005B19BB" w:rsidP="00A0486F">
            <w:pPr>
              <w:rPr>
                <w:rFonts w:cs="Arial"/>
                <w:b/>
                <w:bCs/>
                <w:sz w:val="18"/>
                <w:szCs w:val="18"/>
                <w:highlight w:val="lightGray"/>
              </w:rPr>
            </w:pPr>
            <w:r w:rsidRPr="00FA0CF1">
              <w:rPr>
                <w:rFonts w:cs="Arial"/>
                <w:b/>
                <w:bCs/>
                <w:sz w:val="18"/>
                <w:szCs w:val="18"/>
                <w:highlight w:val="lightGray"/>
              </w:rPr>
              <w:t>Art. 51a</w:t>
            </w:r>
          </w:p>
          <w:p w:rsidR="005B19BB" w:rsidRPr="00FA0CF1" w:rsidRDefault="005B19BB" w:rsidP="00A0486F">
            <w:pPr>
              <w:rPr>
                <w:rFonts w:cs="Arial"/>
                <w:b/>
                <w:bCs/>
                <w:sz w:val="18"/>
                <w:szCs w:val="18"/>
                <w:highlight w:val="lightGray"/>
              </w:rPr>
            </w:pPr>
          </w:p>
          <w:p w:rsidR="005B19BB" w:rsidRPr="00FA0CF1" w:rsidRDefault="005B19BB" w:rsidP="00A0486F">
            <w:pPr>
              <w:rPr>
                <w:rFonts w:cs="Arial"/>
                <w:bCs/>
                <w:sz w:val="18"/>
                <w:szCs w:val="18"/>
                <w:highlight w:val="lightGray"/>
              </w:rPr>
            </w:pPr>
            <w:r w:rsidRPr="00FA0CF1">
              <w:rPr>
                <w:rFonts w:cs="Arial"/>
                <w:bCs/>
                <w:sz w:val="18"/>
                <w:szCs w:val="18"/>
                <w:highlight w:val="lightGray"/>
              </w:rPr>
              <w:t>Il Consiglio di Stato disciplina i particolari, segnatamente:</w:t>
            </w:r>
          </w:p>
          <w:p w:rsidR="005B19BB" w:rsidRPr="00FA0CF1" w:rsidRDefault="005B19BB" w:rsidP="00A0486F">
            <w:pPr>
              <w:ind w:left="206" w:hanging="206"/>
              <w:rPr>
                <w:rFonts w:cs="Arial"/>
                <w:bCs/>
                <w:sz w:val="18"/>
                <w:szCs w:val="18"/>
                <w:highlight w:val="lightGray"/>
              </w:rPr>
            </w:pPr>
            <w:r w:rsidRPr="00FA0CF1">
              <w:rPr>
                <w:rFonts w:cs="Arial"/>
                <w:bCs/>
                <w:sz w:val="18"/>
                <w:szCs w:val="18"/>
                <w:highlight w:val="lightGray"/>
              </w:rPr>
              <w:t>a)</w:t>
            </w:r>
            <w:r w:rsidRPr="00FA0CF1">
              <w:rPr>
                <w:rFonts w:cs="Arial"/>
                <w:bCs/>
                <w:sz w:val="18"/>
                <w:szCs w:val="18"/>
                <w:highlight w:val="lightGray"/>
              </w:rPr>
              <w:tab/>
              <w:t>il catalogo dei dati personali elaborati;</w:t>
            </w:r>
          </w:p>
          <w:p w:rsidR="005B19BB" w:rsidRPr="00FA0CF1" w:rsidRDefault="005B19BB" w:rsidP="00A0486F">
            <w:pPr>
              <w:ind w:left="206" w:hanging="206"/>
              <w:rPr>
                <w:rFonts w:cs="Arial"/>
                <w:bCs/>
                <w:sz w:val="18"/>
                <w:szCs w:val="18"/>
                <w:highlight w:val="lightGray"/>
              </w:rPr>
            </w:pPr>
            <w:r w:rsidRPr="00FA0CF1">
              <w:rPr>
                <w:rFonts w:cs="Arial"/>
                <w:bCs/>
                <w:sz w:val="18"/>
                <w:szCs w:val="18"/>
                <w:highlight w:val="lightGray"/>
              </w:rPr>
              <w:t>b)</w:t>
            </w:r>
            <w:r w:rsidRPr="00FA0CF1">
              <w:rPr>
                <w:rFonts w:cs="Arial"/>
                <w:bCs/>
                <w:sz w:val="18"/>
                <w:szCs w:val="18"/>
                <w:highlight w:val="lightGray"/>
              </w:rPr>
              <w:tab/>
              <w:t>i diritti di accesso e la trasmissione dei dati, tenendo proporzionatamente conto della cerchia dei destinatari;</w:t>
            </w:r>
          </w:p>
          <w:p w:rsidR="005B19BB" w:rsidRPr="00FA0CF1" w:rsidRDefault="005B19BB" w:rsidP="00A0486F">
            <w:pPr>
              <w:ind w:left="206" w:hanging="206"/>
              <w:rPr>
                <w:rFonts w:cs="Arial"/>
                <w:bCs/>
                <w:sz w:val="18"/>
                <w:szCs w:val="18"/>
                <w:highlight w:val="lightGray"/>
              </w:rPr>
            </w:pPr>
            <w:r w:rsidRPr="00FA0CF1">
              <w:rPr>
                <w:rFonts w:cs="Arial"/>
                <w:bCs/>
                <w:sz w:val="18"/>
                <w:szCs w:val="18"/>
                <w:highlight w:val="lightGray"/>
              </w:rPr>
              <w:t>c)</w:t>
            </w:r>
            <w:r w:rsidRPr="00FA0CF1">
              <w:rPr>
                <w:rFonts w:cs="Arial"/>
                <w:bCs/>
                <w:sz w:val="18"/>
                <w:szCs w:val="18"/>
                <w:highlight w:val="lightGray"/>
              </w:rPr>
              <w:tab/>
              <w:t>la durata di conservazione, l’archiviazione e la distruzione dei dati;</w:t>
            </w:r>
          </w:p>
          <w:p w:rsidR="005B19BB" w:rsidRPr="00FA0CF1" w:rsidRDefault="005B19BB" w:rsidP="00A0486F">
            <w:pPr>
              <w:ind w:left="206" w:hanging="206"/>
              <w:rPr>
                <w:rFonts w:cs="Arial"/>
                <w:bCs/>
                <w:sz w:val="18"/>
                <w:szCs w:val="18"/>
                <w:highlight w:val="lightGray"/>
              </w:rPr>
            </w:pPr>
            <w:r w:rsidRPr="00FA0CF1">
              <w:rPr>
                <w:rFonts w:cs="Arial"/>
                <w:bCs/>
                <w:sz w:val="18"/>
                <w:szCs w:val="18"/>
                <w:highlight w:val="lightGray"/>
              </w:rPr>
              <w:t>d)</w:t>
            </w:r>
            <w:r w:rsidRPr="00FA0CF1">
              <w:rPr>
                <w:rFonts w:cs="Arial"/>
                <w:bCs/>
                <w:sz w:val="18"/>
                <w:szCs w:val="18"/>
                <w:highlight w:val="lightGray"/>
              </w:rPr>
              <w:tab/>
              <w:t>le misure di sicurezza.</w:t>
            </w:r>
          </w:p>
          <w:p w:rsidR="005B19BB" w:rsidRPr="00FA0CF1" w:rsidRDefault="005B19BB" w:rsidP="00A0486F">
            <w:pPr>
              <w:rPr>
                <w:rFonts w:cs="Arial"/>
                <w:bCs/>
                <w:sz w:val="18"/>
                <w:szCs w:val="18"/>
                <w:highlight w:val="lightGray"/>
              </w:rPr>
            </w:pPr>
          </w:p>
        </w:tc>
        <w:tc>
          <w:tcPr>
            <w:tcW w:w="3245" w:type="dxa"/>
            <w:tcMar>
              <w:top w:w="0" w:type="dxa"/>
              <w:left w:w="108" w:type="dxa"/>
              <w:bottom w:w="0" w:type="dxa"/>
              <w:right w:w="108" w:type="dxa"/>
            </w:tcMar>
          </w:tcPr>
          <w:p w:rsidR="005B19BB" w:rsidRPr="00FA0CF1" w:rsidRDefault="005B19BB" w:rsidP="005B19BB">
            <w:pPr>
              <w:pStyle w:val="Paragrafoelenco"/>
              <w:numPr>
                <w:ilvl w:val="0"/>
                <w:numId w:val="26"/>
              </w:numPr>
              <w:spacing w:line="276" w:lineRule="auto"/>
              <w:ind w:left="304" w:hanging="284"/>
              <w:contextualSpacing/>
              <w:rPr>
                <w:rFonts w:cs="Arial"/>
                <w:b/>
                <w:bCs/>
                <w:sz w:val="18"/>
                <w:szCs w:val="18"/>
              </w:rPr>
            </w:pPr>
            <w:r w:rsidRPr="00FA0CF1">
              <w:rPr>
                <w:rFonts w:cs="Arial"/>
                <w:b/>
                <w:bCs/>
                <w:sz w:val="18"/>
                <w:szCs w:val="18"/>
              </w:rPr>
              <w:t>Disposizioni esecutive</w:t>
            </w:r>
          </w:p>
          <w:p w:rsidR="005B19BB" w:rsidRPr="00FA0CF1" w:rsidRDefault="005B19BB" w:rsidP="00A0486F">
            <w:pPr>
              <w:rPr>
                <w:rFonts w:cs="Arial"/>
                <w:b/>
                <w:bCs/>
                <w:sz w:val="18"/>
                <w:szCs w:val="18"/>
              </w:rPr>
            </w:pPr>
            <w:r w:rsidRPr="00FA0CF1">
              <w:rPr>
                <w:rFonts w:cs="Arial"/>
                <w:b/>
                <w:bCs/>
                <w:sz w:val="18"/>
                <w:szCs w:val="18"/>
              </w:rPr>
              <w:t>Art. 51a</w:t>
            </w:r>
          </w:p>
          <w:p w:rsidR="005B19BB" w:rsidRPr="00FA0CF1" w:rsidRDefault="005B19BB" w:rsidP="00A0486F">
            <w:pPr>
              <w:rPr>
                <w:rFonts w:cs="Arial"/>
                <w:b/>
                <w:bCs/>
                <w:sz w:val="18"/>
                <w:szCs w:val="18"/>
              </w:rPr>
            </w:pPr>
          </w:p>
          <w:p w:rsidR="005B19BB" w:rsidRPr="00FA0CF1" w:rsidRDefault="005B19BB" w:rsidP="00A0486F">
            <w:pPr>
              <w:rPr>
                <w:rFonts w:cs="Arial"/>
                <w:bCs/>
                <w:sz w:val="18"/>
                <w:szCs w:val="18"/>
              </w:rPr>
            </w:pPr>
            <w:r w:rsidRPr="00FA0CF1">
              <w:rPr>
                <w:rFonts w:cs="Arial"/>
                <w:bCs/>
                <w:sz w:val="18"/>
                <w:szCs w:val="18"/>
              </w:rPr>
              <w:t>Il Consiglio di Stato disciplina i particolari, segnatamente:</w:t>
            </w:r>
          </w:p>
          <w:p w:rsidR="005B19BB" w:rsidRPr="00FA0CF1" w:rsidRDefault="005B19BB" w:rsidP="00A0486F">
            <w:pPr>
              <w:ind w:left="206" w:hanging="206"/>
              <w:rPr>
                <w:rFonts w:cs="Arial"/>
                <w:bCs/>
                <w:sz w:val="18"/>
                <w:szCs w:val="18"/>
              </w:rPr>
            </w:pPr>
            <w:r w:rsidRPr="00FA0CF1">
              <w:rPr>
                <w:rFonts w:cs="Arial"/>
                <w:bCs/>
                <w:sz w:val="18"/>
                <w:szCs w:val="18"/>
              </w:rPr>
              <w:t>a)</w:t>
            </w:r>
            <w:r w:rsidRPr="00FA0CF1">
              <w:rPr>
                <w:rFonts w:cs="Arial"/>
                <w:bCs/>
                <w:sz w:val="18"/>
                <w:szCs w:val="18"/>
              </w:rPr>
              <w:tab/>
              <w:t>il catalogo dei dati personali elaborati;</w:t>
            </w:r>
          </w:p>
          <w:p w:rsidR="005B19BB" w:rsidRPr="00FA0CF1" w:rsidRDefault="005B19BB" w:rsidP="00A0486F">
            <w:pPr>
              <w:ind w:left="206" w:hanging="206"/>
              <w:rPr>
                <w:rFonts w:cs="Arial"/>
                <w:bCs/>
                <w:sz w:val="18"/>
                <w:szCs w:val="18"/>
              </w:rPr>
            </w:pPr>
            <w:r w:rsidRPr="00FA0CF1">
              <w:rPr>
                <w:rFonts w:cs="Arial"/>
                <w:bCs/>
                <w:sz w:val="18"/>
                <w:szCs w:val="18"/>
              </w:rPr>
              <w:t>b)</w:t>
            </w:r>
            <w:r w:rsidRPr="00FA0CF1">
              <w:rPr>
                <w:rFonts w:cs="Arial"/>
                <w:bCs/>
                <w:sz w:val="18"/>
                <w:szCs w:val="18"/>
              </w:rPr>
              <w:tab/>
              <w:t>i diritti di accesso e la trasmissione dei dati, tenendo proporzionatamente conto della cerchia dei destinatari;</w:t>
            </w:r>
          </w:p>
          <w:p w:rsidR="005B19BB" w:rsidRPr="00FA0CF1" w:rsidRDefault="005B19BB" w:rsidP="00A0486F">
            <w:pPr>
              <w:ind w:left="206" w:hanging="206"/>
              <w:rPr>
                <w:rFonts w:cs="Arial"/>
                <w:bCs/>
                <w:sz w:val="18"/>
                <w:szCs w:val="18"/>
              </w:rPr>
            </w:pPr>
            <w:r w:rsidRPr="00FA0CF1">
              <w:rPr>
                <w:rFonts w:cs="Arial"/>
                <w:bCs/>
                <w:sz w:val="18"/>
                <w:szCs w:val="18"/>
              </w:rPr>
              <w:t>c)</w:t>
            </w:r>
            <w:r w:rsidRPr="00FA0CF1">
              <w:rPr>
                <w:rFonts w:cs="Arial"/>
                <w:bCs/>
                <w:sz w:val="18"/>
                <w:szCs w:val="18"/>
              </w:rPr>
              <w:tab/>
              <w:t>la durata di conservazione, l’archiviazione e la distruzione dei dati;</w:t>
            </w:r>
          </w:p>
          <w:p w:rsidR="005B19BB" w:rsidRPr="00FA0CF1" w:rsidRDefault="005B19BB" w:rsidP="00A0486F">
            <w:pPr>
              <w:ind w:left="206" w:hanging="206"/>
              <w:rPr>
                <w:rFonts w:cs="Arial"/>
                <w:bCs/>
                <w:sz w:val="18"/>
                <w:szCs w:val="18"/>
              </w:rPr>
            </w:pPr>
            <w:r w:rsidRPr="00FA0CF1">
              <w:rPr>
                <w:rFonts w:cs="Arial"/>
                <w:bCs/>
                <w:sz w:val="18"/>
                <w:szCs w:val="18"/>
              </w:rPr>
              <w:t>d)</w:t>
            </w:r>
            <w:r w:rsidRPr="00FA0CF1">
              <w:rPr>
                <w:rFonts w:cs="Arial"/>
                <w:bCs/>
                <w:sz w:val="18"/>
                <w:szCs w:val="18"/>
              </w:rPr>
              <w:tab/>
              <w:t>le misure di sicurezza.</w:t>
            </w:r>
          </w:p>
          <w:p w:rsidR="005B19BB" w:rsidRPr="00FA0CF1" w:rsidRDefault="005B19BB" w:rsidP="00A0486F">
            <w:pPr>
              <w:shd w:val="clear" w:color="auto" w:fill="FFFFFF"/>
              <w:rPr>
                <w:rFonts w:cs="Arial"/>
                <w:bCs/>
                <w:sz w:val="18"/>
                <w:szCs w:val="18"/>
              </w:rPr>
            </w:pP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p>
        </w:tc>
        <w:tc>
          <w:tcPr>
            <w:tcW w:w="3161" w:type="dxa"/>
            <w:tcMar>
              <w:top w:w="0" w:type="dxa"/>
              <w:left w:w="108" w:type="dxa"/>
              <w:bottom w:w="0" w:type="dxa"/>
              <w:right w:w="108" w:type="dxa"/>
            </w:tcMar>
          </w:tcPr>
          <w:p w:rsidR="005B19BB" w:rsidRPr="00FA0CF1" w:rsidRDefault="005B19BB" w:rsidP="005B19BB">
            <w:pPr>
              <w:pStyle w:val="Paragrafoelenco"/>
              <w:numPr>
                <w:ilvl w:val="0"/>
                <w:numId w:val="26"/>
              </w:numPr>
              <w:ind w:left="206" w:hanging="206"/>
              <w:contextualSpacing/>
              <w:rPr>
                <w:rFonts w:cs="Arial"/>
                <w:b/>
                <w:bCs/>
                <w:sz w:val="18"/>
                <w:szCs w:val="18"/>
                <w:highlight w:val="lightGray"/>
              </w:rPr>
            </w:pPr>
            <w:r w:rsidRPr="00FA0CF1">
              <w:rPr>
                <w:rFonts w:cs="Arial"/>
                <w:b/>
                <w:bCs/>
                <w:sz w:val="18"/>
                <w:szCs w:val="18"/>
                <w:highlight w:val="lightGray"/>
              </w:rPr>
              <w:t>Trasmissione dei dati e aventi diritto di accesso</w:t>
            </w:r>
          </w:p>
          <w:p w:rsidR="005B19BB" w:rsidRPr="00FA0CF1" w:rsidRDefault="005B19BB" w:rsidP="00A0486F">
            <w:pPr>
              <w:rPr>
                <w:rFonts w:cs="Arial"/>
                <w:b/>
                <w:bCs/>
                <w:sz w:val="18"/>
                <w:szCs w:val="18"/>
                <w:highlight w:val="lightGray"/>
              </w:rPr>
            </w:pPr>
            <w:r w:rsidRPr="00FA0CF1">
              <w:rPr>
                <w:rFonts w:cs="Arial"/>
                <w:b/>
                <w:bCs/>
                <w:sz w:val="18"/>
                <w:szCs w:val="18"/>
                <w:highlight w:val="lightGray"/>
              </w:rPr>
              <w:t xml:space="preserve">Art. 51b </w:t>
            </w:r>
          </w:p>
          <w:p w:rsidR="005B19BB" w:rsidRPr="00FA0CF1" w:rsidRDefault="005B19BB" w:rsidP="00A0486F">
            <w:pPr>
              <w:rPr>
                <w:rFonts w:cs="Arial"/>
                <w:b/>
                <w:bCs/>
                <w:sz w:val="18"/>
                <w:szCs w:val="18"/>
                <w:highlight w:val="lightGray"/>
              </w:rPr>
            </w:pPr>
          </w:p>
          <w:p w:rsidR="005B19BB" w:rsidRPr="00FA0CF1" w:rsidRDefault="005B19BB" w:rsidP="00A0486F">
            <w:pPr>
              <w:ind w:right="-2"/>
              <w:rPr>
                <w:rFonts w:eastAsia="Arial" w:cs="Arial"/>
                <w:bCs/>
                <w:sz w:val="18"/>
                <w:szCs w:val="18"/>
                <w:highlight w:val="lightGray"/>
              </w:rPr>
            </w:pPr>
            <w:r w:rsidRPr="00FA0CF1">
              <w:rPr>
                <w:rFonts w:eastAsia="Arial" w:cs="Arial"/>
                <w:bCs/>
                <w:sz w:val="18"/>
                <w:szCs w:val="18"/>
                <w:highlight w:val="lightGray"/>
                <w:vertAlign w:val="superscript"/>
              </w:rPr>
              <w:t>1</w:t>
            </w:r>
            <w:r w:rsidRPr="00FA0CF1">
              <w:rPr>
                <w:rFonts w:eastAsia="Arial" w:cs="Arial"/>
                <w:bCs/>
                <w:sz w:val="18"/>
                <w:szCs w:val="18"/>
                <w:highlight w:val="lightGray"/>
              </w:rPr>
              <w:t>Gli altri servizi della Polizia cantonale possono accedere alla banca dati in qualità di utenti, limitatamente a quanto necessario per lo svolgimento dei loro compiti e previa autorizzazione dell’organo responsabile.</w:t>
            </w:r>
          </w:p>
          <w:p w:rsidR="005B19BB" w:rsidRPr="00FA0CF1" w:rsidRDefault="005B19BB" w:rsidP="00A0486F">
            <w:pPr>
              <w:ind w:right="-2"/>
              <w:rPr>
                <w:rFonts w:eastAsia="Arial" w:cs="Arial"/>
                <w:bCs/>
                <w:sz w:val="18"/>
                <w:szCs w:val="18"/>
                <w:highlight w:val="lightGray"/>
              </w:rPr>
            </w:pPr>
          </w:p>
          <w:p w:rsidR="005B19BB" w:rsidRPr="00FA0CF1" w:rsidRDefault="005B19BB" w:rsidP="00A0486F">
            <w:pPr>
              <w:ind w:right="-2"/>
              <w:rPr>
                <w:rFonts w:eastAsia="Arial" w:cs="Arial"/>
                <w:bCs/>
                <w:sz w:val="18"/>
                <w:szCs w:val="18"/>
                <w:highlight w:val="lightGray"/>
              </w:rPr>
            </w:pPr>
            <w:r w:rsidRPr="00FA0CF1">
              <w:rPr>
                <w:rFonts w:eastAsia="Arial" w:cs="Arial"/>
                <w:bCs/>
                <w:sz w:val="18"/>
                <w:szCs w:val="18"/>
                <w:highlight w:val="lightGray"/>
                <w:vertAlign w:val="superscript"/>
              </w:rPr>
              <w:t>2</w:t>
            </w:r>
            <w:r w:rsidRPr="00FA0CF1">
              <w:rPr>
                <w:rFonts w:eastAsia="Arial" w:cs="Arial"/>
                <w:bCs/>
                <w:sz w:val="18"/>
                <w:szCs w:val="18"/>
                <w:highlight w:val="lightGray"/>
              </w:rPr>
              <w:t>L’organo responsabile autorizza la trasmissione su base regolare di una lista di dati nella piattaforma online dell’Azienda turistica ticinese.</w:t>
            </w:r>
          </w:p>
          <w:p w:rsidR="005B19BB" w:rsidRPr="00FA0CF1" w:rsidRDefault="005B19BB" w:rsidP="00A0486F">
            <w:pPr>
              <w:ind w:right="-2"/>
              <w:rPr>
                <w:rFonts w:eastAsia="Arial" w:cs="Arial"/>
                <w:bCs/>
                <w:sz w:val="18"/>
                <w:szCs w:val="18"/>
                <w:highlight w:val="lightGray"/>
              </w:rPr>
            </w:pPr>
          </w:p>
        </w:tc>
        <w:tc>
          <w:tcPr>
            <w:tcW w:w="3245" w:type="dxa"/>
            <w:tcMar>
              <w:top w:w="0" w:type="dxa"/>
              <w:left w:w="108" w:type="dxa"/>
              <w:bottom w:w="0" w:type="dxa"/>
              <w:right w:w="108" w:type="dxa"/>
            </w:tcMar>
          </w:tcPr>
          <w:p w:rsidR="005B19BB" w:rsidRPr="00FA0CF1" w:rsidRDefault="005B19BB" w:rsidP="005B19BB">
            <w:pPr>
              <w:pStyle w:val="Paragrafoelenco"/>
              <w:numPr>
                <w:ilvl w:val="0"/>
                <w:numId w:val="27"/>
              </w:numPr>
              <w:ind w:left="304" w:hanging="284"/>
              <w:contextualSpacing/>
              <w:rPr>
                <w:rFonts w:cs="Arial"/>
                <w:b/>
                <w:bCs/>
                <w:sz w:val="18"/>
                <w:szCs w:val="18"/>
              </w:rPr>
            </w:pPr>
            <w:r w:rsidRPr="00FA0CF1">
              <w:rPr>
                <w:rFonts w:cs="Arial"/>
                <w:b/>
                <w:bCs/>
                <w:sz w:val="18"/>
                <w:szCs w:val="18"/>
              </w:rPr>
              <w:t>Trasmissione dei dati e aventi diritto di accesso</w:t>
            </w:r>
          </w:p>
          <w:p w:rsidR="005B19BB" w:rsidRPr="00FA0CF1" w:rsidRDefault="005B19BB" w:rsidP="00A0486F">
            <w:pPr>
              <w:rPr>
                <w:rFonts w:cs="Arial"/>
                <w:b/>
                <w:bCs/>
                <w:sz w:val="18"/>
                <w:szCs w:val="18"/>
              </w:rPr>
            </w:pPr>
            <w:r w:rsidRPr="00FA0CF1">
              <w:rPr>
                <w:rFonts w:cs="Arial"/>
                <w:b/>
                <w:bCs/>
                <w:sz w:val="18"/>
                <w:szCs w:val="18"/>
              </w:rPr>
              <w:t xml:space="preserve">Art. 51b </w:t>
            </w:r>
          </w:p>
          <w:p w:rsidR="005B19BB" w:rsidRPr="00FA0CF1" w:rsidRDefault="005B19BB" w:rsidP="00A0486F">
            <w:pPr>
              <w:rPr>
                <w:rFonts w:cs="Arial"/>
                <w:b/>
                <w:bCs/>
                <w:sz w:val="18"/>
                <w:szCs w:val="18"/>
              </w:rPr>
            </w:pPr>
          </w:p>
          <w:p w:rsidR="005B19BB" w:rsidRPr="00FA0CF1" w:rsidRDefault="005B19BB" w:rsidP="00A0486F">
            <w:pPr>
              <w:ind w:right="-2"/>
              <w:rPr>
                <w:rFonts w:eastAsia="Arial" w:cs="Arial"/>
                <w:bCs/>
                <w:sz w:val="18"/>
                <w:szCs w:val="18"/>
              </w:rPr>
            </w:pPr>
            <w:r w:rsidRPr="00FA0CF1">
              <w:rPr>
                <w:rFonts w:eastAsia="Arial" w:cs="Arial"/>
                <w:bCs/>
                <w:sz w:val="18"/>
                <w:szCs w:val="18"/>
                <w:vertAlign w:val="superscript"/>
              </w:rPr>
              <w:t>1</w:t>
            </w:r>
            <w:r w:rsidRPr="00FA0CF1">
              <w:rPr>
                <w:rFonts w:eastAsia="Arial" w:cs="Arial"/>
                <w:bCs/>
                <w:sz w:val="18"/>
                <w:szCs w:val="18"/>
              </w:rPr>
              <w:t>Gli altri servizi della Polizia cantonale possono accedere alla banca dati in qualità di utenti, limitatamente a quanto necessario per lo svolgimento dei loro compiti e previa autorizzazione dell’organo responsabile.</w:t>
            </w:r>
          </w:p>
          <w:p w:rsidR="005B19BB" w:rsidRPr="00FA0CF1" w:rsidRDefault="005B19BB" w:rsidP="00A0486F">
            <w:pPr>
              <w:ind w:right="-2"/>
              <w:rPr>
                <w:rFonts w:eastAsia="Arial" w:cs="Arial"/>
                <w:bCs/>
                <w:sz w:val="18"/>
                <w:szCs w:val="18"/>
              </w:rPr>
            </w:pPr>
          </w:p>
          <w:p w:rsidR="005B19BB" w:rsidRPr="00FA0CF1" w:rsidRDefault="005B19BB" w:rsidP="00A0486F">
            <w:pPr>
              <w:rPr>
                <w:rFonts w:cs="Arial"/>
                <w:bCs/>
                <w:strike/>
                <w:sz w:val="18"/>
                <w:szCs w:val="18"/>
              </w:rPr>
            </w:pPr>
            <w:r w:rsidRPr="00FA0CF1">
              <w:rPr>
                <w:rFonts w:eastAsia="Arial" w:cs="Arial"/>
                <w:bCs/>
                <w:sz w:val="18"/>
                <w:szCs w:val="18"/>
                <w:vertAlign w:val="superscript"/>
              </w:rPr>
              <w:t>2</w:t>
            </w:r>
            <w:r w:rsidRPr="00FA0CF1">
              <w:rPr>
                <w:rFonts w:eastAsia="Arial" w:cs="Arial"/>
                <w:bCs/>
                <w:sz w:val="18"/>
                <w:szCs w:val="18"/>
              </w:rPr>
              <w:t>L’organo responsabile autorizza la trasmissione su base regolare di una lista di dati nella piattaforma online dell’Azienda turistica ticinese.</w:t>
            </w:r>
          </w:p>
        </w:tc>
      </w:tr>
      <w:tr w:rsidR="005B19BB" w:rsidRPr="00FA0CF1" w:rsidTr="00A0486F">
        <w:tc>
          <w:tcPr>
            <w:tcW w:w="3087" w:type="dxa"/>
            <w:tcMar>
              <w:top w:w="0" w:type="dxa"/>
              <w:left w:w="108" w:type="dxa"/>
              <w:bottom w:w="0" w:type="dxa"/>
              <w:right w:w="108" w:type="dxa"/>
            </w:tcMar>
          </w:tcPr>
          <w:p w:rsidR="005B19BB" w:rsidRPr="00FA0CF1" w:rsidRDefault="005B19BB" w:rsidP="00A0486F">
            <w:pPr>
              <w:rPr>
                <w:rFonts w:cs="Arial"/>
                <w:b/>
                <w:bCs/>
                <w:sz w:val="18"/>
                <w:szCs w:val="18"/>
              </w:rPr>
            </w:pPr>
          </w:p>
        </w:tc>
        <w:tc>
          <w:tcPr>
            <w:tcW w:w="3161" w:type="dxa"/>
            <w:tcMar>
              <w:top w:w="0" w:type="dxa"/>
              <w:left w:w="108" w:type="dxa"/>
              <w:bottom w:w="0" w:type="dxa"/>
              <w:right w:w="108" w:type="dxa"/>
            </w:tcMar>
          </w:tcPr>
          <w:p w:rsidR="005B19BB" w:rsidRPr="00FA0CF1" w:rsidRDefault="005B19BB" w:rsidP="00A0486F">
            <w:pPr>
              <w:rPr>
                <w:rFonts w:cs="Arial"/>
                <w:b/>
                <w:bCs/>
                <w:i/>
                <w:sz w:val="18"/>
                <w:szCs w:val="18"/>
                <w:highlight w:val="lightGray"/>
              </w:rPr>
            </w:pPr>
            <w:r w:rsidRPr="00FA0CF1">
              <w:rPr>
                <w:rFonts w:cs="Arial"/>
                <w:b/>
                <w:bCs/>
                <w:i/>
                <w:sz w:val="18"/>
                <w:szCs w:val="18"/>
                <w:highlight w:val="lightGray"/>
              </w:rPr>
              <w:t>prima dell’art. 52</w:t>
            </w:r>
          </w:p>
          <w:p w:rsidR="005B19BB" w:rsidRPr="00FA0CF1" w:rsidRDefault="005B19BB" w:rsidP="00A0486F">
            <w:pPr>
              <w:rPr>
                <w:rFonts w:cs="Arial"/>
                <w:b/>
                <w:bCs/>
                <w:sz w:val="18"/>
                <w:szCs w:val="18"/>
                <w:highlight w:val="lightGray"/>
              </w:rPr>
            </w:pPr>
            <w:r w:rsidRPr="00FA0CF1">
              <w:rPr>
                <w:rFonts w:cs="Arial"/>
                <w:b/>
                <w:bCs/>
                <w:sz w:val="18"/>
                <w:szCs w:val="18"/>
                <w:highlight w:val="lightGray"/>
              </w:rPr>
              <w:t>CAPITOLO XVI</w:t>
            </w:r>
          </w:p>
          <w:p w:rsidR="005B19BB" w:rsidRPr="00FA0CF1" w:rsidRDefault="005B19BB" w:rsidP="00A0486F">
            <w:pPr>
              <w:rPr>
                <w:rFonts w:cs="Arial"/>
                <w:b/>
                <w:bCs/>
                <w:sz w:val="18"/>
                <w:szCs w:val="18"/>
                <w:highlight w:val="lightGray"/>
              </w:rPr>
            </w:pPr>
            <w:r w:rsidRPr="00FA0CF1">
              <w:rPr>
                <w:rFonts w:cs="Arial"/>
                <w:b/>
                <w:bCs/>
                <w:sz w:val="18"/>
                <w:szCs w:val="18"/>
                <w:highlight w:val="lightGray"/>
              </w:rPr>
              <w:t>Disposizioni varie e finali</w:t>
            </w:r>
          </w:p>
        </w:tc>
        <w:tc>
          <w:tcPr>
            <w:tcW w:w="3245" w:type="dxa"/>
            <w:tcMar>
              <w:top w:w="0" w:type="dxa"/>
              <w:left w:w="108" w:type="dxa"/>
              <w:bottom w:w="0" w:type="dxa"/>
              <w:right w:w="108" w:type="dxa"/>
            </w:tcMar>
          </w:tcPr>
          <w:p w:rsidR="005B19BB" w:rsidRPr="00FA0CF1" w:rsidRDefault="005B19BB" w:rsidP="00A0486F">
            <w:pPr>
              <w:rPr>
                <w:rFonts w:cs="Arial"/>
                <w:b/>
                <w:bCs/>
                <w:i/>
                <w:sz w:val="18"/>
                <w:szCs w:val="18"/>
              </w:rPr>
            </w:pPr>
            <w:r w:rsidRPr="00FA0CF1">
              <w:rPr>
                <w:rFonts w:cs="Arial"/>
                <w:b/>
                <w:bCs/>
                <w:i/>
                <w:sz w:val="18"/>
                <w:szCs w:val="18"/>
              </w:rPr>
              <w:t>prima dell’art. 52</w:t>
            </w:r>
          </w:p>
          <w:p w:rsidR="005B19BB" w:rsidRPr="00FA0CF1" w:rsidRDefault="005B19BB" w:rsidP="00A0486F">
            <w:pPr>
              <w:rPr>
                <w:rFonts w:cs="Arial"/>
                <w:b/>
                <w:bCs/>
                <w:sz w:val="18"/>
                <w:szCs w:val="18"/>
              </w:rPr>
            </w:pPr>
            <w:r w:rsidRPr="00FA0CF1">
              <w:rPr>
                <w:rFonts w:cs="Arial"/>
                <w:b/>
                <w:bCs/>
                <w:sz w:val="18"/>
                <w:szCs w:val="18"/>
              </w:rPr>
              <w:t>CAPITOLO XVI</w:t>
            </w:r>
          </w:p>
          <w:p w:rsidR="005B19BB" w:rsidRPr="00FA0CF1" w:rsidRDefault="005B19BB" w:rsidP="00A0486F">
            <w:pPr>
              <w:rPr>
                <w:rFonts w:cs="Arial"/>
                <w:b/>
                <w:bCs/>
                <w:sz w:val="18"/>
                <w:szCs w:val="18"/>
              </w:rPr>
            </w:pPr>
            <w:r w:rsidRPr="00FA0CF1">
              <w:rPr>
                <w:rFonts w:cs="Arial"/>
                <w:b/>
                <w:bCs/>
                <w:sz w:val="18"/>
                <w:szCs w:val="18"/>
              </w:rPr>
              <w:t>Disposizioni varie e finali</w:t>
            </w:r>
          </w:p>
        </w:tc>
      </w:tr>
    </w:tbl>
    <w:p w:rsidR="005B19BB" w:rsidRDefault="005B19BB" w:rsidP="005B19BB">
      <w:pPr>
        <w:rPr>
          <w:rFonts w:cs="Arial"/>
          <w:bCs/>
          <w:color w:val="000000" w:themeColor="text1"/>
        </w:rPr>
      </w:pPr>
    </w:p>
    <w:p w:rsidR="00BE3B18" w:rsidRDefault="00BE3B18" w:rsidP="005B19BB">
      <w:pPr>
        <w:rPr>
          <w:rFonts w:cs="Arial"/>
          <w:bCs/>
          <w:color w:val="000000" w:themeColor="text1"/>
        </w:rPr>
      </w:pPr>
    </w:p>
    <w:p w:rsidR="00BE3B18" w:rsidRPr="00FA0CF1" w:rsidRDefault="00BE3B18" w:rsidP="005B19BB">
      <w:pPr>
        <w:rPr>
          <w:rFonts w:cs="Arial"/>
          <w:bCs/>
          <w:color w:val="000000" w:themeColor="text1"/>
        </w:rPr>
      </w:pPr>
    </w:p>
    <w:p w:rsidR="005B19BB" w:rsidRPr="00BE3B18" w:rsidRDefault="005B19BB" w:rsidP="00BE3B18">
      <w:pPr>
        <w:tabs>
          <w:tab w:val="left" w:pos="567"/>
        </w:tabs>
        <w:spacing w:after="120"/>
        <w:rPr>
          <w:rFonts w:cs="Arial"/>
          <w:b/>
          <w:bCs/>
          <w:color w:val="000000" w:themeColor="text1"/>
          <w:szCs w:val="24"/>
          <w:lang w:eastAsia="it-IT"/>
        </w:rPr>
      </w:pPr>
      <w:r w:rsidRPr="00BE3B18">
        <w:rPr>
          <w:rFonts w:cs="Arial"/>
          <w:b/>
          <w:bCs/>
          <w:color w:val="000000" w:themeColor="text1"/>
          <w:szCs w:val="24"/>
        </w:rPr>
        <w:t xml:space="preserve">3. </w:t>
      </w:r>
      <w:r w:rsidR="00BE3B18">
        <w:rPr>
          <w:rFonts w:cs="Arial"/>
          <w:b/>
          <w:bCs/>
          <w:color w:val="000000" w:themeColor="text1"/>
          <w:szCs w:val="24"/>
        </w:rPr>
        <w:tab/>
      </w:r>
      <w:r w:rsidRPr="00BE3B18">
        <w:rPr>
          <w:rFonts w:cs="Arial"/>
          <w:b/>
          <w:bCs/>
          <w:color w:val="000000" w:themeColor="text1"/>
          <w:szCs w:val="24"/>
        </w:rPr>
        <w:t xml:space="preserve">CONSIDERAZIONI COMMISSIONALI </w:t>
      </w:r>
    </w:p>
    <w:p w:rsidR="005B19BB" w:rsidRPr="00BE3B18" w:rsidRDefault="005B19BB" w:rsidP="00BE3B18">
      <w:pPr>
        <w:tabs>
          <w:tab w:val="left" w:pos="567"/>
        </w:tabs>
        <w:spacing w:after="120"/>
        <w:rPr>
          <w:rFonts w:cs="Arial"/>
          <w:b/>
          <w:color w:val="000000" w:themeColor="text1"/>
        </w:rPr>
      </w:pPr>
      <w:r w:rsidRPr="00BE3B18">
        <w:rPr>
          <w:rFonts w:cs="Arial"/>
          <w:b/>
          <w:color w:val="000000" w:themeColor="text1"/>
        </w:rPr>
        <w:t xml:space="preserve">3.1 </w:t>
      </w:r>
      <w:r w:rsidR="00BE3B18">
        <w:rPr>
          <w:rFonts w:cs="Arial"/>
          <w:b/>
          <w:color w:val="000000" w:themeColor="text1"/>
        </w:rPr>
        <w:tab/>
      </w:r>
      <w:r w:rsidRPr="00BE3B18">
        <w:rPr>
          <w:rFonts w:cs="Arial"/>
          <w:b/>
          <w:color w:val="000000" w:themeColor="text1"/>
        </w:rPr>
        <w:t>Considerazioni generali</w:t>
      </w:r>
    </w:p>
    <w:p w:rsidR="005B19BB" w:rsidRPr="00FA0CF1" w:rsidRDefault="005B19BB" w:rsidP="005B19BB">
      <w:pPr>
        <w:rPr>
          <w:rFonts w:cs="Arial"/>
          <w:bCs/>
          <w:color w:val="000000" w:themeColor="text1"/>
        </w:rPr>
      </w:pPr>
      <w:r w:rsidRPr="00FA0CF1">
        <w:rPr>
          <w:rFonts w:cs="Arial"/>
          <w:bCs/>
          <w:color w:val="000000" w:themeColor="text1"/>
        </w:rPr>
        <w:t xml:space="preserve">La Commissione economia e lavoro condivide la necessità, espressa dal Consiglio di Stato, di adeguare il quadro legislativo sulla registrazione degli alloggi e la relativa riscossione delle tasse di soggiorno, e questo a fronte dello svilupparsi di nuovi modelli – segnatamente nuove piattaforme – di prenotazione (come </w:t>
      </w:r>
      <w:proofErr w:type="spellStart"/>
      <w:r w:rsidRPr="00FA0CF1">
        <w:rPr>
          <w:rFonts w:cs="Arial"/>
          <w:bCs/>
          <w:color w:val="000000" w:themeColor="text1"/>
        </w:rPr>
        <w:t>Airbnb</w:t>
      </w:r>
      <w:proofErr w:type="spellEnd"/>
      <w:r w:rsidRPr="00FA0CF1">
        <w:rPr>
          <w:rFonts w:cs="Arial"/>
          <w:bCs/>
          <w:color w:val="000000" w:themeColor="text1"/>
        </w:rPr>
        <w:t xml:space="preserve">, Booking.com e via discorrendo). </w:t>
      </w:r>
    </w:p>
    <w:p w:rsidR="005B19BB" w:rsidRPr="00FA0CF1" w:rsidRDefault="005B19BB" w:rsidP="005B19BB">
      <w:pPr>
        <w:rPr>
          <w:rFonts w:cs="Arial"/>
          <w:bCs/>
          <w:color w:val="000000" w:themeColor="text1"/>
        </w:rPr>
      </w:pPr>
    </w:p>
    <w:p w:rsidR="005B19BB" w:rsidRPr="00FA0CF1" w:rsidRDefault="005B19BB" w:rsidP="005B19BB">
      <w:pPr>
        <w:rPr>
          <w:rFonts w:cs="Arial"/>
          <w:color w:val="000000" w:themeColor="text1"/>
        </w:rPr>
      </w:pPr>
      <w:r w:rsidRPr="00FA0CF1">
        <w:rPr>
          <w:rFonts w:cs="Arial"/>
          <w:b/>
          <w:color w:val="000000" w:themeColor="text1"/>
        </w:rPr>
        <w:t>Sono molti i vantaggi di questa evoluzione</w:t>
      </w:r>
      <w:r w:rsidRPr="00FA0CF1">
        <w:rPr>
          <w:rFonts w:cs="Arial"/>
          <w:bCs/>
          <w:color w:val="000000" w:themeColor="text1"/>
        </w:rPr>
        <w:t xml:space="preserve">: un incasso </w:t>
      </w:r>
      <w:proofErr w:type="spellStart"/>
      <w:r w:rsidRPr="00FA0CF1">
        <w:rPr>
          <w:rFonts w:cs="Arial"/>
          <w:bCs/>
          <w:color w:val="000000" w:themeColor="text1"/>
        </w:rPr>
        <w:t>sitematico</w:t>
      </w:r>
      <w:proofErr w:type="spellEnd"/>
      <w:r w:rsidRPr="00FA0CF1">
        <w:rPr>
          <w:rFonts w:cs="Arial"/>
          <w:bCs/>
          <w:color w:val="000000" w:themeColor="text1"/>
        </w:rPr>
        <w:t xml:space="preserve"> delle tasse di soggiorno e di promozione turistica a beneficio di ATT e OTR, che potranno così contare – si ipotizza – su più introiti; una migliore </w:t>
      </w:r>
      <w:r w:rsidRPr="00FA0CF1">
        <w:rPr>
          <w:rFonts w:cs="Arial"/>
          <w:color w:val="000000" w:themeColor="text1"/>
        </w:rPr>
        <w:t>parità di trattamento tra le varie tipologie di strutture ricettive e canali di vendita, come anche maggiori garanzie di qualità e sicurezza (</w:t>
      </w:r>
      <w:r w:rsidRPr="00FA0CF1">
        <w:rPr>
          <w:rFonts w:cs="Arial"/>
          <w:bCs/>
          <w:color w:val="000000" w:themeColor="text1"/>
        </w:rPr>
        <w:t xml:space="preserve">non solo </w:t>
      </w:r>
      <w:r w:rsidRPr="00FA0CF1">
        <w:rPr>
          <w:rFonts w:cs="Arial"/>
          <w:color w:val="000000" w:themeColor="text1"/>
        </w:rPr>
        <w:t xml:space="preserve">grazie all’annuncio sistematico alla Polizia, ma anche </w:t>
      </w:r>
      <w:r w:rsidRPr="00FA0CF1">
        <w:rPr>
          <w:rFonts w:cs="Arial"/>
          <w:bCs/>
          <w:color w:val="000000" w:themeColor="text1"/>
        </w:rPr>
        <w:t xml:space="preserve">attraverso </w:t>
      </w:r>
      <w:r w:rsidRPr="00FA0CF1">
        <w:rPr>
          <w:rFonts w:cs="Arial"/>
          <w:color w:val="000000" w:themeColor="text1"/>
        </w:rPr>
        <w:t>un maggior rispetto della legislazione);</w:t>
      </w:r>
      <w:r>
        <w:rPr>
          <w:rFonts w:cs="Arial"/>
          <w:color w:val="000000" w:themeColor="text1"/>
        </w:rPr>
        <w:t xml:space="preserve"> </w:t>
      </w:r>
      <w:r w:rsidRPr="00FA0CF1">
        <w:rPr>
          <w:rFonts w:cs="Arial"/>
          <w:color w:val="000000" w:themeColor="text1"/>
        </w:rPr>
        <w:t>l’eliminazione del fenomeno di subaffitto non dichiarato (tramite un’autocertificazione) e, non da ultimo, un quadro realistico dell’offerta ricettiva a disposizione delle OTR, che devono provvedere alla sua promozione.</w:t>
      </w:r>
      <w:r>
        <w:rPr>
          <w:rFonts w:cs="Arial"/>
          <w:color w:val="000000" w:themeColor="text1"/>
        </w:rPr>
        <w:t xml:space="preserve"> </w:t>
      </w:r>
      <w:r w:rsidRPr="00FA0CF1">
        <w:rPr>
          <w:rFonts w:cs="Arial"/>
          <w:color w:val="000000" w:themeColor="text1"/>
        </w:rPr>
        <w:t xml:space="preserve"> </w:t>
      </w:r>
    </w:p>
    <w:p w:rsidR="005B19BB" w:rsidRPr="00FA0CF1" w:rsidRDefault="005B19BB" w:rsidP="005B19BB">
      <w:pPr>
        <w:rPr>
          <w:rFonts w:cs="Arial"/>
          <w:bCs/>
          <w:color w:val="000000" w:themeColor="text1"/>
        </w:rPr>
      </w:pPr>
      <w:r w:rsidRPr="00FA0CF1">
        <w:rPr>
          <w:rFonts w:cs="Arial"/>
          <w:b/>
          <w:bCs/>
          <w:color w:val="000000" w:themeColor="text1"/>
        </w:rPr>
        <w:t xml:space="preserve">Il tutto tenendo ben presente che la giusta regolamentazione non deve sfociare in un ostacolo all’offerta anche non sistematica di alloggi turistici che, se di qualità, possono sicuramente allargare </w:t>
      </w:r>
      <w:r>
        <w:rPr>
          <w:rFonts w:cs="Arial"/>
          <w:b/>
          <w:bCs/>
          <w:color w:val="000000" w:themeColor="text1"/>
        </w:rPr>
        <w:t xml:space="preserve">e rafforzare </w:t>
      </w:r>
      <w:r w:rsidRPr="00FA0CF1">
        <w:rPr>
          <w:rFonts w:cs="Arial"/>
          <w:b/>
          <w:bCs/>
          <w:color w:val="000000" w:themeColor="text1"/>
        </w:rPr>
        <w:t>l’attrattiva della nostra regione</w:t>
      </w:r>
      <w:r w:rsidRPr="00FA0CF1">
        <w:rPr>
          <w:rFonts w:cs="Arial"/>
          <w:color w:val="000000" w:themeColor="text1"/>
        </w:rPr>
        <w:t xml:space="preserve"> (per la </w:t>
      </w:r>
      <w:r w:rsidRPr="00FA0CF1">
        <w:rPr>
          <w:rFonts w:cs="Arial"/>
          <w:color w:val="000000" w:themeColor="text1"/>
        </w:rPr>
        <w:lastRenderedPageBreak/>
        <w:t xml:space="preserve">quale il turismo è sicuramente un settore importante; si ricorda che secondo uno studio del 2014 in Ticino </w:t>
      </w:r>
      <w:r>
        <w:rPr>
          <w:rFonts w:cs="Arial"/>
          <w:color w:val="000000" w:themeColor="text1"/>
        </w:rPr>
        <w:t xml:space="preserve">l'attività </w:t>
      </w:r>
      <w:r w:rsidRPr="00FA0CF1">
        <w:rPr>
          <w:rFonts w:cs="Arial"/>
          <w:color w:val="000000" w:themeColor="text1"/>
        </w:rPr>
        <w:t xml:space="preserve">turistica genera un impatto del 12.0% sul totale dell’occupazione (ETP) e del 9.6% sul PIL), </w:t>
      </w:r>
      <w:r w:rsidRPr="00FA0CF1">
        <w:rPr>
          <w:rFonts w:cs="Arial"/>
          <w:b/>
          <w:bCs/>
          <w:color w:val="000000" w:themeColor="text1"/>
        </w:rPr>
        <w:t>oltre che sostenere strutture ricettive del territorio o fornire utile reddito accessorio a cittadine e cittadine.</w:t>
      </w:r>
      <w:r w:rsidRPr="00FA0CF1">
        <w:rPr>
          <w:rFonts w:cs="Arial"/>
          <w:color w:val="000000" w:themeColor="text1"/>
        </w:rPr>
        <w:t xml:space="preserve">  </w:t>
      </w:r>
    </w:p>
    <w:p w:rsidR="005B19BB" w:rsidRDefault="005B19BB" w:rsidP="005B19BB">
      <w:pPr>
        <w:rPr>
          <w:rFonts w:cs="Arial"/>
          <w:bCs/>
          <w:color w:val="000000" w:themeColor="text1"/>
        </w:rPr>
      </w:pPr>
    </w:p>
    <w:p w:rsidR="00BE3B18" w:rsidRPr="00FA0CF1" w:rsidRDefault="00BE3B18" w:rsidP="005B19BB">
      <w:pPr>
        <w:rPr>
          <w:rFonts w:cs="Arial"/>
          <w:bCs/>
          <w:color w:val="000000" w:themeColor="text1"/>
        </w:rPr>
      </w:pPr>
    </w:p>
    <w:p w:rsidR="005B19BB" w:rsidRPr="00BE3B18" w:rsidRDefault="005B19BB" w:rsidP="00BE3B18">
      <w:pPr>
        <w:tabs>
          <w:tab w:val="left" w:pos="567"/>
        </w:tabs>
        <w:spacing w:after="120"/>
        <w:rPr>
          <w:rFonts w:cs="Arial"/>
          <w:b/>
          <w:color w:val="000000" w:themeColor="text1"/>
        </w:rPr>
      </w:pPr>
      <w:r w:rsidRPr="00BE3B18">
        <w:rPr>
          <w:rFonts w:cs="Arial"/>
          <w:b/>
          <w:color w:val="000000" w:themeColor="text1"/>
        </w:rPr>
        <w:t xml:space="preserve">3.2 </w:t>
      </w:r>
      <w:r w:rsidR="00BE3B18">
        <w:rPr>
          <w:rFonts w:cs="Arial"/>
          <w:b/>
          <w:color w:val="000000" w:themeColor="text1"/>
        </w:rPr>
        <w:tab/>
      </w:r>
      <w:r w:rsidRPr="00BE3B18">
        <w:rPr>
          <w:rFonts w:cs="Arial"/>
          <w:b/>
          <w:color w:val="000000" w:themeColor="text1"/>
        </w:rPr>
        <w:t>Adesione alle nuove proposte del Consiglio di Stato</w:t>
      </w:r>
    </w:p>
    <w:p w:rsidR="005B19BB" w:rsidRPr="00FA0CF1" w:rsidRDefault="005B19BB" w:rsidP="005B19BB">
      <w:pPr>
        <w:rPr>
          <w:rFonts w:cs="Arial"/>
          <w:bCs/>
          <w:color w:val="000000" w:themeColor="text1"/>
        </w:rPr>
      </w:pPr>
      <w:r>
        <w:rPr>
          <w:rFonts w:cs="Arial"/>
          <w:b/>
          <w:color w:val="000000" w:themeColor="text1"/>
        </w:rPr>
        <w:t>La Commissione economia e l</w:t>
      </w:r>
      <w:r w:rsidRPr="00FA0CF1">
        <w:rPr>
          <w:rFonts w:cs="Arial"/>
          <w:b/>
          <w:color w:val="000000" w:themeColor="text1"/>
        </w:rPr>
        <w:t xml:space="preserve">avoro ha preso atto positivamente delle modifiche </w:t>
      </w:r>
      <w:r>
        <w:rPr>
          <w:rFonts w:cs="Arial"/>
          <w:b/>
          <w:color w:val="000000" w:themeColor="text1"/>
        </w:rPr>
        <w:t>p</w:t>
      </w:r>
      <w:r w:rsidRPr="00FA0CF1">
        <w:rPr>
          <w:rFonts w:cs="Arial"/>
          <w:b/>
          <w:color w:val="000000" w:themeColor="text1"/>
        </w:rPr>
        <w:t>roposte dal Consiglio di Stato nel dicembre del 2020. Modifiche che, in particolare quelle riferite alla nuova procedura, colgono gli auspici formulati dalla stessa Commissione, vale a dire una maggiore semplificazione e digitalizzazione della procedura, in modo da poter beneficiare degli aspetti positivi senza cadere nella trappola burocratica</w:t>
      </w:r>
      <w:r w:rsidRPr="00FA0CF1">
        <w:rPr>
          <w:rFonts w:cs="Arial"/>
          <w:bCs/>
          <w:color w:val="000000" w:themeColor="text1"/>
        </w:rPr>
        <w:t xml:space="preserve">. Si nota in modo positivo anche l’aumento da 6 a 12 mesi quale termine d’ordine per adeguarsi alla nuova legge, vale a dire per ottenere il numero identificativo. La Commissione aderisce anche all’emendamento che corregge il refuso, e questo nella consapevolezza che il tema delle tasse di soggiorno nella forma dell’importo annuale fisso sarà trattato – così ha informato il Consiglio di Stato – nel messaggio governativo sull’iniziativa parlamentare del 22 gennaio 2018 presentata dal deputato Fabio Badasci </w:t>
      </w:r>
      <w:r>
        <w:rPr>
          <w:rFonts w:cs="Arial"/>
          <w:bCs/>
          <w:color w:val="000000" w:themeColor="text1"/>
        </w:rPr>
        <w:t>«</w:t>
      </w:r>
      <w:r w:rsidRPr="00FA0CF1">
        <w:rPr>
          <w:rFonts w:cs="Arial"/>
          <w:bCs/>
          <w:color w:val="000000" w:themeColor="text1"/>
        </w:rPr>
        <w:t>i letti delle case secondarie non devono essere tassati a scopo turistico se non usati a tale scop</w:t>
      </w:r>
      <w:r>
        <w:rPr>
          <w:rFonts w:cs="Arial"/>
          <w:bCs/>
          <w:color w:val="000000" w:themeColor="text1"/>
        </w:rPr>
        <w:t>o»</w:t>
      </w:r>
      <w:r w:rsidRPr="00FA0CF1">
        <w:rPr>
          <w:rFonts w:cs="Arial"/>
          <w:bCs/>
          <w:color w:val="000000" w:themeColor="text1"/>
        </w:rPr>
        <w:t xml:space="preserve">. </w:t>
      </w:r>
    </w:p>
    <w:p w:rsidR="005B19BB" w:rsidRPr="00FA0CF1" w:rsidRDefault="005B19BB" w:rsidP="005B19BB">
      <w:pPr>
        <w:rPr>
          <w:rFonts w:cs="Arial"/>
          <w:bCs/>
          <w:color w:val="000000" w:themeColor="text1"/>
        </w:rPr>
      </w:pPr>
    </w:p>
    <w:p w:rsidR="005B19BB" w:rsidRDefault="005B19BB" w:rsidP="005B19BB">
      <w:pPr>
        <w:rPr>
          <w:rFonts w:cs="Arial"/>
          <w:bCs/>
          <w:color w:val="000000" w:themeColor="text1"/>
        </w:rPr>
      </w:pPr>
      <w:r w:rsidRPr="00FA0CF1">
        <w:rPr>
          <w:rFonts w:cs="Arial"/>
          <w:bCs/>
          <w:color w:val="000000" w:themeColor="text1"/>
        </w:rPr>
        <w:t xml:space="preserve">In merito alla questione della </w:t>
      </w:r>
      <w:r w:rsidRPr="00FA0CF1">
        <w:rPr>
          <w:rFonts w:cs="Arial"/>
          <w:b/>
          <w:color w:val="000000" w:themeColor="text1"/>
        </w:rPr>
        <w:t>privacy</w:t>
      </w:r>
      <w:r w:rsidRPr="00FA0CF1">
        <w:rPr>
          <w:rFonts w:cs="Arial"/>
          <w:bCs/>
          <w:color w:val="000000" w:themeColor="text1"/>
        </w:rPr>
        <w:t xml:space="preserve">, l’Ufficio per lo sviluppo economico ha precisato che la procedura proposta – e la relativa base legale – sono stati verificati dai competenti servizi (in particolare da Legislazione e Incaricato cantonale della protezione dei dati). </w:t>
      </w:r>
    </w:p>
    <w:p w:rsidR="00BE3B18" w:rsidRPr="00FA0CF1" w:rsidRDefault="00BE3B18" w:rsidP="005B19BB">
      <w:pPr>
        <w:rPr>
          <w:rFonts w:cs="Arial"/>
          <w:bCs/>
          <w:color w:val="000000" w:themeColor="text1"/>
        </w:rPr>
      </w:pPr>
    </w:p>
    <w:p w:rsidR="005B19BB" w:rsidRDefault="005B19BB" w:rsidP="005B19BB">
      <w:pPr>
        <w:rPr>
          <w:rFonts w:cs="Arial"/>
          <w:bCs/>
          <w:color w:val="000000" w:themeColor="text1"/>
        </w:rPr>
      </w:pPr>
      <w:r w:rsidRPr="00FA0CF1">
        <w:rPr>
          <w:rFonts w:cs="Arial"/>
          <w:bCs/>
          <w:color w:val="000000" w:themeColor="text1"/>
        </w:rPr>
        <w:t xml:space="preserve">Quanto al coinvolgimento del </w:t>
      </w:r>
      <w:r w:rsidRPr="00FA0CF1">
        <w:rPr>
          <w:rFonts w:cs="Arial"/>
          <w:b/>
          <w:color w:val="000000" w:themeColor="text1"/>
        </w:rPr>
        <w:t>Comuni</w:t>
      </w:r>
      <w:r w:rsidRPr="00FA0CF1">
        <w:rPr>
          <w:rFonts w:cs="Arial"/>
          <w:bCs/>
          <w:color w:val="000000" w:themeColor="text1"/>
        </w:rPr>
        <w:t>, il modello è stato presentato all’Associazione dei Comuni ticinesi in data 26.02.2020. Temendo un eccessivo aumento del carico di lavoro dei Comuni, la Commissione economia e lavoro ha chiesto maggiori precisazioni in merito alla verifica dell’idoneità delle strutture. L’USE ha precisato che nel concreto non si tratta di un’attestazione, bensì solamente di un visto nel sistema. L’idea – è stato riferito – è di predisporre una procedura il più possibile snella ma che permetta</w:t>
      </w:r>
      <w:r>
        <w:rPr>
          <w:rFonts w:cs="Arial"/>
          <w:bCs/>
          <w:color w:val="000000" w:themeColor="text1"/>
        </w:rPr>
        <w:t>,</w:t>
      </w:r>
      <w:r w:rsidRPr="00FA0CF1">
        <w:rPr>
          <w:rFonts w:cs="Arial"/>
          <w:bCs/>
          <w:color w:val="000000" w:themeColor="text1"/>
        </w:rPr>
        <w:t xml:space="preserve"> da un lato</w:t>
      </w:r>
      <w:r>
        <w:rPr>
          <w:rFonts w:cs="Arial"/>
          <w:bCs/>
          <w:color w:val="000000" w:themeColor="text1"/>
        </w:rPr>
        <w:t>,</w:t>
      </w:r>
      <w:r w:rsidRPr="00FA0CF1">
        <w:rPr>
          <w:rFonts w:cs="Arial"/>
          <w:bCs/>
          <w:color w:val="000000" w:themeColor="text1"/>
        </w:rPr>
        <w:t xml:space="preserve"> di confermare l’idoneità dei locali (vale a dire l’esistenza del permesso d’abitabilità) e</w:t>
      </w:r>
      <w:r>
        <w:rPr>
          <w:rFonts w:cs="Arial"/>
          <w:bCs/>
          <w:color w:val="000000" w:themeColor="text1"/>
        </w:rPr>
        <w:t>,</w:t>
      </w:r>
      <w:r w:rsidRPr="00FA0CF1">
        <w:rPr>
          <w:rFonts w:cs="Arial"/>
          <w:bCs/>
          <w:color w:val="000000" w:themeColor="text1"/>
        </w:rPr>
        <w:t xml:space="preserve"> dall’altro</w:t>
      </w:r>
      <w:r>
        <w:rPr>
          <w:rFonts w:cs="Arial"/>
          <w:bCs/>
          <w:color w:val="000000" w:themeColor="text1"/>
        </w:rPr>
        <w:t>,</w:t>
      </w:r>
      <w:r w:rsidRPr="00FA0CF1">
        <w:rPr>
          <w:rFonts w:cs="Arial"/>
          <w:bCs/>
          <w:color w:val="000000" w:themeColor="text1"/>
        </w:rPr>
        <w:t xml:space="preserve"> il rispetto di eventuali normative puntuali o particolari del Comune (come ad esempio il rispetto della </w:t>
      </w:r>
      <w:proofErr w:type="spellStart"/>
      <w:r w:rsidRPr="00FA0CF1">
        <w:rPr>
          <w:rFonts w:cs="Arial"/>
          <w:bCs/>
          <w:color w:val="000000" w:themeColor="text1"/>
        </w:rPr>
        <w:t>Lex</w:t>
      </w:r>
      <w:proofErr w:type="spellEnd"/>
      <w:r w:rsidRPr="00FA0CF1">
        <w:rPr>
          <w:rFonts w:cs="Arial"/>
          <w:bCs/>
          <w:color w:val="000000" w:themeColor="text1"/>
        </w:rPr>
        <w:t xml:space="preserve"> Weber o il divieto di affittare residenze in alcuni nuclei). È lasciata libertà al Comune di verificare o meno fisicamente la struttura, a dipendenza di come essa sia già registrata nei loro database (non esiste dunque nessun </w:t>
      </w:r>
      <w:r>
        <w:rPr>
          <w:rFonts w:cs="Arial"/>
          <w:bCs/>
          <w:color w:val="000000" w:themeColor="text1"/>
        </w:rPr>
        <w:t>obbligo di sop</w:t>
      </w:r>
      <w:r w:rsidRPr="00FA0CF1">
        <w:rPr>
          <w:rFonts w:cs="Arial"/>
          <w:bCs/>
          <w:color w:val="000000" w:themeColor="text1"/>
        </w:rPr>
        <w:t>ralluogo).</w:t>
      </w:r>
      <w:r>
        <w:rPr>
          <w:rFonts w:cs="Arial"/>
          <w:bCs/>
          <w:color w:val="000000" w:themeColor="text1"/>
        </w:rPr>
        <w:t xml:space="preserve"> </w:t>
      </w:r>
    </w:p>
    <w:p w:rsidR="00BE3B18" w:rsidRDefault="00BE3B18" w:rsidP="005B19BB">
      <w:pPr>
        <w:rPr>
          <w:rFonts w:cs="Arial"/>
          <w:bCs/>
          <w:color w:val="000000" w:themeColor="text1"/>
        </w:rPr>
      </w:pPr>
    </w:p>
    <w:p w:rsidR="00BE3B18" w:rsidRPr="00FA0CF1" w:rsidRDefault="00BE3B18" w:rsidP="005B19BB">
      <w:pPr>
        <w:rPr>
          <w:rFonts w:cs="Arial"/>
          <w:bCs/>
          <w:color w:val="000000" w:themeColor="text1"/>
        </w:rPr>
      </w:pPr>
    </w:p>
    <w:p w:rsidR="005B19BB" w:rsidRPr="00BE3B18" w:rsidRDefault="005B19BB" w:rsidP="00BE3B18">
      <w:pPr>
        <w:tabs>
          <w:tab w:val="left" w:pos="567"/>
        </w:tabs>
        <w:spacing w:after="120"/>
        <w:rPr>
          <w:rFonts w:cs="Arial"/>
          <w:b/>
          <w:color w:val="000000" w:themeColor="text1"/>
        </w:rPr>
      </w:pPr>
      <w:r w:rsidRPr="00BE3B18">
        <w:rPr>
          <w:rFonts w:cs="Arial"/>
          <w:b/>
          <w:color w:val="000000" w:themeColor="text1"/>
        </w:rPr>
        <w:t xml:space="preserve">3.3 </w:t>
      </w:r>
      <w:r w:rsidR="00BE3B18">
        <w:rPr>
          <w:rFonts w:cs="Arial"/>
          <w:b/>
          <w:color w:val="000000" w:themeColor="text1"/>
        </w:rPr>
        <w:tab/>
      </w:r>
      <w:r w:rsidRPr="00BE3B18">
        <w:rPr>
          <w:rFonts w:cs="Arial"/>
          <w:b/>
          <w:color w:val="000000" w:themeColor="text1"/>
        </w:rPr>
        <w:t>Ulteriori chiarimenti</w:t>
      </w:r>
    </w:p>
    <w:p w:rsidR="005B19BB" w:rsidRPr="00F54BB0" w:rsidRDefault="005B19BB" w:rsidP="00BE3B18">
      <w:pPr>
        <w:pStyle w:val="NormaleWeb"/>
        <w:spacing w:before="0" w:beforeAutospacing="0" w:after="120" w:afterAutospacing="0"/>
        <w:jc w:val="both"/>
        <w:rPr>
          <w:rFonts w:ascii="Arial" w:hAnsi="Arial" w:cs="Arial"/>
          <w:bCs/>
          <w:color w:val="000000" w:themeColor="text1"/>
        </w:rPr>
      </w:pPr>
      <w:r w:rsidRPr="00F54BB0">
        <w:rPr>
          <w:rFonts w:ascii="Arial" w:hAnsi="Arial" w:cs="Arial"/>
          <w:bCs/>
          <w:color w:val="000000" w:themeColor="text1"/>
        </w:rPr>
        <w:t xml:space="preserve">Allo scopo di chiarire ulteriormente alcuni aspetti, la Commissione ha inoltrato una serie di domande al Consiglio di Stato, la cui risposta </w:t>
      </w:r>
      <w:r w:rsidR="009F08EC">
        <w:rPr>
          <w:rFonts w:ascii="Arial" w:hAnsi="Arial" w:cs="Arial"/>
          <w:bCs/>
          <w:color w:val="000000" w:themeColor="text1"/>
        </w:rPr>
        <w:t xml:space="preserve">(RG 631 del 10.02.2021) </w:t>
      </w:r>
      <w:r w:rsidRPr="00F54BB0">
        <w:rPr>
          <w:rFonts w:ascii="Arial" w:hAnsi="Arial" w:cs="Arial"/>
          <w:bCs/>
          <w:color w:val="000000" w:themeColor="text1"/>
        </w:rPr>
        <w:t>– per completezza e trasparenza – è allegata al rapporto commissionale</w:t>
      </w:r>
      <w:r w:rsidR="009F08EC">
        <w:rPr>
          <w:rFonts w:ascii="Arial" w:hAnsi="Arial" w:cs="Arial"/>
          <w:bCs/>
          <w:color w:val="000000" w:themeColor="text1"/>
        </w:rPr>
        <w:t>.</w:t>
      </w:r>
      <w:r w:rsidRPr="00F54BB0">
        <w:rPr>
          <w:rFonts w:ascii="Arial" w:hAnsi="Arial" w:cs="Arial"/>
          <w:bCs/>
          <w:color w:val="000000" w:themeColor="text1"/>
        </w:rPr>
        <w:t xml:space="preserve"> In sostanza il Consiglio di Stato ha confermato: </w:t>
      </w:r>
    </w:p>
    <w:p w:rsidR="005B19BB" w:rsidRPr="00F54BB0" w:rsidRDefault="005B19BB" w:rsidP="00BE3B18">
      <w:pPr>
        <w:pStyle w:val="Paragrafoelenco"/>
        <w:numPr>
          <w:ilvl w:val="0"/>
          <w:numId w:val="35"/>
        </w:numPr>
        <w:spacing w:after="120"/>
        <w:ind w:left="284" w:hanging="284"/>
        <w:rPr>
          <w:rFonts w:cs="Arial"/>
          <w:color w:val="000000" w:themeColor="text1"/>
        </w:rPr>
      </w:pPr>
      <w:r w:rsidRPr="00F54BB0">
        <w:rPr>
          <w:rFonts w:cs="Arial"/>
          <w:b/>
          <w:bCs/>
          <w:color w:val="000000" w:themeColor="text1"/>
        </w:rPr>
        <w:t>la modifica di legge non ha l’obiettivo di polizia edilizia</w:t>
      </w:r>
      <w:r w:rsidRPr="00F54BB0">
        <w:rPr>
          <w:rFonts w:cs="Arial"/>
          <w:color w:val="000000" w:themeColor="text1"/>
        </w:rPr>
        <w:t>.</w:t>
      </w:r>
    </w:p>
    <w:p w:rsidR="005B19BB" w:rsidRPr="00F54BB0" w:rsidRDefault="005B19BB" w:rsidP="00BE3B18">
      <w:pPr>
        <w:pStyle w:val="Paragrafoelenco"/>
        <w:numPr>
          <w:ilvl w:val="0"/>
          <w:numId w:val="35"/>
        </w:numPr>
        <w:ind w:left="284" w:hanging="284"/>
        <w:contextualSpacing/>
        <w:rPr>
          <w:rFonts w:cs="Arial"/>
          <w:color w:val="000000" w:themeColor="text1"/>
        </w:rPr>
      </w:pPr>
      <w:r w:rsidRPr="00F54BB0">
        <w:rPr>
          <w:rFonts w:cs="Arial"/>
          <w:color w:val="000000" w:themeColor="text1"/>
        </w:rPr>
        <w:t>L’Agenzia Turistica Ticinese (</w:t>
      </w:r>
      <w:r w:rsidRPr="00F54BB0">
        <w:rPr>
          <w:rFonts w:cs="Arial"/>
          <w:b/>
          <w:bCs/>
          <w:color w:val="000000" w:themeColor="text1"/>
        </w:rPr>
        <w:t>ATT</w:t>
      </w:r>
      <w:r w:rsidRPr="00F54BB0">
        <w:rPr>
          <w:rFonts w:cs="Arial"/>
          <w:color w:val="000000" w:themeColor="text1"/>
        </w:rPr>
        <w:t xml:space="preserve">) non avrà il compito di attribuire l’idoneità, ma si occuperà unicamente della creazione del formulario che permetterà l’attribuzione del numero identificativo. I </w:t>
      </w:r>
      <w:r w:rsidRPr="00F54BB0">
        <w:rPr>
          <w:rFonts w:cs="Arial"/>
          <w:b/>
          <w:bCs/>
          <w:color w:val="000000" w:themeColor="text1"/>
        </w:rPr>
        <w:t xml:space="preserve">comuni </w:t>
      </w:r>
      <w:r w:rsidRPr="00F54BB0">
        <w:rPr>
          <w:rFonts w:cs="Arial"/>
          <w:color w:val="000000" w:themeColor="text1"/>
        </w:rPr>
        <w:t>verranno invece coinvolti nell’attribuzione definitiva del numero identificativo in quanto unica autorità competente per alcuni aspetti legati a legge edilizia, vincoli di PR di competenza comunale e applicazione di leggi federali come la legge federale sulle abitazioni secondarie (</w:t>
      </w:r>
      <w:proofErr w:type="spellStart"/>
      <w:r w:rsidRPr="00F54BB0">
        <w:rPr>
          <w:rFonts w:cs="Arial"/>
          <w:color w:val="000000" w:themeColor="text1"/>
        </w:rPr>
        <w:t>LASec</w:t>
      </w:r>
      <w:proofErr w:type="spellEnd"/>
      <w:r w:rsidRPr="00F54BB0">
        <w:rPr>
          <w:rFonts w:cs="Arial"/>
          <w:color w:val="000000" w:themeColor="text1"/>
        </w:rPr>
        <w:t>).</w:t>
      </w:r>
    </w:p>
    <w:p w:rsidR="005B19BB" w:rsidRPr="00F54BB0" w:rsidRDefault="005B19BB" w:rsidP="00BE3B18">
      <w:pPr>
        <w:pStyle w:val="Paragrafoelenco"/>
        <w:numPr>
          <w:ilvl w:val="0"/>
          <w:numId w:val="35"/>
        </w:numPr>
        <w:spacing w:after="120"/>
        <w:ind w:left="284" w:hanging="284"/>
        <w:rPr>
          <w:rFonts w:cs="Arial"/>
          <w:color w:val="000000" w:themeColor="text1"/>
        </w:rPr>
      </w:pPr>
      <w:r w:rsidRPr="00F54BB0">
        <w:rPr>
          <w:rFonts w:cs="Arial"/>
          <w:color w:val="000000" w:themeColor="text1"/>
        </w:rPr>
        <w:lastRenderedPageBreak/>
        <w:t xml:space="preserve">I </w:t>
      </w:r>
      <w:r w:rsidRPr="00F54BB0">
        <w:rPr>
          <w:rFonts w:cs="Arial"/>
          <w:b/>
          <w:bCs/>
          <w:color w:val="000000" w:themeColor="text1"/>
        </w:rPr>
        <w:t>criteri</w:t>
      </w:r>
      <w:r w:rsidRPr="00F54BB0">
        <w:rPr>
          <w:rFonts w:cs="Arial"/>
          <w:color w:val="000000" w:themeColor="text1"/>
        </w:rPr>
        <w:t xml:space="preserve"> da rispettare per poter ottenere il visto non sono differenziati per tipologia d’alloggio, considerato come la procedura è la stessa per tutti gli alloggi non sottoposti alla Lear. </w:t>
      </w:r>
      <w:r w:rsidRPr="00F54BB0">
        <w:rPr>
          <w:rFonts w:cs="Arial"/>
          <w:b/>
          <w:bCs/>
          <w:color w:val="000000" w:themeColor="text1"/>
        </w:rPr>
        <w:t>Il primo criterio che l’alloggio deve possedere è l’abitabilità</w:t>
      </w:r>
      <w:r w:rsidRPr="00F54BB0">
        <w:rPr>
          <w:rFonts w:cs="Arial"/>
          <w:color w:val="000000" w:themeColor="text1"/>
        </w:rPr>
        <w:t xml:space="preserve"> (in particolare agli art. 1, 12, 13, 14 e 15 del regolamento sull’igiene del suolo e dell’abitato). </w:t>
      </w:r>
      <w:r w:rsidRPr="00F54BB0">
        <w:rPr>
          <w:rFonts w:cs="Arial"/>
          <w:b/>
          <w:bCs/>
          <w:color w:val="000000" w:themeColor="text1"/>
        </w:rPr>
        <w:t>Il secondo criterio è l’assenza di contrasto con norme comunali, cantonali o federali in termini di legge edilizia</w:t>
      </w:r>
      <w:r w:rsidRPr="00F54BB0">
        <w:rPr>
          <w:rFonts w:cs="Arial"/>
          <w:color w:val="000000" w:themeColor="text1"/>
        </w:rPr>
        <w:t xml:space="preserve"> (qui possono rientrare ad esempio casi di Piani regolatori comunali che </w:t>
      </w:r>
      <w:proofErr w:type="spellStart"/>
      <w:r w:rsidRPr="00F54BB0">
        <w:rPr>
          <w:rFonts w:cs="Arial"/>
          <w:color w:val="000000" w:themeColor="text1"/>
        </w:rPr>
        <w:t>limitano</w:t>
      </w:r>
      <w:proofErr w:type="spellEnd"/>
      <w:r w:rsidRPr="00F54BB0">
        <w:rPr>
          <w:rFonts w:cs="Arial"/>
          <w:color w:val="000000" w:themeColor="text1"/>
        </w:rPr>
        <w:t xml:space="preserve"> l’utilizzo di singole parcelle o zone specifiche, come i nuclei). </w:t>
      </w:r>
    </w:p>
    <w:p w:rsidR="005B19BB" w:rsidRPr="00F54BB0" w:rsidRDefault="005B19BB" w:rsidP="00BE3B18">
      <w:pPr>
        <w:pStyle w:val="Paragrafoelenco"/>
        <w:numPr>
          <w:ilvl w:val="0"/>
          <w:numId w:val="35"/>
        </w:numPr>
        <w:spacing w:after="120"/>
        <w:ind w:left="284" w:hanging="284"/>
        <w:rPr>
          <w:rFonts w:cs="Arial"/>
          <w:color w:val="000000" w:themeColor="text1"/>
        </w:rPr>
      </w:pPr>
      <w:r w:rsidRPr="00F54BB0">
        <w:rPr>
          <w:rFonts w:cs="Arial"/>
          <w:color w:val="000000" w:themeColor="text1"/>
        </w:rPr>
        <w:t xml:space="preserve">Di conseguenza per il rilascio del numero identificativo </w:t>
      </w:r>
      <w:r w:rsidRPr="00F54BB0">
        <w:rPr>
          <w:rFonts w:cs="Arial"/>
          <w:color w:val="000000" w:themeColor="text1"/>
          <w:u w:val="single"/>
        </w:rPr>
        <w:t>non</w:t>
      </w:r>
      <w:r w:rsidRPr="00F54BB0">
        <w:rPr>
          <w:rFonts w:cs="Arial"/>
          <w:color w:val="000000" w:themeColor="text1"/>
        </w:rPr>
        <w:t xml:space="preserve"> figurano richieste di controllo relative ad esempio alla polizia fuoco, all’accesso, al numero di bagni per disabili e altre disposizioni richieste unicamente agli alloggi professionali o agli alloggi che propongono anche derrate alimentari, per i quali viene coinvolto anche il laboratorio cantonale. La procedura sarà nettamente più snella in termini burocratici e si baserà sugli elementi presentati nel punto precedente (a meno che l’alloggio sia, come detto e come già oggi, sottoposto alla Lear). </w:t>
      </w:r>
    </w:p>
    <w:p w:rsidR="005B19BB" w:rsidRPr="00F54BB0" w:rsidRDefault="005B19BB" w:rsidP="00BE3B18">
      <w:pPr>
        <w:pStyle w:val="Paragrafoelenco"/>
        <w:numPr>
          <w:ilvl w:val="0"/>
          <w:numId w:val="35"/>
        </w:numPr>
        <w:spacing w:after="120"/>
        <w:ind w:left="284" w:hanging="284"/>
        <w:rPr>
          <w:rFonts w:cs="Arial"/>
          <w:color w:val="000000" w:themeColor="text1"/>
        </w:rPr>
      </w:pPr>
      <w:r w:rsidRPr="00F54BB0">
        <w:rPr>
          <w:rFonts w:cs="Arial"/>
          <w:b/>
          <w:bCs/>
          <w:color w:val="000000" w:themeColor="text1"/>
        </w:rPr>
        <w:t>Quanto proposto non preclude la possibilità di locare a scopo turistico in zone di PR non destinate a infrastrutture turistiche</w:t>
      </w:r>
      <w:r w:rsidRPr="00F54BB0">
        <w:rPr>
          <w:rFonts w:cs="Arial"/>
          <w:color w:val="000000" w:themeColor="text1"/>
        </w:rPr>
        <w:t xml:space="preserve">. L’unico problema nel rilascio del numero identificativo si pone semmai con regolamenti di PR comunali in cui non è prevista o l’attività commerciale o la residenza secondaria (per cui se un caso di residenza primaria viene poi scoperto essere in realtà una casa secondaria e/o commerciale questo potrebbe pregiudicare la conferma da parte del comune). Da parte dei comuni – precisa il Consiglio di Stato – rimane però la valutazione se queste zone di PR necessitano eventualmente di un adeguamento, chiedendosi se è meglio avere solo case primarie all’interno dei nuclei o visto il successo di questi tipi di alloggio e le relative ricadute economiche aprire la possibilità in futuro anche a eventuali locali commerciali. Questa scelta spetta però unicamente al Comune. </w:t>
      </w:r>
    </w:p>
    <w:p w:rsidR="005B19BB" w:rsidRPr="00F54BB0" w:rsidRDefault="005B19BB" w:rsidP="00BE3B18">
      <w:pPr>
        <w:pStyle w:val="Paragrafoelenco"/>
        <w:numPr>
          <w:ilvl w:val="0"/>
          <w:numId w:val="35"/>
        </w:numPr>
        <w:spacing w:after="120"/>
        <w:ind w:left="284" w:hanging="284"/>
        <w:rPr>
          <w:rFonts w:cs="Arial"/>
          <w:color w:val="000000" w:themeColor="text1"/>
        </w:rPr>
      </w:pPr>
      <w:r w:rsidRPr="00F54BB0">
        <w:rPr>
          <w:rFonts w:cs="Arial"/>
          <w:bCs/>
          <w:color w:val="000000" w:themeColor="text1"/>
        </w:rPr>
        <w:t xml:space="preserve">Per quanto riguarda i casi di edifici fuori zona trasformati a scopo residenziale, ad esempio i </w:t>
      </w:r>
      <w:r w:rsidRPr="00F54BB0">
        <w:rPr>
          <w:rFonts w:cs="Arial"/>
          <w:b/>
          <w:color w:val="000000" w:themeColor="text1"/>
        </w:rPr>
        <w:t>rustici</w:t>
      </w:r>
      <w:r w:rsidRPr="00F54BB0">
        <w:rPr>
          <w:rFonts w:cs="Arial"/>
          <w:bCs/>
          <w:color w:val="000000" w:themeColor="text1"/>
        </w:rPr>
        <w:t>, il Consiglio di Stato precisa che</w:t>
      </w:r>
      <w:r w:rsidRPr="00F54BB0">
        <w:rPr>
          <w:rFonts w:cs="Arial"/>
          <w:b/>
          <w:color w:val="000000" w:themeColor="text1"/>
        </w:rPr>
        <w:t xml:space="preserve"> </w:t>
      </w:r>
      <w:r w:rsidRPr="00F54BB0">
        <w:rPr>
          <w:rFonts w:cs="Arial"/>
          <w:color w:val="000000" w:themeColor="text1"/>
        </w:rPr>
        <w:t>se un edificio è abitato (o abitabile) dai proprietari è sicuramente autorizzabile anche per l’affitto a breve termine, per cui il comune deve agire come in una normale richiesta limitandosi a una valutazione di fatto dell’edificio con gli elementi di sua conoscenza.</w:t>
      </w:r>
    </w:p>
    <w:p w:rsidR="005B19BB" w:rsidRPr="00F54BB0" w:rsidRDefault="005B19BB" w:rsidP="00BE3B18">
      <w:pPr>
        <w:pStyle w:val="Paragrafoelenco"/>
        <w:numPr>
          <w:ilvl w:val="0"/>
          <w:numId w:val="35"/>
        </w:numPr>
        <w:ind w:left="284" w:hanging="284"/>
        <w:contextualSpacing/>
        <w:rPr>
          <w:rFonts w:cs="Arial"/>
          <w:color w:val="000000" w:themeColor="text1"/>
        </w:rPr>
      </w:pPr>
      <w:r w:rsidRPr="00F54BB0">
        <w:rPr>
          <w:rFonts w:cs="Arial"/>
          <w:color w:val="000000" w:themeColor="text1"/>
        </w:rPr>
        <w:t xml:space="preserve">In merito all’eventualità del cambio di destinazione (ad esempio da residenza primaria o secondaria a locale commerciale), nella primavera 2020 l’Ufficio per lo sviluppo economico (USE) ha sottoposto una richiesta di informazioni all’Ufficio federale dello sviluppo territoriale (ARE) che, in risposta, ha sottolineato come </w:t>
      </w:r>
      <w:r w:rsidRPr="00F54BB0">
        <w:rPr>
          <w:rFonts w:cs="Arial"/>
          <w:b/>
          <w:bCs/>
          <w:color w:val="000000" w:themeColor="text1"/>
        </w:rPr>
        <w:t>un cambio di destinazione non fosse necessario se l’utilizzo secondo la destinazione principale dell’alloggio sarebbe rimasto percentualmente preponderante</w:t>
      </w:r>
      <w:r w:rsidRPr="00F54BB0">
        <w:rPr>
          <w:rFonts w:cs="Arial"/>
          <w:color w:val="000000" w:themeColor="text1"/>
        </w:rPr>
        <w:t xml:space="preserve">. Il cambio di destinazione si rende invece necessario per quegli alloggi dove l’utilizzo preponderante non rientra più nella destinazione attribuita (ad esempio una casa primaria o secondaria affittata al 100% a scopi turistici dovrà evidentemente essere considerata un locale commerciale). </w:t>
      </w:r>
      <w:r w:rsidRPr="00F54BB0">
        <w:rPr>
          <w:rFonts w:cs="Arial"/>
          <w:bCs/>
          <w:color w:val="000000" w:themeColor="text1"/>
        </w:rPr>
        <w:t xml:space="preserve">Rispetto della legge sulle abitazioni secondarie </w:t>
      </w:r>
      <w:r w:rsidRPr="00F54BB0">
        <w:rPr>
          <w:rFonts w:cs="Arial"/>
          <w:b/>
          <w:color w:val="000000" w:themeColor="text1"/>
        </w:rPr>
        <w:t>(</w:t>
      </w:r>
      <w:proofErr w:type="spellStart"/>
      <w:r w:rsidRPr="00F54BB0">
        <w:rPr>
          <w:rFonts w:cs="Arial"/>
          <w:b/>
          <w:color w:val="000000" w:themeColor="text1"/>
        </w:rPr>
        <w:t>Lex</w:t>
      </w:r>
      <w:proofErr w:type="spellEnd"/>
      <w:r w:rsidRPr="00F54BB0">
        <w:rPr>
          <w:rFonts w:cs="Arial"/>
          <w:b/>
          <w:color w:val="000000" w:themeColor="text1"/>
        </w:rPr>
        <w:t xml:space="preserve"> Weber), </w:t>
      </w:r>
      <w:r w:rsidRPr="00F54BB0">
        <w:rPr>
          <w:rFonts w:cs="Arial"/>
          <w:color w:val="000000" w:themeColor="text1"/>
        </w:rPr>
        <w:t xml:space="preserve">si precisa quindi che residenze primarie possono essere locate interamente o parzialmente a scopo turistico e fintanto che il loro utilizzo preponderante rispetta la destinazione d’uso non vi è alcuna incidenza sulla soglia del 20%. </w:t>
      </w:r>
    </w:p>
    <w:p w:rsidR="005B19BB" w:rsidRPr="00F54BB0" w:rsidRDefault="005B19BB" w:rsidP="00BE3B18">
      <w:pPr>
        <w:ind w:left="284" w:hanging="284"/>
        <w:rPr>
          <w:rFonts w:cs="Arial"/>
          <w:color w:val="000000" w:themeColor="text1"/>
        </w:rPr>
      </w:pPr>
    </w:p>
    <w:p w:rsidR="005B19BB" w:rsidRPr="00F54BB0" w:rsidRDefault="005B19BB" w:rsidP="005B19BB">
      <w:pPr>
        <w:rPr>
          <w:rFonts w:cs="Arial"/>
          <w:color w:val="000000" w:themeColor="text1"/>
        </w:rPr>
      </w:pPr>
      <w:r w:rsidRPr="00F54BB0">
        <w:rPr>
          <w:rFonts w:cs="Arial"/>
          <w:color w:val="000000" w:themeColor="text1"/>
        </w:rPr>
        <w:t xml:space="preserve">Un ulteriore contatto del relatore con l’Ufficio dello sviluppo economico ha permesso di chiarire che – conformemente all'art. 7 cpv. 5 lett. b </w:t>
      </w:r>
      <w:proofErr w:type="spellStart"/>
      <w:r w:rsidRPr="00F54BB0">
        <w:rPr>
          <w:rFonts w:cs="Arial"/>
          <w:color w:val="000000" w:themeColor="text1"/>
        </w:rPr>
        <w:t>LASec</w:t>
      </w:r>
      <w:proofErr w:type="spellEnd"/>
      <w:r w:rsidRPr="00F54BB0">
        <w:rPr>
          <w:rFonts w:cs="Arial"/>
          <w:color w:val="000000" w:themeColor="text1"/>
        </w:rPr>
        <w:t xml:space="preserve"> e all'art. 7 </w:t>
      </w:r>
      <w:proofErr w:type="spellStart"/>
      <w:r w:rsidRPr="00F54BB0">
        <w:rPr>
          <w:rFonts w:cs="Arial"/>
          <w:color w:val="000000" w:themeColor="text1"/>
        </w:rPr>
        <w:t>OASec</w:t>
      </w:r>
      <w:proofErr w:type="spellEnd"/>
      <w:r w:rsidRPr="00F54BB0">
        <w:rPr>
          <w:rFonts w:cs="Arial"/>
          <w:color w:val="000000" w:themeColor="text1"/>
        </w:rPr>
        <w:t xml:space="preserve"> – i proprietari che desiderano rimodificare la destinazione di un'abitazione sfruttata a scopi turistici in un'abitazio</w:t>
      </w:r>
      <w:r>
        <w:rPr>
          <w:rFonts w:cs="Arial"/>
          <w:color w:val="000000" w:themeColor="text1"/>
        </w:rPr>
        <w:t xml:space="preserve">ne primaria o in un'abitazione </w:t>
      </w:r>
      <w:r w:rsidRPr="00F54BB0">
        <w:rPr>
          <w:rFonts w:cs="Arial"/>
          <w:color w:val="000000" w:themeColor="text1"/>
        </w:rPr>
        <w:t xml:space="preserve">equiparata a un'abitazione primaria possono inviare una corrispondente notifica all'autorità edilizia entro 30 giorni dalla modifica di utilizzazione. Un'abitazione conformemente all'art. 2 cpv. 1 </w:t>
      </w:r>
      <w:proofErr w:type="spellStart"/>
      <w:r w:rsidRPr="00F54BB0">
        <w:rPr>
          <w:rFonts w:cs="Arial"/>
          <w:color w:val="000000" w:themeColor="text1"/>
        </w:rPr>
        <w:t>LASec</w:t>
      </w:r>
      <w:proofErr w:type="spellEnd"/>
      <w:r w:rsidRPr="00F54BB0">
        <w:rPr>
          <w:rFonts w:cs="Arial"/>
          <w:color w:val="000000" w:themeColor="text1"/>
        </w:rPr>
        <w:t xml:space="preserve"> realizzata prima </w:t>
      </w:r>
      <w:r w:rsidR="00452BAB">
        <w:rPr>
          <w:rFonts w:cs="Arial"/>
          <w:color w:val="000000" w:themeColor="text1"/>
        </w:rPr>
        <w:br/>
      </w:r>
      <w:r w:rsidRPr="00F54BB0">
        <w:rPr>
          <w:rFonts w:cs="Arial"/>
          <w:color w:val="000000" w:themeColor="text1"/>
        </w:rPr>
        <w:lastRenderedPageBreak/>
        <w:t>dell'11 marzo 2012 o autorizzata con decisione passata in giudicato prima di tale data, ma che non viene utilizzata a scopi abitativi bensì a scopi commerciali (ufficio, studio medico), può continuare a essere considerata quale abitazione realizzata in virtù del diritto anteriore, se può essere riportata allo scopo abitativo senza considerevoli misure edilizie (ad esempio posa di una cucina precedentemente rimossa, se le corrispondenti installazioni tecniche erano già esistenti). Se per contro ex spazi abitativi destinati e trasformati a scopi commerciali possono essere (</w:t>
      </w:r>
      <w:proofErr w:type="spellStart"/>
      <w:r w:rsidRPr="00F54BB0">
        <w:rPr>
          <w:rFonts w:cs="Arial"/>
          <w:color w:val="000000" w:themeColor="text1"/>
        </w:rPr>
        <w:t>ri</w:t>
      </w:r>
      <w:proofErr w:type="spellEnd"/>
      <w:r w:rsidRPr="00F54BB0">
        <w:rPr>
          <w:rFonts w:cs="Arial"/>
          <w:color w:val="000000" w:themeColor="text1"/>
        </w:rPr>
        <w:t xml:space="preserve">)portati allo scopo abitativo solo con considerevoli misure edilizie o se ad esempio viene installata una nuova cucina dove le corrispondenti installazioni tecniche non esistevano, questi non possono essere considerati quale abitazione realizzata in virtù del diritto anteriore. In questo caso la definizione di abitazione ai sensi dell'art. 2 cpv. 1 </w:t>
      </w:r>
      <w:proofErr w:type="spellStart"/>
      <w:r w:rsidRPr="00F54BB0">
        <w:rPr>
          <w:rFonts w:cs="Arial"/>
          <w:color w:val="000000" w:themeColor="text1"/>
        </w:rPr>
        <w:t>LASec</w:t>
      </w:r>
      <w:proofErr w:type="spellEnd"/>
      <w:r w:rsidRPr="00F54BB0">
        <w:rPr>
          <w:rFonts w:cs="Arial"/>
          <w:color w:val="000000" w:themeColor="text1"/>
        </w:rPr>
        <w:t xml:space="preserve"> non è soddisfatta. Se un'abitazione veniva utilizzata sia a scopi commerciali, sia a scopi abitativi (ad esempio in un appartamento di 3 locali, un locale utilizzato a scopi commerciali e due locali a scopi abitativi), la parte abitata viene considerata quale abitazione realizzata in virtù del diritto anteriore. Per la parte commerciale vale la regola menzionata. Se ad esempio l'abitazione viene utilizzata in settimana a scopi commerciali e nel fine settimana a scopi abitativi (e soddisfa la definizione di abitazione), il criterio che possa in ogni momento essere riportata allo scopo abitativo deve essere considerato come soddisfatto; essa è quindi considerata quale abitazione realizzata in virtù del diritto anteriore. Se il comune desidera (continuare a) lasciare abitazioni realizzate in virtù del diritto anteriore e utilizzate a scopi commerciali a disposizione esclusivamente dell'uso commerciale o impedire modifiche di destinazione, deve provvedervi mediante una misura idonea a livello di ordinamento base comunale.</w:t>
      </w:r>
    </w:p>
    <w:p w:rsidR="005B19BB" w:rsidRDefault="005B19BB" w:rsidP="005B19BB">
      <w:pPr>
        <w:rPr>
          <w:rFonts w:cs="Arial"/>
          <w:color w:val="000000" w:themeColor="text1"/>
        </w:rPr>
      </w:pPr>
    </w:p>
    <w:p w:rsidR="00452BAB" w:rsidRDefault="00452BAB" w:rsidP="005B19BB">
      <w:pPr>
        <w:rPr>
          <w:rFonts w:cs="Arial"/>
          <w:color w:val="000000" w:themeColor="text1"/>
        </w:rPr>
      </w:pPr>
    </w:p>
    <w:p w:rsidR="00452BAB" w:rsidRPr="00F54BB0" w:rsidRDefault="00452BAB" w:rsidP="005B19BB">
      <w:pPr>
        <w:rPr>
          <w:rFonts w:cs="Arial"/>
          <w:color w:val="000000" w:themeColor="text1"/>
        </w:rPr>
      </w:pPr>
    </w:p>
    <w:p w:rsidR="005B19BB" w:rsidRPr="00452BAB" w:rsidRDefault="005B19BB" w:rsidP="00452BAB">
      <w:pPr>
        <w:tabs>
          <w:tab w:val="left" w:pos="567"/>
        </w:tabs>
        <w:spacing w:after="120"/>
        <w:rPr>
          <w:rFonts w:cs="Arial"/>
          <w:b/>
          <w:bCs/>
          <w:color w:val="000000" w:themeColor="text1"/>
          <w:szCs w:val="24"/>
          <w:lang w:eastAsia="it-IT"/>
        </w:rPr>
      </w:pPr>
      <w:r w:rsidRPr="00452BAB">
        <w:rPr>
          <w:rFonts w:cs="Arial"/>
          <w:b/>
          <w:bCs/>
          <w:color w:val="000000" w:themeColor="text1"/>
          <w:szCs w:val="24"/>
        </w:rPr>
        <w:t xml:space="preserve">4. </w:t>
      </w:r>
      <w:r w:rsidR="00452BAB">
        <w:rPr>
          <w:rFonts w:cs="Arial"/>
          <w:b/>
          <w:bCs/>
          <w:color w:val="000000" w:themeColor="text1"/>
          <w:szCs w:val="24"/>
        </w:rPr>
        <w:tab/>
      </w:r>
      <w:r w:rsidRPr="00452BAB">
        <w:rPr>
          <w:rFonts w:cs="Arial"/>
          <w:b/>
          <w:bCs/>
          <w:color w:val="000000" w:themeColor="text1"/>
          <w:szCs w:val="24"/>
        </w:rPr>
        <w:t>ATTI PARLAMENTARI</w:t>
      </w:r>
    </w:p>
    <w:p w:rsidR="005B19BB" w:rsidRPr="00FA0CF1" w:rsidRDefault="005B19BB" w:rsidP="005B19BB">
      <w:pPr>
        <w:rPr>
          <w:rFonts w:cs="Arial"/>
          <w:color w:val="000000" w:themeColor="text1"/>
        </w:rPr>
      </w:pPr>
      <w:r w:rsidRPr="00FA0CF1">
        <w:rPr>
          <w:rFonts w:cs="Arial"/>
          <w:color w:val="000000" w:themeColor="text1"/>
        </w:rPr>
        <w:t xml:space="preserve">Con il presente rapporto – come precisato dal messaggio governativo – viene evasa la mozione presentata dai </w:t>
      </w:r>
      <w:r>
        <w:rPr>
          <w:rFonts w:cs="Arial"/>
          <w:color w:val="000000" w:themeColor="text1"/>
        </w:rPr>
        <w:t>d</w:t>
      </w:r>
      <w:r w:rsidRPr="00FA0CF1">
        <w:rPr>
          <w:rFonts w:cs="Arial"/>
          <w:color w:val="000000" w:themeColor="text1"/>
        </w:rPr>
        <w:t xml:space="preserve">eputati Galeazzi, Beretta Piccoli e Quadranti del 12 marzo 2018 denominata “Regolamentare le attività </w:t>
      </w:r>
      <w:proofErr w:type="spellStart"/>
      <w:r w:rsidRPr="00FA0CF1">
        <w:rPr>
          <w:rFonts w:cs="Arial"/>
          <w:color w:val="000000" w:themeColor="text1"/>
        </w:rPr>
        <w:t>Airbnb</w:t>
      </w:r>
      <w:proofErr w:type="spellEnd"/>
      <w:r w:rsidRPr="00FA0CF1">
        <w:rPr>
          <w:rFonts w:cs="Arial"/>
          <w:color w:val="000000" w:themeColor="text1"/>
        </w:rPr>
        <w:t xml:space="preserve"> (mozione bis)”; mozione che chiedeva “</w:t>
      </w:r>
      <w:r w:rsidRPr="00FA0CF1">
        <w:rPr>
          <w:rFonts w:cs="Arial"/>
          <w:i/>
          <w:iCs/>
          <w:color w:val="000000" w:themeColor="text1"/>
        </w:rPr>
        <w:t xml:space="preserve">di intraprendere trattative tra la piattaforma </w:t>
      </w:r>
      <w:proofErr w:type="spellStart"/>
      <w:r w:rsidRPr="00FA0CF1">
        <w:rPr>
          <w:rFonts w:cs="Arial"/>
          <w:i/>
          <w:iCs/>
          <w:color w:val="000000" w:themeColor="text1"/>
        </w:rPr>
        <w:t>Airbnb</w:t>
      </w:r>
      <w:proofErr w:type="spellEnd"/>
      <w:r w:rsidRPr="00FA0CF1">
        <w:rPr>
          <w:rFonts w:cs="Arial"/>
          <w:i/>
          <w:iCs/>
          <w:color w:val="000000" w:themeColor="text1"/>
        </w:rPr>
        <w:t xml:space="preserve"> e il Cantone, allo scopo di stabilire una procedura che permetta la pubblicazione sul sito di appartamenti solo con la necessaria autorizzazione e/o numero di matricola (esempio il numero di registro fiscale riportato nella dichiarazione annuale)</w:t>
      </w:r>
      <w:r w:rsidRPr="00FA0CF1">
        <w:rPr>
          <w:rFonts w:cs="Arial"/>
          <w:color w:val="000000" w:themeColor="text1"/>
        </w:rPr>
        <w:t xml:space="preserve">”. </w:t>
      </w:r>
    </w:p>
    <w:p w:rsidR="005B19BB" w:rsidRDefault="005B19BB" w:rsidP="005B19BB">
      <w:pPr>
        <w:rPr>
          <w:rFonts w:cs="Arial"/>
          <w:color w:val="000000" w:themeColor="text1"/>
        </w:rPr>
      </w:pPr>
      <w:r>
        <w:rPr>
          <w:rFonts w:cs="Arial"/>
          <w:color w:val="000000" w:themeColor="text1"/>
        </w:rPr>
        <w:t>A mente della Commissione economia e l</w:t>
      </w:r>
      <w:r w:rsidRPr="00FA0CF1">
        <w:rPr>
          <w:rFonts w:cs="Arial"/>
          <w:color w:val="000000" w:themeColor="text1"/>
        </w:rPr>
        <w:t xml:space="preserve">avoro il rapporto evade anche la prima mozione degli stessi </w:t>
      </w:r>
      <w:r>
        <w:rPr>
          <w:rFonts w:cs="Arial"/>
          <w:color w:val="000000" w:themeColor="text1"/>
        </w:rPr>
        <w:t>d</w:t>
      </w:r>
      <w:r w:rsidRPr="00FA0CF1">
        <w:rPr>
          <w:rFonts w:cs="Arial"/>
          <w:color w:val="000000" w:themeColor="text1"/>
        </w:rPr>
        <w:t>eputati, “</w:t>
      </w:r>
      <w:r w:rsidRPr="00FA0CF1">
        <w:rPr>
          <w:rFonts w:cs="Arial"/>
          <w:i/>
          <w:iCs/>
          <w:color w:val="000000" w:themeColor="text1"/>
        </w:rPr>
        <w:t>Regolamentare le</w:t>
      </w:r>
      <w:r>
        <w:rPr>
          <w:rFonts w:cs="Arial"/>
          <w:i/>
          <w:iCs/>
          <w:color w:val="000000" w:themeColor="text1"/>
        </w:rPr>
        <w:t xml:space="preserve"> attività</w:t>
      </w:r>
      <w:r w:rsidRPr="00FA0CF1">
        <w:rPr>
          <w:rFonts w:cs="Arial"/>
          <w:i/>
          <w:iCs/>
          <w:color w:val="000000" w:themeColor="text1"/>
        </w:rPr>
        <w:t xml:space="preserve"> </w:t>
      </w:r>
      <w:proofErr w:type="spellStart"/>
      <w:r w:rsidRPr="00FA0CF1">
        <w:rPr>
          <w:rFonts w:cs="Arial"/>
          <w:i/>
          <w:iCs/>
          <w:color w:val="000000" w:themeColor="text1"/>
        </w:rPr>
        <w:t>AirB&amp;B</w:t>
      </w:r>
      <w:proofErr w:type="spellEnd"/>
      <w:r w:rsidRPr="00FA0CF1">
        <w:rPr>
          <w:rFonts w:cs="Arial"/>
          <w:i/>
          <w:iCs/>
          <w:color w:val="000000" w:themeColor="text1"/>
        </w:rPr>
        <w:t xml:space="preserve"> in Ticino</w:t>
      </w:r>
      <w:r w:rsidRPr="00FA0CF1">
        <w:rPr>
          <w:rFonts w:cs="Arial"/>
          <w:color w:val="000000" w:themeColor="text1"/>
        </w:rPr>
        <w:t>”</w:t>
      </w:r>
      <w:r w:rsidRPr="00FA0CF1">
        <w:rPr>
          <w:rFonts w:cs="Arial"/>
          <w:b/>
          <w:bCs/>
          <w:color w:val="000000" w:themeColor="text1"/>
        </w:rPr>
        <w:t xml:space="preserve"> </w:t>
      </w:r>
      <w:r w:rsidRPr="00FA0CF1">
        <w:rPr>
          <w:rFonts w:cs="Arial"/>
          <w:color w:val="000000" w:themeColor="text1"/>
        </w:rPr>
        <w:t>del 6 novembre 2017 (oggetto del messaggio governativo numero 7507), nella quale Galeazzi, Beretta Piccoli e Q</w:t>
      </w:r>
      <w:r>
        <w:rPr>
          <w:rFonts w:cs="Arial"/>
          <w:color w:val="000000" w:themeColor="text1"/>
        </w:rPr>
        <w:t>uadranti chiedevano da un lato «</w:t>
      </w:r>
      <w:r w:rsidRPr="00FA0CF1">
        <w:rPr>
          <w:rFonts w:cs="Arial"/>
          <w:i/>
          <w:iCs/>
          <w:color w:val="000000" w:themeColor="text1"/>
        </w:rPr>
        <w:t>di analizzare e monitorare sistematicamente lo sviluppo di questi fenomeni (online e non), per quanto attiene alle svariate problematiche connesse</w:t>
      </w:r>
      <w:r>
        <w:rPr>
          <w:rFonts w:cs="Arial"/>
          <w:i/>
          <w:iCs/>
          <w:color w:val="000000" w:themeColor="text1"/>
        </w:rPr>
        <w:t>»</w:t>
      </w:r>
      <w:r>
        <w:rPr>
          <w:rFonts w:cs="Arial"/>
          <w:color w:val="000000" w:themeColor="text1"/>
        </w:rPr>
        <w:t>, e dall’altro di «</w:t>
      </w:r>
      <w:r w:rsidRPr="00FA0CF1">
        <w:rPr>
          <w:rFonts w:cs="Arial"/>
          <w:i/>
          <w:iCs/>
          <w:color w:val="000000" w:themeColor="text1"/>
        </w:rPr>
        <w:t xml:space="preserve">adottare una regolamentazione, aggiornando o ampliando leggi e/o normative </w:t>
      </w:r>
      <w:r>
        <w:rPr>
          <w:rFonts w:cs="Arial"/>
          <w:i/>
          <w:iCs/>
          <w:color w:val="000000" w:themeColor="text1"/>
        </w:rPr>
        <w:t xml:space="preserve">già </w:t>
      </w:r>
      <w:r w:rsidRPr="00FA0CF1">
        <w:rPr>
          <w:rFonts w:cs="Arial"/>
          <w:i/>
          <w:iCs/>
          <w:color w:val="000000" w:themeColor="text1"/>
        </w:rPr>
        <w:t xml:space="preserve">in vigore o creandone delle nuove, </w:t>
      </w:r>
      <w:r>
        <w:rPr>
          <w:rFonts w:cs="Arial"/>
          <w:i/>
          <w:iCs/>
          <w:color w:val="000000" w:themeColor="text1"/>
        </w:rPr>
        <w:t>affinché</w:t>
      </w:r>
      <w:r w:rsidRPr="00FA0CF1">
        <w:rPr>
          <w:rFonts w:cs="Arial"/>
          <w:i/>
          <w:iCs/>
          <w:color w:val="000000" w:themeColor="text1"/>
        </w:rPr>
        <w:t xml:space="preserve"> si tutelino i vari settori toccati</w:t>
      </w:r>
      <w:r>
        <w:rPr>
          <w:rFonts w:cs="Arial"/>
          <w:i/>
          <w:iCs/>
          <w:color w:val="000000" w:themeColor="text1"/>
        </w:rPr>
        <w:t xml:space="preserve"> da queste nuove realtà socio-</w:t>
      </w:r>
      <w:r w:rsidRPr="00FA0CF1">
        <w:rPr>
          <w:rFonts w:cs="Arial"/>
          <w:i/>
          <w:iCs/>
          <w:color w:val="000000" w:themeColor="text1"/>
        </w:rPr>
        <w:t>economich</w:t>
      </w:r>
      <w:r>
        <w:rPr>
          <w:rFonts w:cs="Arial"/>
          <w:i/>
          <w:iCs/>
          <w:color w:val="000000" w:themeColor="text1"/>
        </w:rPr>
        <w:t>e»</w:t>
      </w:r>
      <w:r w:rsidRPr="00FA0CF1">
        <w:rPr>
          <w:rFonts w:cs="Arial"/>
          <w:color w:val="000000" w:themeColor="text1"/>
        </w:rPr>
        <w:t xml:space="preserve">. </w:t>
      </w:r>
    </w:p>
    <w:p w:rsidR="00FC28CC" w:rsidRPr="00FA0CF1" w:rsidRDefault="00FC28CC" w:rsidP="005B19BB">
      <w:pPr>
        <w:rPr>
          <w:rFonts w:cs="Arial"/>
          <w:color w:val="000000" w:themeColor="text1"/>
        </w:rPr>
      </w:pPr>
    </w:p>
    <w:p w:rsidR="005B19BB" w:rsidRPr="00FA0CF1" w:rsidRDefault="005B19BB" w:rsidP="005B19BB">
      <w:pPr>
        <w:rPr>
          <w:rFonts w:cs="Arial"/>
          <w:b/>
          <w:bCs/>
          <w:color w:val="000000" w:themeColor="text1"/>
        </w:rPr>
      </w:pPr>
      <w:r w:rsidRPr="00FA0CF1">
        <w:rPr>
          <w:rFonts w:cs="Arial"/>
          <w:b/>
          <w:bCs/>
          <w:color w:val="000000" w:themeColor="text1"/>
        </w:rPr>
        <w:t xml:space="preserve">Evadendo le due mozioni e approvando la base legale annessa a questo rapporto la Commissione economia e lavoro auspica anche che, come richiesto dai </w:t>
      </w:r>
      <w:proofErr w:type="spellStart"/>
      <w:r w:rsidRPr="00FA0CF1">
        <w:rPr>
          <w:rFonts w:cs="Arial"/>
          <w:b/>
          <w:bCs/>
          <w:color w:val="000000" w:themeColor="text1"/>
        </w:rPr>
        <w:t>mozionanti</w:t>
      </w:r>
      <w:proofErr w:type="spellEnd"/>
      <w:r w:rsidRPr="00FA0CF1">
        <w:rPr>
          <w:rFonts w:cs="Arial"/>
          <w:b/>
          <w:bCs/>
          <w:color w:val="000000" w:themeColor="text1"/>
        </w:rPr>
        <w:t xml:space="preserve">, vengano effettuati i necessari controlli a livello di polizia e a livello di dichiarazione fiscale, in quanto – come ben spiegato nel messaggio </w:t>
      </w:r>
      <w:r w:rsidR="00FC28CC">
        <w:rPr>
          <w:rFonts w:cs="Arial"/>
          <w:b/>
          <w:bCs/>
          <w:color w:val="000000" w:themeColor="text1"/>
        </w:rPr>
        <w:t xml:space="preserve">n. </w:t>
      </w:r>
      <w:r w:rsidRPr="00FA0CF1">
        <w:rPr>
          <w:rFonts w:cs="Arial"/>
          <w:b/>
          <w:bCs/>
          <w:color w:val="000000" w:themeColor="text1"/>
        </w:rPr>
        <w:t xml:space="preserve">7507, al quale si rinvia – </w:t>
      </w:r>
      <w:r w:rsidRPr="00FA0CF1">
        <w:rPr>
          <w:rFonts w:cs="Arial"/>
          <w:b/>
          <w:bCs/>
        </w:rPr>
        <w:t xml:space="preserve">la </w:t>
      </w:r>
      <w:r w:rsidRPr="00FA0CF1">
        <w:rPr>
          <w:rFonts w:cs="Arial"/>
          <w:b/>
          <w:bCs/>
          <w:iCs/>
        </w:rPr>
        <w:t>locazione di alloggi di vacanza attraverso canali o piattaforme online</w:t>
      </w:r>
      <w:r w:rsidRPr="00FA0CF1">
        <w:rPr>
          <w:rFonts w:cs="Arial"/>
          <w:b/>
          <w:bCs/>
          <w:i/>
        </w:rPr>
        <w:t xml:space="preserve"> </w:t>
      </w:r>
      <w:r w:rsidRPr="00FA0CF1">
        <w:rPr>
          <w:rFonts w:cs="Arial"/>
          <w:b/>
          <w:bCs/>
        </w:rPr>
        <w:t xml:space="preserve">può toccare diversi soggetti fiscali e tipologie di reddito a seconda delle circostanze. In questo senso le persone, al momento della ricezione del numero identificativo, andranno debitamente informate. </w:t>
      </w:r>
    </w:p>
    <w:p w:rsidR="00452BAB" w:rsidRDefault="00452BAB" w:rsidP="005B19BB">
      <w:pPr>
        <w:pStyle w:val="NormaleWeb"/>
        <w:spacing w:before="0" w:beforeAutospacing="0" w:after="0" w:afterAutospacing="0"/>
        <w:jc w:val="both"/>
        <w:rPr>
          <w:rFonts w:ascii="Arial" w:hAnsi="Arial" w:cs="Arial"/>
          <w:bCs/>
          <w:color w:val="000000" w:themeColor="text1"/>
        </w:rPr>
      </w:pPr>
    </w:p>
    <w:p w:rsidR="005B19BB" w:rsidRPr="00452BAB" w:rsidRDefault="005B19BB" w:rsidP="00452BAB">
      <w:pPr>
        <w:pStyle w:val="NormaleWeb"/>
        <w:tabs>
          <w:tab w:val="left" w:pos="567"/>
        </w:tabs>
        <w:spacing w:before="0" w:beforeAutospacing="0" w:after="120" w:afterAutospacing="0"/>
        <w:jc w:val="both"/>
        <w:rPr>
          <w:rFonts w:ascii="Arial" w:hAnsi="Arial" w:cs="Arial"/>
          <w:b/>
          <w:bCs/>
          <w:color w:val="000000" w:themeColor="text1"/>
        </w:rPr>
      </w:pPr>
      <w:r w:rsidRPr="00452BAB">
        <w:rPr>
          <w:rFonts w:ascii="Arial" w:hAnsi="Arial" w:cs="Arial"/>
          <w:b/>
          <w:bCs/>
          <w:color w:val="000000" w:themeColor="text1"/>
        </w:rPr>
        <w:lastRenderedPageBreak/>
        <w:t xml:space="preserve">4. </w:t>
      </w:r>
      <w:r w:rsidR="00452BAB">
        <w:rPr>
          <w:rFonts w:ascii="Arial" w:hAnsi="Arial" w:cs="Arial"/>
          <w:b/>
          <w:bCs/>
          <w:color w:val="000000" w:themeColor="text1"/>
        </w:rPr>
        <w:tab/>
      </w:r>
      <w:r w:rsidRPr="00452BAB">
        <w:rPr>
          <w:rFonts w:ascii="Arial" w:hAnsi="Arial" w:cs="Arial"/>
          <w:b/>
          <w:bCs/>
          <w:color w:val="000000" w:themeColor="text1"/>
        </w:rPr>
        <w:t>CONCLUSIONI</w:t>
      </w:r>
    </w:p>
    <w:p w:rsidR="005B19BB" w:rsidRPr="00FA0CF1" w:rsidRDefault="005B19BB" w:rsidP="005B19BB">
      <w:pPr>
        <w:rPr>
          <w:rFonts w:cs="Arial"/>
        </w:rPr>
      </w:pPr>
      <w:r w:rsidRPr="00FA0CF1">
        <w:rPr>
          <w:rFonts w:cs="Arial"/>
          <w:color w:val="000000" w:themeColor="text1"/>
        </w:rPr>
        <w:t xml:space="preserve">La Commissione economia e lavoro – sulla base di quanto precede –  invita il Gran Consiglio a </w:t>
      </w:r>
      <w:r w:rsidRPr="00FA0CF1">
        <w:rPr>
          <w:rFonts w:cs="Arial"/>
        </w:rPr>
        <w:t xml:space="preserve">voler approvare le modifiche di legge proposte nei disegni di legge allegati e di conseguenza ritenere evase le mozioni citate. </w:t>
      </w:r>
    </w:p>
    <w:p w:rsidR="005B19BB" w:rsidRPr="00FA0CF1" w:rsidRDefault="005B19BB" w:rsidP="005B19BB">
      <w:pPr>
        <w:rPr>
          <w:rFonts w:cs="Arial"/>
          <w:color w:val="000000" w:themeColor="text1"/>
        </w:rPr>
      </w:pPr>
    </w:p>
    <w:p w:rsidR="005B19BB" w:rsidRDefault="005B19BB" w:rsidP="005B19BB">
      <w:pPr>
        <w:rPr>
          <w:rFonts w:cs="Arial"/>
          <w:color w:val="000000" w:themeColor="text1"/>
        </w:rPr>
      </w:pPr>
    </w:p>
    <w:p w:rsidR="00452BAB" w:rsidRDefault="00452BAB" w:rsidP="005B19BB">
      <w:pPr>
        <w:rPr>
          <w:rFonts w:cs="Arial"/>
          <w:color w:val="000000" w:themeColor="text1"/>
        </w:rPr>
      </w:pPr>
    </w:p>
    <w:p w:rsidR="005B19BB" w:rsidRPr="00FA0CF1" w:rsidRDefault="005B19BB" w:rsidP="00452BAB">
      <w:pPr>
        <w:spacing w:after="120"/>
        <w:rPr>
          <w:rFonts w:cs="Arial"/>
          <w:color w:val="000000" w:themeColor="text1"/>
        </w:rPr>
      </w:pPr>
      <w:r w:rsidRPr="00FA0CF1">
        <w:rPr>
          <w:rFonts w:cs="Arial"/>
          <w:color w:val="000000" w:themeColor="text1"/>
        </w:rPr>
        <w:t>Per la Commissione economia e lavoro:</w:t>
      </w:r>
    </w:p>
    <w:p w:rsidR="005B19BB" w:rsidRPr="00FA0CF1" w:rsidRDefault="005B19BB" w:rsidP="005B19BB">
      <w:pPr>
        <w:rPr>
          <w:rFonts w:cs="Arial"/>
          <w:color w:val="000000" w:themeColor="text1"/>
        </w:rPr>
      </w:pPr>
      <w:r>
        <w:rPr>
          <w:rFonts w:cs="Arial"/>
          <w:color w:val="000000" w:themeColor="text1"/>
        </w:rPr>
        <w:t>Nicola Pini, relatore</w:t>
      </w:r>
      <w:r>
        <w:rPr>
          <w:rFonts w:cs="Arial"/>
          <w:color w:val="000000" w:themeColor="text1"/>
        </w:rPr>
        <w:tab/>
      </w:r>
    </w:p>
    <w:p w:rsidR="00452BAB" w:rsidRDefault="00452BAB" w:rsidP="005B19BB">
      <w:pPr>
        <w:rPr>
          <w:rFonts w:cs="Arial"/>
          <w:color w:val="000000" w:themeColor="text1"/>
        </w:rPr>
      </w:pPr>
      <w:r>
        <w:rPr>
          <w:rFonts w:cs="Arial"/>
          <w:color w:val="000000" w:themeColor="text1"/>
        </w:rPr>
        <w:t xml:space="preserve">Ay - Balli - </w:t>
      </w:r>
      <w:r w:rsidRPr="00FA0CF1">
        <w:rPr>
          <w:rFonts w:cs="Arial"/>
          <w:color w:val="000000" w:themeColor="text1"/>
        </w:rPr>
        <w:t xml:space="preserve">Bignasca </w:t>
      </w:r>
      <w:r>
        <w:rPr>
          <w:rFonts w:cs="Arial"/>
          <w:color w:val="000000" w:themeColor="text1"/>
        </w:rPr>
        <w:t>-</w:t>
      </w:r>
      <w:r w:rsidR="000D43CB">
        <w:rPr>
          <w:rFonts w:cs="Arial"/>
          <w:color w:val="000000" w:themeColor="text1"/>
        </w:rPr>
        <w:t xml:space="preserve"> </w:t>
      </w:r>
      <w:r w:rsidRPr="00FA0CF1">
        <w:rPr>
          <w:rFonts w:cs="Arial"/>
          <w:color w:val="000000" w:themeColor="text1"/>
        </w:rPr>
        <w:t xml:space="preserve">Censi </w:t>
      </w:r>
      <w:r>
        <w:rPr>
          <w:rFonts w:cs="Arial"/>
          <w:color w:val="000000" w:themeColor="text1"/>
        </w:rPr>
        <w:t xml:space="preserve">- </w:t>
      </w:r>
      <w:r w:rsidRPr="00FA0CF1">
        <w:rPr>
          <w:rFonts w:cs="Arial"/>
          <w:color w:val="000000" w:themeColor="text1"/>
        </w:rPr>
        <w:t xml:space="preserve">Dadò </w:t>
      </w:r>
      <w:r>
        <w:rPr>
          <w:rFonts w:cs="Arial"/>
          <w:color w:val="000000" w:themeColor="text1"/>
        </w:rPr>
        <w:t>(con riserva) -</w:t>
      </w:r>
    </w:p>
    <w:p w:rsidR="00452BAB" w:rsidRDefault="00452BAB" w:rsidP="005B19BB">
      <w:pPr>
        <w:rPr>
          <w:rFonts w:cs="Arial"/>
          <w:color w:val="000000" w:themeColor="text1"/>
        </w:rPr>
      </w:pPr>
      <w:r w:rsidRPr="00FA0CF1">
        <w:rPr>
          <w:rFonts w:cs="Arial"/>
          <w:color w:val="000000" w:themeColor="text1"/>
        </w:rPr>
        <w:t>Garbani</w:t>
      </w:r>
      <w:r>
        <w:rPr>
          <w:rFonts w:cs="Arial"/>
          <w:color w:val="000000" w:themeColor="text1"/>
        </w:rPr>
        <w:t xml:space="preserve"> Nerini</w:t>
      </w:r>
      <w:r w:rsidRPr="00FA0CF1">
        <w:rPr>
          <w:rFonts w:cs="Arial"/>
          <w:color w:val="000000" w:themeColor="text1"/>
        </w:rPr>
        <w:t xml:space="preserve"> </w:t>
      </w:r>
      <w:r>
        <w:rPr>
          <w:rFonts w:cs="Arial"/>
          <w:color w:val="000000" w:themeColor="text1"/>
        </w:rPr>
        <w:t xml:space="preserve">- </w:t>
      </w:r>
      <w:r w:rsidRPr="00FA0CF1">
        <w:rPr>
          <w:rFonts w:cs="Arial"/>
          <w:color w:val="000000" w:themeColor="text1"/>
        </w:rPr>
        <w:t xml:space="preserve">Isabella </w:t>
      </w:r>
      <w:r>
        <w:rPr>
          <w:rFonts w:cs="Arial"/>
          <w:color w:val="000000" w:themeColor="text1"/>
        </w:rPr>
        <w:t xml:space="preserve">(con riserva) - Maderni </w:t>
      </w:r>
    </w:p>
    <w:p w:rsidR="00452BAB" w:rsidRDefault="00452BAB" w:rsidP="005B19BB">
      <w:pPr>
        <w:rPr>
          <w:rFonts w:cs="Arial"/>
          <w:color w:val="000000" w:themeColor="text1"/>
        </w:rPr>
      </w:pPr>
      <w:r w:rsidRPr="00FA0CF1">
        <w:rPr>
          <w:rFonts w:cs="Arial"/>
          <w:color w:val="000000" w:themeColor="text1"/>
        </w:rPr>
        <w:t xml:space="preserve">Minotti </w:t>
      </w:r>
      <w:r>
        <w:rPr>
          <w:rFonts w:cs="Arial"/>
          <w:color w:val="000000" w:themeColor="text1"/>
        </w:rPr>
        <w:t xml:space="preserve">- Morisoli - Noi (con riserva) - </w:t>
      </w:r>
      <w:r w:rsidRPr="00FA0CF1">
        <w:rPr>
          <w:rFonts w:cs="Arial"/>
          <w:color w:val="000000" w:themeColor="text1"/>
        </w:rPr>
        <w:t>Ortelli P.</w:t>
      </w:r>
      <w:r>
        <w:rPr>
          <w:rFonts w:cs="Arial"/>
          <w:color w:val="000000" w:themeColor="text1"/>
        </w:rPr>
        <w:t xml:space="preserve"> -</w:t>
      </w:r>
    </w:p>
    <w:p w:rsidR="00452BAB" w:rsidRDefault="00452BAB" w:rsidP="005B19BB">
      <w:pPr>
        <w:rPr>
          <w:rFonts w:cs="Arial"/>
          <w:color w:val="000000" w:themeColor="text1"/>
        </w:rPr>
      </w:pPr>
      <w:r w:rsidRPr="00FA0CF1">
        <w:rPr>
          <w:rFonts w:cs="Arial"/>
          <w:color w:val="000000" w:themeColor="text1"/>
        </w:rPr>
        <w:t xml:space="preserve">Passalia </w:t>
      </w:r>
      <w:r>
        <w:rPr>
          <w:rFonts w:cs="Arial"/>
          <w:color w:val="000000" w:themeColor="text1"/>
        </w:rPr>
        <w:t xml:space="preserve">(con riserva) - </w:t>
      </w:r>
      <w:r w:rsidRPr="00FA0CF1">
        <w:rPr>
          <w:rFonts w:cs="Arial"/>
          <w:color w:val="000000" w:themeColor="text1"/>
        </w:rPr>
        <w:t xml:space="preserve">Passardi </w:t>
      </w:r>
      <w:r>
        <w:rPr>
          <w:rFonts w:cs="Arial"/>
          <w:color w:val="000000" w:themeColor="text1"/>
        </w:rPr>
        <w:t>-</w:t>
      </w:r>
      <w:r w:rsidR="000D43CB">
        <w:rPr>
          <w:rFonts w:cs="Arial"/>
          <w:color w:val="000000" w:themeColor="text1"/>
        </w:rPr>
        <w:t xml:space="preserve"> </w:t>
      </w:r>
      <w:r w:rsidRPr="00FA0CF1">
        <w:rPr>
          <w:rFonts w:cs="Arial"/>
          <w:color w:val="000000" w:themeColor="text1"/>
        </w:rPr>
        <w:t xml:space="preserve">Sirica </w:t>
      </w:r>
      <w:r>
        <w:rPr>
          <w:rFonts w:cs="Arial"/>
          <w:color w:val="000000" w:themeColor="text1"/>
        </w:rPr>
        <w:t xml:space="preserve">- </w:t>
      </w:r>
      <w:r w:rsidRPr="00FA0CF1">
        <w:rPr>
          <w:rFonts w:cs="Arial"/>
          <w:color w:val="000000" w:themeColor="text1"/>
        </w:rPr>
        <w:t xml:space="preserve">Speziali </w:t>
      </w:r>
    </w:p>
    <w:p w:rsidR="005B19BB" w:rsidRPr="00FA0CF1" w:rsidRDefault="005B19BB" w:rsidP="005B19BB">
      <w:pPr>
        <w:pageBreakBefore/>
        <w:tabs>
          <w:tab w:val="left" w:pos="10080"/>
        </w:tabs>
        <w:suppressAutoHyphens/>
        <w:rPr>
          <w:rFonts w:cs="Arial"/>
          <w:lang w:eastAsia="zh-CN"/>
        </w:rPr>
      </w:pPr>
      <w:r w:rsidRPr="00FA0CF1">
        <w:rPr>
          <w:rFonts w:cs="Arial"/>
          <w:lang w:eastAsia="zh-CN"/>
        </w:rPr>
        <w:lastRenderedPageBreak/>
        <w:t>Disegno di</w:t>
      </w:r>
    </w:p>
    <w:p w:rsidR="005B19BB" w:rsidRPr="00FA0CF1" w:rsidRDefault="005B19BB" w:rsidP="005B19BB">
      <w:pPr>
        <w:rPr>
          <w:rFonts w:cs="Arial"/>
        </w:rPr>
      </w:pPr>
    </w:p>
    <w:p w:rsidR="005B19BB" w:rsidRPr="00FA0CF1" w:rsidRDefault="00401E21" w:rsidP="00401E21">
      <w:pPr>
        <w:outlineLvl w:val="0"/>
        <w:rPr>
          <w:rFonts w:cs="Arial"/>
          <w:b/>
        </w:rPr>
      </w:pPr>
      <w:bookmarkStart w:id="1" w:name="_Toc2332871"/>
      <w:r w:rsidRPr="00FA0CF1">
        <w:rPr>
          <w:rFonts w:cs="Arial"/>
          <w:b/>
        </w:rPr>
        <w:t>LEGGE</w:t>
      </w:r>
    </w:p>
    <w:p w:rsidR="005B19BB" w:rsidRPr="00FA0CF1" w:rsidRDefault="005B19BB" w:rsidP="005B19BB">
      <w:pPr>
        <w:spacing w:before="60"/>
        <w:outlineLvl w:val="0"/>
        <w:rPr>
          <w:rFonts w:cs="Arial"/>
          <w:b/>
        </w:rPr>
      </w:pPr>
      <w:r w:rsidRPr="00FA0CF1">
        <w:rPr>
          <w:rFonts w:cs="Arial"/>
          <w:b/>
        </w:rPr>
        <w:t>sul turismo del 25 giugno 2014 (</w:t>
      </w:r>
      <w:proofErr w:type="spellStart"/>
      <w:r w:rsidRPr="00FA0CF1">
        <w:rPr>
          <w:rFonts w:cs="Arial"/>
          <w:b/>
        </w:rPr>
        <w:t>LTur</w:t>
      </w:r>
      <w:proofErr w:type="spellEnd"/>
      <w:r w:rsidRPr="00FA0CF1">
        <w:rPr>
          <w:rFonts w:cs="Arial"/>
          <w:b/>
        </w:rPr>
        <w:t>)</w:t>
      </w:r>
      <w:bookmarkEnd w:id="1"/>
      <w:r w:rsidR="00401E21">
        <w:rPr>
          <w:rFonts w:cs="Arial"/>
          <w:b/>
        </w:rPr>
        <w:t>; modifica</w:t>
      </w:r>
    </w:p>
    <w:p w:rsidR="005B19BB" w:rsidRDefault="005B19BB" w:rsidP="005B19BB">
      <w:pPr>
        <w:rPr>
          <w:rFonts w:cs="Arial"/>
          <w:bCs/>
        </w:rPr>
      </w:pPr>
    </w:p>
    <w:p w:rsidR="00401E21" w:rsidRPr="00FA0CF1" w:rsidRDefault="00401E21" w:rsidP="005B19BB">
      <w:pPr>
        <w:rPr>
          <w:rFonts w:cs="Arial"/>
          <w:bCs/>
        </w:rPr>
      </w:pPr>
    </w:p>
    <w:p w:rsidR="005B19BB" w:rsidRPr="00FA0CF1" w:rsidRDefault="005B19BB" w:rsidP="005B19BB">
      <w:pPr>
        <w:rPr>
          <w:rFonts w:cs="Arial"/>
          <w:bCs/>
        </w:rPr>
      </w:pPr>
      <w:r w:rsidRPr="00FA0CF1">
        <w:rPr>
          <w:rFonts w:cs="Arial"/>
          <w:bCs/>
        </w:rPr>
        <w:t>IL GRAN CONSIGLIO</w:t>
      </w:r>
    </w:p>
    <w:p w:rsidR="005B19BB" w:rsidRPr="00FA0CF1" w:rsidRDefault="005B19BB" w:rsidP="005B19BB">
      <w:pPr>
        <w:rPr>
          <w:rFonts w:cs="Arial"/>
        </w:rPr>
      </w:pPr>
      <w:r w:rsidRPr="00FA0CF1">
        <w:rPr>
          <w:rFonts w:cs="Arial"/>
          <w:bCs/>
        </w:rPr>
        <w:t>DELLA REPUBBLICA E CANTONE TICINO</w:t>
      </w:r>
    </w:p>
    <w:p w:rsidR="00401E21" w:rsidRPr="00FA0CF1" w:rsidRDefault="00401E21" w:rsidP="005B19BB">
      <w:pPr>
        <w:rPr>
          <w:rFonts w:cs="Arial"/>
        </w:rPr>
      </w:pPr>
    </w:p>
    <w:p w:rsidR="00452BAB" w:rsidRDefault="00401E21" w:rsidP="005B19BB">
      <w:pPr>
        <w:rPr>
          <w:rFonts w:cs="Arial"/>
        </w:rPr>
      </w:pPr>
      <w:r>
        <w:rPr>
          <w:rFonts w:cs="Arial"/>
        </w:rPr>
        <w:t xml:space="preserve">- </w:t>
      </w:r>
      <w:r w:rsidR="005B19BB" w:rsidRPr="00FA0CF1">
        <w:rPr>
          <w:rFonts w:cs="Arial"/>
        </w:rPr>
        <w:t>visto il messaggio 17 aprile 2019 n. 7656 del Consiglio di Stato</w:t>
      </w:r>
      <w:r w:rsidR="00452BAB">
        <w:rPr>
          <w:rFonts w:cs="Arial"/>
        </w:rPr>
        <w:t>;</w:t>
      </w:r>
    </w:p>
    <w:p w:rsidR="005B19BB" w:rsidRPr="00FA0CF1" w:rsidRDefault="00401E21" w:rsidP="005B19BB">
      <w:pPr>
        <w:rPr>
          <w:rFonts w:cs="Arial"/>
        </w:rPr>
      </w:pPr>
      <w:r>
        <w:rPr>
          <w:rFonts w:cs="Arial"/>
        </w:rPr>
        <w:t xml:space="preserve">- </w:t>
      </w:r>
      <w:r w:rsidR="00452BAB">
        <w:rPr>
          <w:rFonts w:cs="Arial"/>
        </w:rPr>
        <w:t xml:space="preserve">visto il rapporto </w:t>
      </w:r>
      <w:r>
        <w:rPr>
          <w:rFonts w:cs="Arial"/>
        </w:rPr>
        <w:t>2 marzo 2021 n. 7656R della Commissione economia e lavoro</w:t>
      </w:r>
      <w:r w:rsidR="005B19BB" w:rsidRPr="00FA0CF1">
        <w:rPr>
          <w:rFonts w:cs="Arial"/>
        </w:rPr>
        <w:t xml:space="preserve">, </w:t>
      </w:r>
    </w:p>
    <w:p w:rsidR="005B19BB" w:rsidRDefault="005B19BB" w:rsidP="005B19BB">
      <w:pPr>
        <w:rPr>
          <w:rFonts w:cs="Arial"/>
        </w:rPr>
      </w:pPr>
    </w:p>
    <w:p w:rsidR="00401E21" w:rsidRPr="00FA0CF1" w:rsidRDefault="00401E21" w:rsidP="005B19BB">
      <w:pPr>
        <w:rPr>
          <w:rFonts w:cs="Arial"/>
        </w:rPr>
      </w:pPr>
    </w:p>
    <w:p w:rsidR="005B19BB" w:rsidRPr="00401E21" w:rsidRDefault="005B19BB" w:rsidP="005B19BB">
      <w:pPr>
        <w:rPr>
          <w:rFonts w:cs="Arial"/>
          <w:b/>
          <w:bCs/>
          <w:spacing w:val="20"/>
        </w:rPr>
      </w:pPr>
      <w:r w:rsidRPr="00401E21">
        <w:rPr>
          <w:rFonts w:cs="Arial"/>
          <w:b/>
          <w:spacing w:val="20"/>
        </w:rPr>
        <w:t>d</w:t>
      </w:r>
      <w:r w:rsidR="00401E21" w:rsidRPr="00401E21">
        <w:rPr>
          <w:rFonts w:cs="Arial"/>
          <w:b/>
          <w:spacing w:val="20"/>
        </w:rPr>
        <w:t xml:space="preserve"> </w:t>
      </w:r>
      <w:r w:rsidRPr="00401E21">
        <w:rPr>
          <w:rFonts w:cs="Arial"/>
          <w:b/>
          <w:spacing w:val="20"/>
        </w:rPr>
        <w:t>e</w:t>
      </w:r>
      <w:r w:rsidR="00401E21" w:rsidRPr="00401E21">
        <w:rPr>
          <w:rFonts w:cs="Arial"/>
          <w:b/>
          <w:spacing w:val="20"/>
        </w:rPr>
        <w:t xml:space="preserve"> </w:t>
      </w:r>
      <w:r w:rsidRPr="00401E21">
        <w:rPr>
          <w:rFonts w:cs="Arial"/>
          <w:b/>
          <w:spacing w:val="20"/>
        </w:rPr>
        <w:t>c</w:t>
      </w:r>
      <w:r w:rsidR="00401E21" w:rsidRPr="00401E21">
        <w:rPr>
          <w:rFonts w:cs="Arial"/>
          <w:b/>
          <w:spacing w:val="20"/>
        </w:rPr>
        <w:t xml:space="preserve"> </w:t>
      </w:r>
      <w:r w:rsidRPr="00401E21">
        <w:rPr>
          <w:rFonts w:cs="Arial"/>
          <w:b/>
          <w:spacing w:val="20"/>
        </w:rPr>
        <w:t>r</w:t>
      </w:r>
      <w:r w:rsidR="00401E21" w:rsidRPr="00401E21">
        <w:rPr>
          <w:rFonts w:cs="Arial"/>
          <w:b/>
          <w:spacing w:val="20"/>
        </w:rPr>
        <w:t xml:space="preserve"> </w:t>
      </w:r>
      <w:r w:rsidRPr="00401E21">
        <w:rPr>
          <w:rFonts w:cs="Arial"/>
          <w:b/>
          <w:spacing w:val="20"/>
        </w:rPr>
        <w:t>e</w:t>
      </w:r>
      <w:r w:rsidR="00401E21" w:rsidRPr="00401E21">
        <w:rPr>
          <w:rFonts w:cs="Arial"/>
          <w:b/>
          <w:spacing w:val="20"/>
        </w:rPr>
        <w:t xml:space="preserve"> </w:t>
      </w:r>
      <w:r w:rsidRPr="00401E21">
        <w:rPr>
          <w:rFonts w:cs="Arial"/>
          <w:b/>
          <w:spacing w:val="20"/>
        </w:rPr>
        <w:t>t</w:t>
      </w:r>
      <w:r w:rsidR="00401E21" w:rsidRPr="00401E21">
        <w:rPr>
          <w:rFonts w:cs="Arial"/>
          <w:b/>
          <w:spacing w:val="20"/>
        </w:rPr>
        <w:t xml:space="preserve"> </w:t>
      </w:r>
      <w:proofErr w:type="gramStart"/>
      <w:r w:rsidRPr="00401E21">
        <w:rPr>
          <w:rFonts w:cs="Arial"/>
          <w:b/>
          <w:spacing w:val="20"/>
        </w:rPr>
        <w:t>a</w:t>
      </w:r>
      <w:r w:rsidR="00401E21" w:rsidRPr="00401E21">
        <w:rPr>
          <w:rFonts w:cs="Arial"/>
          <w:b/>
          <w:spacing w:val="20"/>
        </w:rPr>
        <w:t xml:space="preserve"> </w:t>
      </w:r>
      <w:r w:rsidRPr="00401E21">
        <w:rPr>
          <w:rFonts w:cs="Arial"/>
          <w:b/>
          <w:spacing w:val="20"/>
        </w:rPr>
        <w:t>:</w:t>
      </w:r>
      <w:proofErr w:type="gramEnd"/>
    </w:p>
    <w:p w:rsidR="005B19BB" w:rsidRDefault="005B19BB" w:rsidP="005B19BB">
      <w:pPr>
        <w:rPr>
          <w:rFonts w:cs="Arial"/>
          <w:bCs/>
        </w:rPr>
      </w:pPr>
    </w:p>
    <w:p w:rsidR="00401E21" w:rsidRPr="00FA0CF1" w:rsidRDefault="00401E21" w:rsidP="005B19BB">
      <w:pPr>
        <w:rPr>
          <w:rFonts w:cs="Arial"/>
          <w:bCs/>
        </w:rPr>
      </w:pPr>
    </w:p>
    <w:p w:rsidR="005B19BB" w:rsidRPr="00FA0CF1" w:rsidRDefault="005B19BB" w:rsidP="005B19BB">
      <w:pPr>
        <w:rPr>
          <w:rFonts w:cs="Arial"/>
        </w:rPr>
      </w:pPr>
      <w:r w:rsidRPr="00FA0CF1">
        <w:rPr>
          <w:rFonts w:cs="Arial"/>
          <w:b/>
        </w:rPr>
        <w:t>I</w:t>
      </w:r>
    </w:p>
    <w:p w:rsidR="005B19BB" w:rsidRPr="00FA0CF1" w:rsidRDefault="00F22BA7" w:rsidP="005B19BB">
      <w:pPr>
        <w:spacing w:before="120"/>
        <w:rPr>
          <w:rFonts w:cs="Arial"/>
        </w:rPr>
      </w:pPr>
      <w:r>
        <w:rPr>
          <w:rFonts w:cs="Arial"/>
        </w:rPr>
        <w:t>La L</w:t>
      </w:r>
      <w:r w:rsidR="005B19BB" w:rsidRPr="00FA0CF1">
        <w:rPr>
          <w:rFonts w:cs="Arial"/>
        </w:rPr>
        <w:t>egge sul turismo del 25 giugno 2014 (</w:t>
      </w:r>
      <w:proofErr w:type="spellStart"/>
      <w:r w:rsidR="005B19BB" w:rsidRPr="00FA0CF1">
        <w:rPr>
          <w:rFonts w:cs="Arial"/>
        </w:rPr>
        <w:t>LTur</w:t>
      </w:r>
      <w:proofErr w:type="spellEnd"/>
      <w:r w:rsidR="005B19BB" w:rsidRPr="00FA0CF1">
        <w:rPr>
          <w:rFonts w:cs="Arial"/>
        </w:rPr>
        <w:t>) è modificata come segue:</w:t>
      </w:r>
    </w:p>
    <w:p w:rsidR="005B19BB" w:rsidRPr="00FA0CF1" w:rsidRDefault="005B19BB" w:rsidP="005B19BB">
      <w:pPr>
        <w:rPr>
          <w:rFonts w:cs="Arial"/>
          <w:highlight w:val="yellow"/>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5B19BB" w:rsidRPr="00401E21" w:rsidTr="00A0486F">
        <w:tc>
          <w:tcPr>
            <w:tcW w:w="1771" w:type="dxa"/>
          </w:tcPr>
          <w:p w:rsidR="005B19BB" w:rsidRPr="00401E21" w:rsidRDefault="005B19BB" w:rsidP="00A0486F">
            <w:pPr>
              <w:rPr>
                <w:rFonts w:cs="Arial"/>
                <w:sz w:val="22"/>
              </w:rPr>
            </w:pPr>
          </w:p>
        </w:tc>
        <w:tc>
          <w:tcPr>
            <w:tcW w:w="7729" w:type="dxa"/>
          </w:tcPr>
          <w:p w:rsidR="005B19BB" w:rsidRPr="00401E21" w:rsidRDefault="005B19BB" w:rsidP="00401E21">
            <w:pPr>
              <w:rPr>
                <w:rFonts w:cs="Arial"/>
                <w:b/>
                <w:sz w:val="22"/>
              </w:rPr>
            </w:pPr>
            <w:r w:rsidRPr="00401E21">
              <w:rPr>
                <w:rFonts w:cs="Arial"/>
                <w:b/>
                <w:sz w:val="22"/>
              </w:rPr>
              <w:t>Art. 15 cpv. 2 lett. l, m (nuove) e cpv. 3, 4, 5, 6 (nuovi)</w:t>
            </w:r>
          </w:p>
          <w:p w:rsidR="00401E21" w:rsidRPr="00401E21" w:rsidRDefault="00401E21" w:rsidP="00401E21">
            <w:pPr>
              <w:rPr>
                <w:rFonts w:cs="Arial"/>
                <w:sz w:val="22"/>
              </w:rPr>
            </w:pPr>
          </w:p>
          <w:p w:rsidR="005B19BB" w:rsidRPr="00401E21" w:rsidRDefault="005B19BB" w:rsidP="00A0486F">
            <w:pPr>
              <w:spacing w:after="120"/>
              <w:rPr>
                <w:rFonts w:cs="Arial"/>
                <w:sz w:val="22"/>
              </w:rPr>
            </w:pPr>
            <w:r w:rsidRPr="00401E21">
              <w:rPr>
                <w:rFonts w:cs="Arial"/>
                <w:sz w:val="22"/>
                <w:vertAlign w:val="superscript"/>
              </w:rPr>
              <w:t>2</w:t>
            </w:r>
            <w:r w:rsidRPr="00401E21">
              <w:rPr>
                <w:rFonts w:cs="Arial"/>
                <w:sz w:val="22"/>
              </w:rPr>
              <w:t>Essa ha in particolare i seguenti compiti:</w:t>
            </w:r>
          </w:p>
          <w:p w:rsidR="005B19BB" w:rsidRPr="00401E21" w:rsidRDefault="005B19BB" w:rsidP="00A0486F">
            <w:pPr>
              <w:spacing w:after="120"/>
              <w:rPr>
                <w:rFonts w:cs="Arial"/>
                <w:sz w:val="22"/>
              </w:rPr>
            </w:pPr>
            <w:r w:rsidRPr="00401E21">
              <w:rPr>
                <w:rFonts w:cs="Arial"/>
                <w:sz w:val="22"/>
              </w:rPr>
              <w:t>(…)</w:t>
            </w:r>
          </w:p>
          <w:p w:rsidR="005B19BB" w:rsidRPr="00401E21" w:rsidRDefault="005B19BB" w:rsidP="0001002B">
            <w:pPr>
              <w:pStyle w:val="Paragrafoelenco"/>
              <w:numPr>
                <w:ilvl w:val="0"/>
                <w:numId w:val="31"/>
              </w:numPr>
              <w:spacing w:after="60"/>
              <w:ind w:left="357" w:hanging="357"/>
              <w:rPr>
                <w:rFonts w:cs="Arial"/>
                <w:bCs/>
                <w:sz w:val="22"/>
              </w:rPr>
            </w:pPr>
            <w:r w:rsidRPr="00401E21">
              <w:rPr>
                <w:rFonts w:cs="Arial"/>
                <w:bCs/>
                <w:sz w:val="22"/>
              </w:rPr>
              <w:t>concludere accordi con terzi, fintanto che essi siano nell’interesse delle OTR e/o dell’ATT o che si rendano necessari per l’attuazione della presente legge</w:t>
            </w:r>
            <w:r w:rsidR="0001002B">
              <w:rPr>
                <w:rFonts w:cs="Arial"/>
                <w:bCs/>
                <w:sz w:val="22"/>
              </w:rPr>
              <w:t>;</w:t>
            </w:r>
          </w:p>
          <w:p w:rsidR="005B19BB" w:rsidRPr="00401E21" w:rsidRDefault="005B19BB" w:rsidP="00401E21">
            <w:pPr>
              <w:pStyle w:val="Paragrafoelenco"/>
              <w:numPr>
                <w:ilvl w:val="0"/>
                <w:numId w:val="31"/>
              </w:numPr>
              <w:spacing w:after="240"/>
              <w:ind w:left="357" w:hanging="357"/>
              <w:rPr>
                <w:rFonts w:cs="Arial"/>
                <w:bCs/>
                <w:sz w:val="22"/>
              </w:rPr>
            </w:pPr>
            <w:r w:rsidRPr="00401E21">
              <w:rPr>
                <w:rFonts w:cs="Arial"/>
                <w:bCs/>
                <w:sz w:val="22"/>
              </w:rPr>
              <w:t>sviluppare e gestire la piattaforma online per la registrazione e il rilascio di un numero identificativo per i datori di alloggio definiti dall’art. 21 cpv. 4 con lo scopo di avere una panoramica completa degli alloggi messi a disposizione del mercato turistico cantonale.</w:t>
            </w:r>
          </w:p>
          <w:p w:rsidR="005B19BB" w:rsidRPr="00401E21" w:rsidRDefault="005B19BB" w:rsidP="0001002B">
            <w:pPr>
              <w:spacing w:after="240"/>
              <w:ind w:left="1" w:hanging="1"/>
              <w:rPr>
                <w:rFonts w:eastAsia="Arial" w:cs="Arial"/>
                <w:sz w:val="22"/>
              </w:rPr>
            </w:pPr>
            <w:r w:rsidRPr="00401E21">
              <w:rPr>
                <w:rFonts w:eastAsia="Arial" w:cs="Arial"/>
                <w:color w:val="000000"/>
                <w:sz w:val="22"/>
                <w:vertAlign w:val="superscript"/>
              </w:rPr>
              <w:t>3</w:t>
            </w:r>
            <w:r w:rsidRPr="00401E21">
              <w:rPr>
                <w:rFonts w:eastAsia="Arial" w:cs="Arial"/>
                <w:sz w:val="22"/>
              </w:rPr>
              <w:t xml:space="preserve">La piattaforma online dell’ATT di cui al cpv. 2 lett. m centralizza le informazioni ed è in parte alimentata dalla banca dati SEPU (strutture soggette alla </w:t>
            </w:r>
            <w:r w:rsidRPr="00401E21">
              <w:rPr>
                <w:rFonts w:eastAsia="Arial" w:cs="Arial"/>
                <w:bCs/>
                <w:sz w:val="22"/>
              </w:rPr>
              <w:t>legge sugli esercizi alberghieri e sulla ristorazione del 1° giugno 2010</w:t>
            </w:r>
            <w:r w:rsidRPr="00401E21">
              <w:rPr>
                <w:rFonts w:eastAsia="Arial" w:cs="Arial"/>
                <w:sz w:val="22"/>
              </w:rPr>
              <w:t xml:space="preserve">). </w:t>
            </w:r>
          </w:p>
          <w:p w:rsidR="005B19BB" w:rsidRPr="00401E21" w:rsidRDefault="005B19BB" w:rsidP="00A0486F">
            <w:pPr>
              <w:spacing w:after="120"/>
              <w:ind w:right="-2"/>
              <w:rPr>
                <w:rFonts w:eastAsia="Arial" w:cs="Arial"/>
                <w:sz w:val="22"/>
              </w:rPr>
            </w:pPr>
            <w:r w:rsidRPr="00401E21">
              <w:rPr>
                <w:rFonts w:eastAsia="Arial" w:cs="Arial"/>
                <w:color w:val="000000"/>
                <w:sz w:val="22"/>
                <w:vertAlign w:val="superscript"/>
              </w:rPr>
              <w:t>4</w:t>
            </w:r>
            <w:r w:rsidRPr="00401E21">
              <w:rPr>
                <w:rFonts w:eastAsia="Arial" w:cs="Arial"/>
                <w:sz w:val="22"/>
              </w:rPr>
              <w:t>L’organo responsabile autorizza la trasmissione su base regolare dei dati raccolti nella piattaforma online alle seguenti autorità:</w:t>
            </w:r>
          </w:p>
          <w:p w:rsidR="005B19BB" w:rsidRPr="00401E21" w:rsidRDefault="005B19BB" w:rsidP="0001002B">
            <w:pPr>
              <w:tabs>
                <w:tab w:val="left" w:pos="281"/>
              </w:tabs>
              <w:spacing w:after="60"/>
              <w:ind w:left="284" w:hanging="284"/>
              <w:rPr>
                <w:rFonts w:eastAsia="Arial" w:cs="Arial"/>
                <w:sz w:val="22"/>
              </w:rPr>
            </w:pPr>
            <w:r w:rsidRPr="00401E21">
              <w:rPr>
                <w:rFonts w:eastAsia="Arial" w:cs="Arial"/>
                <w:sz w:val="22"/>
              </w:rPr>
              <w:t>-</w:t>
            </w:r>
            <w:r w:rsidRPr="00401E21">
              <w:rPr>
                <w:rFonts w:eastAsia="Arial" w:cs="Arial"/>
                <w:sz w:val="22"/>
              </w:rPr>
              <w:tab/>
              <w:t>Polizia cantonale tramite accesso alla piattaforma online, allo scopo di avere una panoramica completa anche degli alloggi non sottoposti alla Lear;</w:t>
            </w:r>
          </w:p>
          <w:p w:rsidR="005B19BB" w:rsidRPr="00401E21" w:rsidRDefault="005B19BB" w:rsidP="0001002B">
            <w:pPr>
              <w:tabs>
                <w:tab w:val="left" w:pos="281"/>
              </w:tabs>
              <w:spacing w:after="60"/>
              <w:ind w:left="284" w:hanging="284"/>
              <w:rPr>
                <w:rFonts w:eastAsia="Arial" w:cs="Arial"/>
                <w:sz w:val="22"/>
              </w:rPr>
            </w:pPr>
            <w:r w:rsidRPr="00401E21">
              <w:rPr>
                <w:rFonts w:eastAsia="Arial" w:cs="Arial"/>
                <w:sz w:val="22"/>
              </w:rPr>
              <w:t>-</w:t>
            </w:r>
            <w:r w:rsidRPr="00401E21">
              <w:rPr>
                <w:rFonts w:eastAsia="Arial" w:cs="Arial"/>
                <w:sz w:val="22"/>
              </w:rPr>
              <w:tab/>
              <w:t>Comuni ticinesi, allo scopo di confermare l’idoneità delle strutture ricettive da locare a uso turistico sul loro territorio;</w:t>
            </w:r>
          </w:p>
          <w:p w:rsidR="005B19BB" w:rsidRPr="00401E21" w:rsidRDefault="005B19BB" w:rsidP="0001002B">
            <w:pPr>
              <w:tabs>
                <w:tab w:val="left" w:pos="281"/>
              </w:tabs>
              <w:spacing w:after="240"/>
              <w:ind w:left="284" w:hanging="284"/>
              <w:rPr>
                <w:rFonts w:eastAsia="Arial" w:cs="Arial"/>
                <w:sz w:val="22"/>
              </w:rPr>
            </w:pPr>
            <w:r w:rsidRPr="00401E21">
              <w:rPr>
                <w:rFonts w:eastAsia="Arial" w:cs="Arial"/>
                <w:sz w:val="22"/>
              </w:rPr>
              <w:t>-</w:t>
            </w:r>
            <w:r w:rsidR="00401E21">
              <w:rPr>
                <w:rFonts w:eastAsia="Arial" w:cs="Arial"/>
                <w:sz w:val="22"/>
              </w:rPr>
              <w:t xml:space="preserve"> </w:t>
            </w:r>
            <w:r w:rsidR="0001002B">
              <w:rPr>
                <w:rFonts w:eastAsia="Arial" w:cs="Arial"/>
                <w:sz w:val="22"/>
              </w:rPr>
              <w:tab/>
            </w:r>
            <w:r w:rsidRPr="00401E21">
              <w:rPr>
                <w:rFonts w:eastAsia="Arial" w:cs="Arial"/>
                <w:sz w:val="22"/>
              </w:rPr>
              <w:t>OTR,</w:t>
            </w:r>
            <w:r w:rsidR="00401E21" w:rsidRPr="00401E21">
              <w:rPr>
                <w:rFonts w:eastAsia="Arial" w:cs="Arial"/>
                <w:sz w:val="22"/>
              </w:rPr>
              <w:t xml:space="preserve"> </w:t>
            </w:r>
            <w:r w:rsidRPr="00401E21">
              <w:rPr>
                <w:rFonts w:eastAsia="Arial" w:cs="Arial"/>
                <w:sz w:val="22"/>
              </w:rPr>
              <w:t>allo scopo di controllare la regolare notifica dei pernottamenti e del pagamento delle tasse turistiche.</w:t>
            </w:r>
          </w:p>
          <w:p w:rsidR="005B19BB" w:rsidRDefault="005B19BB" w:rsidP="0001002B">
            <w:pPr>
              <w:spacing w:after="240"/>
              <w:rPr>
                <w:rFonts w:cs="Arial"/>
                <w:bCs/>
                <w:sz w:val="22"/>
              </w:rPr>
            </w:pPr>
            <w:r w:rsidRPr="00401E21">
              <w:rPr>
                <w:rFonts w:eastAsia="Arial" w:cs="Arial"/>
                <w:color w:val="000000"/>
                <w:sz w:val="22"/>
                <w:vertAlign w:val="superscript"/>
              </w:rPr>
              <w:t>5</w:t>
            </w:r>
            <w:r w:rsidRPr="00401E21">
              <w:rPr>
                <w:rFonts w:eastAsia="Arial" w:cs="Arial"/>
                <w:sz w:val="22"/>
              </w:rPr>
              <w:t>I dati delle strutture non più attive vengono conservati al massimo 5 anni, riservata la</w:t>
            </w:r>
            <w:r w:rsidRPr="00401E21">
              <w:rPr>
                <w:rFonts w:cs="Arial"/>
                <w:bCs/>
                <w:sz w:val="22"/>
              </w:rPr>
              <w:t xml:space="preserve"> legge sull’archiviazione e sugli archivi pubblici del 15 marzo 2011 (</w:t>
            </w:r>
            <w:proofErr w:type="spellStart"/>
            <w:r w:rsidRPr="00401E21">
              <w:rPr>
                <w:rFonts w:cs="Arial"/>
                <w:bCs/>
                <w:sz w:val="22"/>
              </w:rPr>
              <w:t>LArch</w:t>
            </w:r>
            <w:proofErr w:type="spellEnd"/>
            <w:r w:rsidRPr="00401E21">
              <w:rPr>
                <w:rFonts w:cs="Arial"/>
                <w:bCs/>
                <w:sz w:val="22"/>
              </w:rPr>
              <w:t>).</w:t>
            </w:r>
          </w:p>
          <w:p w:rsidR="0001002B" w:rsidRDefault="0001002B" w:rsidP="0001002B">
            <w:pPr>
              <w:spacing w:after="240"/>
              <w:rPr>
                <w:rFonts w:cs="Arial"/>
                <w:bCs/>
                <w:sz w:val="22"/>
              </w:rPr>
            </w:pPr>
          </w:p>
          <w:p w:rsidR="0001002B" w:rsidRDefault="0001002B" w:rsidP="0001002B">
            <w:pPr>
              <w:spacing w:after="240"/>
              <w:rPr>
                <w:rFonts w:cs="Arial"/>
                <w:bCs/>
                <w:sz w:val="22"/>
              </w:rPr>
            </w:pPr>
          </w:p>
          <w:p w:rsidR="005B19BB" w:rsidRPr="00401E21" w:rsidRDefault="005B19BB" w:rsidP="0001002B">
            <w:pPr>
              <w:spacing w:after="120"/>
              <w:rPr>
                <w:rFonts w:cs="Arial"/>
                <w:bCs/>
                <w:sz w:val="22"/>
              </w:rPr>
            </w:pPr>
            <w:r w:rsidRPr="00401E21">
              <w:rPr>
                <w:rFonts w:eastAsia="Arial" w:cs="Arial"/>
                <w:color w:val="000000"/>
                <w:sz w:val="22"/>
                <w:vertAlign w:val="superscript"/>
              </w:rPr>
              <w:lastRenderedPageBreak/>
              <w:t>6</w:t>
            </w:r>
            <w:r w:rsidRPr="00401E21">
              <w:rPr>
                <w:rFonts w:cs="Arial"/>
                <w:bCs/>
                <w:sz w:val="22"/>
              </w:rPr>
              <w:t>Il Consiglio di Stato disciplina i particolari, segnatamente:</w:t>
            </w:r>
          </w:p>
          <w:p w:rsidR="005B19BB" w:rsidRPr="00401E21" w:rsidRDefault="005B19BB" w:rsidP="0001002B">
            <w:pPr>
              <w:numPr>
                <w:ilvl w:val="0"/>
                <w:numId w:val="32"/>
              </w:numPr>
              <w:tabs>
                <w:tab w:val="left" w:pos="426"/>
              </w:tabs>
              <w:spacing w:after="60"/>
              <w:ind w:left="357" w:hanging="357"/>
              <w:rPr>
                <w:rFonts w:cs="Arial"/>
                <w:bCs/>
                <w:sz w:val="22"/>
              </w:rPr>
            </w:pPr>
            <w:r w:rsidRPr="00401E21">
              <w:rPr>
                <w:rFonts w:cs="Arial"/>
                <w:bCs/>
                <w:sz w:val="22"/>
              </w:rPr>
              <w:t>il catalogo dei dati personali elaborati;</w:t>
            </w:r>
          </w:p>
          <w:p w:rsidR="005B19BB" w:rsidRPr="00401E21" w:rsidRDefault="005B19BB" w:rsidP="0001002B">
            <w:pPr>
              <w:numPr>
                <w:ilvl w:val="0"/>
                <w:numId w:val="32"/>
              </w:numPr>
              <w:tabs>
                <w:tab w:val="left" w:pos="426"/>
              </w:tabs>
              <w:spacing w:after="60"/>
              <w:ind w:left="357" w:hanging="357"/>
              <w:rPr>
                <w:rFonts w:cs="Arial"/>
                <w:bCs/>
                <w:sz w:val="22"/>
              </w:rPr>
            </w:pPr>
            <w:r w:rsidRPr="00401E21">
              <w:rPr>
                <w:rFonts w:cs="Arial"/>
                <w:bCs/>
                <w:sz w:val="22"/>
              </w:rPr>
              <w:t>i diritti di accesso e la trasmissione dei dati, tenendo proporzionatamente conto della cerchia dei destinatari;</w:t>
            </w:r>
          </w:p>
          <w:p w:rsidR="005B19BB" w:rsidRPr="00401E21" w:rsidRDefault="005B19BB" w:rsidP="0001002B">
            <w:pPr>
              <w:numPr>
                <w:ilvl w:val="0"/>
                <w:numId w:val="32"/>
              </w:numPr>
              <w:tabs>
                <w:tab w:val="left" w:pos="426"/>
              </w:tabs>
              <w:spacing w:after="60"/>
              <w:ind w:left="357" w:hanging="357"/>
              <w:rPr>
                <w:rFonts w:cs="Arial"/>
                <w:bCs/>
                <w:sz w:val="22"/>
              </w:rPr>
            </w:pPr>
            <w:r w:rsidRPr="00401E21">
              <w:rPr>
                <w:rFonts w:cs="Arial"/>
                <w:bCs/>
                <w:sz w:val="22"/>
              </w:rPr>
              <w:t>la durata di conservazione, l’archiviazione e la distruzione dei dati;</w:t>
            </w:r>
          </w:p>
          <w:p w:rsidR="005B19BB" w:rsidRDefault="005B19BB" w:rsidP="005B19BB">
            <w:pPr>
              <w:numPr>
                <w:ilvl w:val="0"/>
                <w:numId w:val="32"/>
              </w:numPr>
              <w:tabs>
                <w:tab w:val="left" w:pos="426"/>
              </w:tabs>
              <w:spacing w:after="120"/>
              <w:contextualSpacing/>
              <w:rPr>
                <w:rFonts w:cs="Arial"/>
                <w:bCs/>
                <w:sz w:val="22"/>
              </w:rPr>
            </w:pPr>
            <w:r w:rsidRPr="00401E21">
              <w:rPr>
                <w:rFonts w:cs="Arial"/>
                <w:bCs/>
                <w:sz w:val="22"/>
              </w:rPr>
              <w:t>le misure di sicurezza.</w:t>
            </w:r>
          </w:p>
          <w:p w:rsidR="00401E21" w:rsidRPr="00401E21" w:rsidRDefault="00401E21" w:rsidP="0001002B">
            <w:pPr>
              <w:spacing w:after="120"/>
              <w:contextualSpacing/>
              <w:rPr>
                <w:rFonts w:cs="Arial"/>
                <w:bCs/>
                <w:sz w:val="22"/>
              </w:rPr>
            </w:pPr>
          </w:p>
          <w:p w:rsidR="005B19BB" w:rsidRPr="00401E21" w:rsidRDefault="005B19BB" w:rsidP="00A0486F">
            <w:pPr>
              <w:spacing w:after="120"/>
              <w:rPr>
                <w:rFonts w:cs="Arial"/>
                <w:sz w:val="22"/>
              </w:rPr>
            </w:pPr>
          </w:p>
        </w:tc>
      </w:tr>
      <w:tr w:rsidR="005B19BB" w:rsidRPr="00401E21" w:rsidTr="00A0486F">
        <w:tc>
          <w:tcPr>
            <w:tcW w:w="1771" w:type="dxa"/>
          </w:tcPr>
          <w:p w:rsidR="005B19BB" w:rsidRPr="00401E21" w:rsidRDefault="005B19BB" w:rsidP="00A0486F">
            <w:pPr>
              <w:rPr>
                <w:rFonts w:cs="Arial"/>
                <w:b/>
                <w:sz w:val="22"/>
              </w:rPr>
            </w:pPr>
          </w:p>
          <w:p w:rsidR="005B19BB" w:rsidRPr="00401E21" w:rsidRDefault="005B19BB" w:rsidP="00A0486F">
            <w:pPr>
              <w:rPr>
                <w:rFonts w:cs="Arial"/>
                <w:sz w:val="22"/>
              </w:rPr>
            </w:pPr>
          </w:p>
        </w:tc>
        <w:tc>
          <w:tcPr>
            <w:tcW w:w="7729" w:type="dxa"/>
          </w:tcPr>
          <w:p w:rsidR="005B19BB" w:rsidRPr="00401E21" w:rsidRDefault="005B19BB" w:rsidP="00401E21">
            <w:pPr>
              <w:spacing w:after="240"/>
              <w:rPr>
                <w:rFonts w:cs="Arial"/>
                <w:b/>
                <w:sz w:val="22"/>
              </w:rPr>
            </w:pPr>
            <w:r w:rsidRPr="00401E21">
              <w:rPr>
                <w:rFonts w:cs="Arial"/>
                <w:b/>
                <w:sz w:val="22"/>
              </w:rPr>
              <w:t>Art. 21 cpv. 2, 3, 4, 5, 6 e 7 (nuovo)</w:t>
            </w:r>
          </w:p>
          <w:p w:rsidR="005B19BB" w:rsidRPr="00401E21" w:rsidRDefault="005B19BB" w:rsidP="00401E21">
            <w:pPr>
              <w:spacing w:after="240"/>
              <w:rPr>
                <w:rFonts w:eastAsia="Arial" w:cs="Arial"/>
                <w:sz w:val="22"/>
              </w:rPr>
            </w:pPr>
            <w:r w:rsidRPr="00401E21">
              <w:rPr>
                <w:rFonts w:eastAsia="Arial" w:cs="Arial"/>
                <w:color w:val="000000"/>
                <w:sz w:val="22"/>
                <w:vertAlign w:val="superscript"/>
              </w:rPr>
              <w:t>2</w:t>
            </w:r>
            <w:r w:rsidRPr="00401E21">
              <w:rPr>
                <w:rFonts w:eastAsia="Arial" w:cs="Arial"/>
                <w:sz w:val="22"/>
              </w:rPr>
              <w:t>L’importo della tassa di soggiorno, differenziato in funzione delle categorie di alloggio, è di 0.50 franchi al minimo e di 4.50 franchi al massimo per pernottamento.</w:t>
            </w:r>
          </w:p>
          <w:p w:rsidR="005B19BB" w:rsidRPr="00401E21" w:rsidRDefault="005B19BB" w:rsidP="00401E21">
            <w:pPr>
              <w:spacing w:after="240"/>
              <w:rPr>
                <w:rFonts w:eastAsia="Arial" w:cs="Arial"/>
                <w:sz w:val="22"/>
              </w:rPr>
            </w:pPr>
            <w:r w:rsidRPr="00401E21">
              <w:rPr>
                <w:rFonts w:eastAsia="Arial" w:cs="Arial"/>
                <w:sz w:val="22"/>
                <w:vertAlign w:val="superscript"/>
              </w:rPr>
              <w:t>3</w:t>
            </w:r>
            <w:r w:rsidRPr="00401E21">
              <w:rPr>
                <w:rFonts w:eastAsia="Arial" w:cs="Arial"/>
                <w:sz w:val="22"/>
              </w:rPr>
              <w:t xml:space="preserve">Sono soggette al pagamento della tassa di soggiorno tutte le persone che pernottano quali ospiti in uno stabilimento d’alloggio in un comune che non è quello del domicilio ai sensi del Codice civile svizzero. </w:t>
            </w:r>
          </w:p>
          <w:p w:rsidR="005B19BB" w:rsidRPr="00401E21" w:rsidRDefault="005B19BB" w:rsidP="00401E21">
            <w:pPr>
              <w:spacing w:after="240"/>
              <w:rPr>
                <w:rFonts w:eastAsia="Arial" w:cs="Arial"/>
                <w:sz w:val="22"/>
              </w:rPr>
            </w:pPr>
            <w:r w:rsidRPr="00401E21">
              <w:rPr>
                <w:rFonts w:eastAsia="Arial" w:cs="Arial"/>
                <w:color w:val="000000"/>
                <w:sz w:val="22"/>
                <w:vertAlign w:val="superscript"/>
              </w:rPr>
              <w:t>4</w:t>
            </w:r>
            <w:r w:rsidRPr="00401E21">
              <w:rPr>
                <w:rFonts w:eastAsia="Arial" w:cs="Arial"/>
                <w:sz w:val="22"/>
              </w:rPr>
              <w:t>Quali stabilimenti d’alloggio s’intendono alberghi, pensioni, ostelli della gioventù, ristoranti con alloggio, campeggi, alloggi collettivi, capanne, camere, appartamenti e case date in locazione ad uso turistico, camper e altri stabilimenti analoghi, purché essi siano adatti all’alloggio ripetuto di ospiti.</w:t>
            </w:r>
          </w:p>
          <w:p w:rsidR="005B19BB" w:rsidRPr="00401E21" w:rsidRDefault="005B19BB" w:rsidP="00401E21">
            <w:pPr>
              <w:spacing w:after="240"/>
              <w:rPr>
                <w:rFonts w:eastAsia="Arial" w:cs="Arial"/>
                <w:sz w:val="22"/>
              </w:rPr>
            </w:pPr>
            <w:r w:rsidRPr="00401E21">
              <w:rPr>
                <w:rFonts w:eastAsia="Arial" w:cs="Arial"/>
                <w:color w:val="000000"/>
                <w:sz w:val="22"/>
                <w:vertAlign w:val="superscript"/>
              </w:rPr>
              <w:t>5</w:t>
            </w:r>
            <w:r w:rsidRPr="00401E21">
              <w:rPr>
                <w:rFonts w:eastAsia="Arial" w:cs="Arial"/>
                <w:sz w:val="22"/>
              </w:rPr>
              <w:t>I datori di alloggio e i proprietari di camere, appartamenti e case date in locazione ad uso turistico sono responsabili dell’incasso della tassa di soggiorno e del suo riversamento alle OTR, salvo laddove l’ATT sia stata delegata di tale compito (art. 15 cpv. 2 lett. l).</w:t>
            </w:r>
          </w:p>
          <w:p w:rsidR="005B19BB" w:rsidRPr="00401E21" w:rsidRDefault="005B19BB" w:rsidP="00401E21">
            <w:pPr>
              <w:spacing w:after="240"/>
              <w:rPr>
                <w:rFonts w:eastAsia="Arial" w:cs="Arial"/>
                <w:sz w:val="22"/>
              </w:rPr>
            </w:pPr>
            <w:r w:rsidRPr="00401E21">
              <w:rPr>
                <w:rFonts w:eastAsia="Arial" w:cs="Arial"/>
                <w:color w:val="000000"/>
                <w:sz w:val="22"/>
                <w:vertAlign w:val="superscript"/>
              </w:rPr>
              <w:t>6</w:t>
            </w:r>
            <w:r w:rsidRPr="00401E21">
              <w:rPr>
                <w:rFonts w:eastAsia="Arial" w:cs="Arial"/>
                <w:sz w:val="22"/>
              </w:rPr>
              <w:t>Proprietari di appartamenti o case di vacanza, così come i membri delle loro famiglie, pagano una tassa di soggiorno nella forma di un importo annuale fisso. Questo importo è compreso tra 15 franchi e 100 franchi per posto letto, a seconda dell’accessibilità e dell’offerta turistica esistente dove è ubicata la residenza.</w:t>
            </w:r>
          </w:p>
          <w:p w:rsidR="005B19BB" w:rsidRPr="00401E21" w:rsidRDefault="005B19BB" w:rsidP="00401E21">
            <w:pPr>
              <w:rPr>
                <w:rFonts w:eastAsia="Arial" w:cs="Arial"/>
                <w:sz w:val="22"/>
              </w:rPr>
            </w:pPr>
            <w:r w:rsidRPr="00401E21">
              <w:rPr>
                <w:rFonts w:eastAsia="Arial" w:cs="Arial"/>
                <w:color w:val="000000"/>
                <w:sz w:val="22"/>
                <w:vertAlign w:val="superscript"/>
              </w:rPr>
              <w:t>7</w:t>
            </w:r>
            <w:r w:rsidRPr="00401E21">
              <w:rPr>
                <w:rFonts w:eastAsia="Arial" w:cs="Arial"/>
                <w:sz w:val="22"/>
              </w:rPr>
              <w:t>Sono pure tenuti al pagamento dell’importo annuale fisso gli ospiti nei campeggi o che hanno in usufrutto o che affittano camere, appartamenti e case date in locazione ad uso turistico, per un periodo pari o superiore a 3 mesi.</w:t>
            </w:r>
          </w:p>
          <w:p w:rsidR="00401E21" w:rsidRPr="00401E21" w:rsidRDefault="00401E21" w:rsidP="00401E21">
            <w:pPr>
              <w:rPr>
                <w:rFonts w:eastAsia="Arial" w:cs="Arial"/>
                <w:sz w:val="22"/>
              </w:rPr>
            </w:pPr>
          </w:p>
          <w:p w:rsidR="005B19BB" w:rsidRPr="00401E21" w:rsidRDefault="005B19BB" w:rsidP="00A0486F">
            <w:pPr>
              <w:spacing w:after="120"/>
              <w:rPr>
                <w:rFonts w:cs="Arial"/>
                <w:sz w:val="22"/>
              </w:rPr>
            </w:pPr>
          </w:p>
        </w:tc>
      </w:tr>
      <w:tr w:rsidR="005B19BB" w:rsidRPr="00401E21" w:rsidTr="00A0486F">
        <w:tc>
          <w:tcPr>
            <w:tcW w:w="1771" w:type="dxa"/>
          </w:tcPr>
          <w:p w:rsidR="00401E21" w:rsidRDefault="00401E21" w:rsidP="00A0486F">
            <w:pPr>
              <w:rPr>
                <w:rFonts w:cs="Arial"/>
                <w:b/>
                <w:sz w:val="22"/>
              </w:rPr>
            </w:pPr>
          </w:p>
          <w:p w:rsidR="00401E21" w:rsidRDefault="00401E21" w:rsidP="00A0486F">
            <w:pPr>
              <w:rPr>
                <w:rFonts w:cs="Arial"/>
                <w:b/>
                <w:sz w:val="22"/>
              </w:rPr>
            </w:pPr>
          </w:p>
          <w:p w:rsidR="005B19BB" w:rsidRPr="00401E21" w:rsidRDefault="005B19BB" w:rsidP="00A0486F">
            <w:pPr>
              <w:rPr>
                <w:rFonts w:cs="Arial"/>
                <w:b/>
                <w:sz w:val="20"/>
                <w:szCs w:val="20"/>
              </w:rPr>
            </w:pPr>
            <w:r w:rsidRPr="00401E21">
              <w:rPr>
                <w:rFonts w:cs="Arial"/>
                <w:b/>
                <w:sz w:val="20"/>
                <w:szCs w:val="20"/>
              </w:rPr>
              <w:t>Numero identificativo</w:t>
            </w:r>
          </w:p>
          <w:p w:rsidR="005B19BB" w:rsidRPr="00401E21" w:rsidRDefault="005B19BB" w:rsidP="00A0486F">
            <w:pPr>
              <w:rPr>
                <w:rFonts w:cs="Arial"/>
                <w:b/>
                <w:sz w:val="22"/>
              </w:rPr>
            </w:pPr>
          </w:p>
          <w:p w:rsidR="005B19BB" w:rsidRPr="00401E21" w:rsidRDefault="005B19BB" w:rsidP="00A0486F">
            <w:pPr>
              <w:rPr>
                <w:rFonts w:cs="Arial"/>
                <w:sz w:val="22"/>
              </w:rPr>
            </w:pPr>
          </w:p>
        </w:tc>
        <w:tc>
          <w:tcPr>
            <w:tcW w:w="7729" w:type="dxa"/>
          </w:tcPr>
          <w:p w:rsidR="005B19BB" w:rsidRPr="00401E21" w:rsidRDefault="005B19BB" w:rsidP="00401E21">
            <w:pPr>
              <w:spacing w:after="240"/>
              <w:rPr>
                <w:rFonts w:cs="Arial"/>
                <w:b/>
                <w:sz w:val="22"/>
              </w:rPr>
            </w:pPr>
            <w:r w:rsidRPr="00401E21">
              <w:rPr>
                <w:rFonts w:cs="Arial"/>
                <w:b/>
                <w:sz w:val="22"/>
              </w:rPr>
              <w:t>Art. 21a (nuovo)</w:t>
            </w:r>
          </w:p>
          <w:p w:rsidR="005B19BB" w:rsidRPr="00401E21" w:rsidRDefault="005B19BB" w:rsidP="00401E21">
            <w:pPr>
              <w:spacing w:after="240"/>
              <w:rPr>
                <w:rFonts w:eastAsia="Lora" w:cs="Arial"/>
                <w:color w:val="000000"/>
                <w:sz w:val="22"/>
              </w:rPr>
            </w:pPr>
            <w:r w:rsidRPr="00401E21">
              <w:rPr>
                <w:rFonts w:eastAsia="UICTFontTextStyleBody" w:cs="Arial"/>
                <w:color w:val="000000"/>
                <w:sz w:val="22"/>
                <w:vertAlign w:val="superscript"/>
              </w:rPr>
              <w:t>1</w:t>
            </w:r>
            <w:r w:rsidRPr="00401E21">
              <w:rPr>
                <w:rFonts w:eastAsia="Arial" w:cs="Arial"/>
                <w:sz w:val="22"/>
              </w:rPr>
              <w:t>Ogni datore di alloggio, così come definito nell’art. 21 cpv. 4, per poter esercitare la propria attività, deve annunciarsi e ottenere un numero identificativo per il tramite dell’apposita piattaforma online dell’ATT.</w:t>
            </w:r>
            <w:r w:rsidRPr="00401E21">
              <w:rPr>
                <w:rFonts w:eastAsia="Lora" w:cs="Arial"/>
                <w:color w:val="000000"/>
                <w:sz w:val="22"/>
              </w:rPr>
              <w:t> Ai datori di alloggio che sottostanno alla Lear e che al momento dell’introduzione della presente legge sono già correttamente iscritti all’interno della banca dati SEPU viene assegnato automaticamente il numero identificativo.</w:t>
            </w:r>
          </w:p>
          <w:p w:rsidR="005B19BB" w:rsidRDefault="005B19BB" w:rsidP="00A0486F">
            <w:pPr>
              <w:spacing w:after="120"/>
              <w:ind w:right="-2"/>
              <w:rPr>
                <w:rFonts w:eastAsia="Arial" w:cs="Arial"/>
                <w:sz w:val="22"/>
              </w:rPr>
            </w:pPr>
            <w:r w:rsidRPr="00401E21">
              <w:rPr>
                <w:rFonts w:eastAsia="Arial" w:cs="Arial"/>
                <w:sz w:val="22"/>
                <w:vertAlign w:val="superscript"/>
              </w:rPr>
              <w:t>2</w:t>
            </w:r>
            <w:r w:rsidRPr="00401E21">
              <w:rPr>
                <w:rFonts w:eastAsia="Arial" w:cs="Arial"/>
                <w:sz w:val="22"/>
              </w:rPr>
              <w:t>Agli alloggi che non sottostanno alla Lear viene rilasciato il numero identificativo immediatamente al termine dell’invio e della compilazione del</w:t>
            </w:r>
            <w:r w:rsidR="00401E21">
              <w:rPr>
                <w:rFonts w:eastAsia="Arial" w:cs="Arial"/>
                <w:sz w:val="22"/>
              </w:rPr>
              <w:t xml:space="preserve"> </w:t>
            </w:r>
            <w:r w:rsidRPr="00401E21">
              <w:rPr>
                <w:rFonts w:eastAsia="Arial" w:cs="Arial"/>
                <w:sz w:val="22"/>
              </w:rPr>
              <w:t>formulario digitale creato dall’ATT, a condizione che i datori di questi alloggi inseriscano in modo completo i dati richiesti relativi alla struttura ricettiva.</w:t>
            </w:r>
          </w:p>
          <w:p w:rsidR="0001002B" w:rsidRPr="00401E21" w:rsidRDefault="0001002B" w:rsidP="00A0486F">
            <w:pPr>
              <w:spacing w:after="120"/>
              <w:ind w:right="-2"/>
              <w:rPr>
                <w:rFonts w:eastAsia="Arial" w:cs="Arial"/>
                <w:sz w:val="22"/>
              </w:rPr>
            </w:pPr>
          </w:p>
          <w:p w:rsidR="005B19BB" w:rsidRPr="00401E21" w:rsidRDefault="005B19BB" w:rsidP="00401E21">
            <w:pPr>
              <w:spacing w:after="240"/>
              <w:rPr>
                <w:rFonts w:eastAsia="Arial" w:cs="Arial"/>
                <w:sz w:val="22"/>
              </w:rPr>
            </w:pPr>
            <w:r w:rsidRPr="00401E21">
              <w:rPr>
                <w:rFonts w:eastAsia="Arial" w:cs="Arial"/>
                <w:sz w:val="22"/>
                <w:vertAlign w:val="superscript"/>
              </w:rPr>
              <w:lastRenderedPageBreak/>
              <w:t>3</w:t>
            </w:r>
            <w:r w:rsidRPr="00401E21">
              <w:rPr>
                <w:rFonts w:eastAsia="Arial" w:cs="Arial"/>
                <w:sz w:val="22"/>
              </w:rPr>
              <w:t>I comuni, per il tramite della piattaforma online dell’ATT, sono tenuti a confermare, entro 6 mesi dalla data di rilascio del numero identificativo, l’idoneità delle strutture ricettive da locare a uso turistico sul loro territorio, che non sottostanno alla Lear. In casi particolari può essere concessa una deroga relativa alla tempistica di conferma.</w:t>
            </w:r>
          </w:p>
          <w:p w:rsidR="005B19BB" w:rsidRPr="00401E21" w:rsidRDefault="005B19BB" w:rsidP="00401E21">
            <w:pPr>
              <w:spacing w:after="240"/>
              <w:rPr>
                <w:rFonts w:eastAsia="Arial" w:cs="Arial"/>
                <w:color w:val="000000"/>
                <w:sz w:val="22"/>
              </w:rPr>
            </w:pPr>
            <w:r w:rsidRPr="00401E21">
              <w:rPr>
                <w:rFonts w:eastAsia="Arial" w:cs="Arial"/>
                <w:color w:val="000000"/>
                <w:sz w:val="22"/>
                <w:vertAlign w:val="superscript"/>
              </w:rPr>
              <w:t>4</w:t>
            </w:r>
            <w:r w:rsidRPr="00401E21">
              <w:rPr>
                <w:rFonts w:eastAsia="Arial" w:cs="Arial"/>
                <w:color w:val="000000"/>
                <w:sz w:val="22"/>
              </w:rPr>
              <w:t>I datori di alloggio che pubblicano la loro struttura devono fornire e pubblicare il loro numero identificativo all’interno dell’annuncio. Nessun annuncio online e offline può essere pubblicato senza numero identificativo. In caso di abuso è applicabile l’art. 36.</w:t>
            </w:r>
          </w:p>
          <w:p w:rsidR="005B19BB" w:rsidRPr="00401E21" w:rsidRDefault="005B19BB" w:rsidP="00A0486F">
            <w:pPr>
              <w:spacing w:after="120"/>
              <w:ind w:left="3"/>
              <w:rPr>
                <w:rFonts w:cs="Arial"/>
                <w:sz w:val="22"/>
              </w:rPr>
            </w:pPr>
            <w:r w:rsidRPr="00401E21">
              <w:rPr>
                <w:rFonts w:eastAsia="Arial" w:cs="Arial"/>
                <w:color w:val="000000"/>
                <w:sz w:val="22"/>
                <w:vertAlign w:val="superscript"/>
              </w:rPr>
              <w:t>5</w:t>
            </w:r>
            <w:r w:rsidRPr="00401E21">
              <w:rPr>
                <w:rFonts w:eastAsia="Arial" w:cs="Arial"/>
                <w:color w:val="000000"/>
                <w:sz w:val="22"/>
              </w:rPr>
              <w:t>I datori di alloggio</w:t>
            </w:r>
            <w:r w:rsidRPr="00401E21">
              <w:rPr>
                <w:rFonts w:eastAsia="Arial" w:cs="Arial"/>
                <w:sz w:val="22"/>
              </w:rPr>
              <w:t xml:space="preserve"> ritenuti non idonei ai sensi dell’art. 21a cpv. </w:t>
            </w:r>
            <w:r w:rsidRPr="00401E21">
              <w:rPr>
                <w:rFonts w:eastAsia="Arial" w:cs="Arial"/>
                <w:color w:val="000000"/>
                <w:sz w:val="22"/>
              </w:rPr>
              <w:t>3</w:t>
            </w:r>
            <w:r w:rsidRPr="00401E21">
              <w:rPr>
                <w:rFonts w:eastAsia="Arial" w:cs="Arial"/>
                <w:sz w:val="22"/>
              </w:rPr>
              <w:t xml:space="preserve"> o che </w:t>
            </w:r>
            <w:r w:rsidRPr="00401E21">
              <w:rPr>
                <w:rFonts w:eastAsia="Arial" w:cs="Arial"/>
                <w:color w:val="000000"/>
                <w:sz w:val="22"/>
              </w:rPr>
              <w:t>non si sono registrati definitivamente</w:t>
            </w:r>
            <w:r w:rsidRPr="00401E21">
              <w:rPr>
                <w:rFonts w:eastAsia="Arial" w:cs="Arial"/>
                <w:sz w:val="22"/>
              </w:rPr>
              <w:t>, non possono in nessun modo locare turisticamente la loro struttura, sia per il tramite di piattaforme online che per il tramite di altri canali. Le OTR devono segnalare i casi di contravvenzione.</w:t>
            </w:r>
          </w:p>
        </w:tc>
      </w:tr>
    </w:tbl>
    <w:p w:rsidR="005B19BB" w:rsidRDefault="005B19BB" w:rsidP="005B19BB">
      <w:pPr>
        <w:rPr>
          <w:rFonts w:cs="Arial"/>
          <w:sz w:val="22"/>
        </w:rPr>
      </w:pPr>
    </w:p>
    <w:p w:rsidR="00401E21" w:rsidRPr="00401E21" w:rsidRDefault="00401E21" w:rsidP="005B19BB">
      <w:pPr>
        <w:rPr>
          <w:rFonts w:cs="Arial"/>
          <w:sz w:val="22"/>
        </w:rPr>
      </w:pPr>
    </w:p>
    <w:p w:rsidR="005B19BB" w:rsidRPr="00401E21" w:rsidRDefault="005B19BB" w:rsidP="005B19BB">
      <w:pPr>
        <w:rPr>
          <w:rFonts w:cs="Arial"/>
          <w:b/>
          <w:sz w:val="22"/>
        </w:rPr>
      </w:pPr>
      <w:r w:rsidRPr="00401E21">
        <w:rPr>
          <w:rFonts w:cs="Arial"/>
          <w:b/>
          <w:sz w:val="22"/>
        </w:rPr>
        <w:t>II Disposizione transitoria dell’art. 21a</w:t>
      </w:r>
    </w:p>
    <w:p w:rsidR="005B19BB" w:rsidRPr="00FA0CF1" w:rsidRDefault="005B19BB" w:rsidP="005B19BB">
      <w:pPr>
        <w:spacing w:before="120"/>
        <w:rPr>
          <w:rFonts w:cs="Arial"/>
        </w:rPr>
      </w:pPr>
      <w:r w:rsidRPr="00FA0CF1">
        <w:rPr>
          <w:rFonts w:eastAsia="Arial" w:cs="Arial"/>
        </w:rPr>
        <w:t xml:space="preserve">I datori di alloggio non assoggettati alla Lear che, al momento dell’entrata in vigore della modifica del </w:t>
      </w:r>
      <w:r w:rsidRPr="00C840BD">
        <w:rPr>
          <w:rFonts w:cs="Arial"/>
        </w:rPr>
        <w:t>……….</w:t>
      </w:r>
      <w:r w:rsidRPr="00FA0CF1">
        <w:rPr>
          <w:rFonts w:cs="Arial"/>
        </w:rPr>
        <w:t xml:space="preserve"> </w:t>
      </w:r>
      <w:r w:rsidRPr="00FA0CF1">
        <w:rPr>
          <w:rFonts w:eastAsia="Arial" w:cs="Arial"/>
        </w:rPr>
        <w:t>già locano turisticamente le loro strutture ricettive, hanno un anno di tempo per ottenere il numero identificativo.</w:t>
      </w:r>
    </w:p>
    <w:p w:rsidR="005B19BB" w:rsidRDefault="005B19BB" w:rsidP="005B19BB">
      <w:pPr>
        <w:rPr>
          <w:rFonts w:cs="Arial"/>
        </w:rPr>
      </w:pPr>
    </w:p>
    <w:p w:rsidR="00401E21" w:rsidRPr="00FA0CF1" w:rsidRDefault="00401E21" w:rsidP="005B19BB">
      <w:pPr>
        <w:rPr>
          <w:rFonts w:cs="Arial"/>
        </w:rPr>
      </w:pPr>
    </w:p>
    <w:p w:rsidR="005B19BB" w:rsidRPr="00FA0CF1" w:rsidRDefault="005B19BB" w:rsidP="005B19BB">
      <w:pPr>
        <w:rPr>
          <w:rFonts w:cs="Arial"/>
          <w:b/>
        </w:rPr>
      </w:pPr>
      <w:r w:rsidRPr="00FA0CF1">
        <w:rPr>
          <w:rFonts w:cs="Arial"/>
          <w:b/>
        </w:rPr>
        <w:t>III</w:t>
      </w:r>
    </w:p>
    <w:p w:rsidR="005B19BB" w:rsidRPr="00FA0CF1" w:rsidRDefault="005B19BB" w:rsidP="005B19BB">
      <w:pPr>
        <w:spacing w:before="120"/>
        <w:rPr>
          <w:rFonts w:cs="Arial"/>
        </w:rPr>
      </w:pPr>
      <w:r w:rsidRPr="00FA0CF1">
        <w:rPr>
          <w:rFonts w:cs="Arial"/>
          <w:vertAlign w:val="superscript"/>
        </w:rPr>
        <w:t>1</w:t>
      </w:r>
      <w:r w:rsidRPr="00FA0CF1">
        <w:rPr>
          <w:rFonts w:cs="Arial"/>
        </w:rPr>
        <w:t>Trascorsi i termini per l’esercizio del diritto di referendum, la presente modifica di legge è pubblicata nel Bollettino ufficiale delle leggi.</w:t>
      </w:r>
    </w:p>
    <w:p w:rsidR="005B19BB" w:rsidRDefault="005B19BB" w:rsidP="005B19BB">
      <w:pPr>
        <w:spacing w:before="120"/>
        <w:rPr>
          <w:rFonts w:cs="Arial"/>
        </w:rPr>
      </w:pPr>
      <w:r w:rsidRPr="00FA0CF1">
        <w:rPr>
          <w:rFonts w:cs="Arial"/>
          <w:vertAlign w:val="superscript"/>
        </w:rPr>
        <w:t>2</w:t>
      </w:r>
      <w:r w:rsidRPr="00FA0CF1">
        <w:rPr>
          <w:rFonts w:cs="Arial"/>
        </w:rPr>
        <w:t>Il Consiglio di Stato ne stabilisce la data di entrata in vigore.</w:t>
      </w:r>
    </w:p>
    <w:p w:rsidR="00401E21" w:rsidRPr="00FA0CF1" w:rsidRDefault="00401E21" w:rsidP="005B19BB">
      <w:pPr>
        <w:spacing w:before="120"/>
        <w:rPr>
          <w:rFonts w:cs="Arial"/>
        </w:rPr>
      </w:pPr>
    </w:p>
    <w:p w:rsidR="005B19BB" w:rsidRPr="00FA0CF1" w:rsidRDefault="005B19BB" w:rsidP="005B19BB">
      <w:pPr>
        <w:spacing w:after="200" w:line="276" w:lineRule="auto"/>
        <w:rPr>
          <w:rFonts w:cs="Arial"/>
          <w:sz w:val="22"/>
        </w:rPr>
      </w:pPr>
      <w:r w:rsidRPr="00FA0CF1">
        <w:rPr>
          <w:rFonts w:cs="Arial"/>
          <w:sz w:val="22"/>
        </w:rPr>
        <w:br w:type="page"/>
      </w:r>
    </w:p>
    <w:p w:rsidR="005B19BB" w:rsidRPr="00FA0CF1" w:rsidRDefault="005B19BB" w:rsidP="005B19BB">
      <w:pPr>
        <w:rPr>
          <w:rFonts w:cs="Arial"/>
        </w:rPr>
      </w:pPr>
      <w:r w:rsidRPr="00FA0CF1">
        <w:rPr>
          <w:rFonts w:cs="Arial"/>
        </w:rPr>
        <w:lastRenderedPageBreak/>
        <w:t>Disegno di</w:t>
      </w:r>
    </w:p>
    <w:p w:rsidR="005B19BB" w:rsidRPr="00FA0CF1" w:rsidRDefault="005B19BB" w:rsidP="005B19BB">
      <w:pPr>
        <w:rPr>
          <w:rFonts w:cs="Arial"/>
        </w:rPr>
      </w:pPr>
    </w:p>
    <w:p w:rsidR="005B19BB" w:rsidRPr="00FA0CF1" w:rsidRDefault="00401E21" w:rsidP="005B19BB">
      <w:pPr>
        <w:rPr>
          <w:rFonts w:cs="Arial"/>
          <w:b/>
        </w:rPr>
      </w:pPr>
      <w:r w:rsidRPr="00FA0CF1">
        <w:rPr>
          <w:rFonts w:cs="Arial"/>
          <w:b/>
        </w:rPr>
        <w:t>LEGGE</w:t>
      </w:r>
    </w:p>
    <w:p w:rsidR="005B19BB" w:rsidRPr="00FA0CF1" w:rsidRDefault="005B19BB" w:rsidP="005B19BB">
      <w:pPr>
        <w:rPr>
          <w:rFonts w:cs="Arial"/>
          <w:b/>
        </w:rPr>
      </w:pPr>
      <w:r w:rsidRPr="00FA0CF1">
        <w:rPr>
          <w:rFonts w:cs="Arial"/>
          <w:b/>
          <w:bCs/>
        </w:rPr>
        <w:t>sugli esercizi alberghieri e sulla ristorazione (Lear)</w:t>
      </w:r>
      <w:r w:rsidR="00401E21">
        <w:rPr>
          <w:rFonts w:cs="Arial"/>
          <w:b/>
          <w:bCs/>
        </w:rPr>
        <w:t>; modifica</w:t>
      </w:r>
    </w:p>
    <w:p w:rsidR="005B19BB" w:rsidRPr="00401E21" w:rsidRDefault="005B19BB" w:rsidP="005B19BB">
      <w:pPr>
        <w:rPr>
          <w:rFonts w:cs="Arial"/>
        </w:rPr>
      </w:pPr>
    </w:p>
    <w:p w:rsidR="00401E21" w:rsidRPr="00401E21" w:rsidRDefault="00401E21" w:rsidP="005B19BB">
      <w:pPr>
        <w:rPr>
          <w:rFonts w:cs="Arial"/>
        </w:rPr>
      </w:pPr>
    </w:p>
    <w:p w:rsidR="00401E21" w:rsidRPr="00FA0CF1" w:rsidRDefault="00401E21" w:rsidP="00401E21">
      <w:pPr>
        <w:rPr>
          <w:rFonts w:cs="Arial"/>
          <w:bCs/>
        </w:rPr>
      </w:pPr>
      <w:r w:rsidRPr="00FA0CF1">
        <w:rPr>
          <w:rFonts w:cs="Arial"/>
          <w:bCs/>
        </w:rPr>
        <w:t>IL GRAN CONSIGLIO</w:t>
      </w:r>
    </w:p>
    <w:p w:rsidR="00401E21" w:rsidRPr="00FA0CF1" w:rsidRDefault="00401E21" w:rsidP="00401E21">
      <w:pPr>
        <w:rPr>
          <w:rFonts w:cs="Arial"/>
        </w:rPr>
      </w:pPr>
      <w:r w:rsidRPr="00FA0CF1">
        <w:rPr>
          <w:rFonts w:cs="Arial"/>
          <w:bCs/>
        </w:rPr>
        <w:t>DELLA REPUBBLICA E CANTONE TICINO</w:t>
      </w:r>
    </w:p>
    <w:p w:rsidR="00401E21" w:rsidRDefault="00401E21" w:rsidP="00401E21">
      <w:pPr>
        <w:rPr>
          <w:rFonts w:cs="Arial"/>
        </w:rPr>
      </w:pPr>
    </w:p>
    <w:p w:rsidR="00401E21" w:rsidRDefault="00401E21" w:rsidP="00401E21">
      <w:pPr>
        <w:rPr>
          <w:rFonts w:cs="Arial"/>
        </w:rPr>
      </w:pPr>
      <w:r>
        <w:rPr>
          <w:rFonts w:cs="Arial"/>
        </w:rPr>
        <w:t xml:space="preserve">- </w:t>
      </w:r>
      <w:r w:rsidRPr="00FA0CF1">
        <w:rPr>
          <w:rFonts w:cs="Arial"/>
        </w:rPr>
        <w:t>visto il messaggio 17 aprile 2019 n. 7656 del Consiglio di Stato</w:t>
      </w:r>
      <w:r>
        <w:rPr>
          <w:rFonts w:cs="Arial"/>
        </w:rPr>
        <w:t>;</w:t>
      </w:r>
    </w:p>
    <w:p w:rsidR="00401E21" w:rsidRPr="00FA0CF1" w:rsidRDefault="00401E21" w:rsidP="00401E21">
      <w:pPr>
        <w:rPr>
          <w:rFonts w:cs="Arial"/>
        </w:rPr>
      </w:pPr>
      <w:r>
        <w:rPr>
          <w:rFonts w:cs="Arial"/>
        </w:rPr>
        <w:t>- visto il rapporto 2 marzo 2021 n. 7656R della Commissione economia e lavoro</w:t>
      </w:r>
      <w:r w:rsidRPr="00FA0CF1">
        <w:rPr>
          <w:rFonts w:cs="Arial"/>
        </w:rPr>
        <w:t xml:space="preserve">, </w:t>
      </w:r>
    </w:p>
    <w:p w:rsidR="00401E21" w:rsidRDefault="00401E21" w:rsidP="00401E21">
      <w:pPr>
        <w:rPr>
          <w:rFonts w:cs="Arial"/>
        </w:rPr>
      </w:pPr>
    </w:p>
    <w:p w:rsidR="00401E21" w:rsidRPr="00FA0CF1" w:rsidRDefault="00401E21" w:rsidP="00401E21">
      <w:pPr>
        <w:rPr>
          <w:rFonts w:cs="Arial"/>
        </w:rPr>
      </w:pPr>
    </w:p>
    <w:p w:rsidR="00401E21" w:rsidRPr="00401E21" w:rsidRDefault="00401E21" w:rsidP="00401E21">
      <w:pPr>
        <w:rPr>
          <w:rFonts w:cs="Arial"/>
          <w:b/>
          <w:bCs/>
          <w:spacing w:val="20"/>
        </w:rPr>
      </w:pPr>
      <w:r w:rsidRPr="00401E21">
        <w:rPr>
          <w:rFonts w:cs="Arial"/>
          <w:b/>
          <w:spacing w:val="20"/>
        </w:rPr>
        <w:t xml:space="preserve">d e c r e t </w:t>
      </w:r>
      <w:proofErr w:type="gramStart"/>
      <w:r w:rsidRPr="00401E21">
        <w:rPr>
          <w:rFonts w:cs="Arial"/>
          <w:b/>
          <w:spacing w:val="20"/>
        </w:rPr>
        <w:t>a :</w:t>
      </w:r>
      <w:proofErr w:type="gramEnd"/>
    </w:p>
    <w:p w:rsidR="00401E21" w:rsidRDefault="00401E21" w:rsidP="00401E21">
      <w:pPr>
        <w:rPr>
          <w:rFonts w:cs="Arial"/>
          <w:bCs/>
        </w:rPr>
      </w:pPr>
    </w:p>
    <w:p w:rsidR="005B19BB" w:rsidRPr="00FA0CF1" w:rsidRDefault="005B19BB" w:rsidP="005B19BB">
      <w:pPr>
        <w:rPr>
          <w:rFonts w:cs="Arial"/>
          <w:bCs/>
        </w:rPr>
      </w:pPr>
    </w:p>
    <w:p w:rsidR="005B19BB" w:rsidRPr="00FA0CF1" w:rsidRDefault="005B19BB" w:rsidP="005B19BB">
      <w:pPr>
        <w:rPr>
          <w:rFonts w:cs="Arial"/>
        </w:rPr>
      </w:pPr>
      <w:r w:rsidRPr="00FA0CF1">
        <w:rPr>
          <w:rFonts w:cs="Arial"/>
          <w:b/>
        </w:rPr>
        <w:t>I</w:t>
      </w:r>
    </w:p>
    <w:p w:rsidR="005B19BB" w:rsidRPr="00FA0CF1" w:rsidRDefault="005B19BB" w:rsidP="005B19BB">
      <w:pPr>
        <w:spacing w:before="120"/>
        <w:rPr>
          <w:rFonts w:cs="Arial"/>
        </w:rPr>
      </w:pPr>
      <w:r w:rsidRPr="00FA0CF1">
        <w:rPr>
          <w:rFonts w:cs="Arial"/>
        </w:rPr>
        <w:t xml:space="preserve">La </w:t>
      </w:r>
      <w:r w:rsidR="00F22BA7">
        <w:rPr>
          <w:rFonts w:cs="Arial"/>
        </w:rPr>
        <w:t>L</w:t>
      </w:r>
      <w:r w:rsidRPr="00FA0CF1">
        <w:rPr>
          <w:rFonts w:cs="Arial"/>
        </w:rPr>
        <w:t>egge sugli esercizi alberghieri e sulla ristorazione del 1° giugno 2010 (Lear) è modificata come segue:</w:t>
      </w:r>
    </w:p>
    <w:p w:rsidR="005B19BB" w:rsidRPr="00FA0CF1" w:rsidRDefault="005B19BB" w:rsidP="005B19BB">
      <w:pPr>
        <w:rPr>
          <w:rFonts w:cs="Arial"/>
        </w:rPr>
      </w:pPr>
    </w:p>
    <w:tbl>
      <w:tblPr>
        <w:tblW w:w="0" w:type="auto"/>
        <w:tblLayout w:type="fixed"/>
        <w:tblCellMar>
          <w:left w:w="70" w:type="dxa"/>
          <w:right w:w="70" w:type="dxa"/>
        </w:tblCellMar>
        <w:tblLook w:val="0000" w:firstRow="0" w:lastRow="0" w:firstColumn="0" w:lastColumn="0" w:noHBand="0" w:noVBand="0"/>
      </w:tblPr>
      <w:tblGrid>
        <w:gridCol w:w="1985"/>
        <w:gridCol w:w="7228"/>
      </w:tblGrid>
      <w:tr w:rsidR="005B19BB" w:rsidRPr="00FA0CF1" w:rsidTr="00A0486F">
        <w:trPr>
          <w:cantSplit/>
        </w:trPr>
        <w:tc>
          <w:tcPr>
            <w:tcW w:w="1985" w:type="dxa"/>
          </w:tcPr>
          <w:p w:rsidR="005B19BB" w:rsidRPr="00FA0CF1" w:rsidRDefault="005B19BB" w:rsidP="00A0486F">
            <w:pPr>
              <w:rPr>
                <w:rFonts w:cs="Arial"/>
                <w:b/>
              </w:rPr>
            </w:pPr>
          </w:p>
        </w:tc>
        <w:tc>
          <w:tcPr>
            <w:tcW w:w="7228" w:type="dxa"/>
          </w:tcPr>
          <w:p w:rsidR="005B19BB" w:rsidRPr="00401E21" w:rsidRDefault="005B19BB" w:rsidP="00A0486F">
            <w:pPr>
              <w:tabs>
                <w:tab w:val="left" w:pos="426"/>
              </w:tabs>
              <w:jc w:val="center"/>
              <w:rPr>
                <w:rFonts w:cs="Arial"/>
                <w:bCs/>
                <w:sz w:val="22"/>
              </w:rPr>
            </w:pPr>
            <w:r w:rsidRPr="00401E21">
              <w:rPr>
                <w:rFonts w:cs="Arial"/>
                <w:bCs/>
                <w:sz w:val="22"/>
              </w:rPr>
              <w:t>CAPITOLO XV</w:t>
            </w:r>
          </w:p>
          <w:p w:rsidR="005B19BB" w:rsidRPr="00401E21" w:rsidRDefault="005B19BB" w:rsidP="00A0486F">
            <w:pPr>
              <w:tabs>
                <w:tab w:val="left" w:pos="426"/>
              </w:tabs>
              <w:jc w:val="center"/>
              <w:rPr>
                <w:rFonts w:cs="Arial"/>
                <w:b/>
                <w:bCs/>
                <w:sz w:val="22"/>
              </w:rPr>
            </w:pPr>
            <w:r w:rsidRPr="00401E21">
              <w:rPr>
                <w:rFonts w:cs="Arial"/>
                <w:b/>
                <w:bCs/>
                <w:sz w:val="22"/>
              </w:rPr>
              <w:t>Banca dati</w:t>
            </w:r>
          </w:p>
          <w:p w:rsidR="005B19BB" w:rsidRPr="00401E21" w:rsidRDefault="005B19BB" w:rsidP="00A0486F">
            <w:pPr>
              <w:tabs>
                <w:tab w:val="left" w:pos="426"/>
              </w:tabs>
              <w:rPr>
                <w:rFonts w:cs="Arial"/>
                <w:bCs/>
                <w:sz w:val="22"/>
              </w:rPr>
            </w:pPr>
          </w:p>
        </w:tc>
      </w:tr>
      <w:tr w:rsidR="005B19BB" w:rsidRPr="00FA0CF1" w:rsidTr="00A0486F">
        <w:trPr>
          <w:cantSplit/>
        </w:trPr>
        <w:tc>
          <w:tcPr>
            <w:tcW w:w="1985" w:type="dxa"/>
          </w:tcPr>
          <w:p w:rsidR="00401E21" w:rsidRDefault="00401E21" w:rsidP="00A0486F">
            <w:pPr>
              <w:rPr>
                <w:rFonts w:cs="Arial"/>
                <w:b/>
              </w:rPr>
            </w:pPr>
          </w:p>
          <w:p w:rsidR="00401E21" w:rsidRDefault="00401E21" w:rsidP="00A0486F">
            <w:pPr>
              <w:rPr>
                <w:rFonts w:cs="Arial"/>
                <w:b/>
              </w:rPr>
            </w:pPr>
          </w:p>
          <w:p w:rsidR="005B19BB" w:rsidRPr="00401E21" w:rsidRDefault="005B19BB" w:rsidP="00A0486F">
            <w:pPr>
              <w:rPr>
                <w:rFonts w:cs="Arial"/>
                <w:b/>
                <w:sz w:val="20"/>
                <w:szCs w:val="20"/>
              </w:rPr>
            </w:pPr>
            <w:r w:rsidRPr="00401E21">
              <w:rPr>
                <w:rFonts w:cs="Arial"/>
                <w:b/>
                <w:sz w:val="20"/>
                <w:szCs w:val="20"/>
              </w:rPr>
              <w:t>Banca dati</w:t>
            </w:r>
          </w:p>
          <w:p w:rsidR="00401E21" w:rsidRDefault="005B19BB" w:rsidP="00A0486F">
            <w:pPr>
              <w:rPr>
                <w:rFonts w:cs="Arial"/>
                <w:b/>
                <w:sz w:val="20"/>
                <w:szCs w:val="20"/>
              </w:rPr>
            </w:pPr>
            <w:r w:rsidRPr="00401E21">
              <w:rPr>
                <w:rFonts w:cs="Arial"/>
                <w:b/>
                <w:sz w:val="20"/>
                <w:szCs w:val="20"/>
              </w:rPr>
              <w:t>a) disposizioni</w:t>
            </w:r>
          </w:p>
          <w:p w:rsidR="005B19BB" w:rsidRPr="00FA0CF1" w:rsidRDefault="005B19BB" w:rsidP="00A0486F">
            <w:pPr>
              <w:rPr>
                <w:rFonts w:cs="Arial"/>
                <w:b/>
              </w:rPr>
            </w:pPr>
            <w:r w:rsidRPr="00401E21">
              <w:rPr>
                <w:rFonts w:cs="Arial"/>
                <w:b/>
                <w:sz w:val="20"/>
                <w:szCs w:val="20"/>
              </w:rPr>
              <w:t>generali</w:t>
            </w:r>
          </w:p>
        </w:tc>
        <w:tc>
          <w:tcPr>
            <w:tcW w:w="7228" w:type="dxa"/>
          </w:tcPr>
          <w:p w:rsidR="005B19BB" w:rsidRPr="00401E21" w:rsidRDefault="005B19BB" w:rsidP="0001002B">
            <w:pPr>
              <w:tabs>
                <w:tab w:val="left" w:pos="426"/>
              </w:tabs>
              <w:spacing w:after="240"/>
              <w:rPr>
                <w:rFonts w:cs="Arial"/>
                <w:b/>
                <w:bCs/>
                <w:sz w:val="22"/>
              </w:rPr>
            </w:pPr>
            <w:r w:rsidRPr="00401E21">
              <w:rPr>
                <w:rFonts w:cs="Arial"/>
                <w:b/>
                <w:bCs/>
                <w:sz w:val="22"/>
              </w:rPr>
              <w:t>Art. 51</w:t>
            </w:r>
          </w:p>
          <w:p w:rsidR="005B19BB" w:rsidRPr="00401E21" w:rsidRDefault="005B19BB" w:rsidP="00401E21">
            <w:pPr>
              <w:spacing w:after="240"/>
              <w:rPr>
                <w:rFonts w:cs="Arial"/>
                <w:bCs/>
                <w:sz w:val="22"/>
              </w:rPr>
            </w:pPr>
            <w:r w:rsidRPr="00401E21">
              <w:rPr>
                <w:rFonts w:cs="Arial"/>
                <w:bCs/>
                <w:sz w:val="22"/>
                <w:vertAlign w:val="superscript"/>
              </w:rPr>
              <w:t>1</w:t>
            </w:r>
            <w:r w:rsidRPr="00401E21">
              <w:rPr>
                <w:rFonts w:cs="Arial"/>
                <w:bCs/>
                <w:sz w:val="22"/>
              </w:rPr>
              <w:t xml:space="preserve">Il Consiglio di Stato istituisce una banca dati (SEPU) nella quale sono registrati gli esercizi pubblici che sottostanno alla presente legge nonché le notifiche degli ospiti alla polizia. </w:t>
            </w:r>
          </w:p>
          <w:p w:rsidR="005B19BB" w:rsidRPr="00401E21" w:rsidRDefault="005B19BB" w:rsidP="00401E21">
            <w:pPr>
              <w:tabs>
                <w:tab w:val="left" w:pos="426"/>
              </w:tabs>
              <w:spacing w:after="240"/>
              <w:rPr>
                <w:rFonts w:cs="Arial"/>
                <w:bCs/>
                <w:sz w:val="22"/>
              </w:rPr>
            </w:pPr>
            <w:r w:rsidRPr="00401E21">
              <w:rPr>
                <w:rFonts w:cs="Arial"/>
                <w:bCs/>
                <w:sz w:val="22"/>
                <w:vertAlign w:val="superscript"/>
              </w:rPr>
              <w:t>2</w:t>
            </w:r>
            <w:r w:rsidRPr="00401E21">
              <w:rPr>
                <w:rFonts w:cs="Arial"/>
                <w:bCs/>
                <w:sz w:val="22"/>
              </w:rPr>
              <w:t>Il Dipartimento, con il supporto tecnico del Centro sistemi informativi, è l’organo responsabile per la gestione della banca dati SEPU e regola l’accesso degli utilizzatori appartenenti all’amministrazione cantonale.</w:t>
            </w:r>
          </w:p>
          <w:p w:rsidR="005B19BB" w:rsidRPr="00401E21" w:rsidRDefault="005B19BB" w:rsidP="00401E21">
            <w:pPr>
              <w:tabs>
                <w:tab w:val="left" w:pos="426"/>
              </w:tabs>
              <w:spacing w:after="100"/>
              <w:rPr>
                <w:rFonts w:cs="Arial"/>
                <w:bCs/>
                <w:sz w:val="22"/>
              </w:rPr>
            </w:pPr>
            <w:r w:rsidRPr="00401E21">
              <w:rPr>
                <w:rFonts w:cs="Arial"/>
                <w:bCs/>
                <w:sz w:val="22"/>
                <w:vertAlign w:val="superscript"/>
              </w:rPr>
              <w:t>3</w:t>
            </w:r>
            <w:r w:rsidRPr="00401E21">
              <w:rPr>
                <w:rFonts w:cs="Arial"/>
                <w:bCs/>
                <w:sz w:val="22"/>
              </w:rPr>
              <w:t>La banca dati persegue i seguenti scopi:</w:t>
            </w:r>
          </w:p>
          <w:p w:rsidR="005B19BB" w:rsidRPr="00401E21" w:rsidRDefault="005B19BB" w:rsidP="00401E21">
            <w:pPr>
              <w:pStyle w:val="Paragrafoelenco"/>
              <w:numPr>
                <w:ilvl w:val="0"/>
                <w:numId w:val="30"/>
              </w:numPr>
              <w:tabs>
                <w:tab w:val="left" w:pos="426"/>
              </w:tabs>
              <w:spacing w:after="60"/>
              <w:ind w:left="357" w:hanging="357"/>
              <w:rPr>
                <w:rFonts w:cs="Arial"/>
                <w:bCs/>
                <w:sz w:val="22"/>
              </w:rPr>
            </w:pPr>
            <w:r w:rsidRPr="00401E21">
              <w:rPr>
                <w:rFonts w:cs="Arial"/>
                <w:bCs/>
                <w:sz w:val="22"/>
              </w:rPr>
              <w:t>la verifica dell’adempimento dei presupposti della presente legge per il rilascio dell’autorizzazione per la conduzione degli esercizi pubblici;</w:t>
            </w:r>
          </w:p>
          <w:p w:rsidR="005B19BB" w:rsidRPr="00401E21" w:rsidRDefault="005B19BB" w:rsidP="00401E21">
            <w:pPr>
              <w:pStyle w:val="Paragrafoelenco"/>
              <w:numPr>
                <w:ilvl w:val="0"/>
                <w:numId w:val="30"/>
              </w:numPr>
              <w:tabs>
                <w:tab w:val="left" w:pos="426"/>
              </w:tabs>
              <w:spacing w:after="60"/>
              <w:ind w:left="357" w:hanging="357"/>
              <w:rPr>
                <w:rFonts w:cs="Arial"/>
                <w:bCs/>
                <w:sz w:val="22"/>
              </w:rPr>
            </w:pPr>
            <w:r w:rsidRPr="00401E21">
              <w:rPr>
                <w:rFonts w:cs="Arial"/>
                <w:bCs/>
                <w:sz w:val="22"/>
              </w:rPr>
              <w:t>il monitoraggio nonché l’ottimizzazione dei controlli dell’attività;</w:t>
            </w:r>
          </w:p>
          <w:p w:rsidR="005B19BB" w:rsidRPr="00401E21" w:rsidRDefault="005B19BB" w:rsidP="00401E21">
            <w:pPr>
              <w:pStyle w:val="Paragrafoelenco"/>
              <w:numPr>
                <w:ilvl w:val="0"/>
                <w:numId w:val="30"/>
              </w:numPr>
              <w:tabs>
                <w:tab w:val="left" w:pos="426"/>
              </w:tabs>
              <w:spacing w:after="60"/>
              <w:ind w:left="357" w:hanging="357"/>
              <w:rPr>
                <w:rFonts w:cs="Arial"/>
                <w:bCs/>
                <w:sz w:val="22"/>
              </w:rPr>
            </w:pPr>
            <w:r w:rsidRPr="00401E21">
              <w:rPr>
                <w:rFonts w:cs="Arial"/>
                <w:bCs/>
                <w:sz w:val="22"/>
              </w:rPr>
              <w:t>l’allestimento di statistiche anonimizzate;</w:t>
            </w:r>
          </w:p>
          <w:p w:rsidR="005B19BB" w:rsidRDefault="005B19BB" w:rsidP="00401E21">
            <w:pPr>
              <w:pStyle w:val="Paragrafoelenco"/>
              <w:numPr>
                <w:ilvl w:val="0"/>
                <w:numId w:val="30"/>
              </w:numPr>
              <w:tabs>
                <w:tab w:val="left" w:pos="426"/>
              </w:tabs>
              <w:ind w:left="357" w:hanging="357"/>
              <w:rPr>
                <w:rFonts w:cs="Arial"/>
                <w:bCs/>
                <w:sz w:val="22"/>
              </w:rPr>
            </w:pPr>
            <w:r w:rsidRPr="00401E21">
              <w:rPr>
                <w:rFonts w:cs="Arial"/>
                <w:bCs/>
                <w:sz w:val="22"/>
              </w:rPr>
              <w:t>la verifica degli ospiti presenti sul territorio cantonale.</w:t>
            </w:r>
          </w:p>
          <w:p w:rsidR="00401E21" w:rsidRPr="00401E21" w:rsidRDefault="00401E21" w:rsidP="0001002B">
            <w:pPr>
              <w:pStyle w:val="Paragrafoelenco"/>
              <w:spacing w:after="60"/>
              <w:rPr>
                <w:rFonts w:cs="Arial"/>
                <w:bCs/>
                <w:sz w:val="22"/>
              </w:rPr>
            </w:pPr>
          </w:p>
          <w:p w:rsidR="005B19BB" w:rsidRDefault="005B19BB" w:rsidP="00A0486F">
            <w:pPr>
              <w:tabs>
                <w:tab w:val="left" w:pos="426"/>
              </w:tabs>
              <w:spacing w:after="75"/>
              <w:rPr>
                <w:rFonts w:cs="Arial"/>
                <w:bCs/>
                <w:sz w:val="22"/>
              </w:rPr>
            </w:pPr>
            <w:r w:rsidRPr="00401E21">
              <w:rPr>
                <w:rFonts w:cs="Arial"/>
                <w:bCs/>
                <w:sz w:val="22"/>
                <w:vertAlign w:val="superscript"/>
              </w:rPr>
              <w:t>4</w:t>
            </w:r>
            <w:r w:rsidRPr="00401E21">
              <w:rPr>
                <w:rFonts w:cs="Arial"/>
                <w:bCs/>
                <w:sz w:val="22"/>
              </w:rPr>
              <w:t>La banca dati contiene dati personali necessari all’adempimento degli scopi di cui al cpv. 3, inclusi dati meritevoli di particolare protezione relativi alle sanzioni penali e amministrative e il certificato medico relativo all’idoneità a svolgere la professione.</w:t>
            </w:r>
          </w:p>
          <w:p w:rsidR="00401E21" w:rsidRPr="00401E21" w:rsidRDefault="00401E21" w:rsidP="00A0486F">
            <w:pPr>
              <w:tabs>
                <w:tab w:val="left" w:pos="426"/>
              </w:tabs>
              <w:spacing w:after="75"/>
              <w:rPr>
                <w:rFonts w:cs="Arial"/>
                <w:bCs/>
                <w:sz w:val="22"/>
              </w:rPr>
            </w:pPr>
          </w:p>
          <w:p w:rsidR="005B19BB" w:rsidRPr="00401E21" w:rsidRDefault="005B19BB" w:rsidP="00A0486F">
            <w:pPr>
              <w:tabs>
                <w:tab w:val="left" w:pos="426"/>
              </w:tabs>
              <w:rPr>
                <w:rFonts w:cs="Arial"/>
                <w:b/>
                <w:bCs/>
                <w:sz w:val="22"/>
              </w:rPr>
            </w:pPr>
          </w:p>
        </w:tc>
      </w:tr>
      <w:tr w:rsidR="005B19BB" w:rsidRPr="00FA0CF1" w:rsidTr="00A0486F">
        <w:trPr>
          <w:cantSplit/>
        </w:trPr>
        <w:tc>
          <w:tcPr>
            <w:tcW w:w="1985" w:type="dxa"/>
          </w:tcPr>
          <w:p w:rsidR="0001002B" w:rsidRPr="0001002B" w:rsidRDefault="0001002B" w:rsidP="00A0486F">
            <w:pPr>
              <w:contextualSpacing/>
              <w:rPr>
                <w:rFonts w:cs="Arial"/>
                <w:b/>
                <w:szCs w:val="24"/>
              </w:rPr>
            </w:pPr>
          </w:p>
          <w:p w:rsidR="0001002B" w:rsidRPr="0001002B" w:rsidRDefault="0001002B" w:rsidP="00A0486F">
            <w:pPr>
              <w:contextualSpacing/>
              <w:rPr>
                <w:rFonts w:cs="Arial"/>
                <w:b/>
                <w:szCs w:val="24"/>
              </w:rPr>
            </w:pPr>
          </w:p>
          <w:p w:rsidR="0001002B" w:rsidRDefault="005B19BB" w:rsidP="00A0486F">
            <w:pPr>
              <w:contextualSpacing/>
              <w:rPr>
                <w:rFonts w:cs="Arial"/>
                <w:b/>
                <w:sz w:val="20"/>
                <w:szCs w:val="20"/>
              </w:rPr>
            </w:pPr>
            <w:r w:rsidRPr="0001002B">
              <w:rPr>
                <w:rFonts w:cs="Arial"/>
                <w:b/>
                <w:sz w:val="20"/>
                <w:szCs w:val="20"/>
              </w:rPr>
              <w:t xml:space="preserve">b) disposizioni </w:t>
            </w:r>
          </w:p>
          <w:p w:rsidR="005B19BB" w:rsidRPr="0001002B" w:rsidRDefault="005B19BB" w:rsidP="00A0486F">
            <w:pPr>
              <w:contextualSpacing/>
              <w:rPr>
                <w:rFonts w:cs="Arial"/>
                <w:b/>
                <w:sz w:val="20"/>
                <w:szCs w:val="20"/>
              </w:rPr>
            </w:pPr>
            <w:r w:rsidRPr="0001002B">
              <w:rPr>
                <w:rFonts w:cs="Arial"/>
                <w:b/>
                <w:sz w:val="20"/>
                <w:szCs w:val="20"/>
              </w:rPr>
              <w:t>esecutive</w:t>
            </w:r>
          </w:p>
        </w:tc>
        <w:tc>
          <w:tcPr>
            <w:tcW w:w="7228" w:type="dxa"/>
          </w:tcPr>
          <w:p w:rsidR="005B19BB" w:rsidRPr="00401E21" w:rsidRDefault="005B19BB" w:rsidP="0001002B">
            <w:pPr>
              <w:tabs>
                <w:tab w:val="left" w:pos="426"/>
              </w:tabs>
              <w:spacing w:after="240"/>
              <w:rPr>
                <w:rFonts w:cs="Arial"/>
                <w:b/>
                <w:bCs/>
                <w:sz w:val="22"/>
              </w:rPr>
            </w:pPr>
            <w:r w:rsidRPr="00401E21">
              <w:rPr>
                <w:rFonts w:cs="Arial"/>
                <w:b/>
                <w:bCs/>
                <w:sz w:val="22"/>
              </w:rPr>
              <w:t>Art. 51a (nuovo)</w:t>
            </w:r>
          </w:p>
          <w:p w:rsidR="005B19BB" w:rsidRPr="00401E21" w:rsidRDefault="005B19BB" w:rsidP="0001002B">
            <w:pPr>
              <w:tabs>
                <w:tab w:val="left" w:pos="426"/>
              </w:tabs>
              <w:spacing w:after="120"/>
              <w:rPr>
                <w:rFonts w:cs="Arial"/>
                <w:bCs/>
                <w:sz w:val="22"/>
              </w:rPr>
            </w:pPr>
            <w:r w:rsidRPr="00401E21">
              <w:rPr>
                <w:rFonts w:cs="Arial"/>
                <w:bCs/>
                <w:sz w:val="22"/>
              </w:rPr>
              <w:t>Il Consiglio di Stato disciplina i particolari, segnatamente:</w:t>
            </w:r>
          </w:p>
          <w:p w:rsidR="005B19BB" w:rsidRPr="00401E21" w:rsidRDefault="005B19BB" w:rsidP="0001002B">
            <w:pPr>
              <w:pStyle w:val="Paragrafoelenco"/>
              <w:numPr>
                <w:ilvl w:val="0"/>
                <w:numId w:val="29"/>
              </w:numPr>
              <w:tabs>
                <w:tab w:val="left" w:pos="426"/>
              </w:tabs>
              <w:spacing w:after="60"/>
              <w:ind w:left="357" w:hanging="357"/>
              <w:rPr>
                <w:rFonts w:cs="Arial"/>
                <w:bCs/>
                <w:sz w:val="22"/>
              </w:rPr>
            </w:pPr>
            <w:r w:rsidRPr="00401E21">
              <w:rPr>
                <w:rFonts w:cs="Arial"/>
                <w:bCs/>
                <w:sz w:val="22"/>
              </w:rPr>
              <w:t>il catalogo dei dati personali elaborati;</w:t>
            </w:r>
          </w:p>
          <w:p w:rsidR="005B19BB" w:rsidRPr="00401E21" w:rsidRDefault="005B19BB" w:rsidP="0001002B">
            <w:pPr>
              <w:pStyle w:val="Paragrafoelenco"/>
              <w:numPr>
                <w:ilvl w:val="0"/>
                <w:numId w:val="29"/>
              </w:numPr>
              <w:tabs>
                <w:tab w:val="left" w:pos="426"/>
              </w:tabs>
              <w:spacing w:after="60"/>
              <w:ind w:left="357" w:hanging="357"/>
              <w:rPr>
                <w:rFonts w:cs="Arial"/>
                <w:bCs/>
                <w:sz w:val="22"/>
              </w:rPr>
            </w:pPr>
            <w:r w:rsidRPr="00401E21">
              <w:rPr>
                <w:rFonts w:cs="Arial"/>
                <w:bCs/>
                <w:sz w:val="22"/>
              </w:rPr>
              <w:t>i diritti di accesso e la trasmissione dei dati, tenendo proporzionatamente conto della cerchia dei destinatari;</w:t>
            </w:r>
          </w:p>
          <w:p w:rsidR="005B19BB" w:rsidRPr="00401E21" w:rsidRDefault="005B19BB" w:rsidP="0001002B">
            <w:pPr>
              <w:pStyle w:val="Paragrafoelenco"/>
              <w:numPr>
                <w:ilvl w:val="0"/>
                <w:numId w:val="29"/>
              </w:numPr>
              <w:tabs>
                <w:tab w:val="left" w:pos="426"/>
              </w:tabs>
              <w:spacing w:after="60"/>
              <w:ind w:left="357" w:hanging="357"/>
              <w:rPr>
                <w:rFonts w:cs="Arial"/>
                <w:bCs/>
                <w:sz w:val="22"/>
              </w:rPr>
            </w:pPr>
            <w:r w:rsidRPr="00401E21">
              <w:rPr>
                <w:rFonts w:cs="Arial"/>
                <w:bCs/>
                <w:sz w:val="22"/>
              </w:rPr>
              <w:t>la durata di conservazione, l’archiviazione e la distruzione dei dati;</w:t>
            </w:r>
          </w:p>
          <w:p w:rsidR="005B19BB" w:rsidRDefault="005B19BB" w:rsidP="0001002B">
            <w:pPr>
              <w:pStyle w:val="Paragrafoelenco"/>
              <w:numPr>
                <w:ilvl w:val="0"/>
                <w:numId w:val="29"/>
              </w:numPr>
              <w:contextualSpacing/>
              <w:rPr>
                <w:rFonts w:cs="Arial"/>
                <w:bCs/>
                <w:sz w:val="22"/>
              </w:rPr>
            </w:pPr>
            <w:r w:rsidRPr="00401E21">
              <w:rPr>
                <w:rFonts w:cs="Arial"/>
                <w:bCs/>
                <w:sz w:val="22"/>
              </w:rPr>
              <w:t>le misure di sicurezza.</w:t>
            </w:r>
          </w:p>
          <w:p w:rsidR="0001002B" w:rsidRPr="00401E21" w:rsidRDefault="0001002B" w:rsidP="0001002B">
            <w:pPr>
              <w:pStyle w:val="Paragrafoelenco"/>
              <w:tabs>
                <w:tab w:val="left" w:pos="426"/>
              </w:tabs>
              <w:ind w:left="360"/>
              <w:contextualSpacing/>
              <w:rPr>
                <w:rFonts w:cs="Arial"/>
                <w:bCs/>
                <w:sz w:val="22"/>
              </w:rPr>
            </w:pPr>
          </w:p>
          <w:p w:rsidR="005B19BB" w:rsidRPr="00401E21" w:rsidRDefault="005B19BB" w:rsidP="00A0486F">
            <w:pPr>
              <w:tabs>
                <w:tab w:val="left" w:pos="426"/>
              </w:tabs>
              <w:rPr>
                <w:rFonts w:cs="Arial"/>
                <w:b/>
                <w:bCs/>
                <w:sz w:val="22"/>
              </w:rPr>
            </w:pPr>
          </w:p>
        </w:tc>
      </w:tr>
      <w:tr w:rsidR="005B19BB" w:rsidRPr="00FA0CF1" w:rsidTr="00A0486F">
        <w:trPr>
          <w:cantSplit/>
        </w:trPr>
        <w:tc>
          <w:tcPr>
            <w:tcW w:w="1985" w:type="dxa"/>
          </w:tcPr>
          <w:p w:rsidR="0001002B" w:rsidRDefault="0001002B" w:rsidP="00A0486F">
            <w:pPr>
              <w:contextualSpacing/>
              <w:rPr>
                <w:rFonts w:cs="Arial"/>
                <w:b/>
                <w:sz w:val="20"/>
                <w:szCs w:val="20"/>
              </w:rPr>
            </w:pPr>
          </w:p>
          <w:p w:rsidR="0001002B" w:rsidRDefault="0001002B" w:rsidP="00A0486F">
            <w:pPr>
              <w:contextualSpacing/>
              <w:rPr>
                <w:rFonts w:cs="Arial"/>
                <w:b/>
                <w:sz w:val="20"/>
                <w:szCs w:val="20"/>
              </w:rPr>
            </w:pPr>
          </w:p>
          <w:p w:rsidR="005B19BB" w:rsidRPr="0001002B" w:rsidRDefault="005B19BB" w:rsidP="00A0486F">
            <w:pPr>
              <w:contextualSpacing/>
              <w:rPr>
                <w:rFonts w:cs="Arial"/>
                <w:b/>
                <w:sz w:val="20"/>
                <w:szCs w:val="20"/>
              </w:rPr>
            </w:pPr>
            <w:r w:rsidRPr="0001002B">
              <w:rPr>
                <w:rFonts w:cs="Arial"/>
                <w:b/>
                <w:sz w:val="20"/>
                <w:szCs w:val="20"/>
              </w:rPr>
              <w:t>c) trasmissione dei dati e aventi diritto di accesso</w:t>
            </w:r>
          </w:p>
        </w:tc>
        <w:tc>
          <w:tcPr>
            <w:tcW w:w="7228" w:type="dxa"/>
          </w:tcPr>
          <w:p w:rsidR="005B19BB" w:rsidRPr="00401E21" w:rsidRDefault="005B19BB" w:rsidP="0001002B">
            <w:pPr>
              <w:tabs>
                <w:tab w:val="left" w:pos="426"/>
              </w:tabs>
              <w:spacing w:after="240"/>
              <w:rPr>
                <w:rFonts w:cs="Arial"/>
                <w:b/>
                <w:bCs/>
                <w:sz w:val="22"/>
              </w:rPr>
            </w:pPr>
            <w:r w:rsidRPr="00401E21">
              <w:rPr>
                <w:rFonts w:cs="Arial"/>
                <w:b/>
                <w:bCs/>
                <w:sz w:val="22"/>
              </w:rPr>
              <w:t>Art. 51b (nuovo)</w:t>
            </w:r>
          </w:p>
          <w:p w:rsidR="005B19BB" w:rsidRPr="00401E21" w:rsidRDefault="005B19BB" w:rsidP="0001002B">
            <w:pPr>
              <w:tabs>
                <w:tab w:val="left" w:pos="426"/>
              </w:tabs>
              <w:spacing w:after="240"/>
              <w:rPr>
                <w:rFonts w:cs="Arial"/>
                <w:bCs/>
                <w:sz w:val="22"/>
              </w:rPr>
            </w:pPr>
            <w:r w:rsidRPr="00401E21">
              <w:rPr>
                <w:rFonts w:cs="Arial"/>
                <w:bCs/>
                <w:sz w:val="22"/>
                <w:vertAlign w:val="superscript"/>
              </w:rPr>
              <w:t>1</w:t>
            </w:r>
            <w:r w:rsidRPr="00401E21">
              <w:rPr>
                <w:rFonts w:cs="Arial"/>
                <w:bCs/>
                <w:sz w:val="22"/>
              </w:rPr>
              <w:t>Gli altri servizi della Polizia cantonale possono accedere alla banca dati in qualità di utenti, limitatamente a quanto necessario per lo svolgimento dei loro compiti e previa autorizzazione dell’organo responsabile.</w:t>
            </w:r>
          </w:p>
          <w:p w:rsidR="005B19BB" w:rsidRDefault="005B19BB" w:rsidP="00A0486F">
            <w:pPr>
              <w:tabs>
                <w:tab w:val="left" w:pos="426"/>
              </w:tabs>
              <w:rPr>
                <w:rFonts w:cs="Arial"/>
                <w:bCs/>
                <w:sz w:val="22"/>
              </w:rPr>
            </w:pPr>
            <w:r w:rsidRPr="00401E21">
              <w:rPr>
                <w:rFonts w:cs="Arial"/>
                <w:bCs/>
                <w:sz w:val="22"/>
                <w:vertAlign w:val="superscript"/>
              </w:rPr>
              <w:t>2</w:t>
            </w:r>
            <w:r w:rsidRPr="00401E21">
              <w:rPr>
                <w:rFonts w:cs="Arial"/>
                <w:bCs/>
                <w:sz w:val="22"/>
              </w:rPr>
              <w:t>L’organo responsabile autorizza la trasmissione su base regolare di una lista di dati nella piattaforma online dell’Azienda turistica ticinese.</w:t>
            </w:r>
          </w:p>
          <w:p w:rsidR="0001002B" w:rsidRPr="00401E21" w:rsidRDefault="0001002B" w:rsidP="00A0486F">
            <w:pPr>
              <w:tabs>
                <w:tab w:val="left" w:pos="426"/>
              </w:tabs>
              <w:rPr>
                <w:rFonts w:cs="Arial"/>
                <w:bCs/>
                <w:sz w:val="22"/>
              </w:rPr>
            </w:pPr>
          </w:p>
          <w:p w:rsidR="005B19BB" w:rsidRPr="00401E21" w:rsidRDefault="005B19BB" w:rsidP="00A0486F">
            <w:pPr>
              <w:tabs>
                <w:tab w:val="left" w:pos="426"/>
              </w:tabs>
              <w:rPr>
                <w:rFonts w:cs="Arial"/>
                <w:bCs/>
                <w:sz w:val="22"/>
              </w:rPr>
            </w:pPr>
          </w:p>
        </w:tc>
      </w:tr>
      <w:tr w:rsidR="005B19BB" w:rsidRPr="00FA0CF1" w:rsidTr="00A0486F">
        <w:trPr>
          <w:cantSplit/>
        </w:trPr>
        <w:tc>
          <w:tcPr>
            <w:tcW w:w="1985" w:type="dxa"/>
          </w:tcPr>
          <w:p w:rsidR="005B19BB" w:rsidRPr="00FA0CF1" w:rsidRDefault="005B19BB" w:rsidP="00A0486F">
            <w:pPr>
              <w:contextualSpacing/>
              <w:rPr>
                <w:rFonts w:cs="Arial"/>
                <w:b/>
              </w:rPr>
            </w:pPr>
          </w:p>
        </w:tc>
        <w:tc>
          <w:tcPr>
            <w:tcW w:w="7228" w:type="dxa"/>
          </w:tcPr>
          <w:p w:rsidR="005B19BB" w:rsidRPr="00401E21" w:rsidRDefault="005B19BB" w:rsidP="00A0486F">
            <w:pPr>
              <w:tabs>
                <w:tab w:val="left" w:pos="426"/>
              </w:tabs>
              <w:jc w:val="center"/>
              <w:rPr>
                <w:rFonts w:cs="Arial"/>
                <w:bCs/>
                <w:i/>
                <w:sz w:val="22"/>
              </w:rPr>
            </w:pPr>
            <w:r w:rsidRPr="00401E21">
              <w:rPr>
                <w:rFonts w:cs="Arial"/>
                <w:bCs/>
                <w:i/>
                <w:sz w:val="22"/>
              </w:rPr>
              <w:t>prima dell’art. 52</w:t>
            </w:r>
          </w:p>
          <w:p w:rsidR="005B19BB" w:rsidRPr="00401E21" w:rsidRDefault="005B19BB" w:rsidP="00A0486F">
            <w:pPr>
              <w:tabs>
                <w:tab w:val="left" w:pos="426"/>
              </w:tabs>
              <w:jc w:val="center"/>
              <w:rPr>
                <w:rFonts w:cs="Arial"/>
                <w:bCs/>
                <w:sz w:val="22"/>
              </w:rPr>
            </w:pPr>
            <w:r w:rsidRPr="00401E21">
              <w:rPr>
                <w:rFonts w:cs="Arial"/>
                <w:bCs/>
                <w:sz w:val="22"/>
              </w:rPr>
              <w:t>CAPITOLO XVI</w:t>
            </w:r>
          </w:p>
          <w:p w:rsidR="005B19BB" w:rsidRPr="00401E21" w:rsidRDefault="005B19BB" w:rsidP="00A0486F">
            <w:pPr>
              <w:tabs>
                <w:tab w:val="left" w:pos="426"/>
              </w:tabs>
              <w:jc w:val="center"/>
              <w:rPr>
                <w:rFonts w:cs="Arial"/>
                <w:b/>
                <w:bCs/>
                <w:sz w:val="22"/>
              </w:rPr>
            </w:pPr>
            <w:r w:rsidRPr="00401E21">
              <w:rPr>
                <w:rFonts w:cs="Arial"/>
                <w:b/>
                <w:bCs/>
                <w:sz w:val="22"/>
              </w:rPr>
              <w:t>Disposizioni varie e finali</w:t>
            </w:r>
          </w:p>
          <w:p w:rsidR="005B19BB" w:rsidRPr="00401E21" w:rsidRDefault="005B19BB" w:rsidP="00A0486F">
            <w:pPr>
              <w:tabs>
                <w:tab w:val="left" w:pos="426"/>
              </w:tabs>
              <w:jc w:val="center"/>
              <w:rPr>
                <w:rFonts w:cs="Arial"/>
                <w:b/>
                <w:bCs/>
                <w:sz w:val="22"/>
              </w:rPr>
            </w:pPr>
          </w:p>
        </w:tc>
      </w:tr>
    </w:tbl>
    <w:p w:rsidR="005B19BB" w:rsidRPr="00FA0CF1" w:rsidRDefault="005B19BB" w:rsidP="005B19BB">
      <w:pPr>
        <w:rPr>
          <w:rFonts w:cs="Arial"/>
          <w:sz w:val="22"/>
        </w:rPr>
      </w:pPr>
    </w:p>
    <w:p w:rsidR="005B19BB" w:rsidRPr="00FA0CF1" w:rsidRDefault="005B19BB" w:rsidP="0001002B">
      <w:pPr>
        <w:spacing w:after="120"/>
        <w:rPr>
          <w:rFonts w:cs="Arial"/>
          <w:b/>
        </w:rPr>
      </w:pPr>
      <w:r w:rsidRPr="00FA0CF1">
        <w:rPr>
          <w:rFonts w:cs="Arial"/>
          <w:b/>
        </w:rPr>
        <w:t>II</w:t>
      </w:r>
    </w:p>
    <w:p w:rsidR="005B19BB" w:rsidRPr="00FA0CF1" w:rsidRDefault="005B19BB" w:rsidP="0001002B">
      <w:pPr>
        <w:spacing w:after="120"/>
        <w:rPr>
          <w:rFonts w:cs="Arial"/>
        </w:rPr>
      </w:pPr>
      <w:r w:rsidRPr="00FA0CF1">
        <w:rPr>
          <w:rFonts w:cs="Arial"/>
          <w:vertAlign w:val="superscript"/>
        </w:rPr>
        <w:t>1</w:t>
      </w:r>
      <w:r w:rsidRPr="00FA0CF1">
        <w:rPr>
          <w:rFonts w:cs="Arial"/>
        </w:rPr>
        <w:t>Trascorsi i termini per l'esercizio del diritto di referendum, la presente modifica di legge è pubblicata nel Bollettino ufficiale delle leggi.</w:t>
      </w:r>
    </w:p>
    <w:p w:rsidR="005B19BB" w:rsidRPr="00FA0CF1" w:rsidRDefault="005B19BB" w:rsidP="005B19BB">
      <w:pPr>
        <w:rPr>
          <w:rFonts w:cs="Arial"/>
        </w:rPr>
      </w:pPr>
      <w:r w:rsidRPr="00FA0CF1">
        <w:rPr>
          <w:rFonts w:cs="Arial"/>
          <w:vertAlign w:val="superscript"/>
        </w:rPr>
        <w:t>2</w:t>
      </w:r>
      <w:r w:rsidRPr="00FA0CF1">
        <w:rPr>
          <w:rFonts w:cs="Arial"/>
        </w:rPr>
        <w:t>Il Consiglio di Stato ne fissa la data di entrata in vigore.</w:t>
      </w:r>
    </w:p>
    <w:p w:rsidR="005B19BB" w:rsidRPr="00FA0CF1" w:rsidRDefault="005B19BB" w:rsidP="005B19BB">
      <w:pPr>
        <w:rPr>
          <w:rFonts w:cs="Arial"/>
        </w:rPr>
      </w:pPr>
    </w:p>
    <w:p w:rsidR="005B19BB" w:rsidRPr="00FA0CF1" w:rsidRDefault="005B19BB" w:rsidP="005B19BB">
      <w:pPr>
        <w:rPr>
          <w:rFonts w:cs="Arial"/>
        </w:rPr>
      </w:pPr>
    </w:p>
    <w:sectPr w:rsidR="005B19BB" w:rsidRPr="00FA0CF1"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6F" w:rsidRDefault="00A0486F" w:rsidP="008E77C6">
      <w:r>
        <w:separator/>
      </w:r>
    </w:p>
  </w:endnote>
  <w:endnote w:type="continuationSeparator" w:id="0">
    <w:p w:rsidR="00A0486F" w:rsidRDefault="00A0486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ICTFontTextStyleBody">
    <w:altName w:val="Cambria"/>
    <w:charset w:val="00"/>
    <w:family w:val="auto"/>
    <w:pitch w:val="default"/>
  </w:font>
  <w:font w:name="Lora">
    <w:altName w:val="Times New Roman"/>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6F" w:rsidRPr="008E77C6" w:rsidRDefault="00A0486F">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D7131" w:rsidRPr="00CD7131">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6F" w:rsidRDefault="00A0486F" w:rsidP="008E77C6">
      <w:r>
        <w:separator/>
      </w:r>
    </w:p>
  </w:footnote>
  <w:footnote w:type="continuationSeparator" w:id="0">
    <w:p w:rsidR="00A0486F" w:rsidRDefault="00A0486F"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03D1A2C"/>
    <w:multiLevelType w:val="multilevel"/>
    <w:tmpl w:val="76A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75A26"/>
    <w:multiLevelType w:val="hybridMultilevel"/>
    <w:tmpl w:val="431E45C2"/>
    <w:lvl w:ilvl="0" w:tplc="2BCEE5CA">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54D62A9"/>
    <w:multiLevelType w:val="hybridMultilevel"/>
    <w:tmpl w:val="9176DAC2"/>
    <w:lvl w:ilvl="0" w:tplc="0810000D">
      <w:start w:val="1"/>
      <w:numFmt w:val="bullet"/>
      <w:lvlText w:val=""/>
      <w:lvlJc w:val="left"/>
      <w:pPr>
        <w:ind w:left="360" w:hanging="360"/>
      </w:pPr>
      <w:rPr>
        <w:rFonts w:ascii="Wingdings" w:hAnsi="Wingdings" w:hint="default"/>
      </w:rPr>
    </w:lvl>
    <w:lvl w:ilvl="1" w:tplc="08070003">
      <w:start w:val="1"/>
      <w:numFmt w:val="bullet"/>
      <w:lvlText w:val="o"/>
      <w:lvlJc w:val="left"/>
      <w:pPr>
        <w:ind w:left="927"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C8C621C"/>
    <w:multiLevelType w:val="hybridMultilevel"/>
    <w:tmpl w:val="51467818"/>
    <w:lvl w:ilvl="0" w:tplc="B11AA108">
      <w:start w:val="1"/>
      <w:numFmt w:val="lowerLetter"/>
      <w:lvlText w:val="%1)"/>
      <w:lvlJc w:val="left"/>
      <w:pPr>
        <w:ind w:left="360" w:hanging="360"/>
      </w:pPr>
      <w:rPr>
        <w:b w:val="0"/>
        <w:sz w:val="24"/>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7" w15:restartNumberingAfterBreak="0">
    <w:nsid w:val="1D724FDF"/>
    <w:multiLevelType w:val="hybridMultilevel"/>
    <w:tmpl w:val="9C944BF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12B350E"/>
    <w:multiLevelType w:val="hybridMultilevel"/>
    <w:tmpl w:val="8F4283A4"/>
    <w:lvl w:ilvl="0" w:tplc="9EE669FC">
      <w:start w:val="1"/>
      <w:numFmt w:val="bullet"/>
      <w:lvlText w:val="-"/>
      <w:lvlJc w:val="left"/>
      <w:pPr>
        <w:ind w:left="502" w:hanging="360"/>
      </w:pPr>
      <w:rPr>
        <w:rFonts w:ascii="Arial" w:hAnsi="Arial" w:hint="default"/>
      </w:rPr>
    </w:lvl>
    <w:lvl w:ilvl="1" w:tplc="04100003" w:tentative="1">
      <w:start w:val="1"/>
      <w:numFmt w:val="bullet"/>
      <w:lvlText w:val="o"/>
      <w:lvlJc w:val="left"/>
      <w:pPr>
        <w:ind w:left="1299" w:hanging="360"/>
      </w:pPr>
      <w:rPr>
        <w:rFonts w:ascii="Courier New" w:hAnsi="Courier New" w:cs="Courier New" w:hint="default"/>
      </w:rPr>
    </w:lvl>
    <w:lvl w:ilvl="2" w:tplc="04100005" w:tentative="1">
      <w:start w:val="1"/>
      <w:numFmt w:val="bullet"/>
      <w:lvlText w:val=""/>
      <w:lvlJc w:val="left"/>
      <w:pPr>
        <w:ind w:left="2019" w:hanging="360"/>
      </w:pPr>
      <w:rPr>
        <w:rFonts w:ascii="Wingdings" w:hAnsi="Wingdings" w:hint="default"/>
      </w:rPr>
    </w:lvl>
    <w:lvl w:ilvl="3" w:tplc="04100001" w:tentative="1">
      <w:start w:val="1"/>
      <w:numFmt w:val="bullet"/>
      <w:lvlText w:val=""/>
      <w:lvlJc w:val="left"/>
      <w:pPr>
        <w:ind w:left="2739" w:hanging="360"/>
      </w:pPr>
      <w:rPr>
        <w:rFonts w:ascii="Symbol" w:hAnsi="Symbol" w:hint="default"/>
      </w:rPr>
    </w:lvl>
    <w:lvl w:ilvl="4" w:tplc="04100003" w:tentative="1">
      <w:start w:val="1"/>
      <w:numFmt w:val="bullet"/>
      <w:lvlText w:val="o"/>
      <w:lvlJc w:val="left"/>
      <w:pPr>
        <w:ind w:left="3459" w:hanging="360"/>
      </w:pPr>
      <w:rPr>
        <w:rFonts w:ascii="Courier New" w:hAnsi="Courier New" w:cs="Courier New" w:hint="default"/>
      </w:rPr>
    </w:lvl>
    <w:lvl w:ilvl="5" w:tplc="04100005" w:tentative="1">
      <w:start w:val="1"/>
      <w:numFmt w:val="bullet"/>
      <w:lvlText w:val=""/>
      <w:lvlJc w:val="left"/>
      <w:pPr>
        <w:ind w:left="4179" w:hanging="360"/>
      </w:pPr>
      <w:rPr>
        <w:rFonts w:ascii="Wingdings" w:hAnsi="Wingdings" w:hint="default"/>
      </w:rPr>
    </w:lvl>
    <w:lvl w:ilvl="6" w:tplc="04100001" w:tentative="1">
      <w:start w:val="1"/>
      <w:numFmt w:val="bullet"/>
      <w:lvlText w:val=""/>
      <w:lvlJc w:val="left"/>
      <w:pPr>
        <w:ind w:left="4899" w:hanging="360"/>
      </w:pPr>
      <w:rPr>
        <w:rFonts w:ascii="Symbol" w:hAnsi="Symbol" w:hint="default"/>
      </w:rPr>
    </w:lvl>
    <w:lvl w:ilvl="7" w:tplc="04100003" w:tentative="1">
      <w:start w:val="1"/>
      <w:numFmt w:val="bullet"/>
      <w:lvlText w:val="o"/>
      <w:lvlJc w:val="left"/>
      <w:pPr>
        <w:ind w:left="5619" w:hanging="360"/>
      </w:pPr>
      <w:rPr>
        <w:rFonts w:ascii="Courier New" w:hAnsi="Courier New" w:cs="Courier New" w:hint="default"/>
      </w:rPr>
    </w:lvl>
    <w:lvl w:ilvl="8" w:tplc="04100005" w:tentative="1">
      <w:start w:val="1"/>
      <w:numFmt w:val="bullet"/>
      <w:lvlText w:val=""/>
      <w:lvlJc w:val="left"/>
      <w:pPr>
        <w:ind w:left="6339" w:hanging="360"/>
      </w:pPr>
      <w:rPr>
        <w:rFonts w:ascii="Wingdings" w:hAnsi="Wingdings" w:hint="default"/>
      </w:rPr>
    </w:lvl>
  </w:abstractNum>
  <w:abstractNum w:abstractNumId="10" w15:restartNumberingAfterBreak="0">
    <w:nsid w:val="2DD27CBC"/>
    <w:multiLevelType w:val="hybridMultilevel"/>
    <w:tmpl w:val="F2DC799C"/>
    <w:lvl w:ilvl="0" w:tplc="DE341C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EE61CE"/>
    <w:multiLevelType w:val="hybridMultilevel"/>
    <w:tmpl w:val="51C6B25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34642FE3"/>
    <w:multiLevelType w:val="hybridMultilevel"/>
    <w:tmpl w:val="49047734"/>
    <w:lvl w:ilvl="0" w:tplc="A6E8AB9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38C93840"/>
    <w:multiLevelType w:val="hybridMultilevel"/>
    <w:tmpl w:val="7040BEA6"/>
    <w:lvl w:ilvl="0" w:tplc="5456ED0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273537"/>
    <w:multiLevelType w:val="hybridMultilevel"/>
    <w:tmpl w:val="9C0885BE"/>
    <w:lvl w:ilvl="0" w:tplc="9EE669FC">
      <w:start w:val="1"/>
      <w:numFmt w:val="bullet"/>
      <w:lvlText w:val="-"/>
      <w:lvlJc w:val="left"/>
      <w:pPr>
        <w:ind w:left="643" w:hanging="360"/>
      </w:pPr>
      <w:rPr>
        <w:rFonts w:ascii="Arial" w:hAnsi="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15" w15:restartNumberingAfterBreak="0">
    <w:nsid w:val="3CC057D4"/>
    <w:multiLevelType w:val="hybridMultilevel"/>
    <w:tmpl w:val="26DC2390"/>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57432CD"/>
    <w:multiLevelType w:val="hybridMultilevel"/>
    <w:tmpl w:val="3D28B1D4"/>
    <w:lvl w:ilvl="0" w:tplc="65D414A6">
      <w:start w:val="2"/>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4B303BAE"/>
    <w:multiLevelType w:val="hybridMultilevel"/>
    <w:tmpl w:val="D85499B0"/>
    <w:lvl w:ilvl="0" w:tplc="73F61C6C">
      <w:start w:val="1"/>
      <w:numFmt w:val="lowerLetter"/>
      <w:lvlText w:val="%1)"/>
      <w:lvlJc w:val="left"/>
      <w:pPr>
        <w:ind w:left="360" w:hanging="360"/>
      </w:pPr>
      <w:rPr>
        <w:rFonts w:asciiTheme="minorHAnsi" w:hAnsiTheme="minorHAnsi" w:cstheme="minorHAnsi"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960CA1"/>
    <w:multiLevelType w:val="hybridMultilevel"/>
    <w:tmpl w:val="72F6CB14"/>
    <w:lvl w:ilvl="0" w:tplc="9EE669F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E9E5C4E"/>
    <w:multiLevelType w:val="hybridMultilevel"/>
    <w:tmpl w:val="BA0CD094"/>
    <w:lvl w:ilvl="0" w:tplc="17242012">
      <w:start w:val="12"/>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1" w15:restartNumberingAfterBreak="0">
    <w:nsid w:val="51AF6A05"/>
    <w:multiLevelType w:val="hybridMultilevel"/>
    <w:tmpl w:val="26DC239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52182AEF"/>
    <w:multiLevelType w:val="hybridMultilevel"/>
    <w:tmpl w:val="C054EB4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54E4E5B"/>
    <w:multiLevelType w:val="hybridMultilevel"/>
    <w:tmpl w:val="BDFAAB86"/>
    <w:lvl w:ilvl="0" w:tplc="9EE669FC">
      <w:start w:val="1"/>
      <w:numFmt w:val="bullet"/>
      <w:lvlText w:val="-"/>
      <w:lvlJc w:val="left"/>
      <w:pPr>
        <w:ind w:left="502" w:hanging="360"/>
      </w:pPr>
      <w:rPr>
        <w:rFonts w:ascii="Arial" w:hAnsi="Aria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4"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94729D"/>
    <w:multiLevelType w:val="hybridMultilevel"/>
    <w:tmpl w:val="9C944BF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5EFE7F4F"/>
    <w:multiLevelType w:val="hybridMultilevel"/>
    <w:tmpl w:val="6850341E"/>
    <w:lvl w:ilvl="0" w:tplc="DE341CAC">
      <w:start w:val="1"/>
      <w:numFmt w:val="bullet"/>
      <w:lvlText w:val=""/>
      <w:lvlJc w:val="left"/>
      <w:pPr>
        <w:ind w:left="720" w:hanging="360"/>
      </w:pPr>
      <w:rPr>
        <w:rFonts w:ascii="Symbol" w:hAnsi="Symbol" w:hint="default"/>
      </w:rPr>
    </w:lvl>
    <w:lvl w:ilvl="1" w:tplc="08100003">
      <w:start w:val="1"/>
      <w:numFmt w:val="bullet"/>
      <w:lvlText w:val="o"/>
      <w:lvlJc w:val="left"/>
      <w:pPr>
        <w:ind w:left="1352"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30D2FA4"/>
    <w:multiLevelType w:val="hybridMultilevel"/>
    <w:tmpl w:val="623C3456"/>
    <w:lvl w:ilvl="0" w:tplc="6792B322">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8" w15:restartNumberingAfterBreak="0">
    <w:nsid w:val="66662EF5"/>
    <w:multiLevelType w:val="hybridMultilevel"/>
    <w:tmpl w:val="623C3456"/>
    <w:lvl w:ilvl="0" w:tplc="6792B322">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A756661"/>
    <w:multiLevelType w:val="hybridMultilevel"/>
    <w:tmpl w:val="26DC239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73D57B21"/>
    <w:multiLevelType w:val="hybridMultilevel"/>
    <w:tmpl w:val="C85614E6"/>
    <w:lvl w:ilvl="0" w:tplc="0810000D">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4" w15:restartNumberingAfterBreak="0">
    <w:nsid w:val="77C64607"/>
    <w:multiLevelType w:val="multilevel"/>
    <w:tmpl w:val="7A6C037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1"/>
  </w:num>
  <w:num w:numId="2">
    <w:abstractNumId w:val="31"/>
  </w:num>
  <w:num w:numId="3">
    <w:abstractNumId w:val="35"/>
  </w:num>
  <w:num w:numId="4">
    <w:abstractNumId w:val="1"/>
  </w:num>
  <w:num w:numId="5">
    <w:abstractNumId w:val="16"/>
  </w:num>
  <w:num w:numId="6">
    <w:abstractNumId w:val="0"/>
  </w:num>
  <w:num w:numId="7">
    <w:abstractNumId w:val="32"/>
  </w:num>
  <w:num w:numId="8">
    <w:abstractNumId w:val="5"/>
  </w:num>
  <w:num w:numId="9">
    <w:abstractNumId w:val="29"/>
  </w:num>
  <w:num w:numId="10">
    <w:abstractNumId w:val="24"/>
  </w:num>
  <w:num w:numId="11">
    <w:abstractNumId w:val="8"/>
  </w:num>
  <w:num w:numId="12">
    <w:abstractNumId w:val="23"/>
  </w:num>
  <w:num w:numId="13">
    <w:abstractNumId w:val="14"/>
  </w:num>
  <w:num w:numId="14">
    <w:abstractNumId w:val="33"/>
  </w:num>
  <w:num w:numId="15">
    <w:abstractNumId w:val="11"/>
  </w:num>
  <w:num w:numId="16">
    <w:abstractNumId w:val="34"/>
  </w:num>
  <w:num w:numId="17">
    <w:abstractNumId w:val="13"/>
  </w:num>
  <w:num w:numId="18">
    <w:abstractNumId w:val="18"/>
  </w:num>
  <w:num w:numId="19">
    <w:abstractNumId w:val="4"/>
  </w:num>
  <w:num w:numId="20">
    <w:abstractNumId w:val="26"/>
  </w:num>
  <w:num w:numId="21">
    <w:abstractNumId w:val="12"/>
  </w:num>
  <w:num w:numId="22">
    <w:abstractNumId w:val="21"/>
  </w:num>
  <w:num w:numId="23">
    <w:abstractNumId w:val="25"/>
  </w:num>
  <w:num w:numId="24">
    <w:abstractNumId w:val="30"/>
  </w:num>
  <w:num w:numId="25">
    <w:abstractNumId w:val="7"/>
  </w:num>
  <w:num w:numId="26">
    <w:abstractNumId w:val="17"/>
  </w:num>
  <w:num w:numId="27">
    <w:abstractNumId w:val="3"/>
  </w:num>
  <w:num w:numId="28">
    <w:abstractNumId w:val="28"/>
  </w:num>
  <w:num w:numId="29">
    <w:abstractNumId w:val="6"/>
  </w:num>
  <w:num w:numId="30">
    <w:abstractNumId w:val="15"/>
  </w:num>
  <w:num w:numId="31">
    <w:abstractNumId w:val="20"/>
  </w:num>
  <w:num w:numId="32">
    <w:abstractNumId w:val="27"/>
  </w:num>
  <w:num w:numId="33">
    <w:abstractNumId w:val="2"/>
  </w:num>
  <w:num w:numId="34">
    <w:abstractNumId w:val="10"/>
  </w:num>
  <w:num w:numId="35">
    <w:abstractNumId w:val="9"/>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07"/>
    <w:rsid w:val="0001002B"/>
    <w:rsid w:val="00076E70"/>
    <w:rsid w:val="000D43CB"/>
    <w:rsid w:val="001574D7"/>
    <w:rsid w:val="001F0E0A"/>
    <w:rsid w:val="00260C8C"/>
    <w:rsid w:val="002677DC"/>
    <w:rsid w:val="002D3B64"/>
    <w:rsid w:val="002E5E40"/>
    <w:rsid w:val="00401E21"/>
    <w:rsid w:val="00452BAB"/>
    <w:rsid w:val="004C7232"/>
    <w:rsid w:val="0052425A"/>
    <w:rsid w:val="00586A8D"/>
    <w:rsid w:val="005923C1"/>
    <w:rsid w:val="005B19BB"/>
    <w:rsid w:val="006C17AA"/>
    <w:rsid w:val="006D7A3B"/>
    <w:rsid w:val="006E4AE2"/>
    <w:rsid w:val="007352D3"/>
    <w:rsid w:val="007B5462"/>
    <w:rsid w:val="008034BD"/>
    <w:rsid w:val="00876352"/>
    <w:rsid w:val="008B2655"/>
    <w:rsid w:val="008B4137"/>
    <w:rsid w:val="008C767A"/>
    <w:rsid w:val="008E77C6"/>
    <w:rsid w:val="008F10EB"/>
    <w:rsid w:val="009770BB"/>
    <w:rsid w:val="009E008D"/>
    <w:rsid w:val="009F08EC"/>
    <w:rsid w:val="00A0486F"/>
    <w:rsid w:val="00A14D89"/>
    <w:rsid w:val="00A5465F"/>
    <w:rsid w:val="00A77678"/>
    <w:rsid w:val="00B860C2"/>
    <w:rsid w:val="00BC4C95"/>
    <w:rsid w:val="00BD5944"/>
    <w:rsid w:val="00BE3B18"/>
    <w:rsid w:val="00C840BD"/>
    <w:rsid w:val="00CC59CF"/>
    <w:rsid w:val="00CD0D07"/>
    <w:rsid w:val="00CD7131"/>
    <w:rsid w:val="00CF6858"/>
    <w:rsid w:val="00D377B5"/>
    <w:rsid w:val="00D93B31"/>
    <w:rsid w:val="00DC04E2"/>
    <w:rsid w:val="00DE5307"/>
    <w:rsid w:val="00E505DB"/>
    <w:rsid w:val="00E765A9"/>
    <w:rsid w:val="00F22BA7"/>
    <w:rsid w:val="00FC28C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7B7F"/>
  <w15:docId w15:val="{9BA3F302-71D0-4840-B9AF-20C5E3B0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5B19BB"/>
    <w:pPr>
      <w:spacing w:before="100" w:beforeAutospacing="1" w:after="100" w:afterAutospacing="1"/>
      <w:jc w:val="left"/>
    </w:pPr>
    <w:rPr>
      <w:rFonts w:ascii="Times New Roman" w:eastAsiaTheme="minorHAnsi" w:hAnsi="Times New Roman"/>
      <w:szCs w:val="24"/>
      <w:lang w:val="it-IT" w:eastAsia="it-IT"/>
    </w:rPr>
  </w:style>
  <w:style w:type="paragraph" w:styleId="Testonotaapidipagina">
    <w:name w:val="footnote text"/>
    <w:basedOn w:val="Normale"/>
    <w:link w:val="TestonotaapidipaginaCarattere"/>
    <w:uiPriority w:val="99"/>
    <w:semiHidden/>
    <w:unhideWhenUsed/>
    <w:rsid w:val="005B19BB"/>
    <w:pPr>
      <w:jc w:val="left"/>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5B19BB"/>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5B19BB"/>
    <w:rPr>
      <w:vertAlign w:val="superscript"/>
    </w:rPr>
  </w:style>
  <w:style w:type="character" w:customStyle="1" w:styleId="apple-converted-space">
    <w:name w:val="apple-converted-space"/>
    <w:basedOn w:val="Carpredefinitoparagrafo"/>
    <w:rsid w:val="005B19BB"/>
  </w:style>
  <w:style w:type="character" w:styleId="Collegamentoipertestuale">
    <w:name w:val="Hyperlink"/>
    <w:basedOn w:val="Carpredefinitoparagrafo"/>
    <w:uiPriority w:val="99"/>
    <w:semiHidden/>
    <w:unhideWhenUsed/>
    <w:rsid w:val="005B19BB"/>
    <w:rPr>
      <w:color w:val="0000FF"/>
      <w:u w:val="single"/>
    </w:rPr>
  </w:style>
  <w:style w:type="character" w:styleId="Numeropagina">
    <w:name w:val="page number"/>
    <w:basedOn w:val="Carpredefinitoparagrafo"/>
    <w:uiPriority w:val="99"/>
    <w:semiHidden/>
    <w:unhideWhenUsed/>
    <w:rsid w:val="005B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D7EB-994A-45F4-ABA1-01E58235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7809</Words>
  <Characters>44516</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2021-03-03T10:09:00Z</cp:lastPrinted>
  <dcterms:created xsi:type="dcterms:W3CDTF">2021-03-03T10:15:00Z</dcterms:created>
  <dcterms:modified xsi:type="dcterms:W3CDTF">2021-03-03T10:15:00Z</dcterms:modified>
</cp:coreProperties>
</file>