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D3" w:rsidRDefault="00BC13D3" w:rsidP="00BC13D3">
      <w:pPr>
        <w:rPr>
          <w:rFonts w:cs="Arial"/>
          <w:sz w:val="20"/>
          <w:szCs w:val="20"/>
        </w:rPr>
      </w:pPr>
      <w:r>
        <w:rPr>
          <w:rFonts w:ascii="Gill Sans MT" w:hAnsi="Gill Sans MT"/>
          <w:b/>
          <w:sz w:val="56"/>
          <w:szCs w:val="56"/>
        </w:rPr>
        <w:t>Rapporto</w:t>
      </w:r>
    </w:p>
    <w:p w:rsidR="00B860C2" w:rsidRPr="00BC13D3" w:rsidRDefault="00B860C2" w:rsidP="00B860C2">
      <w:pPr>
        <w:rPr>
          <w:rFonts w:cs="Arial"/>
          <w:sz w:val="18"/>
          <w:szCs w:val="18"/>
        </w:rPr>
      </w:pPr>
    </w:p>
    <w:p w:rsidR="00BC13D3" w:rsidRPr="00BC13D3" w:rsidRDefault="00BC13D3" w:rsidP="00B860C2">
      <w:pPr>
        <w:rPr>
          <w:rFonts w:cs="Arial"/>
          <w:sz w:val="18"/>
          <w:szCs w:val="18"/>
        </w:rPr>
      </w:pPr>
    </w:p>
    <w:p w:rsidR="00B860C2" w:rsidRDefault="00AE224B" w:rsidP="00B860C2">
      <w:pPr>
        <w:tabs>
          <w:tab w:val="left" w:pos="2098"/>
          <w:tab w:val="left" w:pos="4933"/>
        </w:tabs>
        <w:rPr>
          <w:rFonts w:cs="Arial"/>
          <w:szCs w:val="24"/>
        </w:rPr>
      </w:pPr>
      <w:r>
        <w:rPr>
          <w:rFonts w:cs="Arial"/>
          <w:b/>
          <w:sz w:val="32"/>
          <w:szCs w:val="32"/>
        </w:rPr>
        <w:t>7</w:t>
      </w:r>
      <w:bookmarkStart w:id="0" w:name="_GoBack"/>
      <w:bookmarkEnd w:id="0"/>
      <w:r>
        <w:rPr>
          <w:rFonts w:cs="Arial"/>
          <w:b/>
          <w:sz w:val="32"/>
          <w:szCs w:val="32"/>
        </w:rPr>
        <w:t>929</w:t>
      </w:r>
      <w:r w:rsidR="00B860C2" w:rsidRPr="008B4137">
        <w:rPr>
          <w:rFonts w:cs="Arial"/>
          <w:b/>
          <w:sz w:val="32"/>
          <w:szCs w:val="32"/>
        </w:rPr>
        <w:t xml:space="preserve"> R</w:t>
      </w:r>
      <w:r w:rsidR="00B860C2" w:rsidRPr="008B4137">
        <w:rPr>
          <w:rFonts w:cs="Arial"/>
          <w:sz w:val="28"/>
          <w:szCs w:val="28"/>
        </w:rPr>
        <w:tab/>
      </w:r>
      <w:r>
        <w:rPr>
          <w:rFonts w:cs="Arial"/>
          <w:sz w:val="28"/>
          <w:szCs w:val="28"/>
        </w:rPr>
        <w:t>25 febbraio 2021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AE224B">
        <w:rPr>
          <w:rFonts w:cs="Arial"/>
          <w:b/>
          <w:sz w:val="28"/>
          <w:szCs w:val="28"/>
        </w:rPr>
        <w:t>ambiente, territorio ed energia</w:t>
      </w:r>
    </w:p>
    <w:p w:rsidR="00AE224B" w:rsidRPr="00950F18" w:rsidRDefault="00B860C2" w:rsidP="00AE224B">
      <w:pPr>
        <w:rPr>
          <w:rFonts w:cs="Arial"/>
          <w:b/>
          <w:sz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AE224B">
        <w:rPr>
          <w:rFonts w:cs="Arial"/>
          <w:b/>
          <w:sz w:val="28"/>
        </w:rPr>
        <w:t>18 novembre 2020 concernente l’a</w:t>
      </w:r>
      <w:r w:rsidR="00AE224B" w:rsidRPr="000D598B">
        <w:rPr>
          <w:rFonts w:cs="Arial"/>
          <w:b/>
          <w:sz w:val="28"/>
        </w:rPr>
        <w:t xml:space="preserve">pprovazione del progetto e del preventivo per gli interventi di ripristino dei danni alluvionali dell’11 giugno 2019 a manufatti stradali con interessi agricoli nel Comune di </w:t>
      </w:r>
      <w:proofErr w:type="spellStart"/>
      <w:r w:rsidR="00AE224B" w:rsidRPr="000D598B">
        <w:rPr>
          <w:rFonts w:cs="Arial"/>
          <w:b/>
          <w:sz w:val="28"/>
        </w:rPr>
        <w:t>Acquarossa</w:t>
      </w:r>
      <w:proofErr w:type="spellEnd"/>
      <w:r w:rsidR="00AE224B" w:rsidRPr="000D598B">
        <w:rPr>
          <w:rFonts w:cs="Arial"/>
          <w:b/>
          <w:sz w:val="28"/>
        </w:rPr>
        <w:t xml:space="preserve"> e stanziamento del relativo contributo massimo di CHF 734'</w:t>
      </w:r>
      <w:proofErr w:type="gramStart"/>
      <w:r w:rsidR="00AE224B" w:rsidRPr="000D598B">
        <w:rPr>
          <w:rFonts w:cs="Arial"/>
          <w:b/>
          <w:sz w:val="28"/>
        </w:rPr>
        <w:t>652.--</w:t>
      </w:r>
      <w:proofErr w:type="gramEnd"/>
    </w:p>
    <w:p w:rsidR="00B860C2" w:rsidRPr="002E03A8" w:rsidRDefault="00B860C2" w:rsidP="00B860C2">
      <w:pPr>
        <w:rPr>
          <w:rFonts w:cs="Arial"/>
          <w:sz w:val="21"/>
          <w:szCs w:val="21"/>
        </w:rPr>
      </w:pPr>
    </w:p>
    <w:p w:rsidR="00B860C2" w:rsidRPr="002E03A8" w:rsidRDefault="00B860C2" w:rsidP="00B860C2">
      <w:pPr>
        <w:rPr>
          <w:rFonts w:cs="Arial"/>
          <w:sz w:val="21"/>
          <w:szCs w:val="21"/>
        </w:rPr>
      </w:pPr>
    </w:p>
    <w:p w:rsidR="00B860C2" w:rsidRPr="002E03A8" w:rsidRDefault="00B860C2" w:rsidP="00B860C2">
      <w:pPr>
        <w:rPr>
          <w:rFonts w:cs="Arial"/>
          <w:sz w:val="21"/>
          <w:szCs w:val="21"/>
        </w:rPr>
      </w:pPr>
    </w:p>
    <w:p w:rsidR="00AE224B" w:rsidRPr="0013549E" w:rsidRDefault="00AE224B" w:rsidP="00AE224B">
      <w:pPr>
        <w:pStyle w:val="Titolo1"/>
      </w:pPr>
      <w:r>
        <w:t>i danni e GLI INTERVENTI</w:t>
      </w:r>
    </w:p>
    <w:p w:rsidR="00AE224B" w:rsidRDefault="00AE224B" w:rsidP="00AE224B">
      <w:pPr>
        <w:rPr>
          <w:rFonts w:cs="Arial"/>
        </w:rPr>
      </w:pPr>
      <w:r>
        <w:rPr>
          <w:rFonts w:cs="Arial"/>
        </w:rPr>
        <w:t xml:space="preserve">Nella notte fra lunedì 10 giugno e martedì 11 giugno 2019 un’ondata di maltempo ha investito la Svizzera: grandi </w:t>
      </w:r>
      <w:r w:rsidRPr="0071691E">
        <w:rPr>
          <w:rFonts w:cs="Arial"/>
        </w:rPr>
        <w:t>quantità di pioggia</w:t>
      </w:r>
      <w:r>
        <w:rPr>
          <w:rFonts w:cs="Arial"/>
        </w:rPr>
        <w:t>,</w:t>
      </w:r>
      <w:r w:rsidRPr="0071691E">
        <w:rPr>
          <w:rFonts w:cs="Arial"/>
        </w:rPr>
        <w:t xml:space="preserve"> frane e smottamenti</w:t>
      </w:r>
      <w:r>
        <w:rPr>
          <w:rFonts w:cs="Arial"/>
        </w:rPr>
        <w:t xml:space="preserve"> hanno causato ingenti danni. Anche il Ticino è stato colpito. In territorio di </w:t>
      </w:r>
      <w:proofErr w:type="spellStart"/>
      <w:r>
        <w:rPr>
          <w:rFonts w:cs="Arial"/>
        </w:rPr>
        <w:t>Acquarossa</w:t>
      </w:r>
      <w:proofErr w:type="spellEnd"/>
      <w:r>
        <w:rPr>
          <w:rFonts w:cs="Arial"/>
        </w:rPr>
        <w:t xml:space="preserve"> l’aumento della portata dei corsi d’acqua ha danneggiato</w:t>
      </w:r>
      <w:r w:rsidRPr="001231BF">
        <w:rPr>
          <w:rFonts w:cs="Arial"/>
        </w:rPr>
        <w:t xml:space="preserve"> </w:t>
      </w:r>
      <w:r>
        <w:rPr>
          <w:rFonts w:cs="Arial"/>
        </w:rPr>
        <w:t>strade e ponti, in particolare</w:t>
      </w:r>
      <w:r w:rsidRPr="00B50E90">
        <w:rPr>
          <w:rFonts w:cs="Arial"/>
        </w:rPr>
        <w:t xml:space="preserve"> nella zona dei monti di </w:t>
      </w:r>
      <w:proofErr w:type="spellStart"/>
      <w:r w:rsidRPr="00B50E90">
        <w:rPr>
          <w:rFonts w:cs="Arial"/>
        </w:rPr>
        <w:t>Marolta</w:t>
      </w:r>
      <w:proofErr w:type="spellEnd"/>
      <w:r w:rsidRPr="00B50E90">
        <w:rPr>
          <w:rFonts w:cs="Arial"/>
        </w:rPr>
        <w:t xml:space="preserve"> e Ponto Valentino</w:t>
      </w:r>
      <w:r>
        <w:rPr>
          <w:rFonts w:cs="Arial"/>
        </w:rPr>
        <w:t>.</w:t>
      </w:r>
    </w:p>
    <w:p w:rsidR="00AE224B" w:rsidRPr="002E03A8" w:rsidRDefault="00AE224B" w:rsidP="00AE224B">
      <w:pPr>
        <w:rPr>
          <w:rFonts w:cs="Arial"/>
          <w:sz w:val="21"/>
          <w:szCs w:val="21"/>
        </w:rPr>
      </w:pPr>
    </w:p>
    <w:p w:rsidR="00AE224B" w:rsidRDefault="00AE224B" w:rsidP="00AE224B">
      <w:pPr>
        <w:rPr>
          <w:rFonts w:cs="Arial"/>
        </w:rPr>
      </w:pPr>
      <w:r w:rsidRPr="00B50E90">
        <w:rPr>
          <w:rFonts w:cs="Arial"/>
        </w:rPr>
        <w:t>Il</w:t>
      </w:r>
      <w:r>
        <w:rPr>
          <w:rFonts w:cs="Arial"/>
        </w:rPr>
        <w:t xml:space="preserve"> </w:t>
      </w:r>
      <w:r w:rsidRPr="00B50E90">
        <w:rPr>
          <w:rFonts w:cs="Arial"/>
        </w:rPr>
        <w:t>Municipio</w:t>
      </w:r>
      <w:r>
        <w:rPr>
          <w:rFonts w:cs="Arial"/>
        </w:rPr>
        <w:t xml:space="preserve"> di </w:t>
      </w:r>
      <w:proofErr w:type="spellStart"/>
      <w:r>
        <w:rPr>
          <w:rFonts w:cs="Arial"/>
        </w:rPr>
        <w:t>Acquarossa</w:t>
      </w:r>
      <w:proofErr w:type="spellEnd"/>
      <w:r w:rsidRPr="00B50E90">
        <w:rPr>
          <w:rFonts w:cs="Arial"/>
        </w:rPr>
        <w:t>, il</w:t>
      </w:r>
      <w:r>
        <w:rPr>
          <w:rFonts w:cs="Arial"/>
        </w:rPr>
        <w:t xml:space="preserve"> </w:t>
      </w:r>
      <w:r w:rsidRPr="00B50E90">
        <w:rPr>
          <w:rFonts w:cs="Arial"/>
        </w:rPr>
        <w:t xml:space="preserve">Consorzio arginature Alta </w:t>
      </w:r>
      <w:proofErr w:type="spellStart"/>
      <w:r w:rsidRPr="00B50E90">
        <w:rPr>
          <w:rFonts w:cs="Arial"/>
        </w:rPr>
        <w:t>Blenio</w:t>
      </w:r>
      <w:proofErr w:type="spellEnd"/>
      <w:r w:rsidRPr="00B50E90">
        <w:rPr>
          <w:rFonts w:cs="Arial"/>
        </w:rPr>
        <w:t xml:space="preserve"> e l’Ufficio forestale di zona</w:t>
      </w:r>
      <w:r>
        <w:rPr>
          <w:rFonts w:cs="Arial"/>
        </w:rPr>
        <w:t>,</w:t>
      </w:r>
      <w:r w:rsidRPr="00B50E90">
        <w:t xml:space="preserve"> </w:t>
      </w:r>
      <w:r w:rsidRPr="00B50E90">
        <w:rPr>
          <w:rFonts w:cs="Arial"/>
        </w:rPr>
        <w:t>con l’accordo della Sezione dell’agricoltura e dell’Ufficio federale dell’agricoltura</w:t>
      </w:r>
      <w:r>
        <w:rPr>
          <w:rFonts w:cs="Arial"/>
        </w:rPr>
        <w:t xml:space="preserve"> (UFAG),</w:t>
      </w:r>
      <w:r w:rsidRPr="00B50E90">
        <w:rPr>
          <w:rFonts w:cs="Arial"/>
        </w:rPr>
        <w:t xml:space="preserve"> </w:t>
      </w:r>
      <w:r>
        <w:rPr>
          <w:rFonts w:cs="Arial"/>
        </w:rPr>
        <w:t xml:space="preserve">hanno provveduto </w:t>
      </w:r>
      <w:r w:rsidRPr="00B50E90">
        <w:rPr>
          <w:rFonts w:cs="Arial"/>
        </w:rPr>
        <w:t xml:space="preserve">immediatamente </w:t>
      </w:r>
      <w:r>
        <w:rPr>
          <w:rFonts w:cs="Arial"/>
        </w:rPr>
        <w:t xml:space="preserve">agli interventi più urgenti su manufatti e infrastrutture per </w:t>
      </w:r>
      <w:r w:rsidRPr="00B50E90">
        <w:rPr>
          <w:rFonts w:cs="Arial"/>
        </w:rPr>
        <w:t>garantire la sicurezza</w:t>
      </w:r>
      <w:r>
        <w:rPr>
          <w:rFonts w:cs="Arial"/>
        </w:rPr>
        <w:t xml:space="preserve"> de</w:t>
      </w:r>
      <w:r w:rsidRPr="00B50E90">
        <w:rPr>
          <w:rFonts w:cs="Arial"/>
        </w:rPr>
        <w:t>gli abitanti</w:t>
      </w:r>
      <w:r>
        <w:rPr>
          <w:rFonts w:cs="Arial"/>
        </w:rPr>
        <w:t xml:space="preserve">. Constatati i danni, il Comune ha poi incaricato uno studio di ingegneria </w:t>
      </w:r>
      <w:r w:rsidRPr="00B50E90">
        <w:rPr>
          <w:rFonts w:cs="Arial"/>
        </w:rPr>
        <w:t>di procedere alle valutazioni necessarie ad allestire un</w:t>
      </w:r>
      <w:r>
        <w:rPr>
          <w:rFonts w:cs="Arial"/>
        </w:rPr>
        <w:t xml:space="preserve"> </w:t>
      </w:r>
      <w:r w:rsidRPr="00B50E90">
        <w:rPr>
          <w:rFonts w:cs="Arial"/>
        </w:rPr>
        <w:t xml:space="preserve">incarto di progetto con relativo preventivo di spesa da sottoporre alla Sezione </w:t>
      </w:r>
      <w:r>
        <w:rPr>
          <w:rFonts w:cs="Arial"/>
        </w:rPr>
        <w:t>dell’</w:t>
      </w:r>
      <w:r w:rsidRPr="00B50E90">
        <w:rPr>
          <w:rFonts w:cs="Arial"/>
        </w:rPr>
        <w:t>agricoltura</w:t>
      </w:r>
      <w:r>
        <w:rPr>
          <w:rFonts w:cs="Arial"/>
        </w:rPr>
        <w:t>. L’importante presenza nella zona di aziende agricole rende necessario intervenire il più rapidamente possibile, affinché gli agricoltori non siano oltremodo ostacolati nelle loro attività.</w:t>
      </w:r>
    </w:p>
    <w:p w:rsidR="00AE224B" w:rsidRPr="002E03A8" w:rsidRDefault="00AE224B" w:rsidP="00AE224B">
      <w:pPr>
        <w:rPr>
          <w:rFonts w:cs="Arial"/>
          <w:sz w:val="21"/>
          <w:szCs w:val="21"/>
        </w:rPr>
      </w:pPr>
    </w:p>
    <w:p w:rsidR="00AE224B" w:rsidRPr="002E03A8" w:rsidRDefault="00AE224B" w:rsidP="00AE224B">
      <w:pPr>
        <w:rPr>
          <w:rFonts w:cs="Arial"/>
          <w:sz w:val="21"/>
          <w:szCs w:val="21"/>
        </w:rPr>
      </w:pPr>
      <w:r>
        <w:rPr>
          <w:rFonts w:cs="Arial"/>
        </w:rPr>
        <w:t>Dopo un’attenta valutazione della situazione, sono stati</w:t>
      </w:r>
      <w:r w:rsidRPr="00046011">
        <w:rPr>
          <w:rFonts w:cs="Arial"/>
        </w:rPr>
        <w:t xml:space="preserve"> </w:t>
      </w:r>
      <w:r>
        <w:rPr>
          <w:rFonts w:cs="Arial"/>
        </w:rPr>
        <w:t xml:space="preserve">individuati 40 luoghi di intervento, indicando per ognuno </w:t>
      </w:r>
      <w:r w:rsidRPr="00B50E90">
        <w:rPr>
          <w:rFonts w:cs="Arial"/>
        </w:rPr>
        <w:t>le</w:t>
      </w:r>
      <w:r>
        <w:rPr>
          <w:rFonts w:cs="Arial"/>
        </w:rPr>
        <w:t xml:space="preserve"> </w:t>
      </w:r>
      <w:r w:rsidRPr="00B50E90">
        <w:rPr>
          <w:rFonts w:cs="Arial"/>
        </w:rPr>
        <w:t>soluzioni migliori dal profilo tecnico-economico per il ripristino dei danni</w:t>
      </w:r>
      <w:r>
        <w:rPr>
          <w:rFonts w:cs="Arial"/>
        </w:rPr>
        <w:t xml:space="preserve">. Il progetto non ha contemplato </w:t>
      </w:r>
      <w:r w:rsidRPr="00BD784F">
        <w:rPr>
          <w:rFonts w:cs="Arial"/>
        </w:rPr>
        <w:t xml:space="preserve">il rifacimento </w:t>
      </w:r>
      <w:r>
        <w:rPr>
          <w:rFonts w:cs="Arial"/>
        </w:rPr>
        <w:t xml:space="preserve">e ampliamento </w:t>
      </w:r>
      <w:r w:rsidRPr="00BD784F">
        <w:rPr>
          <w:rFonts w:cs="Arial"/>
        </w:rPr>
        <w:t>del ponte stradale che</w:t>
      </w:r>
      <w:r>
        <w:rPr>
          <w:rFonts w:cs="Arial"/>
        </w:rPr>
        <w:t xml:space="preserve"> </w:t>
      </w:r>
      <w:r w:rsidRPr="00BD784F">
        <w:rPr>
          <w:rFonts w:cs="Arial"/>
        </w:rPr>
        <w:t xml:space="preserve">attraversa il riale di </w:t>
      </w:r>
      <w:proofErr w:type="spellStart"/>
      <w:r w:rsidRPr="00BD784F">
        <w:rPr>
          <w:rFonts w:cs="Arial"/>
        </w:rPr>
        <w:t>Marolta</w:t>
      </w:r>
      <w:proofErr w:type="spellEnd"/>
      <w:r w:rsidRPr="00BD784F">
        <w:rPr>
          <w:rFonts w:cs="Arial"/>
        </w:rPr>
        <w:t xml:space="preserve"> in zona Taverna</w:t>
      </w:r>
      <w:r>
        <w:rPr>
          <w:rFonts w:cs="Arial"/>
        </w:rPr>
        <w:t xml:space="preserve">, avviato nell’ambito dei </w:t>
      </w:r>
      <w:r w:rsidRPr="00BD784F">
        <w:rPr>
          <w:rFonts w:cs="Arial"/>
        </w:rPr>
        <w:t xml:space="preserve">lavori di arginatura </w:t>
      </w:r>
      <w:r>
        <w:rPr>
          <w:rFonts w:cs="Arial"/>
        </w:rPr>
        <w:t>commissionati</w:t>
      </w:r>
      <w:r w:rsidRPr="00BD784F">
        <w:rPr>
          <w:rFonts w:cs="Arial"/>
        </w:rPr>
        <w:t xml:space="preserve"> </w:t>
      </w:r>
      <w:r>
        <w:rPr>
          <w:rFonts w:cs="Arial"/>
        </w:rPr>
        <w:t>da</w:t>
      </w:r>
      <w:r w:rsidRPr="00BD784F">
        <w:rPr>
          <w:rFonts w:cs="Arial"/>
        </w:rPr>
        <w:t>l</w:t>
      </w:r>
      <w:r>
        <w:rPr>
          <w:rFonts w:cs="Arial"/>
        </w:rPr>
        <w:t xml:space="preserve"> </w:t>
      </w:r>
      <w:r w:rsidRPr="00BD784F">
        <w:rPr>
          <w:rFonts w:cs="Arial"/>
        </w:rPr>
        <w:t xml:space="preserve">Consorzio arginature alta </w:t>
      </w:r>
      <w:proofErr w:type="spellStart"/>
      <w:r w:rsidRPr="00BD784F">
        <w:rPr>
          <w:rFonts w:cs="Arial"/>
        </w:rPr>
        <w:t>Blenio</w:t>
      </w:r>
      <w:proofErr w:type="spellEnd"/>
      <w:r>
        <w:rPr>
          <w:rFonts w:cs="Arial"/>
        </w:rPr>
        <w:t xml:space="preserve">. Purtroppo le fasi progettuali hanno subito dei ritardi per problemi procedurali ed </w:t>
      </w:r>
      <w:r w:rsidRPr="00BD784F">
        <w:rPr>
          <w:rFonts w:cs="Arial"/>
        </w:rPr>
        <w:t xml:space="preserve">è stato possibile terminare il progetto definitivo del ponte solo durante l’estate 2020. </w:t>
      </w:r>
      <w:r w:rsidRPr="00B50E90">
        <w:rPr>
          <w:rFonts w:cs="Arial"/>
        </w:rPr>
        <w:cr/>
      </w:r>
    </w:p>
    <w:p w:rsidR="00AE224B" w:rsidRDefault="00AE224B" w:rsidP="00AE224B">
      <w:pPr>
        <w:rPr>
          <w:rFonts w:cs="Arial"/>
        </w:rPr>
      </w:pPr>
      <w:r>
        <w:rPr>
          <w:rFonts w:cs="Arial"/>
        </w:rPr>
        <w:t>Il progetto per il ripristino dei</w:t>
      </w:r>
      <w:r w:rsidRPr="008148D1">
        <w:rPr>
          <w:rFonts w:cs="Arial"/>
        </w:rPr>
        <w:t xml:space="preserve"> danni alluvionali </w:t>
      </w:r>
      <w:r>
        <w:rPr>
          <w:rFonts w:cs="Arial"/>
        </w:rPr>
        <w:t>ha ottenuto</w:t>
      </w:r>
      <w:r w:rsidRPr="008148D1">
        <w:rPr>
          <w:rFonts w:cs="Arial"/>
        </w:rPr>
        <w:t xml:space="preserve"> la licenza edilizia </w:t>
      </w:r>
      <w:r>
        <w:rPr>
          <w:rFonts w:cs="Arial"/>
        </w:rPr>
        <w:t>i</w:t>
      </w:r>
      <w:r w:rsidRPr="008148D1">
        <w:rPr>
          <w:rFonts w:cs="Arial"/>
        </w:rPr>
        <w:t xml:space="preserve">l 31 marzo 2020, mentre il ponte è stato preavvisato dalla Divisione delle costruzioni </w:t>
      </w:r>
      <w:r>
        <w:rPr>
          <w:rFonts w:cs="Arial"/>
        </w:rPr>
        <w:t>i</w:t>
      </w:r>
      <w:r w:rsidRPr="008148D1">
        <w:rPr>
          <w:rFonts w:cs="Arial"/>
        </w:rPr>
        <w:t>l 18 settembre 2020.</w:t>
      </w:r>
    </w:p>
    <w:p w:rsidR="002E03A8" w:rsidRPr="002E03A8" w:rsidRDefault="002E03A8" w:rsidP="00AE224B">
      <w:pPr>
        <w:rPr>
          <w:rFonts w:cs="Arial"/>
          <w:sz w:val="21"/>
          <w:szCs w:val="21"/>
        </w:rPr>
      </w:pPr>
    </w:p>
    <w:p w:rsidR="00AE224B" w:rsidRDefault="00AE224B" w:rsidP="00AE224B">
      <w:pPr>
        <w:rPr>
          <w:rFonts w:cs="Arial"/>
        </w:rPr>
      </w:pPr>
      <w:r>
        <w:rPr>
          <w:rFonts w:cs="Arial"/>
        </w:rPr>
        <w:t>L’autorizzazione all’inizio dei lavori è stata concessa dall</w:t>
      </w:r>
      <w:r w:rsidRPr="00BD784F">
        <w:rPr>
          <w:rFonts w:cs="Arial"/>
        </w:rPr>
        <w:t xml:space="preserve">a Sezione dell’agricoltura e </w:t>
      </w:r>
      <w:r>
        <w:rPr>
          <w:rFonts w:cs="Arial"/>
        </w:rPr>
        <w:t>dall’UFAG</w:t>
      </w:r>
      <w:r w:rsidRPr="00BD784F">
        <w:rPr>
          <w:rFonts w:cs="Arial"/>
        </w:rPr>
        <w:t xml:space="preserve"> il 10 luglio 2020. </w:t>
      </w:r>
      <w:r>
        <w:rPr>
          <w:rFonts w:cs="Arial"/>
        </w:rPr>
        <w:t>P</w:t>
      </w:r>
      <w:r w:rsidRPr="00BD784F">
        <w:rPr>
          <w:rFonts w:cs="Arial"/>
        </w:rPr>
        <w:t xml:space="preserve">er il ponte in località Taverna, l’autorizzazione all’inizio anticipato </w:t>
      </w:r>
      <w:r>
        <w:rPr>
          <w:rFonts w:cs="Arial"/>
        </w:rPr>
        <w:t>è stata concessa dal</w:t>
      </w:r>
      <w:r w:rsidRPr="00BD784F">
        <w:rPr>
          <w:rFonts w:cs="Arial"/>
        </w:rPr>
        <w:t>la Sezione dell’agricoltura l’8 settembre 2020</w:t>
      </w:r>
      <w:r>
        <w:rPr>
          <w:rFonts w:cs="Arial"/>
        </w:rPr>
        <w:t xml:space="preserve"> e dal</w:t>
      </w:r>
      <w:r w:rsidRPr="00BD784F">
        <w:rPr>
          <w:rFonts w:cs="Arial"/>
        </w:rPr>
        <w:t>l’UFAG il 3 settembre 2020.</w:t>
      </w:r>
    </w:p>
    <w:p w:rsidR="00AE224B" w:rsidRPr="002E03A8" w:rsidRDefault="00AE224B" w:rsidP="00AE224B">
      <w:pPr>
        <w:rPr>
          <w:rFonts w:cs="Arial"/>
          <w:sz w:val="21"/>
          <w:szCs w:val="21"/>
        </w:rPr>
      </w:pPr>
    </w:p>
    <w:p w:rsidR="00BC13D3" w:rsidRDefault="00AE224B" w:rsidP="00AE224B">
      <w:pPr>
        <w:rPr>
          <w:rFonts w:cs="Arial"/>
        </w:rPr>
        <w:sectPr w:rsidR="00BC13D3" w:rsidSect="002E03A8">
          <w:footerReference w:type="default" r:id="rId8"/>
          <w:pgSz w:w="11906" w:h="16838"/>
          <w:pgMar w:top="1418" w:right="1134" w:bottom="1021" w:left="1134" w:header="709" w:footer="567" w:gutter="0"/>
          <w:cols w:space="708"/>
          <w:docGrid w:linePitch="360"/>
        </w:sectPr>
      </w:pPr>
      <w:r>
        <w:rPr>
          <w:rFonts w:cs="Arial"/>
        </w:rPr>
        <w:t>Per i dettagli sui singoli interventi, si rimanda al capitolo 3 del messaggio.</w:t>
      </w:r>
    </w:p>
    <w:p w:rsidR="00AE224B" w:rsidRDefault="00AE224B" w:rsidP="00AE224B">
      <w:pPr>
        <w:pStyle w:val="Titolo1"/>
      </w:pPr>
      <w:r>
        <w:lastRenderedPageBreak/>
        <w:t>preventivi e finanziamenti</w:t>
      </w:r>
    </w:p>
    <w:p w:rsidR="00AE224B" w:rsidRPr="002E03A8" w:rsidRDefault="00AE224B" w:rsidP="00AE224B">
      <w:pPr>
        <w:spacing w:after="120"/>
        <w:rPr>
          <w:rFonts w:cs="Arial"/>
          <w:b/>
          <w:bCs/>
          <w:sz w:val="22"/>
        </w:rPr>
      </w:pPr>
      <w:r w:rsidRPr="002E03A8">
        <w:rPr>
          <w:rFonts w:cs="Arial"/>
          <w:b/>
          <w:bCs/>
          <w:sz w:val="22"/>
        </w:rPr>
        <w:t>Preventivo di spesa</w:t>
      </w:r>
    </w:p>
    <w:tbl>
      <w:tblPr>
        <w:tblW w:w="9781" w:type="dxa"/>
        <w:tblLook w:val="04A0" w:firstRow="1" w:lastRow="0" w:firstColumn="1" w:lastColumn="0" w:noHBand="0" w:noVBand="1"/>
      </w:tblPr>
      <w:tblGrid>
        <w:gridCol w:w="6661"/>
        <w:gridCol w:w="710"/>
        <w:gridCol w:w="2410"/>
      </w:tblGrid>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da impresario costruttore (vari danni alluvionali,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652'926.10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da impresario costruttore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384'847.88</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di pavimentazione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217'348.--</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di pavimentazione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67'876.50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 xml:space="preserve">Opere da </w:t>
            </w:r>
            <w:proofErr w:type="spellStart"/>
            <w:r w:rsidRPr="002E03A8">
              <w:rPr>
                <w:rFonts w:cs="Arial"/>
                <w:sz w:val="20"/>
                <w:szCs w:val="20"/>
              </w:rPr>
              <w:t>metalcostruttore</w:t>
            </w:r>
            <w:proofErr w:type="spellEnd"/>
            <w:r w:rsidRPr="002E03A8">
              <w:rPr>
                <w:rFonts w:cs="Arial"/>
                <w:sz w:val="20"/>
                <w:szCs w:val="20"/>
              </w:rPr>
              <w:t xml:space="preserve">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26'000.--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 xml:space="preserve">Opere da </w:t>
            </w:r>
            <w:proofErr w:type="spellStart"/>
            <w:r w:rsidRPr="002E03A8">
              <w:rPr>
                <w:rFonts w:cs="Arial"/>
                <w:sz w:val="20"/>
                <w:szCs w:val="20"/>
              </w:rPr>
              <w:t>metalcostruttore</w:t>
            </w:r>
            <w:proofErr w:type="spellEnd"/>
            <w:r w:rsidRPr="002E03A8">
              <w:rPr>
                <w:rFonts w:cs="Arial"/>
                <w:sz w:val="20"/>
                <w:szCs w:val="20"/>
              </w:rPr>
              <w:t xml:space="preserve">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12'000.--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da forestale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36'000.--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Opere da idraulico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31'000.--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Progetto definitivo, esecutivo e DL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100’000.--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Progetto definitivo, esecutivo e DL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86'000.--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Onorario consulente idrologia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3'000.--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Onorario geometra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3'000.--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Spese relative a progetto e DL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5'009.52</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Spese relative a progetto e DL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1'650.--</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Interventi urgenti già eseguiti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146'587.--</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Aumenti-imprevisti-arrotondamenti (vari DA)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103'728.36</w:t>
            </w:r>
          </w:p>
        </w:tc>
      </w:tr>
      <w:tr w:rsidR="00AE224B" w:rsidRPr="002E03A8" w:rsidTr="002E03A8">
        <w:tc>
          <w:tcPr>
            <w:tcW w:w="6661" w:type="dxa"/>
            <w:shd w:val="clear" w:color="auto" w:fill="auto"/>
          </w:tcPr>
          <w:p w:rsidR="00AE224B" w:rsidRPr="002E03A8" w:rsidRDefault="00AE224B" w:rsidP="009054C8">
            <w:pPr>
              <w:spacing w:after="60"/>
              <w:rPr>
                <w:rFonts w:cs="Arial"/>
                <w:sz w:val="20"/>
                <w:szCs w:val="20"/>
              </w:rPr>
            </w:pPr>
            <w:r w:rsidRPr="002E03A8">
              <w:rPr>
                <w:rFonts w:cs="Arial"/>
                <w:sz w:val="20"/>
                <w:szCs w:val="20"/>
              </w:rPr>
              <w:t>Aumenti-imprevisti-arrotondamenti (ponte Taverna)</w:t>
            </w:r>
          </w:p>
        </w:tc>
        <w:tc>
          <w:tcPr>
            <w:tcW w:w="710"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51'294.15</w:t>
            </w:r>
          </w:p>
        </w:tc>
      </w:tr>
      <w:tr w:rsidR="00AE224B" w:rsidRPr="002E03A8" w:rsidTr="002E03A8">
        <w:tc>
          <w:tcPr>
            <w:tcW w:w="6661" w:type="dxa"/>
            <w:tcBorders>
              <w:bottom w:val="single" w:sz="4" w:space="0" w:color="auto"/>
            </w:tcBorders>
            <w:shd w:val="clear" w:color="auto" w:fill="auto"/>
          </w:tcPr>
          <w:p w:rsidR="00AE224B" w:rsidRPr="002E03A8" w:rsidRDefault="00AE224B" w:rsidP="009054C8">
            <w:pPr>
              <w:spacing w:after="60"/>
              <w:rPr>
                <w:rFonts w:cs="Arial"/>
                <w:sz w:val="20"/>
                <w:szCs w:val="20"/>
              </w:rPr>
            </w:pPr>
            <w:r w:rsidRPr="002E03A8">
              <w:rPr>
                <w:rFonts w:cs="Arial"/>
                <w:sz w:val="20"/>
                <w:szCs w:val="20"/>
              </w:rPr>
              <w:t>Oneri diversi (vari DA: pompieri, voli elicottero)</w:t>
            </w:r>
          </w:p>
        </w:tc>
        <w:tc>
          <w:tcPr>
            <w:tcW w:w="710" w:type="dxa"/>
            <w:tcBorders>
              <w:bottom w:val="single" w:sz="4" w:space="0" w:color="auto"/>
            </w:tcBorders>
          </w:tcPr>
          <w:p w:rsidR="00AE224B" w:rsidRPr="002E03A8" w:rsidRDefault="00AE224B" w:rsidP="009054C8">
            <w:pPr>
              <w:spacing w:after="60"/>
              <w:jc w:val="right"/>
              <w:rPr>
                <w:rFonts w:cs="Arial"/>
                <w:sz w:val="20"/>
                <w:szCs w:val="20"/>
              </w:rPr>
            </w:pPr>
            <w:r w:rsidRPr="002E03A8">
              <w:rPr>
                <w:rFonts w:cs="Arial"/>
                <w:sz w:val="20"/>
                <w:szCs w:val="20"/>
              </w:rPr>
              <w:t>CHF</w:t>
            </w:r>
          </w:p>
        </w:tc>
        <w:tc>
          <w:tcPr>
            <w:tcW w:w="2410" w:type="dxa"/>
            <w:tcBorders>
              <w:bottom w:val="single" w:sz="4" w:space="0" w:color="auto"/>
            </w:tcBorders>
            <w:shd w:val="clear" w:color="auto" w:fill="auto"/>
          </w:tcPr>
          <w:p w:rsidR="00AE224B" w:rsidRPr="002E03A8" w:rsidRDefault="00AE224B" w:rsidP="009054C8">
            <w:pPr>
              <w:spacing w:after="60"/>
              <w:jc w:val="right"/>
              <w:rPr>
                <w:rFonts w:cs="Arial"/>
                <w:sz w:val="20"/>
                <w:szCs w:val="20"/>
              </w:rPr>
            </w:pPr>
            <w:r w:rsidRPr="002E03A8">
              <w:rPr>
                <w:rFonts w:cs="Arial"/>
                <w:sz w:val="20"/>
                <w:szCs w:val="20"/>
              </w:rPr>
              <w:t>9'071.85</w:t>
            </w:r>
          </w:p>
        </w:tc>
      </w:tr>
      <w:tr w:rsidR="00AE224B" w:rsidRPr="002E03A8" w:rsidTr="002E03A8">
        <w:tc>
          <w:tcPr>
            <w:tcW w:w="6661" w:type="dxa"/>
            <w:tcBorders>
              <w:top w:val="single" w:sz="4" w:space="0" w:color="auto"/>
            </w:tcBorders>
            <w:shd w:val="clear" w:color="auto" w:fill="auto"/>
          </w:tcPr>
          <w:p w:rsidR="00AE224B" w:rsidRPr="002E03A8" w:rsidRDefault="00AE224B" w:rsidP="009054C8">
            <w:pPr>
              <w:spacing w:before="60" w:after="60"/>
              <w:rPr>
                <w:rFonts w:cs="Arial"/>
                <w:sz w:val="20"/>
                <w:szCs w:val="20"/>
              </w:rPr>
            </w:pPr>
            <w:r w:rsidRPr="002E03A8">
              <w:rPr>
                <w:rFonts w:cs="Arial"/>
                <w:sz w:val="20"/>
                <w:szCs w:val="20"/>
              </w:rPr>
              <w:t>TOTALE parziale</w:t>
            </w:r>
          </w:p>
        </w:tc>
        <w:tc>
          <w:tcPr>
            <w:tcW w:w="710" w:type="dxa"/>
            <w:tcBorders>
              <w:top w:val="single" w:sz="4" w:space="0" w:color="auto"/>
            </w:tcBorders>
          </w:tcPr>
          <w:p w:rsidR="00AE224B" w:rsidRPr="002E03A8" w:rsidRDefault="00AE224B" w:rsidP="009054C8">
            <w:pPr>
              <w:spacing w:before="60" w:after="60"/>
              <w:jc w:val="right"/>
              <w:rPr>
                <w:rFonts w:cs="Arial"/>
                <w:sz w:val="20"/>
                <w:szCs w:val="20"/>
              </w:rPr>
            </w:pPr>
            <w:r w:rsidRPr="002E03A8">
              <w:rPr>
                <w:rFonts w:cs="Arial"/>
                <w:sz w:val="20"/>
                <w:szCs w:val="20"/>
              </w:rPr>
              <w:t>CHF</w:t>
            </w:r>
          </w:p>
        </w:tc>
        <w:tc>
          <w:tcPr>
            <w:tcW w:w="2410" w:type="dxa"/>
            <w:tcBorders>
              <w:top w:val="single" w:sz="4" w:space="0" w:color="auto"/>
            </w:tcBorders>
            <w:shd w:val="clear" w:color="auto" w:fill="auto"/>
          </w:tcPr>
          <w:p w:rsidR="00AE224B" w:rsidRPr="002E03A8" w:rsidRDefault="00AE224B" w:rsidP="009054C8">
            <w:pPr>
              <w:spacing w:before="60" w:after="60"/>
              <w:jc w:val="right"/>
              <w:rPr>
                <w:rFonts w:cs="Arial"/>
                <w:sz w:val="20"/>
                <w:szCs w:val="20"/>
              </w:rPr>
            </w:pPr>
            <w:r w:rsidRPr="002E03A8">
              <w:rPr>
                <w:rFonts w:cs="Arial"/>
                <w:sz w:val="20"/>
                <w:szCs w:val="20"/>
              </w:rPr>
              <w:t>1'937'339.36</w:t>
            </w:r>
          </w:p>
        </w:tc>
      </w:tr>
      <w:tr w:rsidR="00AE224B" w:rsidRPr="002E03A8" w:rsidTr="002E03A8">
        <w:tc>
          <w:tcPr>
            <w:tcW w:w="6661" w:type="dxa"/>
            <w:tcBorders>
              <w:bottom w:val="single" w:sz="4" w:space="0" w:color="auto"/>
            </w:tcBorders>
            <w:shd w:val="clear" w:color="auto" w:fill="auto"/>
          </w:tcPr>
          <w:p w:rsidR="00AE224B" w:rsidRPr="002E03A8" w:rsidRDefault="00AE224B" w:rsidP="009054C8">
            <w:pPr>
              <w:spacing w:before="60" w:after="60"/>
              <w:rPr>
                <w:rFonts w:cs="Arial"/>
                <w:sz w:val="20"/>
                <w:szCs w:val="20"/>
              </w:rPr>
            </w:pPr>
            <w:r w:rsidRPr="002E03A8">
              <w:rPr>
                <w:rFonts w:cs="Arial"/>
                <w:sz w:val="20"/>
                <w:szCs w:val="20"/>
              </w:rPr>
              <w:t>IVA 7.7%</w:t>
            </w:r>
          </w:p>
        </w:tc>
        <w:tc>
          <w:tcPr>
            <w:tcW w:w="710" w:type="dxa"/>
            <w:tcBorders>
              <w:bottom w:val="single" w:sz="4" w:space="0" w:color="auto"/>
            </w:tcBorders>
          </w:tcPr>
          <w:p w:rsidR="00AE224B" w:rsidRPr="002E03A8" w:rsidRDefault="00AE224B" w:rsidP="009054C8">
            <w:pPr>
              <w:spacing w:before="60" w:after="60"/>
              <w:jc w:val="right"/>
              <w:rPr>
                <w:rFonts w:cs="Arial"/>
                <w:sz w:val="20"/>
                <w:szCs w:val="20"/>
              </w:rPr>
            </w:pPr>
            <w:r w:rsidRPr="002E03A8">
              <w:rPr>
                <w:rFonts w:cs="Arial"/>
                <w:sz w:val="20"/>
                <w:szCs w:val="20"/>
              </w:rPr>
              <w:t>CHF</w:t>
            </w:r>
          </w:p>
        </w:tc>
        <w:tc>
          <w:tcPr>
            <w:tcW w:w="2410" w:type="dxa"/>
            <w:tcBorders>
              <w:bottom w:val="single" w:sz="4" w:space="0" w:color="auto"/>
            </w:tcBorders>
            <w:shd w:val="clear" w:color="auto" w:fill="auto"/>
          </w:tcPr>
          <w:p w:rsidR="00AE224B" w:rsidRPr="002E03A8" w:rsidRDefault="00AE224B" w:rsidP="009054C8">
            <w:pPr>
              <w:spacing w:before="60" w:after="60"/>
              <w:jc w:val="right"/>
              <w:rPr>
                <w:rFonts w:cs="Arial"/>
                <w:sz w:val="20"/>
                <w:szCs w:val="20"/>
              </w:rPr>
            </w:pPr>
            <w:r w:rsidRPr="002E03A8">
              <w:rPr>
                <w:rFonts w:cs="Arial"/>
                <w:sz w:val="20"/>
                <w:szCs w:val="20"/>
              </w:rPr>
              <w:t>149’175.13</w:t>
            </w:r>
          </w:p>
        </w:tc>
      </w:tr>
      <w:tr w:rsidR="00AE224B" w:rsidRPr="002E03A8" w:rsidTr="002E03A8">
        <w:tc>
          <w:tcPr>
            <w:tcW w:w="6661" w:type="dxa"/>
            <w:tcBorders>
              <w:top w:val="single" w:sz="4" w:space="0" w:color="auto"/>
            </w:tcBorders>
            <w:shd w:val="clear" w:color="auto" w:fill="auto"/>
          </w:tcPr>
          <w:p w:rsidR="00AE224B" w:rsidRPr="002E03A8" w:rsidRDefault="00AE224B" w:rsidP="002E03A8">
            <w:pPr>
              <w:spacing w:before="120" w:after="120"/>
              <w:rPr>
                <w:rFonts w:cs="Arial"/>
                <w:b/>
                <w:bCs/>
                <w:sz w:val="20"/>
                <w:szCs w:val="20"/>
              </w:rPr>
            </w:pPr>
            <w:r w:rsidRPr="002E03A8">
              <w:rPr>
                <w:rFonts w:cs="Arial"/>
                <w:b/>
                <w:bCs/>
                <w:sz w:val="20"/>
                <w:szCs w:val="20"/>
              </w:rPr>
              <w:t>Totale (inclusa IVA)</w:t>
            </w:r>
          </w:p>
        </w:tc>
        <w:tc>
          <w:tcPr>
            <w:tcW w:w="710" w:type="dxa"/>
            <w:tcBorders>
              <w:top w:val="single" w:sz="4" w:space="0" w:color="auto"/>
            </w:tcBorders>
          </w:tcPr>
          <w:p w:rsidR="00AE224B" w:rsidRPr="002E03A8" w:rsidRDefault="00AE224B" w:rsidP="009054C8">
            <w:pPr>
              <w:spacing w:before="120"/>
              <w:rPr>
                <w:rFonts w:cs="Arial"/>
                <w:b/>
                <w:bCs/>
                <w:sz w:val="20"/>
                <w:szCs w:val="20"/>
              </w:rPr>
            </w:pPr>
            <w:r w:rsidRPr="002E03A8">
              <w:rPr>
                <w:rFonts w:cs="Arial"/>
                <w:b/>
                <w:bCs/>
                <w:sz w:val="20"/>
                <w:szCs w:val="20"/>
              </w:rPr>
              <w:t>CHF</w:t>
            </w:r>
          </w:p>
        </w:tc>
        <w:tc>
          <w:tcPr>
            <w:tcW w:w="2410" w:type="dxa"/>
            <w:tcBorders>
              <w:top w:val="single" w:sz="4" w:space="0" w:color="auto"/>
            </w:tcBorders>
            <w:shd w:val="clear" w:color="auto" w:fill="auto"/>
          </w:tcPr>
          <w:p w:rsidR="00AE224B" w:rsidRPr="002E03A8" w:rsidRDefault="00AE224B" w:rsidP="009054C8">
            <w:pPr>
              <w:spacing w:before="120"/>
              <w:jc w:val="right"/>
              <w:rPr>
                <w:rFonts w:cs="Arial"/>
                <w:b/>
                <w:bCs/>
                <w:sz w:val="20"/>
                <w:szCs w:val="20"/>
              </w:rPr>
            </w:pPr>
            <w:r w:rsidRPr="002E03A8">
              <w:rPr>
                <w:rFonts w:cs="Arial"/>
                <w:b/>
                <w:bCs/>
                <w:sz w:val="20"/>
                <w:szCs w:val="20"/>
              </w:rPr>
              <w:t>2'086'514.49</w:t>
            </w:r>
          </w:p>
        </w:tc>
      </w:tr>
    </w:tbl>
    <w:p w:rsidR="00AE224B" w:rsidRDefault="00AE224B" w:rsidP="00AE224B"/>
    <w:p w:rsidR="00AE224B" w:rsidRPr="002E03A8" w:rsidRDefault="00AE224B" w:rsidP="00AE224B">
      <w:pPr>
        <w:spacing w:after="120"/>
        <w:ind w:left="357" w:hanging="357"/>
        <w:rPr>
          <w:rFonts w:cs="Arial"/>
          <w:b/>
          <w:bCs/>
          <w:sz w:val="22"/>
        </w:rPr>
      </w:pPr>
      <w:r w:rsidRPr="002E03A8">
        <w:rPr>
          <w:rFonts w:cs="Arial"/>
          <w:b/>
          <w:bCs/>
          <w:sz w:val="22"/>
        </w:rPr>
        <w:t>Ripartizione dei costi</w:t>
      </w:r>
    </w:p>
    <w:tbl>
      <w:tblPr>
        <w:tblW w:w="9840" w:type="dxa"/>
        <w:tblInd w:w="108" w:type="dxa"/>
        <w:tblLook w:val="04A0" w:firstRow="1" w:lastRow="0" w:firstColumn="1" w:lastColumn="0" w:noHBand="0" w:noVBand="1"/>
      </w:tblPr>
      <w:tblGrid>
        <w:gridCol w:w="4820"/>
        <w:gridCol w:w="710"/>
        <w:gridCol w:w="1618"/>
        <w:gridCol w:w="1074"/>
        <w:gridCol w:w="1618"/>
      </w:tblGrid>
      <w:tr w:rsidR="00AE224B" w:rsidRPr="002E03A8" w:rsidTr="009054C8">
        <w:tc>
          <w:tcPr>
            <w:tcW w:w="4820" w:type="dxa"/>
            <w:shd w:val="clear" w:color="auto" w:fill="auto"/>
          </w:tcPr>
          <w:p w:rsidR="00AE224B" w:rsidRPr="002E03A8" w:rsidRDefault="00AE224B" w:rsidP="009054C8">
            <w:pPr>
              <w:spacing w:after="60"/>
              <w:rPr>
                <w:rFonts w:cs="Arial"/>
                <w:sz w:val="20"/>
                <w:szCs w:val="20"/>
              </w:rPr>
            </w:pPr>
            <w:r w:rsidRPr="002E03A8">
              <w:rPr>
                <w:rFonts w:cs="Arial"/>
                <w:sz w:val="20"/>
                <w:szCs w:val="20"/>
              </w:rPr>
              <w:t>Preventivo dell’opera (IVA inclusa)</w:t>
            </w:r>
          </w:p>
        </w:tc>
        <w:tc>
          <w:tcPr>
            <w:tcW w:w="710" w:type="dxa"/>
          </w:tcPr>
          <w:p w:rsidR="00AE224B" w:rsidRPr="002E03A8" w:rsidRDefault="00AE224B" w:rsidP="009054C8">
            <w:pPr>
              <w:spacing w:after="60"/>
              <w:jc w:val="right"/>
              <w:rPr>
                <w:rFonts w:cs="Arial"/>
                <w:sz w:val="20"/>
                <w:szCs w:val="20"/>
              </w:rPr>
            </w:pPr>
          </w:p>
        </w:tc>
        <w:tc>
          <w:tcPr>
            <w:tcW w:w="1618" w:type="dxa"/>
            <w:shd w:val="clear" w:color="auto" w:fill="auto"/>
          </w:tcPr>
          <w:p w:rsidR="00AE224B" w:rsidRPr="002E03A8" w:rsidRDefault="00AE224B" w:rsidP="009054C8">
            <w:pPr>
              <w:spacing w:after="60"/>
              <w:jc w:val="right"/>
              <w:rPr>
                <w:rFonts w:cs="Arial"/>
                <w:sz w:val="20"/>
                <w:szCs w:val="20"/>
              </w:rPr>
            </w:pPr>
          </w:p>
        </w:tc>
        <w:tc>
          <w:tcPr>
            <w:tcW w:w="1074"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1618" w:type="dxa"/>
          </w:tcPr>
          <w:p w:rsidR="00AE224B" w:rsidRPr="002E03A8" w:rsidRDefault="00AE224B" w:rsidP="009054C8">
            <w:pPr>
              <w:spacing w:after="60"/>
              <w:jc w:val="right"/>
              <w:rPr>
                <w:rFonts w:cs="Arial"/>
                <w:sz w:val="20"/>
                <w:szCs w:val="20"/>
              </w:rPr>
            </w:pPr>
            <w:r w:rsidRPr="002E03A8">
              <w:rPr>
                <w:rFonts w:cs="Arial"/>
                <w:sz w:val="20"/>
                <w:szCs w:val="20"/>
              </w:rPr>
              <w:t>2'086'514.--</w:t>
            </w:r>
          </w:p>
        </w:tc>
      </w:tr>
      <w:tr w:rsidR="00AE224B" w:rsidRPr="002E03A8" w:rsidTr="009054C8">
        <w:tc>
          <w:tcPr>
            <w:tcW w:w="4820" w:type="dxa"/>
            <w:shd w:val="clear" w:color="auto" w:fill="auto"/>
          </w:tcPr>
          <w:p w:rsidR="00AE224B" w:rsidRPr="002E03A8" w:rsidRDefault="00AE224B" w:rsidP="009054C8">
            <w:pPr>
              <w:spacing w:after="60"/>
              <w:rPr>
                <w:rFonts w:cs="Arial"/>
                <w:sz w:val="20"/>
                <w:szCs w:val="20"/>
              </w:rPr>
            </w:pPr>
            <w:r w:rsidRPr="002E03A8">
              <w:rPr>
                <w:rFonts w:cs="Arial"/>
                <w:sz w:val="20"/>
                <w:szCs w:val="20"/>
              </w:rPr>
              <w:t>Preventivo riconosciuto (IVA inclusa)</w:t>
            </w:r>
          </w:p>
        </w:tc>
        <w:tc>
          <w:tcPr>
            <w:tcW w:w="710" w:type="dxa"/>
          </w:tcPr>
          <w:p w:rsidR="00AE224B" w:rsidRPr="002E03A8" w:rsidRDefault="00AE224B" w:rsidP="009054C8">
            <w:pPr>
              <w:spacing w:after="60"/>
              <w:jc w:val="right"/>
              <w:rPr>
                <w:rFonts w:cs="Arial"/>
                <w:sz w:val="20"/>
                <w:szCs w:val="20"/>
              </w:rPr>
            </w:pPr>
          </w:p>
        </w:tc>
        <w:tc>
          <w:tcPr>
            <w:tcW w:w="1618" w:type="dxa"/>
            <w:shd w:val="clear" w:color="auto" w:fill="auto"/>
          </w:tcPr>
          <w:p w:rsidR="00AE224B" w:rsidRPr="002E03A8" w:rsidRDefault="00AE224B" w:rsidP="009054C8">
            <w:pPr>
              <w:spacing w:after="60"/>
              <w:jc w:val="right"/>
              <w:rPr>
                <w:rFonts w:cs="Arial"/>
                <w:sz w:val="20"/>
                <w:szCs w:val="20"/>
              </w:rPr>
            </w:pPr>
          </w:p>
        </w:tc>
        <w:tc>
          <w:tcPr>
            <w:tcW w:w="1074"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1618" w:type="dxa"/>
          </w:tcPr>
          <w:p w:rsidR="00AE224B" w:rsidRPr="002E03A8" w:rsidRDefault="00AE224B" w:rsidP="009054C8">
            <w:pPr>
              <w:spacing w:after="60"/>
              <w:jc w:val="right"/>
              <w:rPr>
                <w:rFonts w:cs="Arial"/>
                <w:sz w:val="20"/>
                <w:szCs w:val="20"/>
              </w:rPr>
            </w:pPr>
            <w:r w:rsidRPr="002E03A8">
              <w:rPr>
                <w:rFonts w:cs="Arial"/>
                <w:sz w:val="20"/>
                <w:szCs w:val="20"/>
              </w:rPr>
              <w:t>1'632'560.--</w:t>
            </w:r>
          </w:p>
        </w:tc>
      </w:tr>
      <w:tr w:rsidR="00AE224B" w:rsidRPr="002E03A8" w:rsidTr="009054C8">
        <w:tc>
          <w:tcPr>
            <w:tcW w:w="4820" w:type="dxa"/>
            <w:shd w:val="clear" w:color="auto" w:fill="auto"/>
          </w:tcPr>
          <w:p w:rsidR="00AE224B" w:rsidRPr="002E03A8" w:rsidRDefault="00AE224B" w:rsidP="009054C8">
            <w:pPr>
              <w:spacing w:after="60"/>
              <w:rPr>
                <w:rFonts w:cs="Arial"/>
                <w:sz w:val="20"/>
                <w:szCs w:val="20"/>
              </w:rPr>
            </w:pPr>
            <w:r w:rsidRPr="002E03A8">
              <w:rPr>
                <w:rFonts w:cs="Arial"/>
                <w:sz w:val="20"/>
                <w:szCs w:val="20"/>
              </w:rPr>
              <w:t>Contributo cantonale</w:t>
            </w:r>
          </w:p>
        </w:tc>
        <w:tc>
          <w:tcPr>
            <w:tcW w:w="710" w:type="dxa"/>
          </w:tcPr>
          <w:p w:rsidR="00AE224B" w:rsidRPr="002E03A8" w:rsidRDefault="00AE224B" w:rsidP="009054C8">
            <w:pPr>
              <w:spacing w:after="60"/>
              <w:jc w:val="right"/>
              <w:rPr>
                <w:rFonts w:cs="Arial"/>
                <w:sz w:val="20"/>
                <w:szCs w:val="20"/>
              </w:rPr>
            </w:pPr>
          </w:p>
        </w:tc>
        <w:tc>
          <w:tcPr>
            <w:tcW w:w="1618" w:type="dxa"/>
            <w:shd w:val="clear" w:color="auto" w:fill="auto"/>
          </w:tcPr>
          <w:p w:rsidR="00AE224B" w:rsidRPr="002E03A8" w:rsidRDefault="00AE224B" w:rsidP="009054C8">
            <w:pPr>
              <w:spacing w:after="60"/>
              <w:jc w:val="right"/>
              <w:rPr>
                <w:rFonts w:cs="Arial"/>
                <w:sz w:val="20"/>
                <w:szCs w:val="20"/>
              </w:rPr>
            </w:pPr>
          </w:p>
        </w:tc>
        <w:tc>
          <w:tcPr>
            <w:tcW w:w="1074" w:type="dxa"/>
          </w:tcPr>
          <w:p w:rsidR="00AE224B" w:rsidRPr="002E03A8" w:rsidRDefault="00AE224B" w:rsidP="009054C8">
            <w:pPr>
              <w:spacing w:after="60"/>
              <w:jc w:val="right"/>
              <w:rPr>
                <w:rFonts w:cs="Arial"/>
                <w:sz w:val="20"/>
                <w:szCs w:val="20"/>
              </w:rPr>
            </w:pPr>
            <w:r w:rsidRPr="002E03A8">
              <w:rPr>
                <w:rFonts w:cs="Arial"/>
                <w:sz w:val="20"/>
                <w:szCs w:val="20"/>
              </w:rPr>
              <w:t>CHF</w:t>
            </w:r>
          </w:p>
        </w:tc>
        <w:tc>
          <w:tcPr>
            <w:tcW w:w="1618" w:type="dxa"/>
          </w:tcPr>
          <w:p w:rsidR="00AE224B" w:rsidRPr="002E03A8" w:rsidRDefault="00AE224B" w:rsidP="009054C8">
            <w:pPr>
              <w:spacing w:after="60"/>
              <w:jc w:val="right"/>
              <w:rPr>
                <w:rFonts w:cs="Arial"/>
                <w:sz w:val="20"/>
                <w:szCs w:val="20"/>
              </w:rPr>
            </w:pPr>
            <w:r w:rsidRPr="002E03A8">
              <w:rPr>
                <w:rFonts w:cs="Arial"/>
                <w:sz w:val="20"/>
                <w:szCs w:val="20"/>
              </w:rPr>
              <w:t>734’652.--</w:t>
            </w:r>
          </w:p>
        </w:tc>
      </w:tr>
      <w:tr w:rsidR="00AE224B" w:rsidRPr="002E03A8" w:rsidTr="009054C8">
        <w:tc>
          <w:tcPr>
            <w:tcW w:w="4820" w:type="dxa"/>
            <w:shd w:val="clear" w:color="auto" w:fill="auto"/>
          </w:tcPr>
          <w:p w:rsidR="00AE224B" w:rsidRPr="002E03A8" w:rsidRDefault="00AE224B" w:rsidP="009054C8">
            <w:pPr>
              <w:spacing w:after="60"/>
              <w:rPr>
                <w:rFonts w:cs="Arial"/>
                <w:sz w:val="20"/>
                <w:szCs w:val="20"/>
              </w:rPr>
            </w:pPr>
            <w:r w:rsidRPr="002E03A8">
              <w:rPr>
                <w:rFonts w:cs="Arial"/>
                <w:sz w:val="20"/>
                <w:szCs w:val="20"/>
              </w:rPr>
              <w:t>Contributo federale</w:t>
            </w:r>
          </w:p>
        </w:tc>
        <w:tc>
          <w:tcPr>
            <w:tcW w:w="710" w:type="dxa"/>
          </w:tcPr>
          <w:p w:rsidR="00AE224B" w:rsidRPr="002E03A8" w:rsidRDefault="00AE224B" w:rsidP="009054C8">
            <w:pPr>
              <w:spacing w:after="60"/>
              <w:jc w:val="right"/>
              <w:rPr>
                <w:rFonts w:cs="Arial"/>
                <w:sz w:val="20"/>
                <w:szCs w:val="20"/>
              </w:rPr>
            </w:pPr>
          </w:p>
        </w:tc>
        <w:tc>
          <w:tcPr>
            <w:tcW w:w="1618" w:type="dxa"/>
            <w:shd w:val="clear" w:color="auto" w:fill="auto"/>
          </w:tcPr>
          <w:p w:rsidR="00AE224B" w:rsidRPr="002E03A8" w:rsidRDefault="00AE224B" w:rsidP="009054C8">
            <w:pPr>
              <w:spacing w:after="60"/>
              <w:jc w:val="right"/>
              <w:rPr>
                <w:rFonts w:cs="Arial"/>
                <w:sz w:val="20"/>
                <w:szCs w:val="20"/>
              </w:rPr>
            </w:pPr>
          </w:p>
        </w:tc>
        <w:tc>
          <w:tcPr>
            <w:tcW w:w="1074" w:type="dxa"/>
          </w:tcPr>
          <w:p w:rsidR="00AE224B" w:rsidRPr="002E03A8" w:rsidRDefault="00AE224B" w:rsidP="009054C8">
            <w:pPr>
              <w:spacing w:after="60"/>
              <w:jc w:val="right"/>
              <w:rPr>
                <w:rFonts w:cs="Arial"/>
                <w:sz w:val="20"/>
                <w:szCs w:val="20"/>
                <w:highlight w:val="yellow"/>
              </w:rPr>
            </w:pPr>
            <w:r w:rsidRPr="002E03A8">
              <w:rPr>
                <w:rFonts w:cs="Arial"/>
                <w:sz w:val="20"/>
                <w:szCs w:val="20"/>
              </w:rPr>
              <w:t>CHF</w:t>
            </w:r>
          </w:p>
        </w:tc>
        <w:tc>
          <w:tcPr>
            <w:tcW w:w="1618" w:type="dxa"/>
          </w:tcPr>
          <w:p w:rsidR="00AE224B" w:rsidRPr="002E03A8" w:rsidRDefault="00AE224B" w:rsidP="009054C8">
            <w:pPr>
              <w:spacing w:after="60"/>
              <w:jc w:val="right"/>
              <w:rPr>
                <w:rFonts w:cs="Arial"/>
                <w:sz w:val="20"/>
                <w:szCs w:val="20"/>
              </w:rPr>
            </w:pPr>
            <w:r w:rsidRPr="002E03A8">
              <w:rPr>
                <w:rFonts w:cs="Arial"/>
                <w:sz w:val="20"/>
                <w:szCs w:val="20"/>
              </w:rPr>
              <w:t>636'698.--</w:t>
            </w:r>
          </w:p>
        </w:tc>
      </w:tr>
      <w:tr w:rsidR="00AE224B" w:rsidRPr="002E03A8" w:rsidTr="009054C8">
        <w:tc>
          <w:tcPr>
            <w:tcW w:w="4820" w:type="dxa"/>
            <w:tcBorders>
              <w:bottom w:val="single" w:sz="4" w:space="0" w:color="auto"/>
            </w:tcBorders>
            <w:shd w:val="clear" w:color="auto" w:fill="auto"/>
          </w:tcPr>
          <w:p w:rsidR="00AE224B" w:rsidRPr="002E03A8" w:rsidRDefault="00AE224B" w:rsidP="009054C8">
            <w:pPr>
              <w:spacing w:after="60"/>
              <w:rPr>
                <w:rFonts w:cs="Arial"/>
                <w:sz w:val="20"/>
                <w:szCs w:val="20"/>
              </w:rPr>
            </w:pPr>
            <w:r w:rsidRPr="002E03A8">
              <w:rPr>
                <w:rFonts w:cs="Arial"/>
                <w:sz w:val="20"/>
                <w:szCs w:val="20"/>
              </w:rPr>
              <w:t xml:space="preserve">Costi residui a carico del Comune finanziati con il credito comunale approvato </w:t>
            </w:r>
          </w:p>
        </w:tc>
        <w:tc>
          <w:tcPr>
            <w:tcW w:w="710" w:type="dxa"/>
            <w:tcBorders>
              <w:bottom w:val="single" w:sz="4" w:space="0" w:color="auto"/>
            </w:tcBorders>
          </w:tcPr>
          <w:p w:rsidR="00AE224B" w:rsidRPr="002E03A8" w:rsidRDefault="00AE224B" w:rsidP="009054C8">
            <w:pPr>
              <w:spacing w:after="60"/>
              <w:jc w:val="right"/>
              <w:rPr>
                <w:rFonts w:cs="Arial"/>
                <w:sz w:val="20"/>
                <w:szCs w:val="20"/>
              </w:rPr>
            </w:pPr>
          </w:p>
        </w:tc>
        <w:tc>
          <w:tcPr>
            <w:tcW w:w="1618" w:type="dxa"/>
            <w:tcBorders>
              <w:bottom w:val="single" w:sz="4" w:space="0" w:color="auto"/>
            </w:tcBorders>
            <w:shd w:val="clear" w:color="auto" w:fill="auto"/>
          </w:tcPr>
          <w:p w:rsidR="00AE224B" w:rsidRPr="002E03A8" w:rsidRDefault="00AE224B" w:rsidP="009054C8">
            <w:pPr>
              <w:spacing w:after="60"/>
              <w:jc w:val="right"/>
              <w:rPr>
                <w:rFonts w:cs="Arial"/>
                <w:sz w:val="20"/>
                <w:szCs w:val="20"/>
              </w:rPr>
            </w:pPr>
          </w:p>
        </w:tc>
        <w:tc>
          <w:tcPr>
            <w:tcW w:w="1074" w:type="dxa"/>
            <w:tcBorders>
              <w:bottom w:val="single" w:sz="4" w:space="0" w:color="auto"/>
            </w:tcBorders>
          </w:tcPr>
          <w:p w:rsidR="00AE224B" w:rsidRPr="002E03A8" w:rsidRDefault="00AE224B" w:rsidP="009054C8">
            <w:pPr>
              <w:spacing w:after="60"/>
              <w:jc w:val="right"/>
              <w:rPr>
                <w:rFonts w:cs="Arial"/>
                <w:sz w:val="20"/>
                <w:szCs w:val="20"/>
              </w:rPr>
            </w:pPr>
          </w:p>
          <w:p w:rsidR="00AE224B" w:rsidRPr="002E03A8" w:rsidRDefault="00AE224B" w:rsidP="009054C8">
            <w:pPr>
              <w:spacing w:after="60"/>
              <w:jc w:val="right"/>
              <w:rPr>
                <w:rFonts w:cs="Arial"/>
                <w:sz w:val="20"/>
                <w:szCs w:val="20"/>
              </w:rPr>
            </w:pPr>
            <w:r w:rsidRPr="002E03A8">
              <w:rPr>
                <w:rFonts w:cs="Arial"/>
                <w:sz w:val="20"/>
                <w:szCs w:val="20"/>
              </w:rPr>
              <w:t>CHF</w:t>
            </w:r>
          </w:p>
        </w:tc>
        <w:tc>
          <w:tcPr>
            <w:tcW w:w="1618" w:type="dxa"/>
            <w:tcBorders>
              <w:bottom w:val="single" w:sz="4" w:space="0" w:color="auto"/>
            </w:tcBorders>
          </w:tcPr>
          <w:p w:rsidR="00AE224B" w:rsidRPr="002E03A8" w:rsidRDefault="00AE224B" w:rsidP="009054C8">
            <w:pPr>
              <w:spacing w:after="60"/>
              <w:jc w:val="right"/>
              <w:rPr>
                <w:rFonts w:cs="Arial"/>
                <w:sz w:val="20"/>
                <w:szCs w:val="20"/>
              </w:rPr>
            </w:pPr>
          </w:p>
          <w:p w:rsidR="00AE224B" w:rsidRPr="002E03A8" w:rsidRDefault="00AE224B" w:rsidP="009054C8">
            <w:pPr>
              <w:spacing w:after="60"/>
              <w:jc w:val="right"/>
              <w:rPr>
                <w:rFonts w:cs="Arial"/>
                <w:sz w:val="20"/>
                <w:szCs w:val="20"/>
              </w:rPr>
            </w:pPr>
            <w:r w:rsidRPr="002E03A8">
              <w:rPr>
                <w:rFonts w:cs="Arial"/>
                <w:sz w:val="20"/>
                <w:szCs w:val="20"/>
              </w:rPr>
              <w:t>715'164.--</w:t>
            </w:r>
          </w:p>
        </w:tc>
      </w:tr>
      <w:tr w:rsidR="00AE224B" w:rsidRPr="002E03A8" w:rsidTr="009054C8">
        <w:tc>
          <w:tcPr>
            <w:tcW w:w="4820" w:type="dxa"/>
            <w:tcBorders>
              <w:top w:val="single" w:sz="4" w:space="0" w:color="auto"/>
            </w:tcBorders>
            <w:shd w:val="clear" w:color="auto" w:fill="auto"/>
          </w:tcPr>
          <w:p w:rsidR="00AE224B" w:rsidRPr="002E03A8" w:rsidRDefault="00AE224B" w:rsidP="009054C8">
            <w:pPr>
              <w:spacing w:before="120"/>
              <w:rPr>
                <w:rFonts w:cs="Arial"/>
                <w:sz w:val="20"/>
                <w:szCs w:val="20"/>
              </w:rPr>
            </w:pPr>
            <w:r w:rsidRPr="002E03A8">
              <w:rPr>
                <w:rFonts w:cs="Arial"/>
                <w:sz w:val="20"/>
                <w:szCs w:val="20"/>
              </w:rPr>
              <w:t xml:space="preserve">TOTALE </w:t>
            </w:r>
          </w:p>
        </w:tc>
        <w:tc>
          <w:tcPr>
            <w:tcW w:w="710" w:type="dxa"/>
            <w:tcBorders>
              <w:top w:val="single" w:sz="4" w:space="0" w:color="auto"/>
            </w:tcBorders>
          </w:tcPr>
          <w:p w:rsidR="00AE224B" w:rsidRPr="002E03A8" w:rsidRDefault="00AE224B" w:rsidP="009054C8">
            <w:pPr>
              <w:spacing w:before="120"/>
              <w:jc w:val="right"/>
              <w:rPr>
                <w:rFonts w:cs="Arial"/>
                <w:sz w:val="20"/>
                <w:szCs w:val="20"/>
              </w:rPr>
            </w:pPr>
            <w:r w:rsidRPr="002E03A8">
              <w:rPr>
                <w:rFonts w:cs="Arial"/>
                <w:sz w:val="20"/>
                <w:szCs w:val="20"/>
              </w:rPr>
              <w:t>CHF</w:t>
            </w:r>
          </w:p>
        </w:tc>
        <w:tc>
          <w:tcPr>
            <w:tcW w:w="1618" w:type="dxa"/>
            <w:tcBorders>
              <w:top w:val="single" w:sz="4" w:space="0" w:color="auto"/>
            </w:tcBorders>
            <w:shd w:val="clear" w:color="auto" w:fill="auto"/>
          </w:tcPr>
          <w:p w:rsidR="00AE224B" w:rsidRPr="002E03A8" w:rsidRDefault="00AE224B" w:rsidP="009054C8">
            <w:pPr>
              <w:spacing w:before="120"/>
              <w:jc w:val="right"/>
              <w:rPr>
                <w:rFonts w:cs="Arial"/>
                <w:sz w:val="20"/>
                <w:szCs w:val="20"/>
              </w:rPr>
            </w:pPr>
            <w:r w:rsidRPr="002E03A8">
              <w:rPr>
                <w:rFonts w:cs="Arial"/>
                <w:sz w:val="20"/>
                <w:szCs w:val="20"/>
              </w:rPr>
              <w:t>2'086'514.--</w:t>
            </w:r>
          </w:p>
        </w:tc>
        <w:tc>
          <w:tcPr>
            <w:tcW w:w="1074" w:type="dxa"/>
            <w:tcBorders>
              <w:top w:val="single" w:sz="4" w:space="0" w:color="auto"/>
            </w:tcBorders>
          </w:tcPr>
          <w:p w:rsidR="00AE224B" w:rsidRPr="002E03A8" w:rsidRDefault="00AE224B" w:rsidP="009054C8">
            <w:pPr>
              <w:spacing w:before="120"/>
              <w:jc w:val="right"/>
              <w:rPr>
                <w:rFonts w:cs="Arial"/>
                <w:sz w:val="20"/>
                <w:szCs w:val="20"/>
              </w:rPr>
            </w:pPr>
            <w:r w:rsidRPr="002E03A8">
              <w:rPr>
                <w:rFonts w:cs="Arial"/>
                <w:sz w:val="20"/>
                <w:szCs w:val="20"/>
              </w:rPr>
              <w:t>CHF</w:t>
            </w:r>
          </w:p>
        </w:tc>
        <w:tc>
          <w:tcPr>
            <w:tcW w:w="1618" w:type="dxa"/>
            <w:tcBorders>
              <w:top w:val="single" w:sz="4" w:space="0" w:color="auto"/>
            </w:tcBorders>
          </w:tcPr>
          <w:p w:rsidR="00AE224B" w:rsidRPr="002E03A8" w:rsidRDefault="00AE224B" w:rsidP="009054C8">
            <w:pPr>
              <w:spacing w:before="120"/>
              <w:jc w:val="right"/>
              <w:rPr>
                <w:rFonts w:cs="Arial"/>
                <w:sz w:val="20"/>
                <w:szCs w:val="20"/>
              </w:rPr>
            </w:pPr>
            <w:r w:rsidRPr="002E03A8">
              <w:rPr>
                <w:rFonts w:cs="Arial"/>
                <w:sz w:val="20"/>
                <w:szCs w:val="20"/>
              </w:rPr>
              <w:t>2'086'514.--</w:t>
            </w:r>
          </w:p>
        </w:tc>
      </w:tr>
    </w:tbl>
    <w:p w:rsidR="00AE224B" w:rsidRDefault="00AE224B" w:rsidP="00AE224B"/>
    <w:p w:rsidR="00AE224B" w:rsidRDefault="00AE224B" w:rsidP="00AE224B">
      <w:r>
        <w:t>L’art. 6 della Legge sull’agricoltura (LA) stabilisce che «</w:t>
      </w:r>
      <w:r w:rsidRPr="00961B20">
        <w:rPr>
          <w:i/>
          <w:iCs/>
        </w:rPr>
        <w:t>il Cantone promuove il miglioramento strutturale dell’agricoltura attraverso la concessione di aiuti agli investimenti realizzati nel Cantone per i seguenti provvedimenti a condizione che gli interessati non possano già fare ragionevolmente capo o disporre di strutture analoghe</w:t>
      </w:r>
      <w:r>
        <w:t>». Fra gli interventi sostenuti vi è «</w:t>
      </w:r>
      <w:r w:rsidRPr="008F3E6C">
        <w:rPr>
          <w:i/>
          <w:iCs/>
        </w:rPr>
        <w:t>il ripristino e la protezione di opere del genio rurale, di terreni coltivi (prati e campi), di pascoli e vigneti danneggiati da eventi naturali</w:t>
      </w:r>
      <w:r>
        <w:t xml:space="preserve">» (art. 7 lett. m del </w:t>
      </w:r>
      <w:r w:rsidRPr="008F3E6C">
        <w:t>regolamento della legge sull’agricoltura</w:t>
      </w:r>
      <w:r>
        <w:t xml:space="preserve"> - RLA). Secondo l’art. 8 cpv. 4 RLA, l’aliquota di contributo cantonale per queste opere è del 45%, calcolata sul preventivo </w:t>
      </w:r>
      <w:proofErr w:type="spellStart"/>
      <w:r>
        <w:t>riconosciuto.Oltre</w:t>
      </w:r>
      <w:proofErr w:type="spellEnd"/>
      <w:r>
        <w:t xml:space="preserve"> agli aventi diritto stabiliti dal capitolo 1 dell’Ordinanza federale sui miglioramenti strutturali nell’agricoltura (</w:t>
      </w:r>
      <w:proofErr w:type="spellStart"/>
      <w:r>
        <w:t>OMSt</w:t>
      </w:r>
      <w:proofErr w:type="spellEnd"/>
      <w:r>
        <w:t xml:space="preserve">), la </w:t>
      </w:r>
      <w:proofErr w:type="spellStart"/>
      <w:r>
        <w:t>LA</w:t>
      </w:r>
      <w:proofErr w:type="spellEnd"/>
      <w:r>
        <w:t xml:space="preserve"> prevede che possono beneficiare degli aiuti agli investimenti anche «</w:t>
      </w:r>
      <w:r w:rsidRPr="00EE31BE">
        <w:rPr>
          <w:i/>
          <w:iCs/>
        </w:rPr>
        <w:t>le corporazioni di diritto pubblico</w:t>
      </w:r>
      <w:r w:rsidRPr="00EE31BE">
        <w:t>»</w:t>
      </w:r>
      <w:r>
        <w:rPr>
          <w:i/>
          <w:iCs/>
        </w:rPr>
        <w:t xml:space="preserve"> </w:t>
      </w:r>
      <w:r w:rsidRPr="00EE31BE">
        <w:t>– quindi i Comuni – «</w:t>
      </w:r>
      <w:r w:rsidRPr="00EE31BE">
        <w:rPr>
          <w:i/>
          <w:iCs/>
        </w:rPr>
        <w:t>gli enti di diritto privato aventi scopi di pubblica utilità e le cooperative agricole con sede nel Cantone a condizione che gli interventi rivestano un interesse agricolo generale o siano attuati nell’ambito di un’azienda potenzialmente vitale affittata o da affittare</w:t>
      </w:r>
      <w:r>
        <w:t>» (art. 7 lett. a) e «</w:t>
      </w:r>
      <w:r w:rsidRPr="00EE31BE">
        <w:rPr>
          <w:i/>
          <w:iCs/>
        </w:rPr>
        <w:t xml:space="preserve">gruppi di persone costituitesi in società semplice oppure in società anonima, in società a garanzia limitata o in società in accomandita per </w:t>
      </w:r>
      <w:r w:rsidRPr="00EE31BE">
        <w:rPr>
          <w:i/>
          <w:iCs/>
        </w:rPr>
        <w:lastRenderedPageBreak/>
        <w:t>azioni con sede in Svizzera che eseguono opere aventi anche interessi agricoli; per questi casi gli aiuti sono commisurati all’interesse agricolo dell’opera</w:t>
      </w:r>
      <w:r>
        <w:t>» (art. 7 lett. b).</w:t>
      </w:r>
    </w:p>
    <w:p w:rsidR="00AE224B" w:rsidRPr="002E03A8" w:rsidRDefault="00AE224B" w:rsidP="00AE224B">
      <w:pPr>
        <w:rPr>
          <w:sz w:val="20"/>
          <w:szCs w:val="20"/>
        </w:rPr>
      </w:pPr>
    </w:p>
    <w:p w:rsidR="00AE224B" w:rsidRDefault="00AE224B" w:rsidP="00AE224B">
      <w:pPr>
        <w:spacing w:line="240" w:lineRule="atLeast"/>
        <w:rPr>
          <w:rFonts w:cs="Arial"/>
          <w:szCs w:val="24"/>
        </w:rPr>
      </w:pPr>
      <w:r>
        <w:rPr>
          <w:rFonts w:cs="Arial"/>
          <w:szCs w:val="24"/>
        </w:rPr>
        <w:t>Secondo l</w:t>
      </w:r>
      <w:r w:rsidRPr="006278A0">
        <w:rPr>
          <w:rFonts w:cs="Arial"/>
          <w:szCs w:val="24"/>
        </w:rPr>
        <w:t xml:space="preserve">’art. 8 </w:t>
      </w:r>
      <w:proofErr w:type="spellStart"/>
      <w:r w:rsidRPr="006278A0">
        <w:rPr>
          <w:rFonts w:cs="Arial"/>
          <w:szCs w:val="24"/>
        </w:rPr>
        <w:t>OMSt</w:t>
      </w:r>
      <w:proofErr w:type="spellEnd"/>
      <w:r w:rsidRPr="006278A0">
        <w:rPr>
          <w:rFonts w:cs="Arial"/>
          <w:szCs w:val="24"/>
        </w:rPr>
        <w:t xml:space="preserve"> </w:t>
      </w:r>
      <w:r>
        <w:rPr>
          <w:rFonts w:cs="Arial"/>
          <w:iCs/>
          <w:szCs w:val="24"/>
        </w:rPr>
        <w:t>«</w:t>
      </w:r>
      <w:r w:rsidRPr="0030202C">
        <w:rPr>
          <w:rFonts w:cs="Arial"/>
          <w:i/>
          <w:szCs w:val="24"/>
        </w:rPr>
        <w:t>la</w:t>
      </w:r>
      <w:r w:rsidRPr="006278A0">
        <w:rPr>
          <w:rFonts w:cs="Arial"/>
          <w:i/>
          <w:szCs w:val="24"/>
        </w:rPr>
        <w:t xml:space="preserve"> possibilità di finanziamento e la sopportabilità degli investimenti prospettati devono essere dimostrati prima della concessione dell’aiuto agli investimenti</w:t>
      </w:r>
      <w:r>
        <w:rPr>
          <w:rFonts w:cs="Arial"/>
          <w:szCs w:val="24"/>
        </w:rPr>
        <w:t>»</w:t>
      </w:r>
      <w:r w:rsidRPr="006278A0">
        <w:rPr>
          <w:rFonts w:cs="Arial"/>
          <w:szCs w:val="24"/>
        </w:rPr>
        <w:t xml:space="preserve"> e tale dimostrazione deve avvenire </w:t>
      </w:r>
      <w:r>
        <w:rPr>
          <w:rFonts w:cs="Arial"/>
          <w:szCs w:val="24"/>
        </w:rPr>
        <w:t>«</w:t>
      </w:r>
      <w:r w:rsidRPr="006278A0">
        <w:rPr>
          <w:rFonts w:cs="Arial"/>
          <w:i/>
          <w:szCs w:val="24"/>
        </w:rPr>
        <w:t xml:space="preserve">con strumenti di pianificazione </w:t>
      </w:r>
      <w:r w:rsidRPr="0030202C">
        <w:rPr>
          <w:rFonts w:cs="Arial"/>
          <w:szCs w:val="24"/>
        </w:rPr>
        <w:t>adatti</w:t>
      </w:r>
      <w:r>
        <w:rPr>
          <w:rFonts w:cs="Arial"/>
          <w:szCs w:val="24"/>
        </w:rPr>
        <w:t>»</w:t>
      </w:r>
      <w:r w:rsidRPr="0030202C">
        <w:rPr>
          <w:rFonts w:cs="Arial"/>
          <w:szCs w:val="24"/>
        </w:rPr>
        <w:t>.</w:t>
      </w:r>
      <w:r>
        <w:rPr>
          <w:rFonts w:cs="Arial"/>
          <w:szCs w:val="24"/>
        </w:rPr>
        <w:t xml:space="preserve"> Il principio è stato ripreso nell’a</w:t>
      </w:r>
      <w:r w:rsidRPr="004F7072">
        <w:rPr>
          <w:rFonts w:cs="Arial"/>
          <w:szCs w:val="24"/>
        </w:rPr>
        <w:t>rt. 6a</w:t>
      </w:r>
      <w:r>
        <w:rPr>
          <w:rFonts w:cs="Arial"/>
          <w:szCs w:val="24"/>
        </w:rPr>
        <w:t xml:space="preserve"> del RLA: «</w:t>
      </w:r>
      <w:r w:rsidRPr="00673A64">
        <w:rPr>
          <w:rFonts w:cs="Arial"/>
          <w:i/>
          <w:iCs/>
          <w:szCs w:val="24"/>
        </w:rPr>
        <w:t>Il piano finanziario comprova prima della decisione di concessione del contributo la copertura dei costi per i provvedimenti per cui è richiesto il contributo</w:t>
      </w:r>
      <w:r>
        <w:rPr>
          <w:rFonts w:cs="Arial"/>
          <w:szCs w:val="24"/>
        </w:rPr>
        <w:t xml:space="preserve">» </w:t>
      </w:r>
      <w:proofErr w:type="gramStart"/>
      <w:r>
        <w:rPr>
          <w:rFonts w:cs="Arial"/>
          <w:szCs w:val="24"/>
        </w:rPr>
        <w:t>e «</w:t>
      </w:r>
      <w:proofErr w:type="gramEnd"/>
      <w:r w:rsidRPr="00673A64">
        <w:rPr>
          <w:rFonts w:cs="Arial"/>
          <w:i/>
          <w:iCs/>
          <w:szCs w:val="24"/>
        </w:rPr>
        <w:t>per le corporazioni di diritto pubblico la copertura di cui al cpv. 1 è garantita prima del versamento del contributo</w:t>
      </w:r>
      <w:r>
        <w:rPr>
          <w:rFonts w:cs="Arial"/>
          <w:szCs w:val="24"/>
        </w:rPr>
        <w:t>»</w:t>
      </w:r>
      <w:r w:rsidRPr="004F7072">
        <w:rPr>
          <w:rFonts w:cs="Arial"/>
          <w:szCs w:val="24"/>
        </w:rPr>
        <w:t>.</w:t>
      </w:r>
    </w:p>
    <w:p w:rsidR="00AE224B" w:rsidRPr="002E03A8" w:rsidRDefault="00AE224B" w:rsidP="00AE224B">
      <w:pPr>
        <w:spacing w:line="240" w:lineRule="atLeast"/>
        <w:rPr>
          <w:rFonts w:cs="Arial"/>
          <w:sz w:val="20"/>
          <w:szCs w:val="20"/>
        </w:rPr>
      </w:pPr>
    </w:p>
    <w:p w:rsidR="00AE224B" w:rsidRPr="00232323" w:rsidRDefault="00AE224B" w:rsidP="00AE224B">
      <w:r w:rsidRPr="003A28D6">
        <w:rPr>
          <w:rFonts w:cs="Arial"/>
        </w:rPr>
        <w:t xml:space="preserve">Il Comune di </w:t>
      </w:r>
      <w:proofErr w:type="spellStart"/>
      <w:r w:rsidRPr="003A28D6">
        <w:rPr>
          <w:rFonts w:cs="Arial"/>
        </w:rPr>
        <w:t>Acquarossa</w:t>
      </w:r>
      <w:proofErr w:type="spellEnd"/>
      <w:r w:rsidRPr="003A28D6">
        <w:rPr>
          <w:rFonts w:cs="Arial"/>
        </w:rPr>
        <w:t xml:space="preserve"> ha stanziato </w:t>
      </w:r>
      <w:r>
        <w:rPr>
          <w:rFonts w:cs="Arial"/>
        </w:rPr>
        <w:t xml:space="preserve">fr. </w:t>
      </w:r>
      <w:r w:rsidRPr="003A28D6">
        <w:rPr>
          <w:rFonts w:cs="Arial"/>
        </w:rPr>
        <w:t>2'090'</w:t>
      </w:r>
      <w:proofErr w:type="gramStart"/>
      <w:r w:rsidRPr="003A28D6">
        <w:rPr>
          <w:rFonts w:cs="Arial"/>
        </w:rPr>
        <w:t>000.-</w:t>
      </w:r>
      <w:proofErr w:type="gramEnd"/>
      <w:r w:rsidRPr="003A28D6">
        <w:rPr>
          <w:rFonts w:cs="Arial"/>
        </w:rPr>
        <w:t xml:space="preserve"> di cui il 17 dicembre 2019 </w:t>
      </w:r>
      <w:r>
        <w:rPr>
          <w:rFonts w:cs="Arial"/>
        </w:rPr>
        <w:t>fr.</w:t>
      </w:r>
      <w:r w:rsidRPr="003A28D6">
        <w:rPr>
          <w:rFonts w:cs="Arial"/>
        </w:rPr>
        <w:t xml:space="preserve"> 1'400'</w:t>
      </w:r>
      <w:proofErr w:type="gramStart"/>
      <w:r w:rsidRPr="003A28D6">
        <w:rPr>
          <w:rFonts w:cs="Arial"/>
        </w:rPr>
        <w:t>000.-</w:t>
      </w:r>
      <w:proofErr w:type="gramEnd"/>
      <w:r w:rsidRPr="003A28D6">
        <w:rPr>
          <w:rFonts w:cs="Arial"/>
        </w:rPr>
        <w:t xml:space="preserve"> per </w:t>
      </w:r>
      <w:r>
        <w:rPr>
          <w:rFonts w:cs="Arial"/>
        </w:rPr>
        <w:t>il ripristino</w:t>
      </w:r>
      <w:r w:rsidRPr="003A28D6">
        <w:rPr>
          <w:rFonts w:cs="Arial"/>
        </w:rPr>
        <w:t xml:space="preserve"> d</w:t>
      </w:r>
      <w:r>
        <w:rPr>
          <w:rFonts w:cs="Arial"/>
        </w:rPr>
        <w:t>a</w:t>
      </w:r>
      <w:r w:rsidRPr="003A28D6">
        <w:rPr>
          <w:rFonts w:cs="Arial"/>
        </w:rPr>
        <w:t>i danni alluvionali e il 16 giugno 2020</w:t>
      </w:r>
      <w:r>
        <w:rPr>
          <w:rFonts w:cs="Arial"/>
        </w:rPr>
        <w:t xml:space="preserve"> fr.</w:t>
      </w:r>
      <w:r w:rsidRPr="003A28D6">
        <w:rPr>
          <w:rFonts w:cs="Arial"/>
        </w:rPr>
        <w:t xml:space="preserve"> 690'</w:t>
      </w:r>
      <w:proofErr w:type="gramStart"/>
      <w:r w:rsidRPr="003A28D6">
        <w:rPr>
          <w:rFonts w:cs="Arial"/>
        </w:rPr>
        <w:t>000.-</w:t>
      </w:r>
      <w:proofErr w:type="gramEnd"/>
      <w:r w:rsidRPr="003A28D6">
        <w:rPr>
          <w:rFonts w:cs="Arial"/>
        </w:rPr>
        <w:t xml:space="preserve"> per il rifacimento del ponte in località Taverna.</w:t>
      </w:r>
      <w:r>
        <w:rPr>
          <w:rFonts w:cs="Arial"/>
        </w:rPr>
        <w:t xml:space="preserve"> Con lo stanziamento di questi crediti è ottemperato il requisito previsto dall’art. 8 </w:t>
      </w:r>
      <w:proofErr w:type="spellStart"/>
      <w:r>
        <w:rPr>
          <w:rFonts w:cs="Arial"/>
        </w:rPr>
        <w:t>OMSt</w:t>
      </w:r>
      <w:proofErr w:type="spellEnd"/>
      <w:r>
        <w:rPr>
          <w:rFonts w:cs="Arial"/>
        </w:rPr>
        <w:t>.</w:t>
      </w:r>
      <w:r w:rsidRPr="00673A64">
        <w:rPr>
          <w:szCs w:val="24"/>
        </w:rPr>
        <w:t xml:space="preserve"> </w:t>
      </w:r>
      <w:r w:rsidRPr="006278A0">
        <w:rPr>
          <w:szCs w:val="24"/>
        </w:rPr>
        <w:t xml:space="preserve">L’onere a carico del </w:t>
      </w:r>
      <w:r>
        <w:rPr>
          <w:szCs w:val="24"/>
        </w:rPr>
        <w:t>Comune</w:t>
      </w:r>
      <w:r w:rsidRPr="006278A0">
        <w:rPr>
          <w:szCs w:val="24"/>
        </w:rPr>
        <w:t xml:space="preserve">, dedotti i </w:t>
      </w:r>
      <w:r>
        <w:rPr>
          <w:szCs w:val="24"/>
        </w:rPr>
        <w:t>sussidi</w:t>
      </w:r>
      <w:r w:rsidRPr="006278A0">
        <w:rPr>
          <w:szCs w:val="24"/>
        </w:rPr>
        <w:t xml:space="preserve"> cantonali e federali, è</w:t>
      </w:r>
      <w:r>
        <w:rPr>
          <w:szCs w:val="24"/>
        </w:rPr>
        <w:t xml:space="preserve"> </w:t>
      </w:r>
      <w:r w:rsidRPr="006278A0">
        <w:rPr>
          <w:szCs w:val="24"/>
        </w:rPr>
        <w:t xml:space="preserve">di </w:t>
      </w:r>
      <w:r>
        <w:rPr>
          <w:szCs w:val="24"/>
        </w:rPr>
        <w:t xml:space="preserve">fr. </w:t>
      </w:r>
      <w:r>
        <w:rPr>
          <w:rFonts w:cs="Arial"/>
          <w:szCs w:val="24"/>
        </w:rPr>
        <w:t>715’164.-.</w:t>
      </w:r>
    </w:p>
    <w:p w:rsidR="00AE224B" w:rsidRPr="002E03A8" w:rsidRDefault="00AE224B" w:rsidP="00AE224B">
      <w:pPr>
        <w:rPr>
          <w:rFonts w:cs="Arial"/>
          <w:sz w:val="20"/>
          <w:szCs w:val="20"/>
        </w:rPr>
      </w:pPr>
    </w:p>
    <w:p w:rsidR="00AE224B" w:rsidRDefault="00AE224B" w:rsidP="00AE224B">
      <w:pPr>
        <w:rPr>
          <w:rFonts w:cs="Arial"/>
        </w:rPr>
      </w:pPr>
      <w:r>
        <w:rPr>
          <w:rFonts w:cs="Arial"/>
        </w:rPr>
        <w:t xml:space="preserve">L’UFAG il 16 ottobre 2020 ha preavvisato favorevolmente la concessione </w:t>
      </w:r>
      <w:r w:rsidRPr="003A28D6">
        <w:rPr>
          <w:rFonts w:cs="Arial"/>
        </w:rPr>
        <w:t xml:space="preserve">di aiuti agli investimenti per il ripristino dei manufatti danneggiati dagli eventi alluvionali. È ipotizzabile un contributo federale pari a </w:t>
      </w:r>
      <w:r>
        <w:rPr>
          <w:rFonts w:cs="Arial"/>
        </w:rPr>
        <w:t>fr.</w:t>
      </w:r>
      <w:r w:rsidRPr="003A28D6">
        <w:rPr>
          <w:rFonts w:cs="Arial"/>
        </w:rPr>
        <w:t xml:space="preserve"> 636'</w:t>
      </w:r>
      <w:proofErr w:type="gramStart"/>
      <w:r w:rsidRPr="003A28D6">
        <w:rPr>
          <w:rFonts w:cs="Arial"/>
        </w:rPr>
        <w:t>698.-</w:t>
      </w:r>
      <w:proofErr w:type="gramEnd"/>
      <w:r w:rsidRPr="003A28D6">
        <w:rPr>
          <w:rFonts w:cs="Arial"/>
        </w:rPr>
        <w:t xml:space="preserve">, ossia il 39% circa </w:t>
      </w:r>
      <w:r>
        <w:rPr>
          <w:rFonts w:cs="Arial"/>
        </w:rPr>
        <w:t>del preventivo riconosciuto</w:t>
      </w:r>
      <w:r w:rsidRPr="003A28D6">
        <w:rPr>
          <w:rFonts w:cs="Arial"/>
        </w:rPr>
        <w:t>.</w:t>
      </w:r>
    </w:p>
    <w:p w:rsidR="00AE224B" w:rsidRPr="002E03A8" w:rsidRDefault="00AE224B" w:rsidP="00AE224B">
      <w:pPr>
        <w:rPr>
          <w:rFonts w:cs="Arial"/>
          <w:sz w:val="20"/>
          <w:szCs w:val="20"/>
        </w:rPr>
      </w:pPr>
    </w:p>
    <w:p w:rsidR="00AE224B" w:rsidRDefault="00AE224B" w:rsidP="00AE224B">
      <w:r>
        <w:rPr>
          <w:rFonts w:cs="Arial"/>
        </w:rPr>
        <w:t>Secondo l’a</w:t>
      </w:r>
      <w:r w:rsidRPr="00021EAF">
        <w:rPr>
          <w:rFonts w:cs="Arial"/>
        </w:rPr>
        <w:t>rt. 31</w:t>
      </w:r>
      <w:r>
        <w:rPr>
          <w:rFonts w:cs="Arial"/>
        </w:rPr>
        <w:t xml:space="preserve"> cpv. 1 </w:t>
      </w:r>
      <w:proofErr w:type="spellStart"/>
      <w:r>
        <w:rPr>
          <w:rFonts w:cs="Arial"/>
        </w:rPr>
        <w:t>OMSt</w:t>
      </w:r>
      <w:proofErr w:type="spellEnd"/>
      <w:r w:rsidRPr="00021EAF">
        <w:rPr>
          <w:rFonts w:cs="Arial"/>
        </w:rPr>
        <w:t xml:space="preserve"> </w:t>
      </w:r>
      <w:r>
        <w:rPr>
          <w:rFonts w:cs="Arial"/>
        </w:rPr>
        <w:t>«</w:t>
      </w:r>
      <w:r w:rsidRPr="00642761">
        <w:rPr>
          <w:rFonts w:cs="Arial"/>
          <w:i/>
          <w:iCs/>
        </w:rPr>
        <w:t>L’inizio dei lavori e gli acquisti possono essere effettuati soltanto quando l’aiuto agli investimenti risulta da una decisione passata in giudicato o da una convenzione e la competente autorità cantonale ha rilasciato la corrispondente autorizzazione</w:t>
      </w:r>
      <w:r>
        <w:rPr>
          <w:rFonts w:cs="Arial"/>
        </w:rPr>
        <w:t xml:space="preserve">». A livello cantonale vige un principio analogo: </w:t>
      </w:r>
      <w:r>
        <w:t>«</w:t>
      </w:r>
      <w:r w:rsidRPr="00021EAF">
        <w:rPr>
          <w:i/>
          <w:iCs/>
        </w:rPr>
        <w:t>possono beneficiare degli aiuti agli investimenti unicamente provvedimenti non ancora iniziati</w:t>
      </w:r>
      <w:r>
        <w:t xml:space="preserve">» (art. 8 cpv. </w:t>
      </w:r>
      <w:r w:rsidRPr="00021EAF">
        <w:t>5</w:t>
      </w:r>
      <w:r>
        <w:t xml:space="preserve"> LA)</w:t>
      </w:r>
      <w:r w:rsidRPr="00021EAF">
        <w:t>.</w:t>
      </w:r>
    </w:p>
    <w:p w:rsidR="00AE224B" w:rsidRDefault="00AE224B" w:rsidP="00AE224B">
      <w:r>
        <w:t>Gli interventi più urgenti sono stati autorizzati tramite la deroga prevista dall’art. 8 cpv. 6 LA, ma l’inizio dei rimanenti lavori è subordinato all’approvazione del presente credito da parte del Gran Consiglio.</w:t>
      </w:r>
    </w:p>
    <w:p w:rsidR="00AE224B" w:rsidRDefault="00AE224B" w:rsidP="00AE224B">
      <w:pPr>
        <w:jc w:val="left"/>
        <w:rPr>
          <w:rFonts w:cs="Arial"/>
        </w:rPr>
      </w:pPr>
    </w:p>
    <w:p w:rsidR="00AE224B" w:rsidRDefault="00AE224B" w:rsidP="00AE224B">
      <w:pPr>
        <w:jc w:val="left"/>
        <w:rPr>
          <w:rFonts w:cs="Arial"/>
        </w:rPr>
      </w:pPr>
    </w:p>
    <w:p w:rsidR="00AE224B" w:rsidRDefault="00AE224B" w:rsidP="00AE224B">
      <w:pPr>
        <w:pStyle w:val="Titolo1"/>
      </w:pPr>
      <w:r>
        <w:t>Conclusioni</w:t>
      </w:r>
    </w:p>
    <w:p w:rsidR="00AE224B" w:rsidRDefault="00AE224B" w:rsidP="002E03A8">
      <w:pPr>
        <w:spacing w:after="120"/>
        <w:rPr>
          <w:rFonts w:cs="Arial"/>
        </w:rPr>
      </w:pPr>
      <w:r>
        <w:rPr>
          <w:rFonts w:cs="Arial"/>
        </w:rPr>
        <w:t xml:space="preserve">La Commissione preavvisa favorevolmente la concessione del </w:t>
      </w:r>
      <w:r w:rsidRPr="00F51948">
        <w:rPr>
          <w:rFonts w:cs="Arial"/>
        </w:rPr>
        <w:t xml:space="preserve">contributo complessivo massimo di </w:t>
      </w:r>
      <w:r>
        <w:rPr>
          <w:rFonts w:cs="Arial"/>
        </w:rPr>
        <w:t xml:space="preserve">fr. </w:t>
      </w:r>
      <w:r w:rsidRPr="00F51948">
        <w:rPr>
          <w:rFonts w:cs="Arial"/>
        </w:rPr>
        <w:t xml:space="preserve">734’652 </w:t>
      </w:r>
      <w:r>
        <w:rPr>
          <w:rFonts w:cs="Arial"/>
        </w:rPr>
        <w:t xml:space="preserve">al Comune di </w:t>
      </w:r>
      <w:proofErr w:type="spellStart"/>
      <w:r>
        <w:rPr>
          <w:rFonts w:cs="Arial"/>
        </w:rPr>
        <w:t>Acquarossa</w:t>
      </w:r>
      <w:proofErr w:type="spellEnd"/>
      <w:r>
        <w:rPr>
          <w:rFonts w:cs="Arial"/>
        </w:rPr>
        <w:t xml:space="preserve"> affinché si provveda al più presto alla sistemazione dei tratti di strada e dei ponti che sono stati danneggiati dall'alluvione del 2019. La Commissione auspica che tali interventi di ripristino avvengano con un occhio di riguardo alla preservazione del paesaggio. La messa in sicurezza e la conservazione di queste strutture è imprescindibile per la vita delle aziende agricole della zona e per la prosecuzione della cura di coltivazioni e pascoli, a beneficio non solo dell’economia agricola, ma anche del paesaggio.</w:t>
      </w:r>
    </w:p>
    <w:p w:rsidR="00AE224B" w:rsidRDefault="00AE224B" w:rsidP="00AE224B">
      <w:pPr>
        <w:rPr>
          <w:rFonts w:cs="Arial"/>
        </w:rPr>
      </w:pPr>
    </w:p>
    <w:p w:rsidR="00AE224B" w:rsidRDefault="00AE224B" w:rsidP="002E03A8">
      <w:pPr>
        <w:rPr>
          <w:rFonts w:cs="Arial"/>
        </w:rPr>
      </w:pPr>
      <w:r>
        <w:rPr>
          <w:rFonts w:cs="Arial"/>
        </w:rPr>
        <w:t>Il Gran Consiglio è invitato ad approvare il disegno di decreto legislativo annesso al messaggio governativo.</w:t>
      </w:r>
    </w:p>
    <w:p w:rsidR="00B860C2" w:rsidRDefault="00B860C2" w:rsidP="00B860C2">
      <w:pPr>
        <w:rPr>
          <w:rFonts w:cs="Arial"/>
          <w:szCs w:val="24"/>
        </w:rPr>
      </w:pPr>
    </w:p>
    <w:p w:rsidR="00B860C2" w:rsidRDefault="00B860C2" w:rsidP="00B860C2">
      <w:pPr>
        <w:rPr>
          <w:rFonts w:cs="Arial"/>
          <w:szCs w:val="24"/>
        </w:rPr>
      </w:pPr>
    </w:p>
    <w:p w:rsidR="002E03A8" w:rsidRDefault="002E03A8"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AE224B">
        <w:rPr>
          <w:rFonts w:cs="Arial"/>
          <w:color w:val="FF0000"/>
          <w:szCs w:val="24"/>
        </w:rPr>
        <w:t xml:space="preserve"> </w:t>
      </w:r>
      <w:r w:rsidR="00AE224B" w:rsidRPr="00AE224B">
        <w:rPr>
          <w:rFonts w:cs="Arial"/>
          <w:szCs w:val="24"/>
        </w:rPr>
        <w:t>ambiente, territorio ed energia</w:t>
      </w:r>
      <w:r w:rsidRPr="00076E70">
        <w:rPr>
          <w:rFonts w:cs="Arial"/>
          <w:szCs w:val="24"/>
        </w:rPr>
        <w:t>:</w:t>
      </w:r>
    </w:p>
    <w:p w:rsidR="00B860C2" w:rsidRPr="00076E70" w:rsidRDefault="00AE224B" w:rsidP="00B860C2">
      <w:pPr>
        <w:rPr>
          <w:rFonts w:cs="Arial"/>
          <w:szCs w:val="24"/>
        </w:rPr>
      </w:pPr>
      <w:r>
        <w:rPr>
          <w:rFonts w:cs="Arial"/>
          <w:szCs w:val="24"/>
        </w:rPr>
        <w:t>Fabio Battaglioni</w:t>
      </w:r>
      <w:r w:rsidR="00B860C2" w:rsidRPr="00076E70">
        <w:rPr>
          <w:rFonts w:cs="Arial"/>
          <w:szCs w:val="24"/>
        </w:rPr>
        <w:t>, relatore</w:t>
      </w:r>
    </w:p>
    <w:p w:rsidR="002E03A8" w:rsidRDefault="00D2510D" w:rsidP="00D2510D">
      <w:r>
        <w:t xml:space="preserve">Alberti - </w:t>
      </w:r>
      <w:r w:rsidRPr="00D2510D">
        <w:t>Badasci -</w:t>
      </w:r>
      <w:r>
        <w:t xml:space="preserve"> Bang - Berardi - Buri - Caroni </w:t>
      </w:r>
      <w:r w:rsidR="002E03A8">
        <w:t>-</w:t>
      </w:r>
      <w:r>
        <w:t xml:space="preserve"> Gaffuri </w:t>
      </w:r>
      <w:r w:rsidR="002E03A8">
        <w:t>-</w:t>
      </w:r>
      <w:r>
        <w:t xml:space="preserve"> </w:t>
      </w:r>
    </w:p>
    <w:p w:rsidR="00D2510D" w:rsidRDefault="00D2510D" w:rsidP="00D2510D">
      <w:r>
        <w:t xml:space="preserve">Garbani Nerini - Garzoli - Genini - Pinoja - Schnellmann - </w:t>
      </w:r>
    </w:p>
    <w:p w:rsidR="00D2510D" w:rsidRDefault="00D2510D" w:rsidP="00D2510D">
      <w:r>
        <w:t>Schoenenberger - Terraneo - Tonini</w:t>
      </w:r>
    </w:p>
    <w:sectPr w:rsidR="00D2510D" w:rsidSect="002E03A8">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4B" w:rsidRDefault="00AE224B" w:rsidP="008E77C6">
      <w:r>
        <w:separator/>
      </w:r>
    </w:p>
  </w:endnote>
  <w:endnote w:type="continuationSeparator" w:id="0">
    <w:p w:rsidR="00AE224B" w:rsidRDefault="00AE224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C13D3" w:rsidRPr="00BC13D3">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4B" w:rsidRDefault="00AE224B" w:rsidP="008E77C6">
      <w:r>
        <w:separator/>
      </w:r>
    </w:p>
  </w:footnote>
  <w:footnote w:type="continuationSeparator" w:id="0">
    <w:p w:rsidR="00AE224B" w:rsidRDefault="00AE224B"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10"/>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4B"/>
    <w:rsid w:val="00076E70"/>
    <w:rsid w:val="001574D7"/>
    <w:rsid w:val="00223144"/>
    <w:rsid w:val="00260C8C"/>
    <w:rsid w:val="002677DC"/>
    <w:rsid w:val="002E03A8"/>
    <w:rsid w:val="002E5E40"/>
    <w:rsid w:val="0052425A"/>
    <w:rsid w:val="00586A8D"/>
    <w:rsid w:val="006C17AA"/>
    <w:rsid w:val="006D7A3B"/>
    <w:rsid w:val="006E4AE2"/>
    <w:rsid w:val="007352D3"/>
    <w:rsid w:val="007B5462"/>
    <w:rsid w:val="008034BD"/>
    <w:rsid w:val="00844A83"/>
    <w:rsid w:val="00876352"/>
    <w:rsid w:val="008B2655"/>
    <w:rsid w:val="008B4137"/>
    <w:rsid w:val="008C767A"/>
    <w:rsid w:val="008E77C6"/>
    <w:rsid w:val="009770BB"/>
    <w:rsid w:val="009914EE"/>
    <w:rsid w:val="009D3E6B"/>
    <w:rsid w:val="009E008D"/>
    <w:rsid w:val="00A5465F"/>
    <w:rsid w:val="00A77678"/>
    <w:rsid w:val="00AE224B"/>
    <w:rsid w:val="00B860C2"/>
    <w:rsid w:val="00BC13D3"/>
    <w:rsid w:val="00BC4C95"/>
    <w:rsid w:val="00BD5944"/>
    <w:rsid w:val="00CC59CF"/>
    <w:rsid w:val="00CF6858"/>
    <w:rsid w:val="00D2510D"/>
    <w:rsid w:val="00D377B5"/>
    <w:rsid w:val="00D93B31"/>
    <w:rsid w:val="00DE5307"/>
    <w:rsid w:val="00E505DB"/>
    <w:rsid w:val="00E765A9"/>
    <w:rsid w:val="00F242A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631B"/>
  <w15:docId w15:val="{74A2C2E3-A6E9-4942-B8BB-E8C80EAF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AB8-B213-4547-91E9-CF9A47D4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2021-03-01T10:35:00Z</cp:lastPrinted>
  <dcterms:created xsi:type="dcterms:W3CDTF">2021-03-03T08:40:00Z</dcterms:created>
  <dcterms:modified xsi:type="dcterms:W3CDTF">2021-03-03T08:40:00Z</dcterms:modified>
</cp:coreProperties>
</file>