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DD3" w:rsidRDefault="00AB5DD3" w:rsidP="00AB5DD3">
      <w:pPr>
        <w:rPr>
          <w:rFonts w:ascii="Gill Sans MT" w:hAnsi="Gill Sans MT"/>
          <w:b/>
          <w:sz w:val="56"/>
          <w:szCs w:val="56"/>
        </w:rPr>
      </w:pPr>
      <w:r>
        <w:rPr>
          <w:rFonts w:ascii="Gill Sans MT" w:hAnsi="Gill Sans MT"/>
          <w:b/>
          <w:sz w:val="56"/>
          <w:szCs w:val="56"/>
        </w:rPr>
        <w:t>Rapporto</w:t>
      </w:r>
      <w:bookmarkStart w:id="0" w:name="_GoBack"/>
      <w:bookmarkEnd w:id="0"/>
    </w:p>
    <w:p w:rsidR="00B860C2" w:rsidRDefault="00B860C2" w:rsidP="00B860C2">
      <w:pPr>
        <w:rPr>
          <w:rFonts w:cs="Arial"/>
          <w:szCs w:val="24"/>
        </w:rPr>
      </w:pPr>
    </w:p>
    <w:p w:rsidR="00B860C2" w:rsidRDefault="00B860C2" w:rsidP="00B860C2">
      <w:pPr>
        <w:rPr>
          <w:rFonts w:cs="Arial"/>
          <w:szCs w:val="24"/>
        </w:rPr>
      </w:pPr>
    </w:p>
    <w:p w:rsidR="00B860C2" w:rsidRDefault="00D53C9F" w:rsidP="00B860C2">
      <w:pPr>
        <w:tabs>
          <w:tab w:val="left" w:pos="2098"/>
          <w:tab w:val="left" w:pos="4933"/>
        </w:tabs>
        <w:rPr>
          <w:rFonts w:cs="Arial"/>
          <w:szCs w:val="24"/>
        </w:rPr>
      </w:pPr>
      <w:r>
        <w:rPr>
          <w:rFonts w:cs="Arial"/>
          <w:b/>
          <w:sz w:val="32"/>
          <w:szCs w:val="32"/>
        </w:rPr>
        <w:t>7521</w:t>
      </w:r>
      <w:r w:rsidR="00B860C2" w:rsidRPr="008B4137">
        <w:rPr>
          <w:rFonts w:cs="Arial"/>
          <w:b/>
          <w:sz w:val="32"/>
          <w:szCs w:val="32"/>
        </w:rPr>
        <w:t xml:space="preserve"> R</w:t>
      </w:r>
      <w:r w:rsidR="00B860C2" w:rsidRPr="008B4137">
        <w:rPr>
          <w:rFonts w:cs="Arial"/>
          <w:sz w:val="28"/>
          <w:szCs w:val="28"/>
        </w:rPr>
        <w:tab/>
      </w:r>
      <w:r w:rsidR="00C81A2A">
        <w:rPr>
          <w:rFonts w:cs="Arial"/>
          <w:sz w:val="28"/>
          <w:szCs w:val="28"/>
        </w:rPr>
        <w:t>30 marzo</w:t>
      </w:r>
      <w:r>
        <w:rPr>
          <w:rFonts w:cs="Arial"/>
          <w:sz w:val="28"/>
          <w:szCs w:val="28"/>
        </w:rPr>
        <w:t xml:space="preserve"> 2021</w:t>
      </w:r>
      <w:r w:rsidR="00B860C2" w:rsidRPr="008B4137">
        <w:rPr>
          <w:rFonts w:cs="Arial"/>
          <w:sz w:val="28"/>
          <w:szCs w:val="28"/>
        </w:rPr>
        <w:tab/>
      </w:r>
      <w:r>
        <w:rPr>
          <w:sz w:val="28"/>
        </w:rPr>
        <w:t>FINANZE E ECONOMIA</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D53C9F" w:rsidRDefault="00B860C2" w:rsidP="00B860C2">
      <w:pPr>
        <w:rPr>
          <w:rFonts w:cs="Arial"/>
          <w:b/>
          <w:color w:val="000000" w:themeColor="text1"/>
          <w:sz w:val="28"/>
          <w:szCs w:val="28"/>
        </w:rPr>
      </w:pPr>
      <w:r w:rsidRPr="00D53C9F">
        <w:rPr>
          <w:rFonts w:cs="Arial"/>
          <w:b/>
          <w:color w:val="000000" w:themeColor="text1"/>
          <w:sz w:val="28"/>
          <w:szCs w:val="28"/>
        </w:rPr>
        <w:t>della Commissione gestione e finanze</w:t>
      </w:r>
    </w:p>
    <w:p w:rsidR="00B860C2" w:rsidRPr="00D53C9F" w:rsidRDefault="00B860C2" w:rsidP="00B860C2">
      <w:pPr>
        <w:rPr>
          <w:rFonts w:cs="Arial"/>
          <w:b/>
          <w:sz w:val="28"/>
          <w:szCs w:val="28"/>
        </w:rPr>
      </w:pPr>
      <w:r w:rsidRPr="000D6BD0">
        <w:rPr>
          <w:rFonts w:cs="Arial"/>
          <w:b/>
          <w:sz w:val="28"/>
          <w:szCs w:val="28"/>
        </w:rPr>
        <w:t>sul</w:t>
      </w:r>
      <w:r w:rsidR="00D53C9F">
        <w:rPr>
          <w:rFonts w:cs="Arial"/>
          <w:b/>
          <w:sz w:val="28"/>
          <w:szCs w:val="28"/>
        </w:rPr>
        <w:t xml:space="preserve">la mozione </w:t>
      </w:r>
      <w:r w:rsidR="00D53C9F" w:rsidRPr="00D53C9F">
        <w:rPr>
          <w:rFonts w:cs="Arial"/>
          <w:b/>
          <w:sz w:val="28"/>
          <w:szCs w:val="28"/>
        </w:rPr>
        <w:t>19 giugno 2017 presentata da Boris Bignasca, Paolo Pamini, Gianmaria Frapolli e cofirmatari “Riconoscere gli Uffici virtuosi nell’Amministrazione pubblica e ridurre l’assenteismo dal posto di lavoro nel resto dell’Amministrazione cantonale”</w:t>
      </w:r>
    </w:p>
    <w:p w:rsidR="00D53C9F" w:rsidRDefault="00D53C9F" w:rsidP="00D53C9F">
      <w:pPr>
        <w:spacing w:before="120"/>
        <w:rPr>
          <w:rFonts w:cs="Arial"/>
          <w:b/>
          <w:sz w:val="26"/>
          <w:szCs w:val="26"/>
        </w:rPr>
      </w:pPr>
      <w:r>
        <w:rPr>
          <w:rFonts w:cs="Arial"/>
          <w:b/>
          <w:sz w:val="26"/>
          <w:szCs w:val="26"/>
        </w:rPr>
        <w:t>(v. messaggio 10 aprile 2018 n. 7521)</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D53C9F" w:rsidRPr="00D53C9F" w:rsidRDefault="00D53C9F" w:rsidP="00D2062E">
      <w:pPr>
        <w:pStyle w:val="Titolo1"/>
      </w:pPr>
      <w:r w:rsidRPr="00D53C9F">
        <w:t>Premessa</w:t>
      </w:r>
    </w:p>
    <w:p w:rsidR="00D53C9F" w:rsidRDefault="00D53C9F" w:rsidP="00D53C9F">
      <w:pPr>
        <w:rPr>
          <w:rFonts w:cs="Arial"/>
          <w:szCs w:val="24"/>
        </w:rPr>
      </w:pPr>
      <w:r w:rsidRPr="00D53C9F">
        <w:rPr>
          <w:rFonts w:cs="Arial"/>
          <w:szCs w:val="24"/>
        </w:rPr>
        <w:t>Il messaggio in oggetto cerca di rispondere in modo esaustivo e articolato alla mozione del 19 giugno 2017 di Boris Bignasca, Paolo Pamini, Gianmaria Frapolli e cofirmatari che chiedeva di “Riconoscere gli Uffici virtuosi nell’Amministrazione pubblica e ridurre l’assenteismo dal posto di lavoro nel resto dell’Amministrazione cantonale” (AC).</w:t>
      </w:r>
    </w:p>
    <w:p w:rsidR="003F7BF1" w:rsidRPr="00D53C9F" w:rsidRDefault="003F7BF1" w:rsidP="00D53C9F">
      <w:pPr>
        <w:rPr>
          <w:rFonts w:cs="Arial"/>
          <w:szCs w:val="24"/>
        </w:rPr>
      </w:pPr>
    </w:p>
    <w:p w:rsidR="00D53C9F" w:rsidRDefault="00D53C9F" w:rsidP="00D53C9F">
      <w:pPr>
        <w:rPr>
          <w:rFonts w:cs="Arial"/>
          <w:color w:val="000000" w:themeColor="text1"/>
          <w:szCs w:val="24"/>
        </w:rPr>
      </w:pPr>
      <w:r w:rsidRPr="00D53C9F">
        <w:rPr>
          <w:rFonts w:cs="Arial"/>
          <w:color w:val="000000" w:themeColor="text1"/>
          <w:szCs w:val="24"/>
        </w:rPr>
        <w:t xml:space="preserve">Il rapporto ha tuttavia richiesto diversi approfondimenti sollecitati dagli stessi mozionanti presenti in Commissione al Consiglio di Stato e agli uffici competenti per arrivare a capire meglio il nocciolo del problema e identificare il fondo della problematica. </w:t>
      </w:r>
    </w:p>
    <w:p w:rsidR="003F7BF1" w:rsidRPr="00D53C9F" w:rsidRDefault="003F7BF1" w:rsidP="00D53C9F">
      <w:pPr>
        <w:rPr>
          <w:rFonts w:cs="Arial"/>
          <w:color w:val="000000" w:themeColor="text1"/>
          <w:szCs w:val="24"/>
        </w:rPr>
      </w:pPr>
    </w:p>
    <w:p w:rsidR="00D53C9F" w:rsidRDefault="00D53C9F" w:rsidP="00D53C9F">
      <w:pPr>
        <w:rPr>
          <w:rFonts w:cs="Arial"/>
          <w:szCs w:val="24"/>
        </w:rPr>
      </w:pPr>
      <w:r w:rsidRPr="00D53C9F">
        <w:rPr>
          <w:rFonts w:cs="Arial"/>
          <w:szCs w:val="24"/>
        </w:rPr>
        <w:t xml:space="preserve">La riflessione è certamente importante come ammesso dallo stesso Consiglio di Stato nel messaggio in oggetto in quanto l’indicatore relativo alle assenze per malattia deve giustamente essere monitorato. </w:t>
      </w:r>
    </w:p>
    <w:p w:rsidR="003F7BF1" w:rsidRPr="00D53C9F" w:rsidRDefault="003F7BF1" w:rsidP="00D53C9F">
      <w:pPr>
        <w:rPr>
          <w:rFonts w:cs="Arial"/>
          <w:szCs w:val="24"/>
        </w:rPr>
      </w:pPr>
    </w:p>
    <w:p w:rsidR="00D53C9F" w:rsidRDefault="00D53C9F" w:rsidP="00D53C9F">
      <w:pPr>
        <w:rPr>
          <w:rFonts w:cs="Arial"/>
          <w:szCs w:val="24"/>
        </w:rPr>
      </w:pPr>
      <w:r w:rsidRPr="00D53C9F">
        <w:rPr>
          <w:rFonts w:cs="Arial"/>
          <w:szCs w:val="24"/>
        </w:rPr>
        <w:t>Si tratta di un principio valido per qualsiasi azienda anche se la questione deve essere approfondita e differenziata a dipendenza dei settori e delle situazioni. Infatti è ben evidente che una percentuale bassa di assenze non significa automaticamente che un servizio possa essere definito virtuoso così come al contrario non è detto che un servizio con assenze apparentemente più importanti sia necessariamente scarso. Pertanto accanto a valutazioni di ordine quantitativo bisogna tenere conto di aspetti qualitativi.</w:t>
      </w:r>
    </w:p>
    <w:p w:rsidR="003F7BF1" w:rsidRPr="00D53C9F" w:rsidRDefault="003F7BF1" w:rsidP="00D53C9F">
      <w:pPr>
        <w:rPr>
          <w:rFonts w:cs="Arial"/>
          <w:szCs w:val="24"/>
        </w:rPr>
      </w:pPr>
    </w:p>
    <w:p w:rsidR="00D53C9F" w:rsidRDefault="00D53C9F" w:rsidP="00D53C9F">
      <w:pPr>
        <w:rPr>
          <w:rFonts w:cs="Arial"/>
          <w:szCs w:val="24"/>
        </w:rPr>
      </w:pPr>
      <w:r w:rsidRPr="00D53C9F">
        <w:rPr>
          <w:rFonts w:cs="Arial"/>
          <w:szCs w:val="24"/>
        </w:rPr>
        <w:t xml:space="preserve">La mozione richiede una presentazione della situazione delle assenze declinata in ogni ufficio dell’AC. Quanto proposto ha come detto richiesto un importante lavoro di approfondimento in considerazione delle significative differenze di taglia esistenti tra i vari uffici nei quali un’assenza prolungata, ad esempio per una malattia grave anche di un solo collaboratore, comporta forti differenze percentuali. </w:t>
      </w:r>
    </w:p>
    <w:p w:rsidR="003F7BF1" w:rsidRPr="00D53C9F" w:rsidRDefault="003F7BF1" w:rsidP="00D53C9F">
      <w:pPr>
        <w:rPr>
          <w:rFonts w:cs="Arial"/>
          <w:szCs w:val="24"/>
        </w:rPr>
      </w:pPr>
    </w:p>
    <w:p w:rsidR="00D53C9F" w:rsidRPr="00D53C9F" w:rsidRDefault="00D53C9F" w:rsidP="00D53C9F">
      <w:pPr>
        <w:rPr>
          <w:rFonts w:cs="Arial"/>
          <w:szCs w:val="24"/>
        </w:rPr>
      </w:pPr>
      <w:r w:rsidRPr="00D53C9F">
        <w:rPr>
          <w:rFonts w:cs="Arial"/>
          <w:szCs w:val="24"/>
        </w:rPr>
        <w:t xml:space="preserve">Il relatore ha dapprima voluto attendere i dati consolidati del 2019 visto che ha assunto il messaggio nel settembre 2019 e, considerando che il 1 gennaio 2018 è entrata in vigore la nuova Legge stipendi, sembrava utile capire se si potessero riscontrare delle differenze interessanti. </w:t>
      </w:r>
    </w:p>
    <w:p w:rsidR="00D53C9F" w:rsidRPr="00D53C9F" w:rsidRDefault="00D53C9F" w:rsidP="00D53C9F">
      <w:pPr>
        <w:rPr>
          <w:rFonts w:cs="Arial"/>
          <w:szCs w:val="24"/>
        </w:rPr>
      </w:pPr>
    </w:p>
    <w:p w:rsidR="00D53C9F" w:rsidRPr="00D53C9F" w:rsidRDefault="00D53C9F" w:rsidP="00D2062E">
      <w:pPr>
        <w:pStyle w:val="Titolo1"/>
      </w:pPr>
      <w:r w:rsidRPr="00D53C9F">
        <w:lastRenderedPageBreak/>
        <w:t>Le risorse umane dell’amministrazione cantonale (AC)</w:t>
      </w:r>
    </w:p>
    <w:p w:rsidR="00D53C9F" w:rsidRDefault="00D53C9F" w:rsidP="003F7BF1">
      <w:pPr>
        <w:rPr>
          <w:rFonts w:cs="Arial"/>
          <w:szCs w:val="24"/>
        </w:rPr>
      </w:pPr>
      <w:r w:rsidRPr="00D53C9F">
        <w:rPr>
          <w:rFonts w:cs="Arial"/>
          <w:szCs w:val="24"/>
        </w:rPr>
        <w:t>Il Consiglio di Stato è perfettamente consapevole dell’importanza di una corretta gestione delle risorse umane di cui dispone in quanto assume un ruolo chiave per assicurare ai cittadini i servizi attesi.</w:t>
      </w:r>
    </w:p>
    <w:p w:rsidR="003F7BF1" w:rsidRPr="00D53C9F" w:rsidRDefault="003F7BF1" w:rsidP="003F7BF1">
      <w:pPr>
        <w:rPr>
          <w:rFonts w:cs="Arial"/>
          <w:szCs w:val="24"/>
        </w:rPr>
      </w:pPr>
    </w:p>
    <w:p w:rsidR="00D53C9F" w:rsidRPr="00D53C9F" w:rsidRDefault="00D53C9F" w:rsidP="00D53C9F">
      <w:pPr>
        <w:rPr>
          <w:rFonts w:cs="Arial"/>
          <w:szCs w:val="24"/>
        </w:rPr>
      </w:pPr>
      <w:r w:rsidRPr="00D53C9F">
        <w:rPr>
          <w:rFonts w:cs="Arial"/>
          <w:szCs w:val="24"/>
        </w:rPr>
        <w:t xml:space="preserve">D’altro conto la </w:t>
      </w:r>
      <w:r w:rsidRPr="00D53C9F">
        <w:rPr>
          <w:rFonts w:cs="Arial"/>
          <w:b/>
          <w:bCs/>
          <w:color w:val="000000"/>
          <w:szCs w:val="24"/>
        </w:rPr>
        <w:t>Legge</w:t>
      </w:r>
      <w:r w:rsidRPr="00D53C9F">
        <w:rPr>
          <w:rFonts w:cs="Arial"/>
          <w:color w:val="000000"/>
          <w:szCs w:val="24"/>
        </w:rPr>
        <w:t xml:space="preserve"> </w:t>
      </w:r>
      <w:r w:rsidRPr="00D53C9F">
        <w:rPr>
          <w:rFonts w:cs="Arial"/>
          <w:b/>
          <w:bCs/>
          <w:color w:val="000000"/>
          <w:szCs w:val="24"/>
        </w:rPr>
        <w:t>sull’ordinamento degli impiegati dello Stato</w:t>
      </w:r>
      <w:r w:rsidRPr="00D53C9F">
        <w:rPr>
          <w:rFonts w:cs="Arial"/>
          <w:color w:val="000000"/>
          <w:szCs w:val="24"/>
        </w:rPr>
        <w:t xml:space="preserve"> </w:t>
      </w:r>
      <w:r w:rsidRPr="00D53C9F">
        <w:rPr>
          <w:rFonts w:cs="Arial"/>
          <w:b/>
          <w:bCs/>
          <w:color w:val="000000"/>
          <w:szCs w:val="24"/>
        </w:rPr>
        <w:t>e dei docenti</w:t>
      </w:r>
      <w:r w:rsidRPr="00D53C9F">
        <w:rPr>
          <w:rFonts w:cs="Arial"/>
          <w:color w:val="000000"/>
          <w:szCs w:val="24"/>
        </w:rPr>
        <w:t xml:space="preserve"> </w:t>
      </w:r>
      <w:r w:rsidRPr="00D53C9F">
        <w:rPr>
          <w:rFonts w:cs="Arial"/>
          <w:szCs w:val="24"/>
        </w:rPr>
        <w:t>(LORD, del 15 marzo 1995) indica esplicitamente gli obiettivi basilari della gestione del personale che è bene riprendere.</w:t>
      </w:r>
    </w:p>
    <w:p w:rsidR="00D53C9F" w:rsidRDefault="00D53C9F" w:rsidP="00D53C9F">
      <w:pPr>
        <w:rPr>
          <w:rFonts w:cs="Arial"/>
          <w:color w:val="000000"/>
          <w:szCs w:val="24"/>
        </w:rPr>
      </w:pPr>
    </w:p>
    <w:p w:rsidR="00D53C9F" w:rsidRPr="00D53C9F" w:rsidRDefault="00D53C9F" w:rsidP="00D53C9F">
      <w:pPr>
        <w:rPr>
          <w:rFonts w:cs="Arial"/>
          <w:color w:val="000000"/>
          <w:szCs w:val="24"/>
        </w:rPr>
      </w:pPr>
    </w:p>
    <w:p w:rsidR="00D53C9F" w:rsidRPr="00D53C9F" w:rsidRDefault="00D53C9F" w:rsidP="00D2062E">
      <w:pPr>
        <w:pStyle w:val="Titolo2"/>
      </w:pPr>
      <w:r>
        <w:t>2.1</w:t>
      </w:r>
      <w:r>
        <w:tab/>
      </w:r>
      <w:r w:rsidRPr="00D53C9F">
        <w:t xml:space="preserve">Obiettivi e strumenti </w:t>
      </w:r>
    </w:p>
    <w:p w:rsidR="007078C4" w:rsidRPr="007078C4" w:rsidRDefault="00D53C9F" w:rsidP="007078C4">
      <w:pPr>
        <w:spacing w:after="120"/>
        <w:ind w:left="1276" w:hanging="1276"/>
        <w:rPr>
          <w:rFonts w:cs="Arial"/>
          <w:b/>
          <w:bCs/>
          <w:color w:val="000000"/>
          <w:sz w:val="23"/>
          <w:szCs w:val="23"/>
          <w:u w:val="single"/>
          <w:lang w:eastAsia="it-CH"/>
        </w:rPr>
      </w:pPr>
      <w:r w:rsidRPr="007078C4">
        <w:rPr>
          <w:rFonts w:cs="Arial"/>
          <w:b/>
          <w:bCs/>
          <w:color w:val="000000"/>
          <w:sz w:val="23"/>
          <w:szCs w:val="23"/>
          <w:u w:val="single"/>
          <w:lang w:eastAsia="it-CH"/>
        </w:rPr>
        <w:t>Art</w:t>
      </w:r>
      <w:r w:rsidR="007078C4" w:rsidRPr="007078C4">
        <w:rPr>
          <w:rFonts w:cs="Arial"/>
          <w:b/>
          <w:bCs/>
          <w:color w:val="000000"/>
          <w:sz w:val="23"/>
          <w:szCs w:val="23"/>
          <w:u w:val="single"/>
          <w:lang w:eastAsia="it-CH"/>
        </w:rPr>
        <w:t>icolo</w:t>
      </w:r>
      <w:r w:rsidRPr="007078C4">
        <w:rPr>
          <w:rFonts w:cs="Arial"/>
          <w:b/>
          <w:bCs/>
          <w:color w:val="000000"/>
          <w:sz w:val="23"/>
          <w:szCs w:val="23"/>
          <w:u w:val="single"/>
          <w:lang w:eastAsia="it-CH"/>
        </w:rPr>
        <w:t xml:space="preserve"> 1b</w:t>
      </w:r>
      <w:bookmarkStart w:id="1" w:name="_ftnref4"/>
      <w:bookmarkEnd w:id="1"/>
    </w:p>
    <w:p w:rsidR="00D53C9F" w:rsidRPr="007078C4" w:rsidRDefault="00D53C9F" w:rsidP="007078C4">
      <w:pPr>
        <w:ind w:left="1276" w:right="-1" w:hanging="1276"/>
        <w:rPr>
          <w:rFonts w:cs="Arial"/>
          <w:color w:val="000000"/>
          <w:sz w:val="23"/>
          <w:szCs w:val="23"/>
          <w:lang w:eastAsia="it-CH"/>
        </w:rPr>
      </w:pPr>
      <w:r w:rsidRPr="007078C4">
        <w:rPr>
          <w:rFonts w:cs="Arial"/>
          <w:color w:val="000000"/>
          <w:position w:val="4"/>
          <w:sz w:val="23"/>
          <w:szCs w:val="23"/>
          <w:vertAlign w:val="superscript"/>
          <w:lang w:eastAsia="it-CH"/>
        </w:rPr>
        <w:t>1</w:t>
      </w:r>
      <w:r w:rsidRPr="007078C4">
        <w:rPr>
          <w:rFonts w:cs="Arial"/>
          <w:color w:val="000000"/>
          <w:sz w:val="23"/>
          <w:szCs w:val="23"/>
          <w:lang w:eastAsia="it-CH"/>
        </w:rPr>
        <w:t xml:space="preserve">Lo Stato promuove </w:t>
      </w:r>
      <w:r w:rsidRPr="007078C4">
        <w:rPr>
          <w:rFonts w:cs="Arial"/>
          <w:b/>
          <w:color w:val="000000"/>
          <w:sz w:val="23"/>
          <w:szCs w:val="23"/>
          <w:lang w:eastAsia="it-CH"/>
        </w:rPr>
        <w:t>la qualità, l’efficacia e l’efficienza</w:t>
      </w:r>
      <w:r w:rsidRPr="007078C4">
        <w:rPr>
          <w:rFonts w:cs="Arial"/>
          <w:color w:val="000000"/>
          <w:sz w:val="23"/>
          <w:szCs w:val="23"/>
          <w:lang w:eastAsia="it-CH"/>
        </w:rPr>
        <w:t xml:space="preserve"> dei propri servizi; a tale scopo: </w:t>
      </w:r>
    </w:p>
    <w:p w:rsidR="00D53C9F" w:rsidRPr="007078C4" w:rsidRDefault="00D53C9F" w:rsidP="007078C4">
      <w:pPr>
        <w:numPr>
          <w:ilvl w:val="0"/>
          <w:numId w:val="19"/>
        </w:numPr>
        <w:spacing w:before="60" w:after="60"/>
        <w:ind w:left="426" w:right="-1" w:hanging="426"/>
        <w:rPr>
          <w:rFonts w:cs="Arial"/>
          <w:color w:val="000000"/>
          <w:sz w:val="23"/>
          <w:szCs w:val="23"/>
          <w:lang w:eastAsia="it-CH"/>
        </w:rPr>
      </w:pPr>
      <w:r w:rsidRPr="007078C4">
        <w:rPr>
          <w:rFonts w:cs="Arial"/>
          <w:color w:val="000000"/>
          <w:sz w:val="23"/>
          <w:szCs w:val="23"/>
          <w:lang w:eastAsia="it-CH"/>
        </w:rPr>
        <w:t xml:space="preserve">attua una politica del personale fondata sul conseguimento di </w:t>
      </w:r>
      <w:r w:rsidRPr="007078C4">
        <w:rPr>
          <w:rFonts w:cs="Arial"/>
          <w:b/>
          <w:color w:val="000000"/>
          <w:sz w:val="23"/>
          <w:szCs w:val="23"/>
          <w:lang w:eastAsia="it-CH"/>
        </w:rPr>
        <w:t>obiettivi collettivi e individuali</w:t>
      </w:r>
      <w:r w:rsidRPr="007078C4">
        <w:rPr>
          <w:rFonts w:cs="Arial"/>
          <w:color w:val="000000"/>
          <w:sz w:val="23"/>
          <w:szCs w:val="23"/>
          <w:lang w:eastAsia="it-CH"/>
        </w:rPr>
        <w:t xml:space="preserve">; </w:t>
      </w:r>
    </w:p>
    <w:p w:rsidR="00D53C9F" w:rsidRPr="007078C4" w:rsidRDefault="00D53C9F" w:rsidP="007078C4">
      <w:pPr>
        <w:numPr>
          <w:ilvl w:val="0"/>
          <w:numId w:val="19"/>
        </w:numPr>
        <w:spacing w:before="60" w:after="60"/>
        <w:ind w:left="426" w:right="-1" w:hanging="426"/>
        <w:rPr>
          <w:rFonts w:cs="Arial"/>
          <w:color w:val="000000"/>
          <w:sz w:val="23"/>
          <w:szCs w:val="23"/>
          <w:lang w:eastAsia="it-CH"/>
        </w:rPr>
      </w:pPr>
      <w:r w:rsidRPr="007078C4">
        <w:rPr>
          <w:rFonts w:cs="Arial"/>
          <w:color w:val="000000"/>
          <w:sz w:val="23"/>
          <w:szCs w:val="23"/>
          <w:lang w:eastAsia="it-CH"/>
        </w:rPr>
        <w:t xml:space="preserve">valuta le prestazioni dei propri servizi e </w:t>
      </w:r>
      <w:r w:rsidRPr="007078C4">
        <w:rPr>
          <w:rFonts w:cs="Arial"/>
          <w:b/>
          <w:color w:val="000000"/>
          <w:sz w:val="23"/>
          <w:szCs w:val="23"/>
          <w:lang w:eastAsia="it-CH"/>
        </w:rPr>
        <w:t>controlla periodicamente gli obiettivi</w:t>
      </w:r>
      <w:r w:rsidRPr="007078C4">
        <w:rPr>
          <w:rFonts w:cs="Arial"/>
          <w:color w:val="000000"/>
          <w:sz w:val="23"/>
          <w:szCs w:val="23"/>
          <w:lang w:eastAsia="it-CH"/>
        </w:rPr>
        <w:t xml:space="preserve">, collettivi e individuali, che ha loro posto; </w:t>
      </w:r>
    </w:p>
    <w:p w:rsidR="00D53C9F" w:rsidRPr="007078C4" w:rsidRDefault="00D53C9F" w:rsidP="007078C4">
      <w:pPr>
        <w:numPr>
          <w:ilvl w:val="0"/>
          <w:numId w:val="19"/>
        </w:numPr>
        <w:spacing w:before="60" w:after="60"/>
        <w:ind w:left="426" w:right="-1" w:hanging="426"/>
        <w:rPr>
          <w:rFonts w:cs="Arial"/>
          <w:color w:val="000000"/>
          <w:sz w:val="23"/>
          <w:szCs w:val="23"/>
          <w:lang w:eastAsia="it-CH"/>
        </w:rPr>
      </w:pPr>
      <w:r w:rsidRPr="007078C4">
        <w:rPr>
          <w:rFonts w:cs="Arial"/>
          <w:b/>
          <w:color w:val="000000"/>
          <w:sz w:val="23"/>
          <w:szCs w:val="23"/>
          <w:lang w:eastAsia="it-CH"/>
        </w:rPr>
        <w:t>favorisce lo sviluppo professionale</w:t>
      </w:r>
      <w:r w:rsidRPr="007078C4">
        <w:rPr>
          <w:rFonts w:cs="Arial"/>
          <w:color w:val="000000"/>
          <w:sz w:val="23"/>
          <w:szCs w:val="23"/>
          <w:lang w:eastAsia="it-CH"/>
        </w:rPr>
        <w:t xml:space="preserve"> dei titolari delle funzioni pubbliche; </w:t>
      </w:r>
    </w:p>
    <w:p w:rsidR="00D53C9F" w:rsidRPr="007078C4" w:rsidRDefault="00D53C9F" w:rsidP="007078C4">
      <w:pPr>
        <w:numPr>
          <w:ilvl w:val="0"/>
          <w:numId w:val="19"/>
        </w:numPr>
        <w:spacing w:before="60" w:after="60"/>
        <w:ind w:left="426" w:right="-1" w:hanging="426"/>
        <w:rPr>
          <w:rFonts w:cs="Arial"/>
          <w:color w:val="000000"/>
          <w:sz w:val="23"/>
          <w:szCs w:val="23"/>
          <w:lang w:eastAsia="it-CH"/>
        </w:rPr>
      </w:pPr>
      <w:r w:rsidRPr="007078C4">
        <w:rPr>
          <w:rFonts w:cs="Arial"/>
          <w:color w:val="000000"/>
          <w:sz w:val="23"/>
          <w:szCs w:val="23"/>
          <w:lang w:eastAsia="it-CH"/>
        </w:rPr>
        <w:t xml:space="preserve">rende attrattiva la funzione pubblica così da stimolare una collaborazione durevole di personale qualificato; </w:t>
      </w:r>
    </w:p>
    <w:p w:rsidR="00D53C9F" w:rsidRPr="007078C4" w:rsidRDefault="00D53C9F" w:rsidP="007078C4">
      <w:pPr>
        <w:numPr>
          <w:ilvl w:val="0"/>
          <w:numId w:val="19"/>
        </w:numPr>
        <w:spacing w:before="60" w:after="60"/>
        <w:ind w:left="426" w:right="-1" w:hanging="426"/>
        <w:rPr>
          <w:rFonts w:cs="Arial"/>
          <w:color w:val="000000"/>
          <w:sz w:val="23"/>
          <w:szCs w:val="23"/>
          <w:lang w:eastAsia="it-CH"/>
        </w:rPr>
      </w:pPr>
      <w:r w:rsidRPr="007078C4">
        <w:rPr>
          <w:rFonts w:cs="Arial"/>
          <w:color w:val="000000"/>
          <w:sz w:val="23"/>
          <w:szCs w:val="23"/>
          <w:lang w:eastAsia="it-CH"/>
        </w:rPr>
        <w:t xml:space="preserve">concretizza il sistema di indicatori relativo al carico di lavoro degli impiegati; </w:t>
      </w:r>
    </w:p>
    <w:p w:rsidR="00D53C9F" w:rsidRPr="007078C4" w:rsidRDefault="00D53C9F" w:rsidP="007078C4">
      <w:pPr>
        <w:numPr>
          <w:ilvl w:val="0"/>
          <w:numId w:val="19"/>
        </w:numPr>
        <w:spacing w:before="60" w:after="60"/>
        <w:ind w:left="426" w:right="-1" w:hanging="426"/>
        <w:rPr>
          <w:rFonts w:cs="Arial"/>
          <w:color w:val="000000"/>
          <w:sz w:val="23"/>
          <w:szCs w:val="23"/>
          <w:lang w:eastAsia="it-CH"/>
        </w:rPr>
      </w:pPr>
      <w:r w:rsidRPr="007078C4">
        <w:rPr>
          <w:rFonts w:cs="Arial"/>
          <w:color w:val="000000"/>
          <w:sz w:val="23"/>
          <w:szCs w:val="23"/>
          <w:lang w:eastAsia="it-CH"/>
        </w:rPr>
        <w:t xml:space="preserve">realizza indagini periodiche sul clima di lavoro e sulla soddisfazione dell’utenza; </w:t>
      </w:r>
    </w:p>
    <w:p w:rsidR="00D53C9F" w:rsidRPr="007078C4" w:rsidRDefault="00D53C9F" w:rsidP="007078C4">
      <w:pPr>
        <w:numPr>
          <w:ilvl w:val="0"/>
          <w:numId w:val="19"/>
        </w:numPr>
        <w:spacing w:after="120"/>
        <w:ind w:left="425" w:hanging="425"/>
        <w:rPr>
          <w:rFonts w:cs="Arial"/>
          <w:color w:val="000000"/>
          <w:sz w:val="23"/>
          <w:szCs w:val="23"/>
          <w:lang w:eastAsia="it-CH"/>
        </w:rPr>
      </w:pPr>
      <w:r w:rsidRPr="007078C4">
        <w:rPr>
          <w:rFonts w:cs="Arial"/>
          <w:color w:val="000000"/>
          <w:sz w:val="23"/>
          <w:szCs w:val="23"/>
          <w:lang w:eastAsia="it-CH"/>
        </w:rPr>
        <w:t xml:space="preserve">favorisce, laddove possibile, l’impiego a tempo parziale. </w:t>
      </w:r>
    </w:p>
    <w:p w:rsidR="00D53C9F" w:rsidRPr="007078C4" w:rsidRDefault="00D53C9F" w:rsidP="007078C4">
      <w:pPr>
        <w:tabs>
          <w:tab w:val="left" w:pos="1134"/>
        </w:tabs>
        <w:ind w:right="-1"/>
        <w:rPr>
          <w:rFonts w:cs="Arial"/>
          <w:color w:val="000000"/>
          <w:sz w:val="23"/>
          <w:szCs w:val="23"/>
          <w:lang w:eastAsia="it-CH"/>
        </w:rPr>
      </w:pPr>
      <w:r w:rsidRPr="007078C4">
        <w:rPr>
          <w:rFonts w:cs="Arial"/>
          <w:color w:val="000000"/>
          <w:position w:val="4"/>
          <w:sz w:val="23"/>
          <w:szCs w:val="23"/>
          <w:vertAlign w:val="superscript"/>
          <w:lang w:eastAsia="it-CH"/>
        </w:rPr>
        <w:t>2</w:t>
      </w:r>
      <w:r w:rsidRPr="007078C4">
        <w:rPr>
          <w:rFonts w:cs="Arial"/>
          <w:color w:val="000000"/>
          <w:sz w:val="23"/>
          <w:szCs w:val="23"/>
          <w:lang w:eastAsia="it-CH"/>
        </w:rPr>
        <w:t>Il Governo stabilisce obiettivi annuali di gestione da declinare nei singoli dipartimenti grazie a un sistema di indicatori che ne permetta la valutazione.</w:t>
      </w:r>
      <w:bookmarkStart w:id="2" w:name="_ftnref5"/>
      <w:bookmarkEnd w:id="2"/>
      <w:r w:rsidR="007078C4" w:rsidRPr="007078C4">
        <w:rPr>
          <w:rFonts w:cs="Arial"/>
          <w:color w:val="000000"/>
          <w:sz w:val="23"/>
          <w:szCs w:val="23"/>
          <w:lang w:eastAsia="it-CH"/>
        </w:rPr>
        <w:t xml:space="preserve"> </w:t>
      </w:r>
    </w:p>
    <w:p w:rsidR="00D53C9F" w:rsidRPr="00D53C9F" w:rsidRDefault="00D53C9F" w:rsidP="00D53C9F">
      <w:pPr>
        <w:rPr>
          <w:rFonts w:cs="Arial"/>
          <w:szCs w:val="24"/>
        </w:rPr>
      </w:pPr>
    </w:p>
    <w:p w:rsidR="00D53C9F" w:rsidRPr="00D53C9F" w:rsidRDefault="00D53C9F" w:rsidP="00D53C9F">
      <w:pPr>
        <w:rPr>
          <w:rFonts w:cs="Arial"/>
          <w:szCs w:val="24"/>
        </w:rPr>
      </w:pPr>
      <w:r w:rsidRPr="00D53C9F">
        <w:rPr>
          <w:rFonts w:cs="Arial"/>
          <w:szCs w:val="24"/>
        </w:rPr>
        <w:t>È evidente che il conteggio delle giornate di assenza per malattia risponde alla necessità di un attento monitoraggio della situazione. È altresì utile tenere ben presente le dimensioni dell’AC che coinvolge ca. 4’700 collaboratrici e collaboratori, a cui si aggiungono ca. 4'000 docenti, e per quanto attiene i costi supera il miliardo di franchi (P2021; 1.090.4 mia di franchi) ciò che rappresenta il 28.5% delle spese operative dello Stato. In pratica si tratta di quasi un terzo delle spese operative dello Stato la cui corretta gestione risulta essere imprescindibile per il buon funzionamento dei servizi dello Stato.</w:t>
      </w:r>
    </w:p>
    <w:p w:rsidR="00D53C9F" w:rsidRPr="00D53C9F" w:rsidRDefault="00D53C9F" w:rsidP="00D53C9F">
      <w:pPr>
        <w:rPr>
          <w:rFonts w:cs="Arial"/>
          <w:szCs w:val="24"/>
          <w:shd w:val="clear" w:color="auto" w:fill="FFFFFF"/>
        </w:rPr>
      </w:pPr>
    </w:p>
    <w:p w:rsidR="00D53C9F" w:rsidRPr="00D53C9F" w:rsidRDefault="00D53C9F" w:rsidP="00D53C9F">
      <w:pPr>
        <w:rPr>
          <w:rFonts w:cs="Arial"/>
          <w:szCs w:val="24"/>
          <w:shd w:val="clear" w:color="auto" w:fill="FFFFFF"/>
        </w:rPr>
      </w:pPr>
      <w:r w:rsidRPr="00D53C9F">
        <w:rPr>
          <w:rFonts w:cs="Arial"/>
          <w:szCs w:val="24"/>
          <w:shd w:val="clear" w:color="auto" w:fill="FFFFFF"/>
        </w:rPr>
        <w:t xml:space="preserve">La sezione 7 dell’allegato statistico, relativa al Dipartimento delle finanze e dell’economia, riporta alla tabella T5 il numero di posti occupati, vacanti e provvisori e vacanti nell’Amministrazione cantonale, suddivisi per Dipartimento, allo stato 31 dicembre 2019. </w:t>
      </w:r>
    </w:p>
    <w:p w:rsidR="00D53C9F" w:rsidRPr="00D53C9F" w:rsidRDefault="00D53C9F" w:rsidP="00D53C9F">
      <w:pPr>
        <w:rPr>
          <w:rFonts w:cs="Arial"/>
          <w:szCs w:val="24"/>
          <w:shd w:val="clear" w:color="auto" w:fill="FFFFFF"/>
        </w:rPr>
      </w:pPr>
    </w:p>
    <w:p w:rsidR="00D53C9F" w:rsidRPr="00D53C9F" w:rsidRDefault="00D53C9F" w:rsidP="00D53C9F">
      <w:pPr>
        <w:rPr>
          <w:rFonts w:cs="Arial"/>
          <w:szCs w:val="24"/>
          <w:shd w:val="clear" w:color="auto" w:fill="FFFFFF"/>
        </w:rPr>
      </w:pPr>
      <w:r w:rsidRPr="00D53C9F">
        <w:rPr>
          <w:rFonts w:cs="Arial"/>
          <w:szCs w:val="24"/>
          <w:shd w:val="clear" w:color="auto" w:fill="FFFFFF"/>
        </w:rPr>
        <w:t>Riportiamo tale tabella.</w:t>
      </w:r>
    </w:p>
    <w:p w:rsidR="00D53C9F" w:rsidRPr="00D53C9F" w:rsidRDefault="00D53C9F" w:rsidP="00D53C9F">
      <w:pPr>
        <w:rPr>
          <w:rFonts w:cs="Arial"/>
          <w:szCs w:val="24"/>
          <w:shd w:val="clear" w:color="auto" w:fill="FFFFFF"/>
        </w:rPr>
      </w:pPr>
    </w:p>
    <w:p w:rsidR="00D53C9F" w:rsidRPr="00D53C9F" w:rsidRDefault="00A52CAD" w:rsidP="00D53C9F">
      <w:pPr>
        <w:rPr>
          <w:rFonts w:cs="Arial"/>
          <w:szCs w:val="24"/>
          <w:shd w:val="clear" w:color="auto" w:fill="FFFFFF"/>
        </w:rPr>
      </w:pPr>
      <w:r w:rsidRPr="00D53C9F">
        <w:rPr>
          <w:rFonts w:cs="Arial"/>
          <w:noProof/>
          <w:szCs w:val="24"/>
          <w:lang w:eastAsia="it-CH"/>
        </w:rPr>
        <w:lastRenderedPageBreak/>
        <w:drawing>
          <wp:inline distT="0" distB="0" distL="0" distR="0">
            <wp:extent cx="5943600" cy="3057525"/>
            <wp:effectExtent l="0" t="0" r="0" b="0"/>
            <wp:docPr id="1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057525"/>
                    </a:xfrm>
                    <a:prstGeom prst="rect">
                      <a:avLst/>
                    </a:prstGeom>
                    <a:noFill/>
                    <a:ln>
                      <a:noFill/>
                    </a:ln>
                  </pic:spPr>
                </pic:pic>
              </a:graphicData>
            </a:graphic>
          </wp:inline>
        </w:drawing>
      </w:r>
    </w:p>
    <w:p w:rsidR="00D53C9F" w:rsidRDefault="00D53C9F" w:rsidP="00D53C9F">
      <w:pPr>
        <w:rPr>
          <w:rFonts w:cs="Arial"/>
          <w:szCs w:val="24"/>
        </w:rPr>
      </w:pPr>
    </w:p>
    <w:p w:rsidR="00D53C9F" w:rsidRPr="00D53C9F" w:rsidRDefault="00D53C9F" w:rsidP="00D53C9F">
      <w:pPr>
        <w:rPr>
          <w:rFonts w:cs="Arial"/>
          <w:szCs w:val="24"/>
        </w:rPr>
      </w:pPr>
      <w:r w:rsidRPr="00D53C9F">
        <w:rPr>
          <w:rFonts w:cs="Arial"/>
          <w:szCs w:val="24"/>
        </w:rPr>
        <w:t>Oltre a quello puramente quantitativo un secondo aspetto importante da considerare risulta essere la stratificazione dell’età del personale; gli over 50 (dati 2019) sono 1'936 (il 36,6% del totale), soglia di età a partire dalla quale l’incidenza di patologie può diventare più importante.</w:t>
      </w:r>
    </w:p>
    <w:p w:rsidR="00D53C9F" w:rsidRDefault="00D53C9F" w:rsidP="00D53C9F">
      <w:pPr>
        <w:rPr>
          <w:rFonts w:cs="Arial"/>
          <w:szCs w:val="24"/>
        </w:rPr>
      </w:pPr>
    </w:p>
    <w:p w:rsidR="00D53C9F" w:rsidRPr="00D53C9F" w:rsidRDefault="00D53C9F" w:rsidP="00D53C9F">
      <w:pPr>
        <w:rPr>
          <w:rFonts w:cs="Arial"/>
          <w:szCs w:val="24"/>
        </w:rPr>
      </w:pPr>
    </w:p>
    <w:p w:rsidR="00D53C9F" w:rsidRPr="00D53C9F" w:rsidRDefault="00A52CAD" w:rsidP="00D53C9F">
      <w:pPr>
        <w:rPr>
          <w:rFonts w:cs="Arial"/>
          <w:szCs w:val="24"/>
        </w:rPr>
      </w:pPr>
      <w:r w:rsidRPr="00D53C9F">
        <w:rPr>
          <w:rFonts w:cs="Arial"/>
          <w:noProof/>
          <w:szCs w:val="24"/>
          <w:lang w:eastAsia="it-CH"/>
        </w:rPr>
        <w:drawing>
          <wp:inline distT="0" distB="0" distL="0" distR="0">
            <wp:extent cx="5943600" cy="2657475"/>
            <wp:effectExtent l="0" t="0" r="0" b="0"/>
            <wp:docPr id="1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657475"/>
                    </a:xfrm>
                    <a:prstGeom prst="rect">
                      <a:avLst/>
                    </a:prstGeom>
                    <a:noFill/>
                    <a:ln>
                      <a:noFill/>
                    </a:ln>
                  </pic:spPr>
                </pic:pic>
              </a:graphicData>
            </a:graphic>
          </wp:inline>
        </w:drawing>
      </w:r>
    </w:p>
    <w:p w:rsidR="00D53C9F" w:rsidRPr="00D53C9F" w:rsidRDefault="00D53C9F" w:rsidP="00D53C9F">
      <w:pPr>
        <w:rPr>
          <w:rFonts w:cs="Arial"/>
          <w:szCs w:val="24"/>
        </w:rPr>
      </w:pPr>
    </w:p>
    <w:p w:rsidR="00D53C9F" w:rsidRPr="003F7BF1" w:rsidRDefault="00D53C9F" w:rsidP="007078C4">
      <w:pPr>
        <w:spacing w:after="120"/>
        <w:rPr>
          <w:rFonts w:cs="Arial"/>
          <w:b/>
          <w:szCs w:val="24"/>
        </w:rPr>
      </w:pPr>
      <w:r w:rsidRPr="003F7BF1">
        <w:rPr>
          <w:rFonts w:cs="Arial"/>
          <w:b/>
          <w:szCs w:val="24"/>
        </w:rPr>
        <w:t>Osservazione</w:t>
      </w:r>
    </w:p>
    <w:p w:rsidR="00D53C9F" w:rsidRPr="00D53C9F" w:rsidRDefault="00D53C9F" w:rsidP="00D53C9F">
      <w:pPr>
        <w:rPr>
          <w:rFonts w:cs="Arial"/>
          <w:szCs w:val="24"/>
        </w:rPr>
      </w:pPr>
      <w:r w:rsidRPr="00D53C9F">
        <w:rPr>
          <w:rFonts w:cs="Arial"/>
          <w:szCs w:val="24"/>
        </w:rPr>
        <w:t>Il totale complessivo è maggiore rispetto alla tabella precedente trattandosi di numero di persone e non di posti di lavoro equivalenti a tempo pieno (FTE).</w:t>
      </w:r>
    </w:p>
    <w:p w:rsidR="00D53C9F" w:rsidRPr="00D53C9F" w:rsidRDefault="00D53C9F" w:rsidP="00D53C9F">
      <w:pPr>
        <w:rPr>
          <w:rFonts w:cs="Arial"/>
          <w:szCs w:val="24"/>
        </w:rPr>
      </w:pPr>
    </w:p>
    <w:p w:rsidR="00D53C9F" w:rsidRPr="00D53C9F" w:rsidRDefault="00D53C9F" w:rsidP="00D53C9F">
      <w:pPr>
        <w:rPr>
          <w:rFonts w:cs="Arial"/>
          <w:szCs w:val="24"/>
        </w:rPr>
      </w:pPr>
      <w:r w:rsidRPr="00D53C9F">
        <w:rPr>
          <w:rFonts w:cs="Arial"/>
          <w:szCs w:val="24"/>
        </w:rPr>
        <w:t>In effetti il grafico successivo ben evidenzia che il numero di giorni di assenza a seguito di malattia cresce in relazione all’età della o del dipendente con una differenza piuttosto significativa a sfavore delle collaboratrici.</w:t>
      </w:r>
    </w:p>
    <w:p w:rsidR="00D53C9F" w:rsidRPr="00D53C9F" w:rsidRDefault="00D53C9F" w:rsidP="00D53C9F">
      <w:pPr>
        <w:rPr>
          <w:rFonts w:cs="Arial"/>
          <w:szCs w:val="24"/>
        </w:rPr>
      </w:pPr>
    </w:p>
    <w:p w:rsidR="00D53C9F" w:rsidRPr="00D53C9F" w:rsidRDefault="00A52CAD" w:rsidP="00D53C9F">
      <w:pPr>
        <w:spacing w:after="120"/>
        <w:rPr>
          <w:rFonts w:cs="Arial"/>
          <w:szCs w:val="24"/>
          <w:shd w:val="clear" w:color="auto" w:fill="FFFFFF"/>
        </w:rPr>
      </w:pPr>
      <w:r w:rsidRPr="00D53C9F">
        <w:rPr>
          <w:rFonts w:cs="Arial"/>
          <w:noProof/>
          <w:szCs w:val="24"/>
          <w:lang w:eastAsia="it-CH"/>
        </w:rPr>
        <w:lastRenderedPageBreak/>
        <w:drawing>
          <wp:inline distT="0" distB="0" distL="0" distR="0">
            <wp:extent cx="5943600" cy="3695700"/>
            <wp:effectExtent l="0" t="0" r="0" b="0"/>
            <wp:docPr id="12"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95700"/>
                    </a:xfrm>
                    <a:prstGeom prst="rect">
                      <a:avLst/>
                    </a:prstGeom>
                    <a:noFill/>
                    <a:ln>
                      <a:noFill/>
                    </a:ln>
                  </pic:spPr>
                </pic:pic>
              </a:graphicData>
            </a:graphic>
          </wp:inline>
        </w:drawing>
      </w:r>
    </w:p>
    <w:p w:rsidR="007078C4" w:rsidRDefault="007078C4" w:rsidP="00D53C9F">
      <w:pPr>
        <w:rPr>
          <w:rFonts w:cs="Arial"/>
          <w:szCs w:val="24"/>
          <w:shd w:val="clear" w:color="auto" w:fill="FFFFFF"/>
        </w:rPr>
      </w:pPr>
    </w:p>
    <w:p w:rsidR="00D53C9F" w:rsidRDefault="00D53C9F" w:rsidP="00D53C9F">
      <w:pPr>
        <w:rPr>
          <w:rFonts w:cs="Arial"/>
          <w:szCs w:val="24"/>
          <w:shd w:val="clear" w:color="auto" w:fill="FFFFFF"/>
        </w:rPr>
      </w:pPr>
      <w:r w:rsidRPr="00D53C9F">
        <w:rPr>
          <w:rFonts w:cs="Arial"/>
          <w:szCs w:val="24"/>
          <w:shd w:val="clear" w:color="auto" w:fill="FFFFFF"/>
        </w:rPr>
        <w:t>Riteniamo essere condivisibile la riflessione secondo cui il criterio dei giorni di assenza di collaboratrici e collaboratori debba essere monitorato con attenzione.</w:t>
      </w:r>
    </w:p>
    <w:p w:rsidR="003F7BF1" w:rsidRPr="00D53C9F" w:rsidRDefault="003F7BF1" w:rsidP="00D53C9F">
      <w:pPr>
        <w:rPr>
          <w:rFonts w:cs="Arial"/>
          <w:szCs w:val="24"/>
          <w:shd w:val="clear" w:color="auto" w:fill="FFFFFF"/>
        </w:rPr>
      </w:pPr>
    </w:p>
    <w:p w:rsidR="00D53C9F" w:rsidRDefault="00D53C9F" w:rsidP="00D53C9F">
      <w:pPr>
        <w:rPr>
          <w:rFonts w:cs="Arial"/>
          <w:szCs w:val="24"/>
          <w:shd w:val="clear" w:color="auto" w:fill="FFFFFF"/>
        </w:rPr>
      </w:pPr>
      <w:r w:rsidRPr="00D53C9F">
        <w:rPr>
          <w:rFonts w:cs="Arial"/>
          <w:szCs w:val="24"/>
          <w:shd w:val="clear" w:color="auto" w:fill="FFFFFF"/>
        </w:rPr>
        <w:t>Un criterio che potrebbe permettere di indentificare situazioni in cui l’ambiente lavorativo è potenzialmente problematico tale da favorire un numero importante di assenze oppure indicare potenziali comportamenti scorretti da parte di taluni dipendenti. Il grado di assenza dal lavoro per malattia potrebbe essere un sintomo importante di tali situazioni e merita certamente una verifica costante e continua.</w:t>
      </w:r>
    </w:p>
    <w:p w:rsidR="003F7BF1" w:rsidRPr="00D53C9F" w:rsidRDefault="003F7BF1" w:rsidP="00D53C9F">
      <w:pPr>
        <w:rPr>
          <w:rFonts w:cs="Arial"/>
          <w:szCs w:val="24"/>
          <w:shd w:val="clear" w:color="auto" w:fill="FFFFFF"/>
        </w:rPr>
      </w:pPr>
    </w:p>
    <w:p w:rsidR="00D53C9F" w:rsidRPr="00D53C9F" w:rsidRDefault="00D53C9F" w:rsidP="00D53C9F">
      <w:pPr>
        <w:spacing w:after="120"/>
        <w:rPr>
          <w:rFonts w:cs="Arial"/>
          <w:szCs w:val="24"/>
          <w:shd w:val="clear" w:color="auto" w:fill="FFFFFF"/>
        </w:rPr>
      </w:pPr>
      <w:r w:rsidRPr="00D53C9F">
        <w:rPr>
          <w:rFonts w:cs="Arial"/>
          <w:szCs w:val="24"/>
          <w:shd w:val="clear" w:color="auto" w:fill="FFFFFF"/>
        </w:rPr>
        <w:t xml:space="preserve">Allo stesso tempo è condivisibile la tesi secondo cui si debbano favorire i dipendenti dell’Amministrazione cantonale che si impegnano particolarmente per l’efficienza e l’efficacia del loro servizio nel rispetto dei contribuenti che pagano loro lo stipendio. È opportuno che siano identificabili, riconosciuti e anche premiati nelle forme previste dalla LStip. </w:t>
      </w:r>
    </w:p>
    <w:p w:rsidR="00D53C9F" w:rsidRPr="00D53C9F" w:rsidRDefault="00D53C9F" w:rsidP="00D53C9F">
      <w:pPr>
        <w:rPr>
          <w:rFonts w:cs="Arial"/>
          <w:szCs w:val="24"/>
          <w:shd w:val="clear" w:color="auto" w:fill="FFFFFF"/>
        </w:rPr>
      </w:pPr>
    </w:p>
    <w:p w:rsidR="00D53C9F" w:rsidRDefault="00D53C9F" w:rsidP="00D53C9F">
      <w:pPr>
        <w:rPr>
          <w:rFonts w:cs="Arial"/>
          <w:szCs w:val="24"/>
          <w:shd w:val="clear" w:color="auto" w:fill="FFFFFF"/>
        </w:rPr>
      </w:pPr>
    </w:p>
    <w:p w:rsidR="00D53C9F" w:rsidRPr="00D53C9F" w:rsidRDefault="00D53C9F" w:rsidP="00D53C9F">
      <w:pPr>
        <w:rPr>
          <w:rFonts w:cs="Arial"/>
          <w:szCs w:val="24"/>
          <w:shd w:val="clear" w:color="auto" w:fill="FFFFFF"/>
        </w:rPr>
      </w:pPr>
    </w:p>
    <w:p w:rsidR="00D53C9F" w:rsidRPr="00D53C9F" w:rsidRDefault="00D53C9F" w:rsidP="00D2062E">
      <w:pPr>
        <w:pStyle w:val="Titolo1"/>
        <w:rPr>
          <w:shd w:val="clear" w:color="auto" w:fill="FFFFFF"/>
        </w:rPr>
      </w:pPr>
      <w:r w:rsidRPr="00D53C9F">
        <w:rPr>
          <w:shd w:val="clear" w:color="auto" w:fill="FFFFFF"/>
        </w:rPr>
        <w:t>Situazione nell’Amministrazione cantonale</w:t>
      </w:r>
    </w:p>
    <w:p w:rsidR="00D53C9F" w:rsidRPr="00D53C9F" w:rsidRDefault="00D53C9F" w:rsidP="00D2062E">
      <w:pPr>
        <w:pStyle w:val="Titolo2"/>
        <w:rPr>
          <w:shd w:val="clear" w:color="auto" w:fill="FFFFFF"/>
        </w:rPr>
      </w:pPr>
      <w:r>
        <w:rPr>
          <w:shd w:val="clear" w:color="auto" w:fill="FFFFFF"/>
        </w:rPr>
        <w:t>3.1</w:t>
      </w:r>
      <w:r>
        <w:rPr>
          <w:shd w:val="clear" w:color="auto" w:fill="FFFFFF"/>
        </w:rPr>
        <w:tab/>
      </w:r>
      <w:r w:rsidRPr="00D53C9F">
        <w:rPr>
          <w:shd w:val="clear" w:color="auto" w:fill="FFFFFF"/>
        </w:rPr>
        <w:t xml:space="preserve">Assenze </w:t>
      </w:r>
    </w:p>
    <w:p w:rsidR="00D53C9F" w:rsidRDefault="00D53C9F" w:rsidP="00D53C9F">
      <w:pPr>
        <w:rPr>
          <w:rFonts w:cs="Arial"/>
          <w:szCs w:val="24"/>
        </w:rPr>
      </w:pPr>
      <w:r w:rsidRPr="00D53C9F">
        <w:rPr>
          <w:rFonts w:cs="Arial"/>
          <w:szCs w:val="24"/>
        </w:rPr>
        <w:t>Il tema della corretta gestione del personale e del monitoraggio per quanto attiene il tema delle assenze per malattie non è nuovo. Il CdS già nel 2007 in effetti istituisce il “</w:t>
      </w:r>
      <w:r w:rsidRPr="00D53C9F">
        <w:rPr>
          <w:rFonts w:cs="Arial"/>
          <w:szCs w:val="24"/>
          <w:u w:val="single"/>
        </w:rPr>
        <w:t>Servizio medico del personale”</w:t>
      </w:r>
      <w:r w:rsidRPr="00D53C9F">
        <w:rPr>
          <w:rFonts w:cs="Arial"/>
          <w:szCs w:val="24"/>
        </w:rPr>
        <w:t xml:space="preserve"> per assicurare un’analisi critica dei casi di assenza superiori ai 30 giorni continuativi. Il servizio è accompagnato da un “</w:t>
      </w:r>
      <w:r w:rsidRPr="00D53C9F">
        <w:rPr>
          <w:rFonts w:cs="Arial"/>
          <w:szCs w:val="24"/>
          <w:u w:val="single"/>
        </w:rPr>
        <w:t>Team gestione assenze</w:t>
      </w:r>
      <w:r w:rsidRPr="00D53C9F">
        <w:rPr>
          <w:rFonts w:cs="Arial"/>
          <w:szCs w:val="24"/>
        </w:rPr>
        <w:t>” composto dal medico del personale e da specialisti della Sezione delle risorse umane (SRU) per favorire la reintegrazione di casi di malattia di lunga durata.</w:t>
      </w:r>
    </w:p>
    <w:p w:rsidR="003F7BF1" w:rsidRPr="00D53C9F" w:rsidRDefault="003F7BF1" w:rsidP="00D53C9F">
      <w:pPr>
        <w:rPr>
          <w:rFonts w:cs="Arial"/>
          <w:szCs w:val="24"/>
        </w:rPr>
      </w:pPr>
    </w:p>
    <w:p w:rsidR="00D53C9F" w:rsidRPr="00D53C9F" w:rsidRDefault="00D53C9F" w:rsidP="00D53C9F">
      <w:pPr>
        <w:rPr>
          <w:rFonts w:cs="Arial"/>
          <w:szCs w:val="24"/>
        </w:rPr>
      </w:pPr>
      <w:r w:rsidRPr="00D53C9F">
        <w:rPr>
          <w:rFonts w:cs="Arial"/>
          <w:szCs w:val="24"/>
        </w:rPr>
        <w:lastRenderedPageBreak/>
        <w:t xml:space="preserve">Decisivo risulta essere il ruolo attivo dei funzionari dirigenti nel segnalare situazioni particolari da approfondire. </w:t>
      </w:r>
    </w:p>
    <w:p w:rsidR="00D53C9F" w:rsidRDefault="00D53C9F" w:rsidP="00D53C9F">
      <w:pPr>
        <w:rPr>
          <w:rFonts w:cs="Arial"/>
          <w:szCs w:val="24"/>
        </w:rPr>
      </w:pPr>
      <w:r w:rsidRPr="00D53C9F">
        <w:rPr>
          <w:rFonts w:cs="Arial"/>
          <w:szCs w:val="24"/>
        </w:rPr>
        <w:t>Con la stessa logica è pure coinvolta la Sezione amministrativa del DECS per la gestione dei docenti. Il progetto LINEA (</w:t>
      </w:r>
      <w:hyperlink r:id="rId11" w:history="1">
        <w:r w:rsidR="007078C4" w:rsidRPr="003B41C3">
          <w:rPr>
            <w:rStyle w:val="Collegamentoipertestuale"/>
            <w:rFonts w:cs="Arial"/>
            <w:szCs w:val="24"/>
          </w:rPr>
          <w:t>www.ti.ch/linea</w:t>
        </w:r>
      </w:hyperlink>
      <w:r w:rsidRPr="00D53C9F">
        <w:rPr>
          <w:rFonts w:cs="Arial"/>
          <w:szCs w:val="24"/>
        </w:rPr>
        <w:t>) propone diverse misure attive per prevenire e accompagnare situazioni di malattia nel contesto scolastico.</w:t>
      </w:r>
    </w:p>
    <w:p w:rsidR="003F7BF1" w:rsidRPr="00D53C9F" w:rsidRDefault="003F7BF1" w:rsidP="00D53C9F">
      <w:pPr>
        <w:rPr>
          <w:rFonts w:cs="Arial"/>
          <w:szCs w:val="24"/>
        </w:rPr>
      </w:pPr>
    </w:p>
    <w:p w:rsidR="00D53C9F" w:rsidRPr="00D53C9F" w:rsidRDefault="00D53C9F" w:rsidP="00D53C9F">
      <w:pPr>
        <w:rPr>
          <w:rFonts w:cs="Arial"/>
          <w:szCs w:val="24"/>
        </w:rPr>
      </w:pPr>
      <w:r w:rsidRPr="00D53C9F">
        <w:rPr>
          <w:rFonts w:cs="Arial"/>
          <w:szCs w:val="24"/>
        </w:rPr>
        <w:t>È molto interessante verificare l’evolversi della situazione relativa al numero dei giorni di assenza per malattia nell’AC sul medio e lungo termine. Si constata nel corso dell’ultimo ventennio un’evoluzione positiva, nel senso auspicato anche dai mozionanti, ossia si assiste a una sensibile e costante diminuzione del numero dei giorni di assenza sia per malattia che per infortuni professionali e non professionali.</w:t>
      </w:r>
    </w:p>
    <w:p w:rsidR="00D53C9F" w:rsidRPr="00D53C9F" w:rsidRDefault="00D53C9F" w:rsidP="00D53C9F">
      <w:pPr>
        <w:rPr>
          <w:rFonts w:cs="Arial"/>
          <w:szCs w:val="24"/>
        </w:rPr>
      </w:pPr>
    </w:p>
    <w:p w:rsidR="00D53C9F" w:rsidRPr="00D53C9F" w:rsidRDefault="00D53C9F" w:rsidP="00D53C9F">
      <w:pPr>
        <w:spacing w:after="80"/>
        <w:rPr>
          <w:rFonts w:cs="Arial"/>
          <w:b/>
          <w:i/>
          <w:szCs w:val="24"/>
        </w:rPr>
      </w:pPr>
      <w:r w:rsidRPr="00D53C9F">
        <w:rPr>
          <w:rFonts w:cs="Arial"/>
          <w:b/>
          <w:i/>
          <w:szCs w:val="24"/>
        </w:rPr>
        <w:t>Media giorni di assenza per malattia</w:t>
      </w:r>
    </w:p>
    <w:p w:rsidR="00D53C9F" w:rsidRPr="00D53C9F" w:rsidRDefault="00D53C9F" w:rsidP="00D53C9F">
      <w:pPr>
        <w:rPr>
          <w:rFonts w:cs="Arial"/>
          <w:szCs w:val="24"/>
        </w:rPr>
      </w:pPr>
      <w:r w:rsidRPr="00D53C9F">
        <w:rPr>
          <w:rFonts w:cs="Arial"/>
          <w:szCs w:val="24"/>
        </w:rPr>
        <w:t>2000-2006: 11.31 giorni/anno</w:t>
      </w:r>
    </w:p>
    <w:p w:rsidR="00D53C9F" w:rsidRPr="00D53C9F" w:rsidRDefault="00D53C9F" w:rsidP="00D53C9F">
      <w:pPr>
        <w:rPr>
          <w:rFonts w:cs="Arial"/>
          <w:szCs w:val="24"/>
        </w:rPr>
      </w:pPr>
      <w:r w:rsidRPr="00D53C9F">
        <w:rPr>
          <w:rFonts w:cs="Arial"/>
          <w:szCs w:val="24"/>
        </w:rPr>
        <w:t>2007-2016: 9.34 giorni/anno</w:t>
      </w:r>
    </w:p>
    <w:p w:rsidR="00D53C9F" w:rsidRDefault="00D53C9F" w:rsidP="00D53C9F">
      <w:pPr>
        <w:rPr>
          <w:rFonts w:cs="Arial"/>
          <w:b/>
          <w:szCs w:val="24"/>
        </w:rPr>
      </w:pPr>
      <w:r w:rsidRPr="00D53C9F">
        <w:rPr>
          <w:rFonts w:cs="Arial"/>
          <w:b/>
          <w:szCs w:val="24"/>
        </w:rPr>
        <w:t>2019: 8.97 giorni/anno</w:t>
      </w:r>
    </w:p>
    <w:p w:rsidR="00D53C9F" w:rsidRPr="00D53C9F" w:rsidRDefault="00D53C9F" w:rsidP="00D53C9F">
      <w:pPr>
        <w:rPr>
          <w:rFonts w:cs="Arial"/>
          <w:szCs w:val="24"/>
        </w:rPr>
      </w:pPr>
    </w:p>
    <w:p w:rsidR="00D53C9F" w:rsidRPr="00D53C9F" w:rsidRDefault="00A52CAD" w:rsidP="00D53C9F">
      <w:pPr>
        <w:rPr>
          <w:rFonts w:cs="Arial"/>
          <w:szCs w:val="24"/>
          <w:highlight w:val="yellow"/>
        </w:rPr>
      </w:pPr>
      <w:r w:rsidRPr="00D53C9F">
        <w:rPr>
          <w:rFonts w:cs="Arial"/>
          <w:noProof/>
          <w:color w:val="FFFFFF"/>
          <w:szCs w:val="24"/>
          <w:lang w:eastAsia="it-CH"/>
        </w:rPr>
        <w:drawing>
          <wp:inline distT="0" distB="0" distL="0" distR="0">
            <wp:extent cx="5343525" cy="3324225"/>
            <wp:effectExtent l="0" t="0" r="0" b="0"/>
            <wp:docPr id="109" name="Oggetto 10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F7BF1" w:rsidRPr="007078C4" w:rsidRDefault="003F7BF1" w:rsidP="00D53C9F">
      <w:pPr>
        <w:spacing w:after="80"/>
        <w:rPr>
          <w:rFonts w:cs="Arial"/>
          <w:szCs w:val="24"/>
        </w:rPr>
      </w:pPr>
    </w:p>
    <w:p w:rsidR="007078C4" w:rsidRPr="007078C4" w:rsidRDefault="007078C4" w:rsidP="00D53C9F">
      <w:pPr>
        <w:spacing w:after="80"/>
        <w:rPr>
          <w:rFonts w:cs="Arial"/>
          <w:szCs w:val="24"/>
        </w:rPr>
      </w:pPr>
    </w:p>
    <w:p w:rsidR="00D53C9F" w:rsidRPr="00D53C9F" w:rsidRDefault="003F7BF1" w:rsidP="00D53C9F">
      <w:pPr>
        <w:spacing w:after="80"/>
        <w:rPr>
          <w:rFonts w:cs="Arial"/>
          <w:b/>
          <w:i/>
          <w:szCs w:val="24"/>
        </w:rPr>
      </w:pPr>
      <w:r>
        <w:rPr>
          <w:rFonts w:cs="Arial"/>
          <w:b/>
          <w:i/>
          <w:szCs w:val="24"/>
        </w:rPr>
        <w:br w:type="page"/>
      </w:r>
      <w:r w:rsidR="00D53C9F" w:rsidRPr="00D53C9F">
        <w:rPr>
          <w:rFonts w:cs="Arial"/>
          <w:b/>
          <w:i/>
          <w:szCs w:val="24"/>
        </w:rPr>
        <w:lastRenderedPageBreak/>
        <w:t xml:space="preserve">Media giorni d’assenza per infortuni professionali e non professionali </w:t>
      </w:r>
    </w:p>
    <w:p w:rsidR="00D53C9F" w:rsidRPr="00D53C9F" w:rsidRDefault="00D53C9F" w:rsidP="00D53C9F">
      <w:pPr>
        <w:rPr>
          <w:rFonts w:cs="Arial"/>
          <w:szCs w:val="24"/>
        </w:rPr>
      </w:pPr>
      <w:r w:rsidRPr="00D53C9F">
        <w:rPr>
          <w:rFonts w:cs="Arial"/>
          <w:szCs w:val="24"/>
        </w:rPr>
        <w:t>2000-2006: 2.11 giorni/anno</w:t>
      </w:r>
    </w:p>
    <w:p w:rsidR="00D53C9F" w:rsidRPr="00D53C9F" w:rsidRDefault="00D53C9F" w:rsidP="00D53C9F">
      <w:pPr>
        <w:rPr>
          <w:rFonts w:cs="Arial"/>
          <w:szCs w:val="24"/>
        </w:rPr>
      </w:pPr>
      <w:r w:rsidRPr="00D53C9F">
        <w:rPr>
          <w:rFonts w:cs="Arial"/>
          <w:szCs w:val="24"/>
        </w:rPr>
        <w:t>2007-2016: 2.04 giorni/anno</w:t>
      </w:r>
    </w:p>
    <w:p w:rsidR="00D53C9F" w:rsidRPr="00D53C9F" w:rsidRDefault="00D53C9F" w:rsidP="00D53C9F">
      <w:pPr>
        <w:rPr>
          <w:rFonts w:cs="Arial"/>
          <w:b/>
          <w:szCs w:val="24"/>
        </w:rPr>
      </w:pPr>
      <w:r w:rsidRPr="00D53C9F">
        <w:rPr>
          <w:rFonts w:cs="Arial"/>
          <w:b/>
          <w:szCs w:val="24"/>
        </w:rPr>
        <w:t>2019: 1.96 giorni/anno</w:t>
      </w:r>
    </w:p>
    <w:p w:rsidR="00D53C9F" w:rsidRPr="00D53C9F" w:rsidRDefault="00D53C9F" w:rsidP="00D53C9F">
      <w:pPr>
        <w:rPr>
          <w:rFonts w:cs="Arial"/>
          <w:b/>
          <w:szCs w:val="24"/>
        </w:rPr>
      </w:pPr>
    </w:p>
    <w:p w:rsidR="00D53C9F" w:rsidRPr="00D53C9F" w:rsidRDefault="00A52CAD" w:rsidP="00D53C9F">
      <w:pPr>
        <w:rPr>
          <w:rFonts w:cs="Arial"/>
          <w:szCs w:val="24"/>
          <w:highlight w:val="yellow"/>
        </w:rPr>
      </w:pPr>
      <w:r w:rsidRPr="00D53C9F">
        <w:rPr>
          <w:rFonts w:cs="Arial"/>
          <w:b/>
          <w:noProof/>
          <w:color w:val="FFFFFF"/>
          <w:szCs w:val="24"/>
          <w:lang w:eastAsia="it-CH"/>
        </w:rPr>
        <w:drawing>
          <wp:inline distT="0" distB="0" distL="0" distR="0">
            <wp:extent cx="5362575" cy="3657600"/>
            <wp:effectExtent l="0" t="0" r="0" b="0"/>
            <wp:docPr id="52" name="Oggetto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F7BF1" w:rsidRDefault="003F7BF1" w:rsidP="00D53C9F">
      <w:pPr>
        <w:rPr>
          <w:rFonts w:cs="Arial"/>
          <w:szCs w:val="24"/>
          <w:shd w:val="clear" w:color="auto" w:fill="FFFFFF"/>
        </w:rPr>
      </w:pPr>
    </w:p>
    <w:p w:rsidR="00D53C9F" w:rsidRPr="00D53C9F" w:rsidRDefault="00D53C9F" w:rsidP="00D53C9F">
      <w:pPr>
        <w:rPr>
          <w:rFonts w:cs="Arial"/>
          <w:szCs w:val="24"/>
          <w:shd w:val="clear" w:color="auto" w:fill="FFFFFF"/>
        </w:rPr>
      </w:pPr>
      <w:r w:rsidRPr="00D53C9F">
        <w:rPr>
          <w:rFonts w:cs="Arial"/>
          <w:szCs w:val="24"/>
          <w:shd w:val="clear" w:color="auto" w:fill="FFFFFF"/>
        </w:rPr>
        <w:t>Secondo l’art. 59 cpv. 2 lett. g) e h) Cost-TI</w:t>
      </w:r>
      <w:r w:rsidRPr="00D53C9F">
        <w:rPr>
          <w:rStyle w:val="Rimandonotaapidipagina"/>
          <w:rFonts w:cs="Arial"/>
          <w:szCs w:val="24"/>
          <w:shd w:val="clear" w:color="auto" w:fill="FFFFFF"/>
        </w:rPr>
        <w:footnoteReference w:id="1"/>
      </w:r>
      <w:r w:rsidRPr="00D53C9F">
        <w:rPr>
          <w:rFonts w:cs="Arial"/>
          <w:szCs w:val="24"/>
          <w:shd w:val="clear" w:color="auto" w:fill="FFFFFF"/>
        </w:rPr>
        <w:t>, ogni anno il Consiglio di Stato fornisce al Gran Consiglio un rapporto sull’amministrazione e i conti del Cantone. Tali rendiconti sono pubblicamente accessibili</w:t>
      </w:r>
      <w:r w:rsidRPr="00D53C9F">
        <w:rPr>
          <w:rStyle w:val="Rimandonotaapidipagina"/>
          <w:rFonts w:cs="Arial"/>
          <w:szCs w:val="24"/>
          <w:shd w:val="clear" w:color="auto" w:fill="FFFFFF"/>
        </w:rPr>
        <w:footnoteReference w:id="2"/>
      </w:r>
      <w:r w:rsidRPr="00D53C9F">
        <w:rPr>
          <w:rFonts w:cs="Arial"/>
          <w:szCs w:val="24"/>
          <w:shd w:val="clear" w:color="auto" w:fill="FFFFFF"/>
        </w:rPr>
        <w:t xml:space="preserve"> nel rendiconto annuale del Consiglio di Stato e contengono sia una parte commentata sia una parte statistica.</w:t>
      </w:r>
    </w:p>
    <w:p w:rsidR="00D53C9F" w:rsidRPr="00D53C9F" w:rsidRDefault="00D53C9F" w:rsidP="00D53C9F">
      <w:pPr>
        <w:rPr>
          <w:rFonts w:cs="Arial"/>
          <w:szCs w:val="24"/>
        </w:rPr>
      </w:pPr>
    </w:p>
    <w:p w:rsidR="00D53C9F" w:rsidRPr="00D53C9F" w:rsidRDefault="00D53C9F" w:rsidP="00D53C9F">
      <w:pPr>
        <w:rPr>
          <w:rFonts w:cs="Arial"/>
          <w:szCs w:val="24"/>
        </w:rPr>
      </w:pPr>
      <w:r w:rsidRPr="00D53C9F">
        <w:rPr>
          <w:rFonts w:cs="Arial"/>
          <w:szCs w:val="24"/>
        </w:rPr>
        <w:t>La Tabella T15 del rendiconto annuale del Consiglio di Stato riassume tutti i giorni di assenza nell’Amministrazione cantonale per dipartimento e il numero medio per genere di assenza. I dati quindi ci sono e sono presentati con grande trasparenza e precisione a ogni rendiconto annuale.</w:t>
      </w:r>
    </w:p>
    <w:p w:rsidR="00D53C9F" w:rsidRDefault="00D53C9F" w:rsidP="00D53C9F">
      <w:pPr>
        <w:rPr>
          <w:rFonts w:cs="Arial"/>
          <w:szCs w:val="24"/>
        </w:rPr>
      </w:pPr>
    </w:p>
    <w:p w:rsidR="00D2062E" w:rsidRPr="00D53C9F" w:rsidRDefault="00D2062E" w:rsidP="00D53C9F">
      <w:pPr>
        <w:rPr>
          <w:rFonts w:cs="Arial"/>
          <w:szCs w:val="24"/>
        </w:rPr>
      </w:pPr>
    </w:p>
    <w:p w:rsidR="00D53C9F" w:rsidRPr="003F7BF1" w:rsidRDefault="003F7BF1" w:rsidP="003F7BF1">
      <w:pPr>
        <w:rPr>
          <w:rFonts w:cs="Arial"/>
          <w:b/>
          <w:szCs w:val="24"/>
        </w:rPr>
      </w:pPr>
      <w:r>
        <w:rPr>
          <w:rFonts w:cs="Arial"/>
          <w:szCs w:val="24"/>
        </w:rPr>
        <w:br w:type="page"/>
      </w:r>
      <w:r w:rsidR="00D53C9F" w:rsidRPr="003F7BF1">
        <w:rPr>
          <w:rFonts w:cs="Arial"/>
          <w:b/>
          <w:szCs w:val="24"/>
        </w:rPr>
        <w:lastRenderedPageBreak/>
        <w:t>T15 Giorni di assenza complessivi nell’Amministrazione cantonale per dipartimento e numero medio per genere di assenza, nel 2019</w:t>
      </w:r>
    </w:p>
    <w:p w:rsidR="003F7BF1" w:rsidRDefault="003F7BF1" w:rsidP="003F7BF1">
      <w:pPr>
        <w:rPr>
          <w:rFonts w:cs="Arial"/>
          <w:szCs w:val="24"/>
        </w:rPr>
      </w:pPr>
    </w:p>
    <w:tbl>
      <w:tblPr>
        <w:tblW w:w="5300" w:type="pct"/>
        <w:tblInd w:w="-284" w:type="dxa"/>
        <w:tblCellMar>
          <w:left w:w="70" w:type="dxa"/>
          <w:right w:w="70" w:type="dxa"/>
        </w:tblCellMar>
        <w:tblLook w:val="04A0" w:firstRow="1" w:lastRow="0" w:firstColumn="1" w:lastColumn="0" w:noHBand="0" w:noVBand="1"/>
      </w:tblPr>
      <w:tblGrid>
        <w:gridCol w:w="2483"/>
        <w:gridCol w:w="680"/>
        <w:gridCol w:w="758"/>
        <w:gridCol w:w="758"/>
        <w:gridCol w:w="680"/>
        <w:gridCol w:w="758"/>
        <w:gridCol w:w="758"/>
        <w:gridCol w:w="758"/>
        <w:gridCol w:w="758"/>
        <w:gridCol w:w="569"/>
        <w:gridCol w:w="836"/>
        <w:gridCol w:w="638"/>
      </w:tblGrid>
      <w:tr w:rsidR="003F7BF1" w:rsidTr="003F7BF1">
        <w:trPr>
          <w:trHeight w:val="257"/>
        </w:trPr>
        <w:tc>
          <w:tcPr>
            <w:tcW w:w="1117" w:type="pct"/>
            <w:tcBorders>
              <w:top w:val="single" w:sz="4" w:space="0" w:color="auto"/>
              <w:left w:val="nil"/>
              <w:bottom w:val="nil"/>
              <w:right w:val="single" w:sz="4" w:space="0" w:color="auto"/>
            </w:tcBorders>
            <w:noWrap/>
            <w:vAlign w:val="bottom"/>
          </w:tcPr>
          <w:p w:rsidR="003F7BF1" w:rsidRDefault="003F7BF1" w:rsidP="003F7BF1">
            <w:pPr>
              <w:ind w:right="-167"/>
              <w:rPr>
                <w:rFonts w:cs="Arial"/>
                <w:b/>
                <w:sz w:val="15"/>
                <w:szCs w:val="15"/>
              </w:rPr>
            </w:pPr>
          </w:p>
        </w:tc>
        <w:tc>
          <w:tcPr>
            <w:tcW w:w="406" w:type="pct"/>
            <w:tcBorders>
              <w:top w:val="single" w:sz="4" w:space="0" w:color="auto"/>
              <w:left w:val="single" w:sz="4" w:space="0" w:color="auto"/>
              <w:bottom w:val="nil"/>
              <w:right w:val="single" w:sz="4" w:space="0" w:color="auto"/>
            </w:tcBorders>
            <w:noWrap/>
            <w:vAlign w:val="bottom"/>
            <w:hideMark/>
          </w:tcPr>
          <w:p w:rsidR="003F7BF1" w:rsidRDefault="003F7BF1" w:rsidP="003F7BF1">
            <w:pPr>
              <w:jc w:val="center"/>
              <w:rPr>
                <w:rFonts w:cs="Arial"/>
                <w:b/>
                <w:sz w:val="15"/>
                <w:szCs w:val="15"/>
              </w:rPr>
            </w:pPr>
            <w:r>
              <w:rPr>
                <w:rFonts w:cs="Arial"/>
                <w:b/>
                <w:sz w:val="15"/>
                <w:szCs w:val="15"/>
              </w:rPr>
              <w:t>CANC.</w:t>
            </w:r>
          </w:p>
        </w:tc>
        <w:tc>
          <w:tcPr>
            <w:tcW w:w="356" w:type="pct"/>
            <w:tcBorders>
              <w:top w:val="single" w:sz="4" w:space="0" w:color="auto"/>
              <w:left w:val="single" w:sz="4" w:space="0" w:color="auto"/>
              <w:bottom w:val="nil"/>
              <w:right w:val="single" w:sz="4" w:space="0" w:color="auto"/>
            </w:tcBorders>
            <w:noWrap/>
            <w:vAlign w:val="bottom"/>
            <w:hideMark/>
          </w:tcPr>
          <w:p w:rsidR="003F7BF1" w:rsidRDefault="003F7BF1" w:rsidP="003F7BF1">
            <w:pPr>
              <w:jc w:val="center"/>
              <w:rPr>
                <w:rFonts w:cs="Arial"/>
                <w:b/>
                <w:sz w:val="15"/>
                <w:szCs w:val="15"/>
              </w:rPr>
            </w:pPr>
            <w:r>
              <w:rPr>
                <w:rFonts w:cs="Arial"/>
                <w:b/>
                <w:sz w:val="15"/>
                <w:szCs w:val="15"/>
              </w:rPr>
              <w:t>DI</w:t>
            </w:r>
          </w:p>
        </w:tc>
        <w:tc>
          <w:tcPr>
            <w:tcW w:w="356" w:type="pct"/>
            <w:tcBorders>
              <w:top w:val="single" w:sz="4" w:space="0" w:color="auto"/>
              <w:left w:val="single" w:sz="4" w:space="0" w:color="auto"/>
              <w:bottom w:val="nil"/>
              <w:right w:val="single" w:sz="4" w:space="0" w:color="auto"/>
            </w:tcBorders>
            <w:noWrap/>
            <w:vAlign w:val="bottom"/>
            <w:hideMark/>
          </w:tcPr>
          <w:p w:rsidR="003F7BF1" w:rsidRDefault="003F7BF1" w:rsidP="003F7BF1">
            <w:pPr>
              <w:ind w:left="-16"/>
              <w:jc w:val="center"/>
              <w:rPr>
                <w:rFonts w:cs="Arial"/>
                <w:b/>
                <w:sz w:val="15"/>
                <w:szCs w:val="15"/>
              </w:rPr>
            </w:pPr>
            <w:r>
              <w:rPr>
                <w:rFonts w:cs="Arial"/>
                <w:b/>
                <w:sz w:val="15"/>
                <w:szCs w:val="15"/>
              </w:rPr>
              <w:t>Polizia</w:t>
            </w:r>
          </w:p>
        </w:tc>
        <w:tc>
          <w:tcPr>
            <w:tcW w:w="352" w:type="pct"/>
            <w:tcBorders>
              <w:top w:val="single" w:sz="4" w:space="0" w:color="auto"/>
              <w:left w:val="single" w:sz="4" w:space="0" w:color="auto"/>
              <w:bottom w:val="nil"/>
              <w:right w:val="single" w:sz="4" w:space="0" w:color="auto"/>
            </w:tcBorders>
            <w:noWrap/>
            <w:vAlign w:val="bottom"/>
            <w:hideMark/>
          </w:tcPr>
          <w:p w:rsidR="003F7BF1" w:rsidRDefault="003F7BF1" w:rsidP="003F7BF1">
            <w:pPr>
              <w:ind w:left="-62"/>
              <w:jc w:val="center"/>
              <w:rPr>
                <w:rFonts w:cs="Arial"/>
                <w:b/>
                <w:sz w:val="15"/>
                <w:szCs w:val="15"/>
              </w:rPr>
            </w:pPr>
            <w:r>
              <w:rPr>
                <w:rFonts w:cs="Arial"/>
                <w:b/>
                <w:sz w:val="15"/>
                <w:szCs w:val="15"/>
              </w:rPr>
              <w:t>DSS</w:t>
            </w:r>
          </w:p>
        </w:tc>
        <w:tc>
          <w:tcPr>
            <w:tcW w:w="356" w:type="pct"/>
            <w:tcBorders>
              <w:top w:val="single" w:sz="4" w:space="0" w:color="auto"/>
              <w:left w:val="single" w:sz="4" w:space="0" w:color="auto"/>
              <w:bottom w:val="nil"/>
              <w:right w:val="single" w:sz="4" w:space="0" w:color="auto"/>
            </w:tcBorders>
            <w:noWrap/>
            <w:vAlign w:val="bottom"/>
            <w:hideMark/>
          </w:tcPr>
          <w:p w:rsidR="003F7BF1" w:rsidRDefault="003F7BF1" w:rsidP="003F7BF1">
            <w:pPr>
              <w:jc w:val="center"/>
              <w:rPr>
                <w:rFonts w:cs="Arial"/>
                <w:b/>
                <w:sz w:val="15"/>
                <w:szCs w:val="15"/>
              </w:rPr>
            </w:pPr>
            <w:r>
              <w:rPr>
                <w:rFonts w:cs="Arial"/>
                <w:b/>
                <w:sz w:val="15"/>
                <w:szCs w:val="15"/>
              </w:rPr>
              <w:t>OSC</w:t>
            </w:r>
          </w:p>
        </w:tc>
        <w:tc>
          <w:tcPr>
            <w:tcW w:w="356" w:type="pct"/>
            <w:tcBorders>
              <w:top w:val="single" w:sz="4" w:space="0" w:color="auto"/>
              <w:left w:val="single" w:sz="4" w:space="0" w:color="auto"/>
              <w:bottom w:val="nil"/>
              <w:right w:val="single" w:sz="4" w:space="0" w:color="auto"/>
            </w:tcBorders>
            <w:noWrap/>
            <w:vAlign w:val="bottom"/>
            <w:hideMark/>
          </w:tcPr>
          <w:p w:rsidR="003F7BF1" w:rsidRDefault="003F7BF1" w:rsidP="003F7BF1">
            <w:pPr>
              <w:ind w:left="-96"/>
              <w:jc w:val="center"/>
              <w:rPr>
                <w:rFonts w:cs="Arial"/>
                <w:b/>
                <w:sz w:val="15"/>
                <w:szCs w:val="15"/>
              </w:rPr>
            </w:pPr>
            <w:r>
              <w:rPr>
                <w:rFonts w:cs="Arial"/>
                <w:b/>
                <w:sz w:val="15"/>
                <w:szCs w:val="15"/>
              </w:rPr>
              <w:t>DECS</w:t>
            </w:r>
          </w:p>
        </w:tc>
        <w:tc>
          <w:tcPr>
            <w:tcW w:w="356" w:type="pct"/>
            <w:tcBorders>
              <w:top w:val="single" w:sz="4" w:space="0" w:color="auto"/>
              <w:left w:val="single" w:sz="4" w:space="0" w:color="auto"/>
              <w:bottom w:val="nil"/>
              <w:right w:val="single" w:sz="4" w:space="0" w:color="auto"/>
            </w:tcBorders>
            <w:noWrap/>
            <w:vAlign w:val="bottom"/>
            <w:hideMark/>
          </w:tcPr>
          <w:p w:rsidR="003F7BF1" w:rsidRDefault="003F7BF1" w:rsidP="003F7BF1">
            <w:pPr>
              <w:ind w:left="-86"/>
              <w:jc w:val="center"/>
              <w:rPr>
                <w:rFonts w:cs="Arial"/>
                <w:b/>
                <w:sz w:val="15"/>
                <w:szCs w:val="15"/>
              </w:rPr>
            </w:pPr>
            <w:r>
              <w:rPr>
                <w:rFonts w:cs="Arial"/>
                <w:b/>
                <w:sz w:val="15"/>
                <w:szCs w:val="15"/>
              </w:rPr>
              <w:t>DT</w:t>
            </w:r>
          </w:p>
        </w:tc>
        <w:tc>
          <w:tcPr>
            <w:tcW w:w="356" w:type="pct"/>
            <w:tcBorders>
              <w:top w:val="single" w:sz="4" w:space="0" w:color="auto"/>
              <w:left w:val="single" w:sz="4" w:space="0" w:color="auto"/>
              <w:bottom w:val="nil"/>
              <w:right w:val="single" w:sz="4" w:space="0" w:color="auto"/>
            </w:tcBorders>
            <w:noWrap/>
            <w:vAlign w:val="bottom"/>
            <w:hideMark/>
          </w:tcPr>
          <w:p w:rsidR="003F7BF1" w:rsidRDefault="003F7BF1" w:rsidP="003F7BF1">
            <w:pPr>
              <w:ind w:left="-132"/>
              <w:jc w:val="center"/>
              <w:rPr>
                <w:rFonts w:cs="Arial"/>
                <w:b/>
                <w:sz w:val="15"/>
                <w:szCs w:val="15"/>
              </w:rPr>
            </w:pPr>
            <w:r>
              <w:rPr>
                <w:rFonts w:cs="Arial"/>
                <w:b/>
                <w:sz w:val="15"/>
                <w:szCs w:val="15"/>
              </w:rPr>
              <w:t>DFE</w:t>
            </w:r>
          </w:p>
        </w:tc>
        <w:tc>
          <w:tcPr>
            <w:tcW w:w="296" w:type="pct"/>
            <w:tcBorders>
              <w:top w:val="single" w:sz="4" w:space="0" w:color="auto"/>
              <w:left w:val="single" w:sz="4" w:space="0" w:color="auto"/>
              <w:bottom w:val="nil"/>
              <w:right w:val="single" w:sz="4" w:space="0" w:color="auto"/>
            </w:tcBorders>
            <w:noWrap/>
            <w:vAlign w:val="bottom"/>
            <w:hideMark/>
          </w:tcPr>
          <w:p w:rsidR="003F7BF1" w:rsidRDefault="003F7BF1" w:rsidP="003F7BF1">
            <w:pPr>
              <w:jc w:val="center"/>
              <w:rPr>
                <w:rFonts w:cs="Arial"/>
                <w:b/>
                <w:sz w:val="15"/>
                <w:szCs w:val="15"/>
              </w:rPr>
            </w:pPr>
            <w:r>
              <w:rPr>
                <w:rFonts w:cs="Arial"/>
                <w:b/>
                <w:sz w:val="15"/>
                <w:szCs w:val="15"/>
              </w:rPr>
              <w:t>CCF</w:t>
            </w:r>
          </w:p>
        </w:tc>
        <w:tc>
          <w:tcPr>
            <w:tcW w:w="394" w:type="pct"/>
            <w:tcBorders>
              <w:top w:val="single" w:sz="4" w:space="0" w:color="auto"/>
              <w:left w:val="single" w:sz="4" w:space="0" w:color="auto"/>
              <w:bottom w:val="nil"/>
              <w:right w:val="single" w:sz="4" w:space="0" w:color="auto"/>
            </w:tcBorders>
            <w:noWrap/>
            <w:vAlign w:val="bottom"/>
            <w:hideMark/>
          </w:tcPr>
          <w:p w:rsidR="003F7BF1" w:rsidRDefault="003F7BF1" w:rsidP="003F7BF1">
            <w:pPr>
              <w:ind w:left="-103"/>
              <w:jc w:val="center"/>
              <w:rPr>
                <w:rFonts w:cs="Arial"/>
                <w:b/>
                <w:sz w:val="15"/>
                <w:szCs w:val="15"/>
              </w:rPr>
            </w:pPr>
            <w:r>
              <w:rPr>
                <w:rFonts w:cs="Arial"/>
                <w:b/>
                <w:sz w:val="15"/>
                <w:szCs w:val="15"/>
              </w:rPr>
              <w:t>Totale</w:t>
            </w:r>
          </w:p>
        </w:tc>
        <w:tc>
          <w:tcPr>
            <w:tcW w:w="299" w:type="pct"/>
            <w:tcBorders>
              <w:top w:val="single" w:sz="4" w:space="0" w:color="auto"/>
              <w:left w:val="single" w:sz="4" w:space="0" w:color="auto"/>
              <w:bottom w:val="nil"/>
              <w:right w:val="single" w:sz="4" w:space="0" w:color="auto"/>
            </w:tcBorders>
            <w:noWrap/>
            <w:vAlign w:val="bottom"/>
            <w:hideMark/>
          </w:tcPr>
          <w:p w:rsidR="003F7BF1" w:rsidRDefault="003F7BF1" w:rsidP="003F7BF1">
            <w:pPr>
              <w:jc w:val="center"/>
              <w:rPr>
                <w:rFonts w:cs="Arial"/>
                <w:b/>
                <w:sz w:val="15"/>
                <w:szCs w:val="15"/>
              </w:rPr>
            </w:pPr>
            <w:r>
              <w:rPr>
                <w:rFonts w:cs="Arial"/>
                <w:b/>
                <w:sz w:val="15"/>
                <w:szCs w:val="15"/>
              </w:rPr>
              <w:t>No.</w:t>
            </w:r>
          </w:p>
        </w:tc>
      </w:tr>
      <w:tr w:rsidR="003F7BF1" w:rsidTr="003F7BF1">
        <w:trPr>
          <w:trHeight w:val="257"/>
        </w:trPr>
        <w:tc>
          <w:tcPr>
            <w:tcW w:w="1117" w:type="pct"/>
            <w:tcBorders>
              <w:top w:val="nil"/>
              <w:left w:val="nil"/>
              <w:bottom w:val="nil"/>
              <w:right w:val="single" w:sz="4" w:space="0" w:color="auto"/>
            </w:tcBorders>
            <w:noWrap/>
            <w:vAlign w:val="bottom"/>
          </w:tcPr>
          <w:p w:rsidR="003F7BF1" w:rsidRDefault="003F7BF1" w:rsidP="003F7BF1">
            <w:pPr>
              <w:rPr>
                <w:rFonts w:cs="Arial"/>
                <w:b/>
                <w:sz w:val="15"/>
                <w:szCs w:val="15"/>
              </w:rPr>
            </w:pPr>
          </w:p>
        </w:tc>
        <w:tc>
          <w:tcPr>
            <w:tcW w:w="406" w:type="pct"/>
            <w:tcBorders>
              <w:top w:val="nil"/>
              <w:left w:val="single" w:sz="4" w:space="0" w:color="auto"/>
              <w:bottom w:val="nil"/>
              <w:right w:val="single" w:sz="4" w:space="0" w:color="auto"/>
            </w:tcBorders>
            <w:noWrap/>
            <w:vAlign w:val="bottom"/>
          </w:tcPr>
          <w:p w:rsidR="003F7BF1" w:rsidRDefault="003F7BF1" w:rsidP="003F7BF1">
            <w:pPr>
              <w:jc w:val="center"/>
              <w:rPr>
                <w:rFonts w:cs="Arial"/>
                <w:b/>
                <w:sz w:val="15"/>
                <w:szCs w:val="15"/>
              </w:rPr>
            </w:pPr>
          </w:p>
        </w:tc>
        <w:tc>
          <w:tcPr>
            <w:tcW w:w="356" w:type="pct"/>
            <w:tcBorders>
              <w:top w:val="nil"/>
              <w:left w:val="single" w:sz="4" w:space="0" w:color="auto"/>
              <w:bottom w:val="nil"/>
              <w:right w:val="single" w:sz="4" w:space="0" w:color="auto"/>
            </w:tcBorders>
            <w:noWrap/>
            <w:vAlign w:val="bottom"/>
          </w:tcPr>
          <w:p w:rsidR="003F7BF1" w:rsidRDefault="003F7BF1" w:rsidP="003F7BF1">
            <w:pPr>
              <w:jc w:val="center"/>
              <w:rPr>
                <w:rFonts w:cs="Arial"/>
                <w:b/>
                <w:sz w:val="15"/>
                <w:szCs w:val="15"/>
              </w:rPr>
            </w:pPr>
          </w:p>
        </w:tc>
        <w:tc>
          <w:tcPr>
            <w:tcW w:w="356" w:type="pct"/>
            <w:tcBorders>
              <w:top w:val="nil"/>
              <w:left w:val="single" w:sz="4" w:space="0" w:color="auto"/>
              <w:bottom w:val="nil"/>
              <w:right w:val="single" w:sz="4" w:space="0" w:color="auto"/>
            </w:tcBorders>
            <w:noWrap/>
            <w:vAlign w:val="bottom"/>
            <w:hideMark/>
          </w:tcPr>
          <w:p w:rsidR="003F7BF1" w:rsidRDefault="003F7BF1" w:rsidP="003F7BF1">
            <w:pPr>
              <w:ind w:left="-16"/>
              <w:jc w:val="center"/>
              <w:rPr>
                <w:rFonts w:cs="Arial"/>
                <w:b/>
                <w:sz w:val="15"/>
                <w:szCs w:val="15"/>
              </w:rPr>
            </w:pPr>
            <w:r>
              <w:rPr>
                <w:rFonts w:cs="Arial"/>
                <w:b/>
                <w:sz w:val="15"/>
                <w:szCs w:val="15"/>
              </w:rPr>
              <w:t>cant.</w:t>
            </w:r>
          </w:p>
        </w:tc>
        <w:tc>
          <w:tcPr>
            <w:tcW w:w="352" w:type="pct"/>
            <w:tcBorders>
              <w:top w:val="nil"/>
              <w:left w:val="single" w:sz="4" w:space="0" w:color="auto"/>
              <w:bottom w:val="nil"/>
              <w:right w:val="single" w:sz="4" w:space="0" w:color="auto"/>
            </w:tcBorders>
            <w:noWrap/>
            <w:vAlign w:val="bottom"/>
          </w:tcPr>
          <w:p w:rsidR="003F7BF1" w:rsidRDefault="003F7BF1" w:rsidP="003F7BF1">
            <w:pPr>
              <w:ind w:left="-62"/>
              <w:jc w:val="center"/>
              <w:rPr>
                <w:rFonts w:cs="Arial"/>
                <w:b/>
                <w:sz w:val="15"/>
                <w:szCs w:val="15"/>
              </w:rPr>
            </w:pPr>
          </w:p>
        </w:tc>
        <w:tc>
          <w:tcPr>
            <w:tcW w:w="356" w:type="pct"/>
            <w:tcBorders>
              <w:top w:val="nil"/>
              <w:left w:val="single" w:sz="4" w:space="0" w:color="auto"/>
              <w:bottom w:val="nil"/>
              <w:right w:val="single" w:sz="4" w:space="0" w:color="auto"/>
            </w:tcBorders>
            <w:noWrap/>
            <w:vAlign w:val="bottom"/>
          </w:tcPr>
          <w:p w:rsidR="003F7BF1" w:rsidRDefault="003F7BF1" w:rsidP="003F7BF1">
            <w:pPr>
              <w:jc w:val="center"/>
              <w:rPr>
                <w:rFonts w:cs="Arial"/>
                <w:b/>
                <w:sz w:val="15"/>
                <w:szCs w:val="15"/>
              </w:rPr>
            </w:pPr>
          </w:p>
        </w:tc>
        <w:tc>
          <w:tcPr>
            <w:tcW w:w="356" w:type="pct"/>
            <w:tcBorders>
              <w:top w:val="nil"/>
              <w:left w:val="single" w:sz="4" w:space="0" w:color="auto"/>
              <w:bottom w:val="nil"/>
              <w:right w:val="single" w:sz="4" w:space="0" w:color="auto"/>
            </w:tcBorders>
            <w:noWrap/>
            <w:vAlign w:val="bottom"/>
          </w:tcPr>
          <w:p w:rsidR="003F7BF1" w:rsidRDefault="003F7BF1" w:rsidP="003F7BF1">
            <w:pPr>
              <w:ind w:left="-96"/>
              <w:jc w:val="center"/>
              <w:rPr>
                <w:rFonts w:cs="Arial"/>
                <w:b/>
                <w:sz w:val="15"/>
                <w:szCs w:val="15"/>
              </w:rPr>
            </w:pPr>
          </w:p>
        </w:tc>
        <w:tc>
          <w:tcPr>
            <w:tcW w:w="356" w:type="pct"/>
            <w:tcBorders>
              <w:top w:val="nil"/>
              <w:left w:val="single" w:sz="4" w:space="0" w:color="auto"/>
              <w:bottom w:val="nil"/>
              <w:right w:val="single" w:sz="4" w:space="0" w:color="auto"/>
            </w:tcBorders>
            <w:noWrap/>
            <w:vAlign w:val="bottom"/>
          </w:tcPr>
          <w:p w:rsidR="003F7BF1" w:rsidRDefault="003F7BF1" w:rsidP="003F7BF1">
            <w:pPr>
              <w:ind w:left="-86"/>
              <w:jc w:val="center"/>
              <w:rPr>
                <w:rFonts w:cs="Arial"/>
                <w:b/>
                <w:sz w:val="15"/>
                <w:szCs w:val="15"/>
              </w:rPr>
            </w:pPr>
          </w:p>
        </w:tc>
        <w:tc>
          <w:tcPr>
            <w:tcW w:w="356" w:type="pct"/>
            <w:tcBorders>
              <w:top w:val="nil"/>
              <w:left w:val="single" w:sz="4" w:space="0" w:color="auto"/>
              <w:bottom w:val="nil"/>
              <w:right w:val="single" w:sz="4" w:space="0" w:color="auto"/>
            </w:tcBorders>
            <w:noWrap/>
            <w:vAlign w:val="bottom"/>
          </w:tcPr>
          <w:p w:rsidR="003F7BF1" w:rsidRDefault="003F7BF1" w:rsidP="003F7BF1">
            <w:pPr>
              <w:ind w:left="-132"/>
              <w:jc w:val="center"/>
              <w:rPr>
                <w:rFonts w:cs="Arial"/>
                <w:b/>
                <w:sz w:val="15"/>
                <w:szCs w:val="15"/>
              </w:rPr>
            </w:pPr>
          </w:p>
        </w:tc>
        <w:tc>
          <w:tcPr>
            <w:tcW w:w="296" w:type="pct"/>
            <w:tcBorders>
              <w:top w:val="nil"/>
              <w:left w:val="single" w:sz="4" w:space="0" w:color="auto"/>
              <w:bottom w:val="nil"/>
              <w:right w:val="single" w:sz="4" w:space="0" w:color="auto"/>
            </w:tcBorders>
            <w:noWrap/>
            <w:vAlign w:val="bottom"/>
          </w:tcPr>
          <w:p w:rsidR="003F7BF1" w:rsidRDefault="003F7BF1" w:rsidP="003F7BF1">
            <w:pPr>
              <w:jc w:val="center"/>
              <w:rPr>
                <w:rFonts w:cs="Arial"/>
                <w:b/>
                <w:sz w:val="15"/>
                <w:szCs w:val="15"/>
              </w:rPr>
            </w:pPr>
          </w:p>
        </w:tc>
        <w:tc>
          <w:tcPr>
            <w:tcW w:w="394" w:type="pct"/>
            <w:tcBorders>
              <w:top w:val="nil"/>
              <w:left w:val="single" w:sz="4" w:space="0" w:color="auto"/>
              <w:bottom w:val="nil"/>
              <w:right w:val="single" w:sz="4" w:space="0" w:color="auto"/>
            </w:tcBorders>
            <w:noWrap/>
            <w:vAlign w:val="bottom"/>
          </w:tcPr>
          <w:p w:rsidR="003F7BF1" w:rsidRDefault="003F7BF1" w:rsidP="003F7BF1">
            <w:pPr>
              <w:ind w:left="-103"/>
              <w:jc w:val="center"/>
              <w:rPr>
                <w:rFonts w:cs="Arial"/>
                <w:b/>
                <w:sz w:val="15"/>
                <w:szCs w:val="15"/>
              </w:rPr>
            </w:pPr>
          </w:p>
        </w:tc>
        <w:tc>
          <w:tcPr>
            <w:tcW w:w="299" w:type="pct"/>
            <w:tcBorders>
              <w:top w:val="nil"/>
              <w:left w:val="single" w:sz="4" w:space="0" w:color="auto"/>
              <w:bottom w:val="nil"/>
              <w:right w:val="single" w:sz="4" w:space="0" w:color="auto"/>
            </w:tcBorders>
            <w:noWrap/>
            <w:vAlign w:val="bottom"/>
            <w:hideMark/>
          </w:tcPr>
          <w:p w:rsidR="003F7BF1" w:rsidRDefault="003F7BF1" w:rsidP="003F7BF1">
            <w:pPr>
              <w:jc w:val="center"/>
              <w:rPr>
                <w:rFonts w:cs="Arial"/>
                <w:b/>
                <w:sz w:val="15"/>
                <w:szCs w:val="15"/>
              </w:rPr>
            </w:pPr>
            <w:r>
              <w:rPr>
                <w:rFonts w:cs="Arial"/>
                <w:b/>
                <w:sz w:val="15"/>
                <w:szCs w:val="15"/>
              </w:rPr>
              <w:t>medio</w:t>
            </w:r>
            <w:r>
              <w:rPr>
                <w:rFonts w:cs="Arial"/>
                <w:b/>
                <w:sz w:val="15"/>
                <w:szCs w:val="15"/>
                <w:vertAlign w:val="superscript"/>
              </w:rPr>
              <w:t>1</w:t>
            </w:r>
          </w:p>
        </w:tc>
      </w:tr>
      <w:tr w:rsidR="003F7BF1" w:rsidTr="003F7BF1">
        <w:trPr>
          <w:trHeight w:val="257"/>
        </w:trPr>
        <w:tc>
          <w:tcPr>
            <w:tcW w:w="1117" w:type="pct"/>
            <w:noWrap/>
            <w:vAlign w:val="bottom"/>
          </w:tcPr>
          <w:p w:rsidR="003F7BF1" w:rsidRDefault="003F7BF1" w:rsidP="003F7BF1">
            <w:pPr>
              <w:rPr>
                <w:rFonts w:cs="Arial"/>
                <w:sz w:val="15"/>
                <w:szCs w:val="15"/>
              </w:rPr>
            </w:pPr>
          </w:p>
        </w:tc>
        <w:tc>
          <w:tcPr>
            <w:tcW w:w="406" w:type="pct"/>
            <w:noWrap/>
            <w:vAlign w:val="bottom"/>
          </w:tcPr>
          <w:p w:rsidR="003F7BF1" w:rsidRDefault="003F7BF1" w:rsidP="003F7BF1">
            <w:pPr>
              <w:jc w:val="center"/>
              <w:rPr>
                <w:rFonts w:cs="Arial"/>
                <w:sz w:val="15"/>
                <w:szCs w:val="15"/>
              </w:rPr>
            </w:pPr>
          </w:p>
        </w:tc>
        <w:tc>
          <w:tcPr>
            <w:tcW w:w="356" w:type="pct"/>
            <w:noWrap/>
            <w:vAlign w:val="bottom"/>
            <w:hideMark/>
          </w:tcPr>
          <w:p w:rsidR="003F7BF1" w:rsidRDefault="003F7BF1" w:rsidP="003F7BF1">
            <w:pPr>
              <w:jc w:val="center"/>
              <w:rPr>
                <w:rFonts w:cs="Arial"/>
                <w:sz w:val="15"/>
                <w:szCs w:val="15"/>
              </w:rPr>
            </w:pPr>
            <w:r>
              <w:rPr>
                <w:rFonts w:cs="Arial"/>
                <w:sz w:val="15"/>
                <w:szCs w:val="15"/>
              </w:rPr>
              <w:t>Senza</w:t>
            </w:r>
          </w:p>
        </w:tc>
        <w:tc>
          <w:tcPr>
            <w:tcW w:w="356" w:type="pct"/>
            <w:noWrap/>
            <w:vAlign w:val="bottom"/>
          </w:tcPr>
          <w:p w:rsidR="003F7BF1" w:rsidRDefault="003F7BF1" w:rsidP="003F7BF1">
            <w:pPr>
              <w:ind w:left="-16"/>
              <w:jc w:val="center"/>
              <w:rPr>
                <w:rFonts w:cs="Arial"/>
                <w:sz w:val="15"/>
                <w:szCs w:val="15"/>
              </w:rPr>
            </w:pPr>
          </w:p>
        </w:tc>
        <w:tc>
          <w:tcPr>
            <w:tcW w:w="352" w:type="pct"/>
            <w:noWrap/>
            <w:vAlign w:val="bottom"/>
          </w:tcPr>
          <w:p w:rsidR="003F7BF1" w:rsidRDefault="003F7BF1" w:rsidP="003F7BF1">
            <w:pPr>
              <w:ind w:left="-62"/>
              <w:jc w:val="center"/>
              <w:rPr>
                <w:rFonts w:cs="Arial"/>
                <w:sz w:val="15"/>
                <w:szCs w:val="15"/>
              </w:rPr>
            </w:pPr>
          </w:p>
        </w:tc>
        <w:tc>
          <w:tcPr>
            <w:tcW w:w="356" w:type="pct"/>
            <w:noWrap/>
            <w:vAlign w:val="bottom"/>
          </w:tcPr>
          <w:p w:rsidR="003F7BF1" w:rsidRDefault="003F7BF1" w:rsidP="003F7BF1">
            <w:pPr>
              <w:jc w:val="center"/>
              <w:rPr>
                <w:rFonts w:cs="Arial"/>
                <w:sz w:val="15"/>
                <w:szCs w:val="15"/>
              </w:rPr>
            </w:pPr>
          </w:p>
        </w:tc>
        <w:tc>
          <w:tcPr>
            <w:tcW w:w="356" w:type="pct"/>
            <w:noWrap/>
            <w:vAlign w:val="bottom"/>
          </w:tcPr>
          <w:p w:rsidR="003F7BF1" w:rsidRDefault="003F7BF1" w:rsidP="003F7BF1">
            <w:pPr>
              <w:ind w:left="-96"/>
              <w:jc w:val="center"/>
              <w:rPr>
                <w:rFonts w:cs="Arial"/>
                <w:sz w:val="15"/>
                <w:szCs w:val="15"/>
              </w:rPr>
            </w:pPr>
          </w:p>
        </w:tc>
        <w:tc>
          <w:tcPr>
            <w:tcW w:w="356" w:type="pct"/>
            <w:noWrap/>
            <w:vAlign w:val="bottom"/>
          </w:tcPr>
          <w:p w:rsidR="003F7BF1" w:rsidRDefault="003F7BF1" w:rsidP="003F7BF1">
            <w:pPr>
              <w:ind w:left="-86"/>
              <w:jc w:val="center"/>
              <w:rPr>
                <w:rFonts w:cs="Arial"/>
                <w:sz w:val="15"/>
                <w:szCs w:val="15"/>
              </w:rPr>
            </w:pPr>
          </w:p>
        </w:tc>
        <w:tc>
          <w:tcPr>
            <w:tcW w:w="356" w:type="pct"/>
            <w:noWrap/>
            <w:vAlign w:val="bottom"/>
          </w:tcPr>
          <w:p w:rsidR="003F7BF1" w:rsidRDefault="003F7BF1" w:rsidP="003F7BF1">
            <w:pPr>
              <w:ind w:left="-132"/>
              <w:jc w:val="center"/>
              <w:rPr>
                <w:rFonts w:cs="Arial"/>
                <w:sz w:val="15"/>
                <w:szCs w:val="15"/>
              </w:rPr>
            </w:pPr>
          </w:p>
        </w:tc>
        <w:tc>
          <w:tcPr>
            <w:tcW w:w="296" w:type="pct"/>
            <w:noWrap/>
            <w:vAlign w:val="bottom"/>
          </w:tcPr>
          <w:p w:rsidR="003F7BF1" w:rsidRDefault="003F7BF1" w:rsidP="003F7BF1">
            <w:pPr>
              <w:jc w:val="center"/>
              <w:rPr>
                <w:rFonts w:cs="Arial"/>
                <w:sz w:val="15"/>
                <w:szCs w:val="15"/>
              </w:rPr>
            </w:pPr>
          </w:p>
        </w:tc>
        <w:tc>
          <w:tcPr>
            <w:tcW w:w="394" w:type="pct"/>
            <w:noWrap/>
            <w:vAlign w:val="bottom"/>
          </w:tcPr>
          <w:p w:rsidR="003F7BF1" w:rsidRDefault="003F7BF1" w:rsidP="003F7BF1">
            <w:pPr>
              <w:ind w:left="-103"/>
              <w:jc w:val="center"/>
              <w:rPr>
                <w:rFonts w:cs="Arial"/>
                <w:sz w:val="15"/>
                <w:szCs w:val="15"/>
              </w:rPr>
            </w:pPr>
          </w:p>
        </w:tc>
        <w:tc>
          <w:tcPr>
            <w:tcW w:w="299" w:type="pct"/>
            <w:noWrap/>
            <w:vAlign w:val="bottom"/>
          </w:tcPr>
          <w:p w:rsidR="003F7BF1" w:rsidRDefault="003F7BF1" w:rsidP="003F7BF1">
            <w:pPr>
              <w:jc w:val="center"/>
              <w:rPr>
                <w:rFonts w:cs="Arial"/>
                <w:sz w:val="15"/>
                <w:szCs w:val="15"/>
              </w:rPr>
            </w:pPr>
          </w:p>
        </w:tc>
      </w:tr>
      <w:tr w:rsidR="003F7BF1" w:rsidTr="003F7BF1">
        <w:trPr>
          <w:trHeight w:val="257"/>
        </w:trPr>
        <w:tc>
          <w:tcPr>
            <w:tcW w:w="1117" w:type="pct"/>
            <w:noWrap/>
            <w:vAlign w:val="bottom"/>
          </w:tcPr>
          <w:p w:rsidR="003F7BF1" w:rsidRDefault="003F7BF1" w:rsidP="003F7BF1">
            <w:pPr>
              <w:rPr>
                <w:rFonts w:cs="Arial"/>
                <w:sz w:val="15"/>
                <w:szCs w:val="15"/>
              </w:rPr>
            </w:pPr>
          </w:p>
        </w:tc>
        <w:tc>
          <w:tcPr>
            <w:tcW w:w="406" w:type="pct"/>
            <w:noWrap/>
            <w:vAlign w:val="bottom"/>
          </w:tcPr>
          <w:p w:rsidR="003F7BF1" w:rsidRDefault="003F7BF1" w:rsidP="003F7BF1">
            <w:pPr>
              <w:jc w:val="center"/>
              <w:rPr>
                <w:rFonts w:cs="Arial"/>
                <w:sz w:val="15"/>
                <w:szCs w:val="15"/>
              </w:rPr>
            </w:pPr>
          </w:p>
        </w:tc>
        <w:tc>
          <w:tcPr>
            <w:tcW w:w="356" w:type="pct"/>
            <w:noWrap/>
            <w:vAlign w:val="bottom"/>
            <w:hideMark/>
          </w:tcPr>
          <w:p w:rsidR="003F7BF1" w:rsidRDefault="003F7BF1" w:rsidP="003F7BF1">
            <w:pPr>
              <w:jc w:val="center"/>
              <w:rPr>
                <w:rFonts w:cs="Arial"/>
                <w:sz w:val="15"/>
                <w:szCs w:val="15"/>
              </w:rPr>
            </w:pPr>
            <w:r>
              <w:rPr>
                <w:rFonts w:cs="Arial"/>
                <w:sz w:val="15"/>
                <w:szCs w:val="15"/>
              </w:rPr>
              <w:t>Polizia</w:t>
            </w:r>
          </w:p>
        </w:tc>
        <w:tc>
          <w:tcPr>
            <w:tcW w:w="356" w:type="pct"/>
            <w:noWrap/>
            <w:vAlign w:val="bottom"/>
          </w:tcPr>
          <w:p w:rsidR="003F7BF1" w:rsidRDefault="003F7BF1" w:rsidP="003F7BF1">
            <w:pPr>
              <w:ind w:left="-16"/>
              <w:jc w:val="center"/>
              <w:rPr>
                <w:rFonts w:cs="Arial"/>
                <w:sz w:val="15"/>
                <w:szCs w:val="15"/>
              </w:rPr>
            </w:pPr>
          </w:p>
        </w:tc>
        <w:tc>
          <w:tcPr>
            <w:tcW w:w="352" w:type="pct"/>
            <w:noWrap/>
            <w:vAlign w:val="bottom"/>
            <w:hideMark/>
          </w:tcPr>
          <w:p w:rsidR="003F7BF1" w:rsidRDefault="003F7BF1" w:rsidP="003F7BF1">
            <w:pPr>
              <w:ind w:left="-62"/>
              <w:jc w:val="center"/>
              <w:rPr>
                <w:rFonts w:cs="Arial"/>
                <w:sz w:val="15"/>
                <w:szCs w:val="15"/>
              </w:rPr>
            </w:pPr>
            <w:r>
              <w:rPr>
                <w:rFonts w:cs="Arial"/>
                <w:sz w:val="15"/>
                <w:szCs w:val="15"/>
              </w:rPr>
              <w:t>Senza</w:t>
            </w:r>
          </w:p>
        </w:tc>
        <w:tc>
          <w:tcPr>
            <w:tcW w:w="356" w:type="pct"/>
            <w:noWrap/>
            <w:vAlign w:val="bottom"/>
          </w:tcPr>
          <w:p w:rsidR="003F7BF1" w:rsidRDefault="003F7BF1" w:rsidP="003F7BF1">
            <w:pPr>
              <w:jc w:val="center"/>
              <w:rPr>
                <w:rFonts w:cs="Arial"/>
                <w:sz w:val="15"/>
                <w:szCs w:val="15"/>
              </w:rPr>
            </w:pPr>
          </w:p>
        </w:tc>
        <w:tc>
          <w:tcPr>
            <w:tcW w:w="356" w:type="pct"/>
            <w:noWrap/>
            <w:vAlign w:val="bottom"/>
          </w:tcPr>
          <w:p w:rsidR="003F7BF1" w:rsidRDefault="003F7BF1" w:rsidP="003F7BF1">
            <w:pPr>
              <w:ind w:left="-96"/>
              <w:jc w:val="center"/>
              <w:rPr>
                <w:rFonts w:cs="Arial"/>
                <w:sz w:val="15"/>
                <w:szCs w:val="15"/>
              </w:rPr>
            </w:pPr>
          </w:p>
        </w:tc>
        <w:tc>
          <w:tcPr>
            <w:tcW w:w="356" w:type="pct"/>
            <w:noWrap/>
            <w:vAlign w:val="bottom"/>
          </w:tcPr>
          <w:p w:rsidR="003F7BF1" w:rsidRDefault="003F7BF1" w:rsidP="003F7BF1">
            <w:pPr>
              <w:ind w:left="-86"/>
              <w:jc w:val="center"/>
              <w:rPr>
                <w:rFonts w:cs="Arial"/>
                <w:sz w:val="15"/>
                <w:szCs w:val="15"/>
              </w:rPr>
            </w:pPr>
          </w:p>
        </w:tc>
        <w:tc>
          <w:tcPr>
            <w:tcW w:w="356" w:type="pct"/>
            <w:noWrap/>
            <w:vAlign w:val="bottom"/>
          </w:tcPr>
          <w:p w:rsidR="003F7BF1" w:rsidRDefault="003F7BF1" w:rsidP="003F7BF1">
            <w:pPr>
              <w:ind w:left="-132"/>
              <w:jc w:val="center"/>
              <w:rPr>
                <w:rFonts w:cs="Arial"/>
                <w:sz w:val="15"/>
                <w:szCs w:val="15"/>
              </w:rPr>
            </w:pPr>
          </w:p>
        </w:tc>
        <w:tc>
          <w:tcPr>
            <w:tcW w:w="296" w:type="pct"/>
            <w:noWrap/>
            <w:vAlign w:val="bottom"/>
          </w:tcPr>
          <w:p w:rsidR="003F7BF1" w:rsidRDefault="003F7BF1" w:rsidP="003F7BF1">
            <w:pPr>
              <w:jc w:val="center"/>
              <w:rPr>
                <w:rFonts w:cs="Arial"/>
                <w:sz w:val="15"/>
                <w:szCs w:val="15"/>
              </w:rPr>
            </w:pPr>
          </w:p>
        </w:tc>
        <w:tc>
          <w:tcPr>
            <w:tcW w:w="394" w:type="pct"/>
            <w:noWrap/>
            <w:vAlign w:val="bottom"/>
          </w:tcPr>
          <w:p w:rsidR="003F7BF1" w:rsidRDefault="003F7BF1" w:rsidP="003F7BF1">
            <w:pPr>
              <w:ind w:left="-103"/>
              <w:jc w:val="center"/>
              <w:rPr>
                <w:rFonts w:cs="Arial"/>
                <w:sz w:val="15"/>
                <w:szCs w:val="15"/>
              </w:rPr>
            </w:pPr>
          </w:p>
        </w:tc>
        <w:tc>
          <w:tcPr>
            <w:tcW w:w="299" w:type="pct"/>
            <w:noWrap/>
            <w:vAlign w:val="bottom"/>
          </w:tcPr>
          <w:p w:rsidR="003F7BF1" w:rsidRDefault="003F7BF1" w:rsidP="003F7BF1">
            <w:pPr>
              <w:jc w:val="center"/>
              <w:rPr>
                <w:rFonts w:cs="Arial"/>
                <w:sz w:val="15"/>
                <w:szCs w:val="15"/>
              </w:rPr>
            </w:pPr>
          </w:p>
        </w:tc>
      </w:tr>
      <w:tr w:rsidR="003F7BF1" w:rsidTr="003F7BF1">
        <w:trPr>
          <w:trHeight w:val="257"/>
        </w:trPr>
        <w:tc>
          <w:tcPr>
            <w:tcW w:w="1117" w:type="pct"/>
            <w:tcBorders>
              <w:top w:val="nil"/>
              <w:left w:val="nil"/>
              <w:bottom w:val="single" w:sz="4" w:space="0" w:color="auto"/>
              <w:right w:val="nil"/>
            </w:tcBorders>
            <w:noWrap/>
            <w:vAlign w:val="bottom"/>
            <w:hideMark/>
          </w:tcPr>
          <w:p w:rsidR="003F7BF1" w:rsidRDefault="003F7BF1" w:rsidP="003F7BF1">
            <w:pPr>
              <w:rPr>
                <w:rFonts w:cs="Arial"/>
                <w:sz w:val="15"/>
                <w:szCs w:val="15"/>
              </w:rPr>
            </w:pPr>
            <w:r>
              <w:rPr>
                <w:rFonts w:cs="Arial"/>
                <w:b/>
                <w:bCs/>
                <w:sz w:val="15"/>
                <w:szCs w:val="15"/>
              </w:rPr>
              <w:t>Assenze non a carico dello Stato</w:t>
            </w:r>
          </w:p>
        </w:tc>
        <w:tc>
          <w:tcPr>
            <w:tcW w:w="406" w:type="pct"/>
            <w:tcBorders>
              <w:top w:val="nil"/>
              <w:left w:val="nil"/>
              <w:bottom w:val="single" w:sz="4" w:space="0" w:color="auto"/>
              <w:right w:val="nil"/>
            </w:tcBorders>
            <w:noWrap/>
            <w:vAlign w:val="bottom"/>
          </w:tcPr>
          <w:p w:rsidR="003F7BF1" w:rsidRDefault="003F7BF1" w:rsidP="003F7BF1">
            <w:pPr>
              <w:jc w:val="center"/>
              <w:rPr>
                <w:rFonts w:cs="Arial"/>
                <w:sz w:val="15"/>
                <w:szCs w:val="15"/>
              </w:rPr>
            </w:pPr>
          </w:p>
        </w:tc>
        <w:tc>
          <w:tcPr>
            <w:tcW w:w="356" w:type="pct"/>
            <w:tcBorders>
              <w:top w:val="nil"/>
              <w:left w:val="nil"/>
              <w:bottom w:val="single" w:sz="4" w:space="0" w:color="auto"/>
              <w:right w:val="nil"/>
            </w:tcBorders>
            <w:noWrap/>
            <w:hideMark/>
          </w:tcPr>
          <w:p w:rsidR="003F7BF1" w:rsidRDefault="003F7BF1" w:rsidP="003F7BF1">
            <w:pPr>
              <w:jc w:val="center"/>
              <w:rPr>
                <w:rFonts w:cs="Arial"/>
                <w:sz w:val="15"/>
                <w:szCs w:val="15"/>
              </w:rPr>
            </w:pPr>
            <w:r>
              <w:rPr>
                <w:rFonts w:cs="Arial"/>
                <w:sz w:val="15"/>
                <w:szCs w:val="15"/>
              </w:rPr>
              <w:t>cant.</w:t>
            </w:r>
          </w:p>
        </w:tc>
        <w:tc>
          <w:tcPr>
            <w:tcW w:w="356" w:type="pct"/>
            <w:tcBorders>
              <w:top w:val="nil"/>
              <w:left w:val="nil"/>
              <w:bottom w:val="single" w:sz="4" w:space="0" w:color="auto"/>
              <w:right w:val="nil"/>
            </w:tcBorders>
            <w:noWrap/>
            <w:vAlign w:val="bottom"/>
          </w:tcPr>
          <w:p w:rsidR="003F7BF1" w:rsidRDefault="003F7BF1" w:rsidP="003F7BF1">
            <w:pPr>
              <w:ind w:left="-16"/>
              <w:jc w:val="center"/>
              <w:rPr>
                <w:rFonts w:cs="Arial"/>
                <w:sz w:val="15"/>
                <w:szCs w:val="15"/>
              </w:rPr>
            </w:pPr>
          </w:p>
        </w:tc>
        <w:tc>
          <w:tcPr>
            <w:tcW w:w="352" w:type="pct"/>
            <w:tcBorders>
              <w:top w:val="nil"/>
              <w:left w:val="nil"/>
              <w:bottom w:val="single" w:sz="4" w:space="0" w:color="auto"/>
              <w:right w:val="nil"/>
            </w:tcBorders>
            <w:noWrap/>
            <w:hideMark/>
          </w:tcPr>
          <w:p w:rsidR="003F7BF1" w:rsidRDefault="003F7BF1" w:rsidP="003F7BF1">
            <w:pPr>
              <w:ind w:left="-62"/>
              <w:jc w:val="center"/>
              <w:rPr>
                <w:rFonts w:cs="Arial"/>
                <w:sz w:val="15"/>
                <w:szCs w:val="15"/>
              </w:rPr>
            </w:pPr>
            <w:r>
              <w:rPr>
                <w:rFonts w:cs="Arial"/>
                <w:sz w:val="15"/>
                <w:szCs w:val="15"/>
              </w:rPr>
              <w:t>OSC</w:t>
            </w:r>
          </w:p>
        </w:tc>
        <w:tc>
          <w:tcPr>
            <w:tcW w:w="356" w:type="pct"/>
            <w:tcBorders>
              <w:top w:val="nil"/>
              <w:left w:val="nil"/>
              <w:bottom w:val="single" w:sz="4" w:space="0" w:color="auto"/>
              <w:right w:val="nil"/>
            </w:tcBorders>
            <w:noWrap/>
            <w:vAlign w:val="bottom"/>
          </w:tcPr>
          <w:p w:rsidR="003F7BF1" w:rsidRDefault="003F7BF1" w:rsidP="003F7BF1">
            <w:pPr>
              <w:jc w:val="center"/>
              <w:rPr>
                <w:rFonts w:cs="Arial"/>
                <w:sz w:val="15"/>
                <w:szCs w:val="15"/>
              </w:rPr>
            </w:pPr>
          </w:p>
        </w:tc>
        <w:tc>
          <w:tcPr>
            <w:tcW w:w="356" w:type="pct"/>
            <w:tcBorders>
              <w:top w:val="nil"/>
              <w:left w:val="nil"/>
              <w:bottom w:val="single" w:sz="4" w:space="0" w:color="auto"/>
              <w:right w:val="nil"/>
            </w:tcBorders>
            <w:noWrap/>
            <w:vAlign w:val="bottom"/>
          </w:tcPr>
          <w:p w:rsidR="003F7BF1" w:rsidRDefault="003F7BF1" w:rsidP="003F7BF1">
            <w:pPr>
              <w:ind w:left="-96"/>
              <w:jc w:val="center"/>
              <w:rPr>
                <w:rFonts w:cs="Arial"/>
                <w:sz w:val="15"/>
                <w:szCs w:val="15"/>
              </w:rPr>
            </w:pPr>
          </w:p>
        </w:tc>
        <w:tc>
          <w:tcPr>
            <w:tcW w:w="356" w:type="pct"/>
            <w:tcBorders>
              <w:top w:val="nil"/>
              <w:left w:val="nil"/>
              <w:bottom w:val="single" w:sz="4" w:space="0" w:color="auto"/>
              <w:right w:val="nil"/>
            </w:tcBorders>
            <w:noWrap/>
            <w:vAlign w:val="bottom"/>
          </w:tcPr>
          <w:p w:rsidR="003F7BF1" w:rsidRDefault="003F7BF1" w:rsidP="003F7BF1">
            <w:pPr>
              <w:ind w:left="-86"/>
              <w:jc w:val="center"/>
              <w:rPr>
                <w:rFonts w:cs="Arial"/>
                <w:sz w:val="15"/>
                <w:szCs w:val="15"/>
              </w:rPr>
            </w:pPr>
          </w:p>
        </w:tc>
        <w:tc>
          <w:tcPr>
            <w:tcW w:w="356" w:type="pct"/>
            <w:tcBorders>
              <w:top w:val="nil"/>
              <w:left w:val="nil"/>
              <w:bottom w:val="single" w:sz="4" w:space="0" w:color="auto"/>
              <w:right w:val="nil"/>
            </w:tcBorders>
            <w:noWrap/>
            <w:vAlign w:val="bottom"/>
          </w:tcPr>
          <w:p w:rsidR="003F7BF1" w:rsidRDefault="003F7BF1" w:rsidP="003F7BF1">
            <w:pPr>
              <w:ind w:left="-132"/>
              <w:jc w:val="center"/>
              <w:rPr>
                <w:rFonts w:cs="Arial"/>
                <w:sz w:val="15"/>
                <w:szCs w:val="15"/>
              </w:rPr>
            </w:pPr>
          </w:p>
        </w:tc>
        <w:tc>
          <w:tcPr>
            <w:tcW w:w="296" w:type="pct"/>
            <w:tcBorders>
              <w:top w:val="nil"/>
              <w:left w:val="nil"/>
              <w:bottom w:val="single" w:sz="4" w:space="0" w:color="auto"/>
              <w:right w:val="nil"/>
            </w:tcBorders>
            <w:noWrap/>
            <w:vAlign w:val="bottom"/>
          </w:tcPr>
          <w:p w:rsidR="003F7BF1" w:rsidRDefault="003F7BF1" w:rsidP="003F7BF1">
            <w:pPr>
              <w:jc w:val="center"/>
              <w:rPr>
                <w:rFonts w:cs="Arial"/>
                <w:sz w:val="15"/>
                <w:szCs w:val="15"/>
              </w:rPr>
            </w:pPr>
          </w:p>
        </w:tc>
        <w:tc>
          <w:tcPr>
            <w:tcW w:w="394" w:type="pct"/>
            <w:tcBorders>
              <w:top w:val="nil"/>
              <w:left w:val="nil"/>
              <w:bottom w:val="single" w:sz="4" w:space="0" w:color="auto"/>
              <w:right w:val="nil"/>
            </w:tcBorders>
            <w:noWrap/>
            <w:vAlign w:val="bottom"/>
          </w:tcPr>
          <w:p w:rsidR="003F7BF1" w:rsidRDefault="003F7BF1" w:rsidP="003F7BF1">
            <w:pPr>
              <w:ind w:left="-103"/>
              <w:jc w:val="center"/>
              <w:rPr>
                <w:rFonts w:cs="Arial"/>
                <w:sz w:val="15"/>
                <w:szCs w:val="15"/>
              </w:rPr>
            </w:pPr>
          </w:p>
        </w:tc>
        <w:tc>
          <w:tcPr>
            <w:tcW w:w="299" w:type="pct"/>
            <w:tcBorders>
              <w:top w:val="nil"/>
              <w:left w:val="nil"/>
              <w:bottom w:val="single" w:sz="4" w:space="0" w:color="auto"/>
              <w:right w:val="nil"/>
            </w:tcBorders>
            <w:noWrap/>
            <w:vAlign w:val="bottom"/>
          </w:tcPr>
          <w:p w:rsidR="003F7BF1" w:rsidRDefault="003F7BF1" w:rsidP="003F7BF1">
            <w:pPr>
              <w:jc w:val="center"/>
              <w:rPr>
                <w:rFonts w:cs="Arial"/>
                <w:sz w:val="15"/>
                <w:szCs w:val="15"/>
              </w:rPr>
            </w:pPr>
          </w:p>
        </w:tc>
      </w:tr>
      <w:tr w:rsidR="003F7BF1" w:rsidTr="003F7BF1">
        <w:trPr>
          <w:trHeight w:val="257"/>
        </w:trPr>
        <w:tc>
          <w:tcPr>
            <w:tcW w:w="1117" w:type="pct"/>
            <w:tcBorders>
              <w:top w:val="single" w:sz="4" w:space="0" w:color="auto"/>
              <w:left w:val="nil"/>
              <w:bottom w:val="single" w:sz="4" w:space="0" w:color="auto"/>
              <w:right w:val="nil"/>
            </w:tcBorders>
            <w:noWrap/>
            <w:vAlign w:val="bottom"/>
            <w:hideMark/>
          </w:tcPr>
          <w:p w:rsidR="003F7BF1" w:rsidRDefault="003F7BF1" w:rsidP="003F7BF1">
            <w:pPr>
              <w:rPr>
                <w:rFonts w:cs="Arial"/>
                <w:sz w:val="15"/>
                <w:szCs w:val="15"/>
              </w:rPr>
            </w:pPr>
            <w:r>
              <w:rPr>
                <w:rFonts w:cs="Arial"/>
                <w:sz w:val="15"/>
                <w:szCs w:val="15"/>
              </w:rPr>
              <w:t>Congedo non pagato</w:t>
            </w:r>
          </w:p>
        </w:tc>
        <w:tc>
          <w:tcPr>
            <w:tcW w:w="406" w:type="pct"/>
            <w:tcBorders>
              <w:top w:val="single" w:sz="4" w:space="0" w:color="auto"/>
              <w:left w:val="nil"/>
              <w:bottom w:val="single" w:sz="4" w:space="0" w:color="auto"/>
              <w:right w:val="nil"/>
            </w:tcBorders>
            <w:shd w:val="clear" w:color="D9D9D9" w:fill="FFFFFF"/>
            <w:noWrap/>
            <w:vAlign w:val="bottom"/>
          </w:tcPr>
          <w:p w:rsidR="003F7BF1" w:rsidRDefault="003F7BF1" w:rsidP="003F7BF1">
            <w:pPr>
              <w:jc w:val="right"/>
              <w:rPr>
                <w:rFonts w:cs="Arial"/>
                <w:color w:val="000000"/>
                <w:sz w:val="14"/>
                <w:szCs w:val="14"/>
                <w:lang w:eastAsia="it-CH"/>
              </w:rPr>
            </w:pPr>
            <w:r>
              <w:rPr>
                <w:rFonts w:cs="Arial"/>
                <w:color w:val="000000"/>
                <w:sz w:val="14"/>
                <w:szCs w:val="14"/>
              </w:rPr>
              <w:t>285.99</w:t>
            </w:r>
          </w:p>
        </w:tc>
        <w:tc>
          <w:tcPr>
            <w:tcW w:w="356" w:type="pct"/>
            <w:tcBorders>
              <w:top w:val="single" w:sz="4" w:space="0" w:color="auto"/>
              <w:left w:val="nil"/>
              <w:bottom w:val="single" w:sz="4" w:space="0" w:color="auto"/>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1'225.35</w:t>
            </w:r>
          </w:p>
        </w:tc>
        <w:tc>
          <w:tcPr>
            <w:tcW w:w="356" w:type="pct"/>
            <w:tcBorders>
              <w:top w:val="single" w:sz="4" w:space="0" w:color="auto"/>
              <w:left w:val="nil"/>
              <w:bottom w:val="single" w:sz="4" w:space="0" w:color="auto"/>
              <w:right w:val="nil"/>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804.14</w:t>
            </w:r>
          </w:p>
        </w:tc>
        <w:tc>
          <w:tcPr>
            <w:tcW w:w="352" w:type="pct"/>
            <w:tcBorders>
              <w:top w:val="single" w:sz="4" w:space="0" w:color="auto"/>
              <w:left w:val="nil"/>
              <w:bottom w:val="single" w:sz="4" w:space="0" w:color="auto"/>
              <w:right w:val="nil"/>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262.50</w:t>
            </w:r>
          </w:p>
        </w:tc>
        <w:tc>
          <w:tcPr>
            <w:tcW w:w="356" w:type="pct"/>
            <w:tcBorders>
              <w:top w:val="single" w:sz="4" w:space="0" w:color="auto"/>
              <w:left w:val="nil"/>
              <w:bottom w:val="single" w:sz="4" w:space="0" w:color="auto"/>
              <w:right w:val="nil"/>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762.76</w:t>
            </w:r>
          </w:p>
        </w:tc>
        <w:tc>
          <w:tcPr>
            <w:tcW w:w="356" w:type="pct"/>
            <w:tcBorders>
              <w:top w:val="single" w:sz="4" w:space="0" w:color="auto"/>
              <w:left w:val="nil"/>
              <w:bottom w:val="single" w:sz="4" w:space="0" w:color="auto"/>
              <w:right w:val="nil"/>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1'330.84</w:t>
            </w:r>
          </w:p>
        </w:tc>
        <w:tc>
          <w:tcPr>
            <w:tcW w:w="356" w:type="pct"/>
            <w:tcBorders>
              <w:top w:val="single" w:sz="4" w:space="0" w:color="auto"/>
              <w:left w:val="nil"/>
              <w:bottom w:val="single" w:sz="4" w:space="0" w:color="auto"/>
              <w:right w:val="nil"/>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844.28</w:t>
            </w:r>
          </w:p>
        </w:tc>
        <w:tc>
          <w:tcPr>
            <w:tcW w:w="356" w:type="pct"/>
            <w:tcBorders>
              <w:top w:val="single" w:sz="4" w:space="0" w:color="auto"/>
              <w:left w:val="nil"/>
              <w:bottom w:val="single" w:sz="4" w:space="0" w:color="auto"/>
              <w:right w:val="nil"/>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635.38</w:t>
            </w:r>
          </w:p>
        </w:tc>
        <w:tc>
          <w:tcPr>
            <w:tcW w:w="296" w:type="pct"/>
            <w:tcBorders>
              <w:top w:val="single" w:sz="4" w:space="0" w:color="auto"/>
              <w:left w:val="nil"/>
              <w:bottom w:val="single" w:sz="4" w:space="0" w:color="auto"/>
              <w:right w:val="nil"/>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49.50</w:t>
            </w:r>
          </w:p>
        </w:tc>
        <w:tc>
          <w:tcPr>
            <w:tcW w:w="394" w:type="pct"/>
            <w:tcBorders>
              <w:top w:val="single" w:sz="4" w:space="0" w:color="auto"/>
              <w:left w:val="nil"/>
              <w:bottom w:val="single" w:sz="4" w:space="0" w:color="auto"/>
              <w:right w:val="nil"/>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6'200.74</w:t>
            </w:r>
          </w:p>
        </w:tc>
        <w:tc>
          <w:tcPr>
            <w:tcW w:w="299" w:type="pct"/>
            <w:tcBorders>
              <w:top w:val="single" w:sz="4" w:space="0" w:color="auto"/>
              <w:left w:val="nil"/>
              <w:bottom w:val="single" w:sz="4" w:space="0" w:color="auto"/>
              <w:right w:val="nil"/>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1.30</w:t>
            </w:r>
          </w:p>
        </w:tc>
      </w:tr>
      <w:tr w:rsidR="003F7BF1" w:rsidTr="003F7BF1">
        <w:trPr>
          <w:trHeight w:val="257"/>
        </w:trPr>
        <w:tc>
          <w:tcPr>
            <w:tcW w:w="1117" w:type="pct"/>
            <w:tcBorders>
              <w:top w:val="single" w:sz="4" w:space="0" w:color="auto"/>
              <w:left w:val="nil"/>
              <w:bottom w:val="single" w:sz="4" w:space="0" w:color="auto"/>
              <w:right w:val="nil"/>
            </w:tcBorders>
            <w:noWrap/>
            <w:vAlign w:val="bottom"/>
            <w:hideMark/>
          </w:tcPr>
          <w:p w:rsidR="003F7BF1" w:rsidRDefault="003F7BF1" w:rsidP="003F7BF1">
            <w:pPr>
              <w:rPr>
                <w:rFonts w:cs="Arial"/>
                <w:sz w:val="15"/>
                <w:szCs w:val="15"/>
              </w:rPr>
            </w:pPr>
            <w:r>
              <w:rPr>
                <w:rFonts w:cs="Arial"/>
                <w:sz w:val="15"/>
                <w:szCs w:val="15"/>
              </w:rPr>
              <w:t xml:space="preserve">Congedo post-parto </w:t>
            </w:r>
          </w:p>
        </w:tc>
        <w:tc>
          <w:tcPr>
            <w:tcW w:w="406" w:type="pct"/>
            <w:tcBorders>
              <w:top w:val="single" w:sz="4" w:space="0" w:color="auto"/>
              <w:left w:val="nil"/>
              <w:bottom w:val="single" w:sz="4" w:space="0" w:color="auto"/>
              <w:right w:val="nil"/>
            </w:tcBorders>
            <w:shd w:val="clear" w:color="D9D9D9" w:fill="FFFFFF"/>
            <w:noWrap/>
            <w:vAlign w:val="bottom"/>
          </w:tcPr>
          <w:p w:rsidR="003F7BF1" w:rsidRDefault="003F7BF1" w:rsidP="003F7BF1">
            <w:pPr>
              <w:jc w:val="right"/>
              <w:rPr>
                <w:rFonts w:cs="Arial"/>
                <w:color w:val="000000"/>
                <w:sz w:val="14"/>
                <w:szCs w:val="14"/>
                <w:lang w:eastAsia="it-CH"/>
              </w:rPr>
            </w:pPr>
            <w:r>
              <w:rPr>
                <w:rFonts w:cs="Arial"/>
                <w:color w:val="000000"/>
                <w:sz w:val="14"/>
                <w:szCs w:val="14"/>
              </w:rPr>
              <w:t>38.00</w:t>
            </w:r>
          </w:p>
        </w:tc>
        <w:tc>
          <w:tcPr>
            <w:tcW w:w="356" w:type="pct"/>
            <w:tcBorders>
              <w:top w:val="single" w:sz="4" w:space="0" w:color="auto"/>
              <w:left w:val="nil"/>
              <w:bottom w:val="single" w:sz="4" w:space="0" w:color="auto"/>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1'292.89</w:t>
            </w:r>
          </w:p>
        </w:tc>
        <w:tc>
          <w:tcPr>
            <w:tcW w:w="356" w:type="pct"/>
            <w:tcBorders>
              <w:top w:val="single" w:sz="4" w:space="0" w:color="auto"/>
              <w:left w:val="nil"/>
              <w:bottom w:val="single" w:sz="4" w:space="0" w:color="auto"/>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729.07</w:t>
            </w:r>
          </w:p>
        </w:tc>
        <w:tc>
          <w:tcPr>
            <w:tcW w:w="352" w:type="pct"/>
            <w:tcBorders>
              <w:top w:val="single" w:sz="4" w:space="0" w:color="auto"/>
              <w:left w:val="nil"/>
              <w:bottom w:val="single" w:sz="4" w:space="0" w:color="auto"/>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679.87</w:t>
            </w:r>
          </w:p>
        </w:tc>
        <w:tc>
          <w:tcPr>
            <w:tcW w:w="356" w:type="pct"/>
            <w:tcBorders>
              <w:top w:val="single" w:sz="4" w:space="0" w:color="auto"/>
              <w:left w:val="nil"/>
              <w:bottom w:val="single" w:sz="4" w:space="0" w:color="auto"/>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590.11</w:t>
            </w:r>
          </w:p>
        </w:tc>
        <w:tc>
          <w:tcPr>
            <w:tcW w:w="356" w:type="pct"/>
            <w:tcBorders>
              <w:top w:val="single" w:sz="4" w:space="0" w:color="auto"/>
              <w:left w:val="nil"/>
              <w:bottom w:val="single" w:sz="4" w:space="0" w:color="auto"/>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810.43</w:t>
            </w:r>
          </w:p>
        </w:tc>
        <w:tc>
          <w:tcPr>
            <w:tcW w:w="356" w:type="pct"/>
            <w:tcBorders>
              <w:top w:val="single" w:sz="4" w:space="0" w:color="auto"/>
              <w:left w:val="nil"/>
              <w:bottom w:val="single" w:sz="4" w:space="0" w:color="auto"/>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537.76</w:t>
            </w:r>
          </w:p>
        </w:tc>
        <w:tc>
          <w:tcPr>
            <w:tcW w:w="356" w:type="pct"/>
            <w:tcBorders>
              <w:top w:val="single" w:sz="4" w:space="0" w:color="auto"/>
              <w:left w:val="nil"/>
              <w:bottom w:val="single" w:sz="4" w:space="0" w:color="auto"/>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831.79</w:t>
            </w:r>
          </w:p>
        </w:tc>
        <w:tc>
          <w:tcPr>
            <w:tcW w:w="296" w:type="pct"/>
            <w:tcBorders>
              <w:top w:val="single" w:sz="4" w:space="0" w:color="auto"/>
              <w:left w:val="nil"/>
              <w:bottom w:val="single" w:sz="4" w:space="0" w:color="auto"/>
              <w:right w:val="nil"/>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94" w:type="pct"/>
            <w:tcBorders>
              <w:top w:val="single" w:sz="4" w:space="0" w:color="auto"/>
              <w:left w:val="nil"/>
              <w:bottom w:val="single" w:sz="4" w:space="0" w:color="auto"/>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5'509.92</w:t>
            </w:r>
          </w:p>
        </w:tc>
        <w:tc>
          <w:tcPr>
            <w:tcW w:w="299" w:type="pct"/>
            <w:tcBorders>
              <w:top w:val="single" w:sz="4" w:space="0" w:color="auto"/>
              <w:left w:val="nil"/>
              <w:bottom w:val="single" w:sz="4" w:space="0" w:color="auto"/>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1.16</w:t>
            </w:r>
          </w:p>
        </w:tc>
      </w:tr>
      <w:tr w:rsidR="003F7BF1" w:rsidTr="003F7BF1">
        <w:trPr>
          <w:trHeight w:val="257"/>
        </w:trPr>
        <w:tc>
          <w:tcPr>
            <w:tcW w:w="1117" w:type="pct"/>
            <w:tcBorders>
              <w:top w:val="single" w:sz="4" w:space="0" w:color="auto"/>
              <w:left w:val="nil"/>
              <w:bottom w:val="single" w:sz="4" w:space="0" w:color="auto"/>
              <w:right w:val="nil"/>
            </w:tcBorders>
            <w:noWrap/>
            <w:vAlign w:val="bottom"/>
            <w:hideMark/>
          </w:tcPr>
          <w:p w:rsidR="003F7BF1" w:rsidRDefault="003F7BF1" w:rsidP="003F7BF1">
            <w:pPr>
              <w:rPr>
                <w:rFonts w:cs="Arial"/>
                <w:sz w:val="15"/>
                <w:szCs w:val="15"/>
              </w:rPr>
            </w:pPr>
            <w:r>
              <w:rPr>
                <w:rFonts w:cs="Arial"/>
                <w:sz w:val="15"/>
                <w:szCs w:val="15"/>
              </w:rPr>
              <w:t>Corso perf. non pagato</w:t>
            </w:r>
          </w:p>
        </w:tc>
        <w:tc>
          <w:tcPr>
            <w:tcW w:w="406" w:type="pct"/>
            <w:tcBorders>
              <w:top w:val="single" w:sz="4" w:space="0" w:color="auto"/>
              <w:left w:val="nil"/>
              <w:bottom w:val="single" w:sz="4" w:space="0" w:color="auto"/>
              <w:right w:val="nil"/>
            </w:tcBorders>
            <w:shd w:val="clear" w:color="D9D9D9" w:fill="FFFFFF"/>
            <w:noWrap/>
            <w:vAlign w:val="bottom"/>
          </w:tcPr>
          <w:p w:rsidR="003F7BF1" w:rsidRDefault="003F7BF1" w:rsidP="003F7BF1">
            <w:pPr>
              <w:jc w:val="right"/>
              <w:rPr>
                <w:rFonts w:cs="Arial"/>
                <w:color w:val="000000"/>
                <w:sz w:val="14"/>
                <w:szCs w:val="14"/>
                <w:lang w:eastAsia="it-CH"/>
              </w:rPr>
            </w:pPr>
            <w:r>
              <w:rPr>
                <w:rFonts w:cs="Arial"/>
                <w:color w:val="000000"/>
                <w:sz w:val="14"/>
                <w:szCs w:val="14"/>
              </w:rPr>
              <w:t>0.00</w:t>
            </w:r>
          </w:p>
        </w:tc>
        <w:tc>
          <w:tcPr>
            <w:tcW w:w="356" w:type="pct"/>
            <w:tcBorders>
              <w:top w:val="single" w:sz="4" w:space="0" w:color="auto"/>
              <w:left w:val="nil"/>
              <w:bottom w:val="single" w:sz="4" w:space="0" w:color="auto"/>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0.50</w:t>
            </w:r>
          </w:p>
        </w:tc>
        <w:tc>
          <w:tcPr>
            <w:tcW w:w="356" w:type="pct"/>
            <w:tcBorders>
              <w:top w:val="single" w:sz="4" w:space="0" w:color="auto"/>
              <w:left w:val="nil"/>
              <w:bottom w:val="single" w:sz="4" w:space="0" w:color="auto"/>
              <w:right w:val="nil"/>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52" w:type="pct"/>
            <w:tcBorders>
              <w:top w:val="single" w:sz="4" w:space="0" w:color="auto"/>
              <w:left w:val="nil"/>
              <w:bottom w:val="single" w:sz="4" w:space="0" w:color="auto"/>
              <w:right w:val="nil"/>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56" w:type="pct"/>
            <w:tcBorders>
              <w:top w:val="single" w:sz="4" w:space="0" w:color="auto"/>
              <w:left w:val="nil"/>
              <w:bottom w:val="single" w:sz="4" w:space="0" w:color="auto"/>
              <w:right w:val="nil"/>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56" w:type="pct"/>
            <w:tcBorders>
              <w:top w:val="single" w:sz="4" w:space="0" w:color="auto"/>
              <w:left w:val="nil"/>
              <w:bottom w:val="single" w:sz="4" w:space="0" w:color="auto"/>
              <w:right w:val="nil"/>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56" w:type="pct"/>
            <w:tcBorders>
              <w:top w:val="single" w:sz="4" w:space="0" w:color="auto"/>
              <w:left w:val="nil"/>
              <w:bottom w:val="single" w:sz="4" w:space="0" w:color="auto"/>
              <w:right w:val="nil"/>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56" w:type="pct"/>
            <w:tcBorders>
              <w:top w:val="single" w:sz="4" w:space="0" w:color="auto"/>
              <w:left w:val="nil"/>
              <w:bottom w:val="single" w:sz="4" w:space="0" w:color="auto"/>
              <w:right w:val="nil"/>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296" w:type="pct"/>
            <w:tcBorders>
              <w:top w:val="single" w:sz="4" w:space="0" w:color="auto"/>
              <w:left w:val="nil"/>
              <w:bottom w:val="single" w:sz="4" w:space="0" w:color="auto"/>
              <w:right w:val="nil"/>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94" w:type="pct"/>
            <w:tcBorders>
              <w:top w:val="single" w:sz="4" w:space="0" w:color="auto"/>
              <w:left w:val="nil"/>
              <w:bottom w:val="single" w:sz="4" w:space="0" w:color="auto"/>
              <w:right w:val="nil"/>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0.50</w:t>
            </w:r>
          </w:p>
        </w:tc>
        <w:tc>
          <w:tcPr>
            <w:tcW w:w="299" w:type="pct"/>
            <w:tcBorders>
              <w:top w:val="single" w:sz="4" w:space="0" w:color="auto"/>
              <w:left w:val="nil"/>
              <w:bottom w:val="single" w:sz="4" w:space="0" w:color="auto"/>
              <w:right w:val="nil"/>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r>
      <w:tr w:rsidR="003F7BF1" w:rsidTr="003F7BF1">
        <w:trPr>
          <w:trHeight w:val="257"/>
        </w:trPr>
        <w:tc>
          <w:tcPr>
            <w:tcW w:w="1117" w:type="pct"/>
            <w:tcBorders>
              <w:top w:val="single" w:sz="4" w:space="0" w:color="auto"/>
              <w:left w:val="nil"/>
              <w:bottom w:val="single" w:sz="4" w:space="0" w:color="auto"/>
              <w:right w:val="nil"/>
            </w:tcBorders>
            <w:noWrap/>
            <w:vAlign w:val="bottom"/>
            <w:hideMark/>
          </w:tcPr>
          <w:p w:rsidR="003F7BF1" w:rsidRDefault="003F7BF1" w:rsidP="003F7BF1">
            <w:pPr>
              <w:rPr>
                <w:rFonts w:cs="Arial"/>
                <w:sz w:val="15"/>
                <w:szCs w:val="15"/>
              </w:rPr>
            </w:pPr>
            <w:r>
              <w:rPr>
                <w:rFonts w:cs="Arial"/>
                <w:sz w:val="15"/>
                <w:szCs w:val="15"/>
              </w:rPr>
              <w:t>Affari privati</w:t>
            </w:r>
          </w:p>
        </w:tc>
        <w:tc>
          <w:tcPr>
            <w:tcW w:w="406" w:type="pct"/>
            <w:tcBorders>
              <w:top w:val="single" w:sz="4" w:space="0" w:color="auto"/>
              <w:left w:val="nil"/>
              <w:bottom w:val="single" w:sz="4" w:space="0" w:color="auto"/>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490.01</w:t>
            </w:r>
          </w:p>
        </w:tc>
        <w:tc>
          <w:tcPr>
            <w:tcW w:w="356" w:type="pct"/>
            <w:tcBorders>
              <w:top w:val="single" w:sz="4" w:space="0" w:color="auto"/>
              <w:left w:val="nil"/>
              <w:bottom w:val="single" w:sz="4" w:space="0" w:color="auto"/>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1'439.53</w:t>
            </w:r>
          </w:p>
        </w:tc>
        <w:tc>
          <w:tcPr>
            <w:tcW w:w="356" w:type="pct"/>
            <w:tcBorders>
              <w:top w:val="single" w:sz="4" w:space="0" w:color="auto"/>
              <w:left w:val="nil"/>
              <w:bottom w:val="single" w:sz="4" w:space="0" w:color="auto"/>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535.94</w:t>
            </w:r>
          </w:p>
        </w:tc>
        <w:tc>
          <w:tcPr>
            <w:tcW w:w="352" w:type="pct"/>
            <w:tcBorders>
              <w:top w:val="single" w:sz="4" w:space="0" w:color="auto"/>
              <w:left w:val="nil"/>
              <w:bottom w:val="single" w:sz="4" w:space="0" w:color="auto"/>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892.43</w:t>
            </w:r>
          </w:p>
        </w:tc>
        <w:tc>
          <w:tcPr>
            <w:tcW w:w="356" w:type="pct"/>
            <w:tcBorders>
              <w:top w:val="single" w:sz="4" w:space="0" w:color="auto"/>
              <w:left w:val="nil"/>
              <w:bottom w:val="single" w:sz="4" w:space="0" w:color="auto"/>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106.59</w:t>
            </w:r>
          </w:p>
        </w:tc>
        <w:tc>
          <w:tcPr>
            <w:tcW w:w="356" w:type="pct"/>
            <w:tcBorders>
              <w:top w:val="single" w:sz="4" w:space="0" w:color="auto"/>
              <w:left w:val="nil"/>
              <w:bottom w:val="single" w:sz="4" w:space="0" w:color="auto"/>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1'522.42</w:t>
            </w:r>
          </w:p>
        </w:tc>
        <w:tc>
          <w:tcPr>
            <w:tcW w:w="356" w:type="pct"/>
            <w:tcBorders>
              <w:top w:val="single" w:sz="4" w:space="0" w:color="auto"/>
              <w:left w:val="nil"/>
              <w:bottom w:val="single" w:sz="4" w:space="0" w:color="auto"/>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1'593.27</w:t>
            </w:r>
          </w:p>
        </w:tc>
        <w:tc>
          <w:tcPr>
            <w:tcW w:w="356" w:type="pct"/>
            <w:tcBorders>
              <w:top w:val="single" w:sz="4" w:space="0" w:color="auto"/>
              <w:left w:val="nil"/>
              <w:bottom w:val="single" w:sz="4" w:space="0" w:color="auto"/>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2'714.19</w:t>
            </w:r>
          </w:p>
        </w:tc>
        <w:tc>
          <w:tcPr>
            <w:tcW w:w="296" w:type="pct"/>
            <w:tcBorders>
              <w:top w:val="single" w:sz="4" w:space="0" w:color="auto"/>
              <w:left w:val="nil"/>
              <w:bottom w:val="single" w:sz="4" w:space="0" w:color="auto"/>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33.12</w:t>
            </w:r>
          </w:p>
        </w:tc>
        <w:tc>
          <w:tcPr>
            <w:tcW w:w="394" w:type="pct"/>
            <w:tcBorders>
              <w:top w:val="single" w:sz="4" w:space="0" w:color="auto"/>
              <w:left w:val="nil"/>
              <w:bottom w:val="single" w:sz="4" w:space="0" w:color="auto"/>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9'327.49</w:t>
            </w:r>
          </w:p>
        </w:tc>
        <w:tc>
          <w:tcPr>
            <w:tcW w:w="299" w:type="pct"/>
            <w:tcBorders>
              <w:top w:val="single" w:sz="4" w:space="0" w:color="auto"/>
              <w:left w:val="nil"/>
              <w:bottom w:val="single" w:sz="4" w:space="0" w:color="auto"/>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1.96</w:t>
            </w:r>
          </w:p>
        </w:tc>
      </w:tr>
      <w:tr w:rsidR="003F7BF1" w:rsidTr="003F7BF1">
        <w:trPr>
          <w:trHeight w:val="257"/>
        </w:trPr>
        <w:tc>
          <w:tcPr>
            <w:tcW w:w="1117" w:type="pct"/>
            <w:tcBorders>
              <w:top w:val="single" w:sz="4" w:space="0" w:color="auto"/>
              <w:left w:val="nil"/>
              <w:bottom w:val="single" w:sz="4" w:space="0" w:color="auto"/>
              <w:right w:val="nil"/>
            </w:tcBorders>
            <w:noWrap/>
            <w:vAlign w:val="bottom"/>
            <w:hideMark/>
          </w:tcPr>
          <w:p w:rsidR="003F7BF1" w:rsidRDefault="003F7BF1" w:rsidP="003F7BF1">
            <w:pPr>
              <w:rPr>
                <w:rFonts w:cs="Arial"/>
                <w:sz w:val="15"/>
                <w:szCs w:val="15"/>
              </w:rPr>
            </w:pPr>
            <w:r>
              <w:rPr>
                <w:rFonts w:cs="Arial"/>
                <w:sz w:val="15"/>
                <w:szCs w:val="15"/>
              </w:rPr>
              <w:t>Ricupero</w:t>
            </w:r>
          </w:p>
        </w:tc>
        <w:tc>
          <w:tcPr>
            <w:tcW w:w="406" w:type="pct"/>
            <w:tcBorders>
              <w:top w:val="single" w:sz="4" w:space="0" w:color="auto"/>
              <w:left w:val="nil"/>
              <w:bottom w:val="single" w:sz="4" w:space="0" w:color="auto"/>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257.91</w:t>
            </w:r>
          </w:p>
        </w:tc>
        <w:tc>
          <w:tcPr>
            <w:tcW w:w="356" w:type="pct"/>
            <w:tcBorders>
              <w:top w:val="single" w:sz="4" w:space="0" w:color="auto"/>
              <w:left w:val="nil"/>
              <w:bottom w:val="single" w:sz="4" w:space="0" w:color="auto"/>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222.21</w:t>
            </w:r>
          </w:p>
        </w:tc>
        <w:tc>
          <w:tcPr>
            <w:tcW w:w="356" w:type="pct"/>
            <w:tcBorders>
              <w:top w:val="single" w:sz="4" w:space="0" w:color="auto"/>
              <w:left w:val="nil"/>
              <w:bottom w:val="single" w:sz="4" w:space="0" w:color="auto"/>
              <w:right w:val="nil"/>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4'600.06</w:t>
            </w:r>
          </w:p>
        </w:tc>
        <w:tc>
          <w:tcPr>
            <w:tcW w:w="352" w:type="pct"/>
            <w:tcBorders>
              <w:top w:val="single" w:sz="4" w:space="0" w:color="auto"/>
              <w:left w:val="nil"/>
              <w:bottom w:val="single" w:sz="4" w:space="0" w:color="auto"/>
              <w:right w:val="nil"/>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89.90</w:t>
            </w:r>
          </w:p>
        </w:tc>
        <w:tc>
          <w:tcPr>
            <w:tcW w:w="356" w:type="pct"/>
            <w:tcBorders>
              <w:top w:val="single" w:sz="4" w:space="0" w:color="auto"/>
              <w:left w:val="nil"/>
              <w:bottom w:val="single" w:sz="4" w:space="0" w:color="auto"/>
              <w:right w:val="nil"/>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49.63</w:t>
            </w:r>
          </w:p>
        </w:tc>
        <w:tc>
          <w:tcPr>
            <w:tcW w:w="356" w:type="pct"/>
            <w:tcBorders>
              <w:top w:val="single" w:sz="4" w:space="0" w:color="auto"/>
              <w:left w:val="nil"/>
              <w:bottom w:val="single" w:sz="4" w:space="0" w:color="auto"/>
              <w:right w:val="nil"/>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696.71</w:t>
            </w:r>
          </w:p>
        </w:tc>
        <w:tc>
          <w:tcPr>
            <w:tcW w:w="356" w:type="pct"/>
            <w:tcBorders>
              <w:top w:val="single" w:sz="4" w:space="0" w:color="auto"/>
              <w:left w:val="nil"/>
              <w:bottom w:val="single" w:sz="4" w:space="0" w:color="auto"/>
              <w:right w:val="nil"/>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441.98</w:t>
            </w:r>
          </w:p>
        </w:tc>
        <w:tc>
          <w:tcPr>
            <w:tcW w:w="356" w:type="pct"/>
            <w:tcBorders>
              <w:top w:val="single" w:sz="4" w:space="0" w:color="auto"/>
              <w:left w:val="nil"/>
              <w:bottom w:val="single" w:sz="4" w:space="0" w:color="auto"/>
              <w:right w:val="nil"/>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281.75</w:t>
            </w:r>
          </w:p>
        </w:tc>
        <w:tc>
          <w:tcPr>
            <w:tcW w:w="296" w:type="pct"/>
            <w:tcBorders>
              <w:top w:val="single" w:sz="4" w:space="0" w:color="auto"/>
              <w:left w:val="nil"/>
              <w:bottom w:val="single" w:sz="4" w:space="0" w:color="auto"/>
              <w:right w:val="nil"/>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4.62</w:t>
            </w:r>
          </w:p>
        </w:tc>
        <w:tc>
          <w:tcPr>
            <w:tcW w:w="394" w:type="pct"/>
            <w:tcBorders>
              <w:top w:val="single" w:sz="4" w:space="0" w:color="auto"/>
              <w:left w:val="nil"/>
              <w:bottom w:val="single" w:sz="4" w:space="0" w:color="auto"/>
              <w:right w:val="nil"/>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6'644.78</w:t>
            </w:r>
          </w:p>
        </w:tc>
        <w:tc>
          <w:tcPr>
            <w:tcW w:w="299" w:type="pct"/>
            <w:tcBorders>
              <w:top w:val="single" w:sz="4" w:space="0" w:color="auto"/>
              <w:left w:val="nil"/>
              <w:bottom w:val="single" w:sz="4" w:space="0" w:color="auto"/>
              <w:right w:val="nil"/>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1.39</w:t>
            </w:r>
          </w:p>
        </w:tc>
      </w:tr>
      <w:tr w:rsidR="003F7BF1" w:rsidTr="003F7BF1">
        <w:trPr>
          <w:trHeight w:val="257"/>
        </w:trPr>
        <w:tc>
          <w:tcPr>
            <w:tcW w:w="1117" w:type="pct"/>
            <w:tcBorders>
              <w:top w:val="single" w:sz="4" w:space="0" w:color="auto"/>
              <w:left w:val="nil"/>
              <w:bottom w:val="single" w:sz="4" w:space="0" w:color="auto"/>
              <w:right w:val="nil"/>
            </w:tcBorders>
            <w:noWrap/>
            <w:vAlign w:val="bottom"/>
            <w:hideMark/>
          </w:tcPr>
          <w:p w:rsidR="003F7BF1" w:rsidRDefault="003F7BF1" w:rsidP="003F7BF1">
            <w:pPr>
              <w:rPr>
                <w:rFonts w:cs="Arial"/>
                <w:sz w:val="15"/>
                <w:szCs w:val="15"/>
              </w:rPr>
            </w:pPr>
            <w:r>
              <w:rPr>
                <w:rFonts w:cs="Arial"/>
                <w:sz w:val="15"/>
                <w:szCs w:val="15"/>
              </w:rPr>
              <w:t>Scalo ore</w:t>
            </w:r>
          </w:p>
        </w:tc>
        <w:tc>
          <w:tcPr>
            <w:tcW w:w="406" w:type="pct"/>
            <w:tcBorders>
              <w:top w:val="single" w:sz="4" w:space="0" w:color="auto"/>
              <w:left w:val="nil"/>
              <w:bottom w:val="single" w:sz="4" w:space="0" w:color="auto"/>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483.23</w:t>
            </w:r>
          </w:p>
        </w:tc>
        <w:tc>
          <w:tcPr>
            <w:tcW w:w="356" w:type="pct"/>
            <w:tcBorders>
              <w:top w:val="single" w:sz="4" w:space="0" w:color="auto"/>
              <w:left w:val="nil"/>
              <w:bottom w:val="single" w:sz="4" w:space="0" w:color="auto"/>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3'647.49</w:t>
            </w:r>
          </w:p>
        </w:tc>
        <w:tc>
          <w:tcPr>
            <w:tcW w:w="356" w:type="pct"/>
            <w:tcBorders>
              <w:top w:val="single" w:sz="4" w:space="0" w:color="auto"/>
              <w:left w:val="nil"/>
              <w:bottom w:val="single" w:sz="4" w:space="0" w:color="auto"/>
              <w:right w:val="nil"/>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1'533.15</w:t>
            </w:r>
          </w:p>
        </w:tc>
        <w:tc>
          <w:tcPr>
            <w:tcW w:w="352" w:type="pct"/>
            <w:tcBorders>
              <w:top w:val="single" w:sz="4" w:space="0" w:color="auto"/>
              <w:left w:val="nil"/>
              <w:bottom w:val="single" w:sz="4" w:space="0" w:color="auto"/>
              <w:right w:val="nil"/>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1'573.95</w:t>
            </w:r>
          </w:p>
        </w:tc>
        <w:tc>
          <w:tcPr>
            <w:tcW w:w="356" w:type="pct"/>
            <w:tcBorders>
              <w:top w:val="single" w:sz="4" w:space="0" w:color="auto"/>
              <w:left w:val="nil"/>
              <w:bottom w:val="single" w:sz="4" w:space="0" w:color="auto"/>
              <w:right w:val="nil"/>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267.49</w:t>
            </w:r>
          </w:p>
        </w:tc>
        <w:tc>
          <w:tcPr>
            <w:tcW w:w="356" w:type="pct"/>
            <w:tcBorders>
              <w:top w:val="single" w:sz="4" w:space="0" w:color="auto"/>
              <w:left w:val="nil"/>
              <w:bottom w:val="single" w:sz="4" w:space="0" w:color="auto"/>
              <w:right w:val="nil"/>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2'855.78</w:t>
            </w:r>
          </w:p>
        </w:tc>
        <w:tc>
          <w:tcPr>
            <w:tcW w:w="356" w:type="pct"/>
            <w:tcBorders>
              <w:top w:val="single" w:sz="4" w:space="0" w:color="auto"/>
              <w:left w:val="nil"/>
              <w:bottom w:val="single" w:sz="4" w:space="0" w:color="auto"/>
              <w:right w:val="nil"/>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2'280.02</w:t>
            </w:r>
          </w:p>
        </w:tc>
        <w:tc>
          <w:tcPr>
            <w:tcW w:w="356" w:type="pct"/>
            <w:tcBorders>
              <w:top w:val="single" w:sz="4" w:space="0" w:color="auto"/>
              <w:left w:val="nil"/>
              <w:bottom w:val="single" w:sz="4" w:space="0" w:color="auto"/>
              <w:right w:val="nil"/>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6'195.83</w:t>
            </w:r>
          </w:p>
        </w:tc>
        <w:tc>
          <w:tcPr>
            <w:tcW w:w="296" w:type="pct"/>
            <w:tcBorders>
              <w:top w:val="single" w:sz="4" w:space="0" w:color="auto"/>
              <w:left w:val="nil"/>
              <w:bottom w:val="single" w:sz="4" w:space="0" w:color="auto"/>
              <w:right w:val="nil"/>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90.29</w:t>
            </w:r>
          </w:p>
        </w:tc>
        <w:tc>
          <w:tcPr>
            <w:tcW w:w="394" w:type="pct"/>
            <w:tcBorders>
              <w:top w:val="single" w:sz="4" w:space="0" w:color="auto"/>
              <w:left w:val="nil"/>
              <w:bottom w:val="single" w:sz="4" w:space="0" w:color="auto"/>
              <w:right w:val="nil"/>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18'927.22</w:t>
            </w:r>
          </w:p>
        </w:tc>
        <w:tc>
          <w:tcPr>
            <w:tcW w:w="299" w:type="pct"/>
            <w:tcBorders>
              <w:top w:val="single" w:sz="4" w:space="0" w:color="auto"/>
              <w:left w:val="nil"/>
              <w:bottom w:val="single" w:sz="4" w:space="0" w:color="auto"/>
              <w:right w:val="nil"/>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3.97</w:t>
            </w:r>
          </w:p>
        </w:tc>
      </w:tr>
      <w:tr w:rsidR="003F7BF1" w:rsidTr="003F7BF1">
        <w:trPr>
          <w:trHeight w:val="257"/>
        </w:trPr>
        <w:tc>
          <w:tcPr>
            <w:tcW w:w="1117" w:type="pct"/>
            <w:tcBorders>
              <w:top w:val="single" w:sz="4" w:space="0" w:color="auto"/>
              <w:left w:val="nil"/>
              <w:bottom w:val="single" w:sz="4" w:space="0" w:color="auto"/>
              <w:right w:val="nil"/>
            </w:tcBorders>
            <w:noWrap/>
            <w:vAlign w:val="bottom"/>
            <w:hideMark/>
          </w:tcPr>
          <w:p w:rsidR="003F7BF1" w:rsidRDefault="003F7BF1" w:rsidP="003F7BF1">
            <w:pPr>
              <w:rPr>
                <w:rFonts w:cs="Arial"/>
                <w:sz w:val="15"/>
                <w:szCs w:val="15"/>
              </w:rPr>
            </w:pPr>
            <w:r>
              <w:rPr>
                <w:rFonts w:cs="Arial"/>
                <w:sz w:val="15"/>
                <w:szCs w:val="15"/>
              </w:rPr>
              <w:t>Sospensione</w:t>
            </w:r>
          </w:p>
        </w:tc>
        <w:tc>
          <w:tcPr>
            <w:tcW w:w="406" w:type="pct"/>
            <w:tcBorders>
              <w:top w:val="single" w:sz="4" w:space="0" w:color="auto"/>
              <w:left w:val="nil"/>
              <w:bottom w:val="single" w:sz="4" w:space="0" w:color="auto"/>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56" w:type="pct"/>
            <w:tcBorders>
              <w:top w:val="single" w:sz="4" w:space="0" w:color="auto"/>
              <w:left w:val="nil"/>
              <w:bottom w:val="single" w:sz="4" w:space="0" w:color="auto"/>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275.50</w:t>
            </w:r>
          </w:p>
        </w:tc>
        <w:tc>
          <w:tcPr>
            <w:tcW w:w="356" w:type="pct"/>
            <w:tcBorders>
              <w:top w:val="single" w:sz="4" w:space="0" w:color="auto"/>
              <w:left w:val="nil"/>
              <w:bottom w:val="single" w:sz="4" w:space="0" w:color="auto"/>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257.19</w:t>
            </w:r>
          </w:p>
        </w:tc>
        <w:tc>
          <w:tcPr>
            <w:tcW w:w="352" w:type="pct"/>
            <w:tcBorders>
              <w:top w:val="single" w:sz="4" w:space="0" w:color="auto"/>
              <w:left w:val="nil"/>
              <w:bottom w:val="single" w:sz="4" w:space="0" w:color="auto"/>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103.50</w:t>
            </w:r>
          </w:p>
        </w:tc>
        <w:tc>
          <w:tcPr>
            <w:tcW w:w="356" w:type="pct"/>
            <w:tcBorders>
              <w:top w:val="single" w:sz="4" w:space="0" w:color="auto"/>
              <w:left w:val="nil"/>
              <w:bottom w:val="single" w:sz="4" w:space="0" w:color="auto"/>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297.00</w:t>
            </w:r>
          </w:p>
        </w:tc>
        <w:tc>
          <w:tcPr>
            <w:tcW w:w="356" w:type="pct"/>
            <w:tcBorders>
              <w:top w:val="single" w:sz="4" w:space="0" w:color="auto"/>
              <w:left w:val="nil"/>
              <w:bottom w:val="single" w:sz="4" w:space="0" w:color="auto"/>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56" w:type="pct"/>
            <w:tcBorders>
              <w:top w:val="single" w:sz="4" w:space="0" w:color="auto"/>
              <w:left w:val="nil"/>
              <w:bottom w:val="single" w:sz="4" w:space="0" w:color="auto"/>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56" w:type="pct"/>
            <w:tcBorders>
              <w:top w:val="single" w:sz="4" w:space="0" w:color="auto"/>
              <w:left w:val="nil"/>
              <w:bottom w:val="single" w:sz="4" w:space="0" w:color="auto"/>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296" w:type="pct"/>
            <w:tcBorders>
              <w:top w:val="single" w:sz="4" w:space="0" w:color="auto"/>
              <w:left w:val="nil"/>
              <w:bottom w:val="single" w:sz="4" w:space="0" w:color="auto"/>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94" w:type="pct"/>
            <w:tcBorders>
              <w:top w:val="single" w:sz="4" w:space="0" w:color="auto"/>
              <w:left w:val="nil"/>
              <w:bottom w:val="single" w:sz="4" w:space="0" w:color="auto"/>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933.19</w:t>
            </w:r>
          </w:p>
        </w:tc>
        <w:tc>
          <w:tcPr>
            <w:tcW w:w="299" w:type="pct"/>
            <w:tcBorders>
              <w:top w:val="single" w:sz="4" w:space="0" w:color="auto"/>
              <w:left w:val="nil"/>
              <w:bottom w:val="single" w:sz="4" w:space="0" w:color="auto"/>
              <w:right w:val="nil"/>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0.20</w:t>
            </w:r>
          </w:p>
        </w:tc>
      </w:tr>
      <w:tr w:rsidR="003F7BF1" w:rsidTr="003F7BF1">
        <w:trPr>
          <w:trHeight w:val="257"/>
        </w:trPr>
        <w:tc>
          <w:tcPr>
            <w:tcW w:w="1117" w:type="pct"/>
            <w:tcBorders>
              <w:top w:val="single" w:sz="4" w:space="0" w:color="auto"/>
              <w:left w:val="nil"/>
              <w:bottom w:val="single" w:sz="4" w:space="0" w:color="auto"/>
              <w:right w:val="nil"/>
            </w:tcBorders>
            <w:noWrap/>
            <w:vAlign w:val="bottom"/>
            <w:hideMark/>
          </w:tcPr>
          <w:p w:rsidR="003F7BF1" w:rsidRDefault="003F7BF1" w:rsidP="003F7BF1">
            <w:pPr>
              <w:rPr>
                <w:rFonts w:cs="Arial"/>
                <w:sz w:val="15"/>
                <w:szCs w:val="15"/>
              </w:rPr>
            </w:pPr>
            <w:r>
              <w:rPr>
                <w:rFonts w:cs="Arial"/>
                <w:sz w:val="15"/>
                <w:szCs w:val="15"/>
              </w:rPr>
              <w:t>Sollevato dall’incarico</w:t>
            </w:r>
          </w:p>
        </w:tc>
        <w:tc>
          <w:tcPr>
            <w:tcW w:w="406" w:type="pct"/>
            <w:tcBorders>
              <w:top w:val="single" w:sz="4" w:space="0" w:color="auto"/>
              <w:left w:val="nil"/>
              <w:bottom w:val="single" w:sz="4" w:space="0" w:color="auto"/>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56" w:type="pct"/>
            <w:tcBorders>
              <w:top w:val="single" w:sz="4" w:space="0" w:color="auto"/>
              <w:left w:val="nil"/>
              <w:bottom w:val="single" w:sz="4" w:space="0" w:color="auto"/>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56" w:type="pct"/>
            <w:tcBorders>
              <w:top w:val="single" w:sz="4" w:space="0" w:color="auto"/>
              <w:left w:val="nil"/>
              <w:bottom w:val="single" w:sz="4" w:space="0" w:color="auto"/>
              <w:right w:val="nil"/>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52" w:type="pct"/>
            <w:tcBorders>
              <w:top w:val="single" w:sz="4" w:space="0" w:color="auto"/>
              <w:left w:val="nil"/>
              <w:bottom w:val="single" w:sz="4" w:space="0" w:color="auto"/>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56" w:type="pct"/>
            <w:tcBorders>
              <w:top w:val="single" w:sz="4" w:space="0" w:color="auto"/>
              <w:left w:val="nil"/>
              <w:bottom w:val="single" w:sz="4" w:space="0" w:color="auto"/>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56" w:type="pct"/>
            <w:tcBorders>
              <w:top w:val="single" w:sz="4" w:space="0" w:color="auto"/>
              <w:left w:val="nil"/>
              <w:bottom w:val="single" w:sz="4" w:space="0" w:color="auto"/>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56" w:type="pct"/>
            <w:tcBorders>
              <w:top w:val="single" w:sz="4" w:space="0" w:color="auto"/>
              <w:left w:val="nil"/>
              <w:bottom w:val="single" w:sz="4" w:space="0" w:color="auto"/>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56" w:type="pct"/>
            <w:tcBorders>
              <w:top w:val="single" w:sz="4" w:space="0" w:color="auto"/>
              <w:left w:val="nil"/>
              <w:bottom w:val="single" w:sz="4" w:space="0" w:color="auto"/>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327.57</w:t>
            </w:r>
          </w:p>
        </w:tc>
        <w:tc>
          <w:tcPr>
            <w:tcW w:w="296" w:type="pct"/>
            <w:tcBorders>
              <w:top w:val="single" w:sz="4" w:space="0" w:color="auto"/>
              <w:left w:val="nil"/>
              <w:bottom w:val="single" w:sz="4" w:space="0" w:color="auto"/>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94" w:type="pct"/>
            <w:tcBorders>
              <w:top w:val="single" w:sz="4" w:space="0" w:color="auto"/>
              <w:left w:val="nil"/>
              <w:bottom w:val="single" w:sz="4" w:space="0" w:color="auto"/>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327.57</w:t>
            </w:r>
          </w:p>
        </w:tc>
        <w:tc>
          <w:tcPr>
            <w:tcW w:w="299" w:type="pct"/>
            <w:tcBorders>
              <w:top w:val="single" w:sz="4" w:space="0" w:color="auto"/>
              <w:left w:val="nil"/>
              <w:bottom w:val="single" w:sz="4" w:space="0" w:color="auto"/>
              <w:right w:val="nil"/>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0.07</w:t>
            </w:r>
          </w:p>
        </w:tc>
      </w:tr>
      <w:tr w:rsidR="003F7BF1" w:rsidTr="003F7BF1">
        <w:trPr>
          <w:trHeight w:val="257"/>
        </w:trPr>
        <w:tc>
          <w:tcPr>
            <w:tcW w:w="1117" w:type="pct"/>
            <w:tcBorders>
              <w:top w:val="single" w:sz="4" w:space="0" w:color="auto"/>
              <w:left w:val="nil"/>
              <w:bottom w:val="single" w:sz="4" w:space="0" w:color="auto"/>
              <w:right w:val="nil"/>
            </w:tcBorders>
            <w:noWrap/>
            <w:vAlign w:val="bottom"/>
            <w:hideMark/>
          </w:tcPr>
          <w:p w:rsidR="003F7BF1" w:rsidRDefault="003F7BF1" w:rsidP="003F7BF1">
            <w:pPr>
              <w:rPr>
                <w:rFonts w:cs="Arial"/>
                <w:sz w:val="15"/>
                <w:szCs w:val="15"/>
              </w:rPr>
            </w:pPr>
            <w:r>
              <w:rPr>
                <w:rFonts w:cs="Arial"/>
                <w:sz w:val="15"/>
                <w:szCs w:val="15"/>
              </w:rPr>
              <w:t>Assenza arbitraria</w:t>
            </w:r>
          </w:p>
        </w:tc>
        <w:tc>
          <w:tcPr>
            <w:tcW w:w="406" w:type="pct"/>
            <w:tcBorders>
              <w:top w:val="single" w:sz="4" w:space="0" w:color="auto"/>
              <w:left w:val="nil"/>
              <w:bottom w:val="single" w:sz="4" w:space="0" w:color="auto"/>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56" w:type="pct"/>
            <w:tcBorders>
              <w:top w:val="single" w:sz="4" w:space="0" w:color="auto"/>
              <w:left w:val="nil"/>
              <w:bottom w:val="single" w:sz="4" w:space="0" w:color="auto"/>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56" w:type="pct"/>
            <w:tcBorders>
              <w:top w:val="single" w:sz="4" w:space="0" w:color="auto"/>
              <w:left w:val="nil"/>
              <w:bottom w:val="single" w:sz="4" w:space="0" w:color="auto"/>
              <w:right w:val="nil"/>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52" w:type="pct"/>
            <w:tcBorders>
              <w:top w:val="single" w:sz="4" w:space="0" w:color="auto"/>
              <w:left w:val="nil"/>
              <w:bottom w:val="single" w:sz="4" w:space="0" w:color="auto"/>
              <w:right w:val="nil"/>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56" w:type="pct"/>
            <w:tcBorders>
              <w:top w:val="single" w:sz="4" w:space="0" w:color="auto"/>
              <w:left w:val="nil"/>
              <w:bottom w:val="single" w:sz="4" w:space="0" w:color="auto"/>
              <w:right w:val="nil"/>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56" w:type="pct"/>
            <w:tcBorders>
              <w:top w:val="single" w:sz="4" w:space="0" w:color="auto"/>
              <w:left w:val="nil"/>
              <w:bottom w:val="single" w:sz="4" w:space="0" w:color="auto"/>
              <w:right w:val="nil"/>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39.50</w:t>
            </w:r>
          </w:p>
        </w:tc>
        <w:tc>
          <w:tcPr>
            <w:tcW w:w="356" w:type="pct"/>
            <w:tcBorders>
              <w:top w:val="single" w:sz="4" w:space="0" w:color="auto"/>
              <w:left w:val="nil"/>
              <w:bottom w:val="single" w:sz="4" w:space="0" w:color="auto"/>
              <w:right w:val="nil"/>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56" w:type="pct"/>
            <w:tcBorders>
              <w:top w:val="single" w:sz="4" w:space="0" w:color="auto"/>
              <w:left w:val="nil"/>
              <w:bottom w:val="single" w:sz="4" w:space="0" w:color="auto"/>
              <w:right w:val="nil"/>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3.00</w:t>
            </w:r>
          </w:p>
        </w:tc>
        <w:tc>
          <w:tcPr>
            <w:tcW w:w="296" w:type="pct"/>
            <w:tcBorders>
              <w:top w:val="single" w:sz="4" w:space="0" w:color="auto"/>
              <w:left w:val="nil"/>
              <w:bottom w:val="single" w:sz="4" w:space="0" w:color="auto"/>
              <w:right w:val="nil"/>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94" w:type="pct"/>
            <w:tcBorders>
              <w:top w:val="single" w:sz="4" w:space="0" w:color="auto"/>
              <w:left w:val="nil"/>
              <w:bottom w:val="single" w:sz="4" w:space="0" w:color="auto"/>
              <w:right w:val="nil"/>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42.50</w:t>
            </w:r>
          </w:p>
        </w:tc>
        <w:tc>
          <w:tcPr>
            <w:tcW w:w="299" w:type="pct"/>
            <w:tcBorders>
              <w:top w:val="single" w:sz="4" w:space="0" w:color="auto"/>
              <w:left w:val="nil"/>
              <w:bottom w:val="single" w:sz="4" w:space="0" w:color="auto"/>
              <w:right w:val="nil"/>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0.01</w:t>
            </w:r>
          </w:p>
        </w:tc>
      </w:tr>
      <w:tr w:rsidR="003F7BF1" w:rsidTr="003F7BF1">
        <w:trPr>
          <w:trHeight w:val="257"/>
        </w:trPr>
        <w:tc>
          <w:tcPr>
            <w:tcW w:w="1117" w:type="pct"/>
            <w:tcBorders>
              <w:top w:val="single" w:sz="4" w:space="0" w:color="auto"/>
              <w:left w:val="nil"/>
              <w:bottom w:val="nil"/>
              <w:right w:val="nil"/>
            </w:tcBorders>
            <w:noWrap/>
            <w:vAlign w:val="bottom"/>
            <w:hideMark/>
          </w:tcPr>
          <w:p w:rsidR="003F7BF1" w:rsidRDefault="003F7BF1" w:rsidP="003F7BF1">
            <w:pPr>
              <w:rPr>
                <w:rFonts w:cs="Arial"/>
                <w:sz w:val="15"/>
                <w:szCs w:val="15"/>
              </w:rPr>
            </w:pPr>
            <w:r>
              <w:rPr>
                <w:rFonts w:cs="Arial"/>
                <w:sz w:val="15"/>
                <w:szCs w:val="15"/>
              </w:rPr>
              <w:t>Congedo tredicesima</w:t>
            </w:r>
          </w:p>
        </w:tc>
        <w:tc>
          <w:tcPr>
            <w:tcW w:w="406" w:type="pct"/>
            <w:tcBorders>
              <w:top w:val="single" w:sz="4" w:space="0" w:color="auto"/>
              <w:left w:val="nil"/>
              <w:bottom w:val="nil"/>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64.88</w:t>
            </w:r>
          </w:p>
        </w:tc>
        <w:tc>
          <w:tcPr>
            <w:tcW w:w="356" w:type="pct"/>
            <w:tcBorders>
              <w:top w:val="single" w:sz="4" w:space="0" w:color="auto"/>
              <w:left w:val="nil"/>
              <w:bottom w:val="nil"/>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130.95</w:t>
            </w:r>
          </w:p>
        </w:tc>
        <w:tc>
          <w:tcPr>
            <w:tcW w:w="356" w:type="pct"/>
            <w:tcBorders>
              <w:top w:val="single" w:sz="4" w:space="0" w:color="auto"/>
              <w:left w:val="nil"/>
              <w:bottom w:val="nil"/>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328.61</w:t>
            </w:r>
          </w:p>
        </w:tc>
        <w:tc>
          <w:tcPr>
            <w:tcW w:w="352" w:type="pct"/>
            <w:tcBorders>
              <w:top w:val="single" w:sz="4" w:space="0" w:color="auto"/>
              <w:left w:val="nil"/>
              <w:bottom w:val="nil"/>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110.56</w:t>
            </w:r>
          </w:p>
        </w:tc>
        <w:tc>
          <w:tcPr>
            <w:tcW w:w="356" w:type="pct"/>
            <w:tcBorders>
              <w:top w:val="single" w:sz="4" w:space="0" w:color="auto"/>
              <w:left w:val="nil"/>
              <w:bottom w:val="nil"/>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94.24</w:t>
            </w:r>
          </w:p>
        </w:tc>
        <w:tc>
          <w:tcPr>
            <w:tcW w:w="356" w:type="pct"/>
            <w:tcBorders>
              <w:top w:val="single" w:sz="4" w:space="0" w:color="auto"/>
              <w:left w:val="nil"/>
              <w:bottom w:val="nil"/>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125.66</w:t>
            </w:r>
          </w:p>
        </w:tc>
        <w:tc>
          <w:tcPr>
            <w:tcW w:w="356" w:type="pct"/>
            <w:tcBorders>
              <w:top w:val="single" w:sz="4" w:space="0" w:color="auto"/>
              <w:left w:val="nil"/>
              <w:bottom w:val="nil"/>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358.69</w:t>
            </w:r>
          </w:p>
        </w:tc>
        <w:tc>
          <w:tcPr>
            <w:tcW w:w="356" w:type="pct"/>
            <w:tcBorders>
              <w:top w:val="single" w:sz="4" w:space="0" w:color="auto"/>
              <w:left w:val="nil"/>
              <w:bottom w:val="nil"/>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691.48</w:t>
            </w:r>
          </w:p>
        </w:tc>
        <w:tc>
          <w:tcPr>
            <w:tcW w:w="296" w:type="pct"/>
            <w:tcBorders>
              <w:top w:val="single" w:sz="4" w:space="0" w:color="auto"/>
              <w:left w:val="nil"/>
              <w:bottom w:val="nil"/>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6.00</w:t>
            </w:r>
          </w:p>
        </w:tc>
        <w:tc>
          <w:tcPr>
            <w:tcW w:w="394" w:type="pct"/>
            <w:tcBorders>
              <w:top w:val="single" w:sz="4" w:space="0" w:color="auto"/>
              <w:left w:val="nil"/>
              <w:bottom w:val="nil"/>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1'911.08</w:t>
            </w:r>
          </w:p>
        </w:tc>
        <w:tc>
          <w:tcPr>
            <w:tcW w:w="299" w:type="pct"/>
            <w:tcBorders>
              <w:top w:val="single" w:sz="4" w:space="0" w:color="auto"/>
              <w:left w:val="nil"/>
              <w:bottom w:val="nil"/>
              <w:right w:val="nil"/>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0.40</w:t>
            </w:r>
          </w:p>
        </w:tc>
      </w:tr>
      <w:tr w:rsidR="003F7BF1" w:rsidTr="003F7BF1">
        <w:trPr>
          <w:trHeight w:val="257"/>
        </w:trPr>
        <w:tc>
          <w:tcPr>
            <w:tcW w:w="1117" w:type="pct"/>
            <w:noWrap/>
            <w:vAlign w:val="bottom"/>
          </w:tcPr>
          <w:p w:rsidR="003F7BF1" w:rsidRDefault="003F7BF1" w:rsidP="003F7BF1">
            <w:pPr>
              <w:rPr>
                <w:rFonts w:cs="Arial"/>
                <w:sz w:val="15"/>
                <w:szCs w:val="15"/>
              </w:rPr>
            </w:pPr>
          </w:p>
        </w:tc>
        <w:tc>
          <w:tcPr>
            <w:tcW w:w="406" w:type="pct"/>
            <w:noWrap/>
            <w:vAlign w:val="bottom"/>
          </w:tcPr>
          <w:p w:rsidR="003F7BF1" w:rsidRDefault="003F7BF1" w:rsidP="003F7BF1">
            <w:pPr>
              <w:jc w:val="center"/>
              <w:rPr>
                <w:rFonts w:cs="Arial"/>
                <w:sz w:val="14"/>
                <w:szCs w:val="14"/>
              </w:rPr>
            </w:pPr>
          </w:p>
        </w:tc>
        <w:tc>
          <w:tcPr>
            <w:tcW w:w="356" w:type="pct"/>
            <w:noWrap/>
            <w:vAlign w:val="bottom"/>
          </w:tcPr>
          <w:p w:rsidR="003F7BF1" w:rsidRDefault="003F7BF1" w:rsidP="003F7BF1">
            <w:pPr>
              <w:jc w:val="center"/>
              <w:rPr>
                <w:rFonts w:cs="Arial"/>
                <w:sz w:val="14"/>
                <w:szCs w:val="14"/>
              </w:rPr>
            </w:pPr>
          </w:p>
        </w:tc>
        <w:tc>
          <w:tcPr>
            <w:tcW w:w="356" w:type="pct"/>
            <w:noWrap/>
            <w:vAlign w:val="bottom"/>
          </w:tcPr>
          <w:p w:rsidR="003F7BF1" w:rsidRDefault="003F7BF1" w:rsidP="003F7BF1">
            <w:pPr>
              <w:ind w:left="-16"/>
              <w:jc w:val="center"/>
              <w:rPr>
                <w:rFonts w:cs="Arial"/>
                <w:sz w:val="14"/>
                <w:szCs w:val="14"/>
              </w:rPr>
            </w:pPr>
          </w:p>
        </w:tc>
        <w:tc>
          <w:tcPr>
            <w:tcW w:w="352" w:type="pct"/>
            <w:noWrap/>
            <w:vAlign w:val="bottom"/>
          </w:tcPr>
          <w:p w:rsidR="003F7BF1" w:rsidRDefault="003F7BF1" w:rsidP="003F7BF1">
            <w:pPr>
              <w:ind w:left="-62"/>
              <w:jc w:val="center"/>
              <w:rPr>
                <w:rFonts w:cs="Arial"/>
                <w:sz w:val="14"/>
                <w:szCs w:val="14"/>
              </w:rPr>
            </w:pPr>
          </w:p>
        </w:tc>
        <w:tc>
          <w:tcPr>
            <w:tcW w:w="356" w:type="pct"/>
            <w:noWrap/>
            <w:vAlign w:val="bottom"/>
          </w:tcPr>
          <w:p w:rsidR="003F7BF1" w:rsidRDefault="003F7BF1" w:rsidP="003F7BF1">
            <w:pPr>
              <w:ind w:left="-62"/>
              <w:jc w:val="center"/>
              <w:rPr>
                <w:rFonts w:cs="Arial"/>
                <w:sz w:val="14"/>
                <w:szCs w:val="14"/>
              </w:rPr>
            </w:pPr>
          </w:p>
        </w:tc>
        <w:tc>
          <w:tcPr>
            <w:tcW w:w="356" w:type="pct"/>
            <w:noWrap/>
            <w:vAlign w:val="bottom"/>
          </w:tcPr>
          <w:p w:rsidR="003F7BF1" w:rsidRDefault="003F7BF1" w:rsidP="003F7BF1">
            <w:pPr>
              <w:ind w:left="-96"/>
              <w:jc w:val="center"/>
              <w:rPr>
                <w:rFonts w:cs="Arial"/>
                <w:sz w:val="14"/>
                <w:szCs w:val="14"/>
              </w:rPr>
            </w:pPr>
          </w:p>
        </w:tc>
        <w:tc>
          <w:tcPr>
            <w:tcW w:w="356" w:type="pct"/>
            <w:noWrap/>
            <w:vAlign w:val="bottom"/>
          </w:tcPr>
          <w:p w:rsidR="003F7BF1" w:rsidRDefault="003F7BF1" w:rsidP="003F7BF1">
            <w:pPr>
              <w:ind w:left="-86"/>
              <w:jc w:val="center"/>
              <w:rPr>
                <w:rFonts w:cs="Arial"/>
                <w:sz w:val="14"/>
                <w:szCs w:val="14"/>
              </w:rPr>
            </w:pPr>
          </w:p>
        </w:tc>
        <w:tc>
          <w:tcPr>
            <w:tcW w:w="356" w:type="pct"/>
            <w:noWrap/>
            <w:vAlign w:val="bottom"/>
          </w:tcPr>
          <w:p w:rsidR="003F7BF1" w:rsidRDefault="003F7BF1" w:rsidP="003F7BF1">
            <w:pPr>
              <w:ind w:left="-132"/>
              <w:jc w:val="center"/>
              <w:rPr>
                <w:rFonts w:cs="Arial"/>
                <w:sz w:val="14"/>
                <w:szCs w:val="14"/>
              </w:rPr>
            </w:pPr>
          </w:p>
        </w:tc>
        <w:tc>
          <w:tcPr>
            <w:tcW w:w="296" w:type="pct"/>
            <w:noWrap/>
            <w:vAlign w:val="bottom"/>
          </w:tcPr>
          <w:p w:rsidR="003F7BF1" w:rsidRDefault="003F7BF1" w:rsidP="003F7BF1">
            <w:pPr>
              <w:jc w:val="center"/>
              <w:rPr>
                <w:rFonts w:cs="Arial"/>
                <w:sz w:val="14"/>
                <w:szCs w:val="14"/>
              </w:rPr>
            </w:pPr>
          </w:p>
        </w:tc>
        <w:tc>
          <w:tcPr>
            <w:tcW w:w="394" w:type="pct"/>
            <w:noWrap/>
            <w:vAlign w:val="bottom"/>
          </w:tcPr>
          <w:p w:rsidR="003F7BF1" w:rsidRDefault="003F7BF1" w:rsidP="003F7BF1">
            <w:pPr>
              <w:ind w:left="-103"/>
              <w:jc w:val="center"/>
              <w:rPr>
                <w:rFonts w:cs="Arial"/>
                <w:sz w:val="14"/>
                <w:szCs w:val="14"/>
              </w:rPr>
            </w:pPr>
          </w:p>
        </w:tc>
        <w:tc>
          <w:tcPr>
            <w:tcW w:w="299" w:type="pct"/>
            <w:noWrap/>
            <w:vAlign w:val="bottom"/>
          </w:tcPr>
          <w:p w:rsidR="003F7BF1" w:rsidRDefault="003F7BF1" w:rsidP="003F7BF1">
            <w:pPr>
              <w:jc w:val="center"/>
              <w:rPr>
                <w:rFonts w:cs="Arial"/>
                <w:sz w:val="14"/>
                <w:szCs w:val="14"/>
              </w:rPr>
            </w:pPr>
          </w:p>
        </w:tc>
      </w:tr>
      <w:tr w:rsidR="003F7BF1" w:rsidTr="003F7BF1">
        <w:trPr>
          <w:trHeight w:val="257"/>
        </w:trPr>
        <w:tc>
          <w:tcPr>
            <w:tcW w:w="1117" w:type="pct"/>
            <w:noWrap/>
            <w:vAlign w:val="bottom"/>
            <w:hideMark/>
          </w:tcPr>
          <w:p w:rsidR="003F7BF1" w:rsidRDefault="003F7BF1" w:rsidP="003F7BF1">
            <w:pPr>
              <w:rPr>
                <w:rFonts w:cs="Arial"/>
                <w:b/>
                <w:bCs/>
                <w:sz w:val="15"/>
                <w:szCs w:val="15"/>
              </w:rPr>
            </w:pPr>
            <w:r>
              <w:rPr>
                <w:rFonts w:cs="Arial"/>
                <w:b/>
                <w:bCs/>
                <w:sz w:val="15"/>
                <w:szCs w:val="15"/>
              </w:rPr>
              <w:t>Assenze a carico o</w:t>
            </w:r>
          </w:p>
          <w:p w:rsidR="003F7BF1" w:rsidRDefault="003F7BF1" w:rsidP="003F7BF1">
            <w:pPr>
              <w:rPr>
                <w:sz w:val="15"/>
                <w:szCs w:val="15"/>
              </w:rPr>
            </w:pPr>
            <w:r>
              <w:rPr>
                <w:rFonts w:cs="Arial"/>
                <w:b/>
                <w:bCs/>
                <w:sz w:val="15"/>
                <w:szCs w:val="15"/>
              </w:rPr>
              <w:t>parzialmente a carico dello Stato</w:t>
            </w:r>
          </w:p>
        </w:tc>
        <w:tc>
          <w:tcPr>
            <w:tcW w:w="406" w:type="pct"/>
            <w:tcBorders>
              <w:bottom w:val="single" w:sz="4" w:space="0" w:color="auto"/>
            </w:tcBorders>
            <w:noWrap/>
            <w:vAlign w:val="bottom"/>
          </w:tcPr>
          <w:p w:rsidR="003F7BF1" w:rsidRDefault="003F7BF1" w:rsidP="003F7BF1">
            <w:pPr>
              <w:jc w:val="center"/>
              <w:rPr>
                <w:rFonts w:cs="Arial"/>
                <w:sz w:val="14"/>
                <w:szCs w:val="14"/>
              </w:rPr>
            </w:pPr>
          </w:p>
        </w:tc>
        <w:tc>
          <w:tcPr>
            <w:tcW w:w="356" w:type="pct"/>
            <w:tcBorders>
              <w:bottom w:val="single" w:sz="4" w:space="0" w:color="auto"/>
            </w:tcBorders>
            <w:noWrap/>
            <w:vAlign w:val="bottom"/>
          </w:tcPr>
          <w:p w:rsidR="003F7BF1" w:rsidRDefault="003F7BF1" w:rsidP="003F7BF1">
            <w:pPr>
              <w:jc w:val="center"/>
              <w:rPr>
                <w:rFonts w:cs="Arial"/>
                <w:sz w:val="14"/>
                <w:szCs w:val="14"/>
              </w:rPr>
            </w:pPr>
          </w:p>
        </w:tc>
        <w:tc>
          <w:tcPr>
            <w:tcW w:w="356" w:type="pct"/>
            <w:tcBorders>
              <w:bottom w:val="single" w:sz="4" w:space="0" w:color="auto"/>
            </w:tcBorders>
            <w:noWrap/>
            <w:vAlign w:val="bottom"/>
          </w:tcPr>
          <w:p w:rsidR="003F7BF1" w:rsidRDefault="003F7BF1" w:rsidP="003F7BF1">
            <w:pPr>
              <w:ind w:left="-16"/>
              <w:jc w:val="center"/>
              <w:rPr>
                <w:rFonts w:cs="Arial"/>
                <w:sz w:val="14"/>
                <w:szCs w:val="14"/>
              </w:rPr>
            </w:pPr>
          </w:p>
        </w:tc>
        <w:tc>
          <w:tcPr>
            <w:tcW w:w="352" w:type="pct"/>
            <w:tcBorders>
              <w:bottom w:val="single" w:sz="4" w:space="0" w:color="auto"/>
            </w:tcBorders>
            <w:noWrap/>
            <w:vAlign w:val="bottom"/>
          </w:tcPr>
          <w:p w:rsidR="003F7BF1" w:rsidRDefault="003F7BF1" w:rsidP="003F7BF1">
            <w:pPr>
              <w:ind w:left="-62"/>
              <w:jc w:val="center"/>
              <w:rPr>
                <w:rFonts w:cs="Arial"/>
                <w:sz w:val="14"/>
                <w:szCs w:val="14"/>
              </w:rPr>
            </w:pPr>
          </w:p>
        </w:tc>
        <w:tc>
          <w:tcPr>
            <w:tcW w:w="356" w:type="pct"/>
            <w:tcBorders>
              <w:bottom w:val="single" w:sz="4" w:space="0" w:color="auto"/>
            </w:tcBorders>
            <w:noWrap/>
            <w:vAlign w:val="bottom"/>
          </w:tcPr>
          <w:p w:rsidR="003F7BF1" w:rsidRDefault="003F7BF1" w:rsidP="003F7BF1">
            <w:pPr>
              <w:ind w:left="-62"/>
              <w:jc w:val="center"/>
              <w:rPr>
                <w:rFonts w:cs="Arial"/>
                <w:sz w:val="14"/>
                <w:szCs w:val="14"/>
              </w:rPr>
            </w:pPr>
          </w:p>
        </w:tc>
        <w:tc>
          <w:tcPr>
            <w:tcW w:w="356" w:type="pct"/>
            <w:tcBorders>
              <w:bottom w:val="single" w:sz="4" w:space="0" w:color="auto"/>
            </w:tcBorders>
            <w:noWrap/>
            <w:vAlign w:val="bottom"/>
          </w:tcPr>
          <w:p w:rsidR="003F7BF1" w:rsidRDefault="003F7BF1" w:rsidP="003F7BF1">
            <w:pPr>
              <w:ind w:left="-96"/>
              <w:jc w:val="center"/>
              <w:rPr>
                <w:rFonts w:cs="Arial"/>
                <w:sz w:val="14"/>
                <w:szCs w:val="14"/>
              </w:rPr>
            </w:pPr>
          </w:p>
        </w:tc>
        <w:tc>
          <w:tcPr>
            <w:tcW w:w="356" w:type="pct"/>
            <w:tcBorders>
              <w:bottom w:val="single" w:sz="4" w:space="0" w:color="auto"/>
            </w:tcBorders>
            <w:noWrap/>
            <w:vAlign w:val="bottom"/>
          </w:tcPr>
          <w:p w:rsidR="003F7BF1" w:rsidRDefault="003F7BF1" w:rsidP="003F7BF1">
            <w:pPr>
              <w:ind w:left="-86"/>
              <w:jc w:val="center"/>
              <w:rPr>
                <w:rFonts w:cs="Arial"/>
                <w:sz w:val="14"/>
                <w:szCs w:val="14"/>
              </w:rPr>
            </w:pPr>
          </w:p>
        </w:tc>
        <w:tc>
          <w:tcPr>
            <w:tcW w:w="356" w:type="pct"/>
            <w:tcBorders>
              <w:bottom w:val="single" w:sz="4" w:space="0" w:color="auto"/>
            </w:tcBorders>
            <w:noWrap/>
            <w:vAlign w:val="bottom"/>
          </w:tcPr>
          <w:p w:rsidR="003F7BF1" w:rsidRDefault="003F7BF1" w:rsidP="003F7BF1">
            <w:pPr>
              <w:ind w:left="-132"/>
              <w:jc w:val="center"/>
              <w:rPr>
                <w:rFonts w:cs="Arial"/>
                <w:sz w:val="14"/>
                <w:szCs w:val="14"/>
              </w:rPr>
            </w:pPr>
          </w:p>
        </w:tc>
        <w:tc>
          <w:tcPr>
            <w:tcW w:w="296" w:type="pct"/>
            <w:tcBorders>
              <w:bottom w:val="single" w:sz="4" w:space="0" w:color="auto"/>
            </w:tcBorders>
            <w:noWrap/>
            <w:vAlign w:val="bottom"/>
          </w:tcPr>
          <w:p w:rsidR="003F7BF1" w:rsidRDefault="003F7BF1" w:rsidP="003F7BF1">
            <w:pPr>
              <w:jc w:val="center"/>
              <w:rPr>
                <w:rFonts w:cs="Arial"/>
                <w:sz w:val="14"/>
                <w:szCs w:val="14"/>
              </w:rPr>
            </w:pPr>
          </w:p>
        </w:tc>
        <w:tc>
          <w:tcPr>
            <w:tcW w:w="394" w:type="pct"/>
            <w:tcBorders>
              <w:bottom w:val="single" w:sz="4" w:space="0" w:color="auto"/>
            </w:tcBorders>
            <w:noWrap/>
            <w:vAlign w:val="bottom"/>
          </w:tcPr>
          <w:p w:rsidR="003F7BF1" w:rsidRDefault="003F7BF1" w:rsidP="003F7BF1">
            <w:pPr>
              <w:ind w:left="-103"/>
              <w:jc w:val="center"/>
              <w:rPr>
                <w:rFonts w:cs="Arial"/>
                <w:sz w:val="14"/>
                <w:szCs w:val="14"/>
              </w:rPr>
            </w:pPr>
          </w:p>
        </w:tc>
        <w:tc>
          <w:tcPr>
            <w:tcW w:w="299" w:type="pct"/>
            <w:tcBorders>
              <w:bottom w:val="single" w:sz="4" w:space="0" w:color="auto"/>
            </w:tcBorders>
            <w:noWrap/>
            <w:vAlign w:val="bottom"/>
          </w:tcPr>
          <w:p w:rsidR="003F7BF1" w:rsidRDefault="003F7BF1" w:rsidP="003F7BF1">
            <w:pPr>
              <w:jc w:val="center"/>
              <w:rPr>
                <w:rFonts w:cs="Arial"/>
                <w:sz w:val="14"/>
                <w:szCs w:val="14"/>
              </w:rPr>
            </w:pPr>
          </w:p>
        </w:tc>
      </w:tr>
      <w:tr w:rsidR="003F7BF1" w:rsidTr="003F7BF1">
        <w:trPr>
          <w:trHeight w:val="257"/>
        </w:trPr>
        <w:tc>
          <w:tcPr>
            <w:tcW w:w="1117" w:type="pct"/>
            <w:tcBorders>
              <w:top w:val="single" w:sz="4" w:space="0" w:color="auto"/>
              <w:left w:val="nil"/>
              <w:bottom w:val="single" w:sz="4" w:space="0" w:color="auto"/>
            </w:tcBorders>
            <w:noWrap/>
            <w:vAlign w:val="bottom"/>
            <w:hideMark/>
          </w:tcPr>
          <w:p w:rsidR="003F7BF1" w:rsidRDefault="003F7BF1" w:rsidP="003F7BF1">
            <w:pPr>
              <w:rPr>
                <w:rFonts w:cs="Arial"/>
                <w:sz w:val="15"/>
                <w:szCs w:val="15"/>
              </w:rPr>
            </w:pPr>
            <w:r>
              <w:rPr>
                <w:rFonts w:cs="Arial"/>
                <w:sz w:val="15"/>
                <w:szCs w:val="15"/>
              </w:rPr>
              <w:t>Congedo pagato</w:t>
            </w:r>
          </w:p>
        </w:tc>
        <w:tc>
          <w:tcPr>
            <w:tcW w:w="40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lang w:eastAsia="it-CH"/>
              </w:rPr>
            </w:pPr>
            <w:r>
              <w:rPr>
                <w:rFonts w:cs="Arial"/>
                <w:color w:val="000000"/>
                <w:sz w:val="14"/>
                <w:szCs w:val="14"/>
              </w:rPr>
              <w:t>2.09</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36.13</w:t>
            </w:r>
          </w:p>
        </w:tc>
        <w:tc>
          <w:tcPr>
            <w:tcW w:w="35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802.34</w:t>
            </w:r>
          </w:p>
        </w:tc>
        <w:tc>
          <w:tcPr>
            <w:tcW w:w="352"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8.61</w:t>
            </w:r>
          </w:p>
        </w:tc>
        <w:tc>
          <w:tcPr>
            <w:tcW w:w="35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6.48</w:t>
            </w:r>
          </w:p>
        </w:tc>
        <w:tc>
          <w:tcPr>
            <w:tcW w:w="35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13.52</w:t>
            </w:r>
          </w:p>
        </w:tc>
        <w:tc>
          <w:tcPr>
            <w:tcW w:w="35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58.29</w:t>
            </w:r>
          </w:p>
        </w:tc>
        <w:tc>
          <w:tcPr>
            <w:tcW w:w="35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36.99</w:t>
            </w:r>
          </w:p>
        </w:tc>
        <w:tc>
          <w:tcPr>
            <w:tcW w:w="29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0.10</w:t>
            </w:r>
          </w:p>
        </w:tc>
        <w:tc>
          <w:tcPr>
            <w:tcW w:w="394"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964.54</w:t>
            </w:r>
          </w:p>
        </w:tc>
        <w:tc>
          <w:tcPr>
            <w:tcW w:w="299"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0.20</w:t>
            </w:r>
          </w:p>
        </w:tc>
      </w:tr>
      <w:tr w:rsidR="003F7BF1" w:rsidTr="003F7BF1">
        <w:trPr>
          <w:trHeight w:val="257"/>
        </w:trPr>
        <w:tc>
          <w:tcPr>
            <w:tcW w:w="1117" w:type="pct"/>
            <w:tcBorders>
              <w:top w:val="single" w:sz="4" w:space="0" w:color="auto"/>
              <w:left w:val="nil"/>
              <w:bottom w:val="single" w:sz="4" w:space="0" w:color="auto"/>
            </w:tcBorders>
            <w:noWrap/>
            <w:vAlign w:val="bottom"/>
            <w:hideMark/>
          </w:tcPr>
          <w:p w:rsidR="003F7BF1" w:rsidRDefault="003F7BF1" w:rsidP="003F7BF1">
            <w:pPr>
              <w:rPr>
                <w:rFonts w:cs="Arial"/>
                <w:sz w:val="15"/>
                <w:szCs w:val="15"/>
              </w:rPr>
            </w:pPr>
            <w:r>
              <w:rPr>
                <w:rFonts w:cs="Arial"/>
                <w:sz w:val="15"/>
                <w:szCs w:val="15"/>
              </w:rPr>
              <w:t>Congedo anzianità</w:t>
            </w:r>
          </w:p>
        </w:tc>
        <w:tc>
          <w:tcPr>
            <w:tcW w:w="40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149.00</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942.70</w:t>
            </w:r>
          </w:p>
        </w:tc>
        <w:tc>
          <w:tcPr>
            <w:tcW w:w="35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981.44</w:t>
            </w:r>
          </w:p>
        </w:tc>
        <w:tc>
          <w:tcPr>
            <w:tcW w:w="352"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338.88</w:t>
            </w:r>
          </w:p>
        </w:tc>
        <w:tc>
          <w:tcPr>
            <w:tcW w:w="35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360.10</w:t>
            </w:r>
          </w:p>
        </w:tc>
        <w:tc>
          <w:tcPr>
            <w:tcW w:w="35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667.96</w:t>
            </w:r>
          </w:p>
        </w:tc>
        <w:tc>
          <w:tcPr>
            <w:tcW w:w="35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774.92</w:t>
            </w:r>
          </w:p>
        </w:tc>
        <w:tc>
          <w:tcPr>
            <w:tcW w:w="35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1'195.74</w:t>
            </w:r>
          </w:p>
        </w:tc>
        <w:tc>
          <w:tcPr>
            <w:tcW w:w="29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52.00</w:t>
            </w:r>
          </w:p>
        </w:tc>
        <w:tc>
          <w:tcPr>
            <w:tcW w:w="394"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5'462.73</w:t>
            </w:r>
          </w:p>
        </w:tc>
        <w:tc>
          <w:tcPr>
            <w:tcW w:w="299"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1.15</w:t>
            </w:r>
          </w:p>
        </w:tc>
      </w:tr>
      <w:tr w:rsidR="003F7BF1" w:rsidTr="003F7BF1">
        <w:trPr>
          <w:trHeight w:val="257"/>
        </w:trPr>
        <w:tc>
          <w:tcPr>
            <w:tcW w:w="1117" w:type="pct"/>
            <w:tcBorders>
              <w:top w:val="single" w:sz="4" w:space="0" w:color="auto"/>
              <w:left w:val="nil"/>
              <w:bottom w:val="single" w:sz="4" w:space="0" w:color="auto"/>
            </w:tcBorders>
            <w:noWrap/>
            <w:vAlign w:val="bottom"/>
            <w:hideMark/>
          </w:tcPr>
          <w:p w:rsidR="003F7BF1" w:rsidRDefault="003F7BF1" w:rsidP="003F7BF1">
            <w:pPr>
              <w:rPr>
                <w:rFonts w:cs="Arial"/>
                <w:sz w:val="15"/>
                <w:szCs w:val="15"/>
              </w:rPr>
            </w:pPr>
            <w:r>
              <w:rPr>
                <w:rFonts w:cs="Arial"/>
                <w:sz w:val="15"/>
                <w:szCs w:val="15"/>
              </w:rPr>
              <w:t>Matrimonio</w:t>
            </w:r>
          </w:p>
        </w:tc>
        <w:tc>
          <w:tcPr>
            <w:tcW w:w="40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12.00</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60.64</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103.00</w:t>
            </w:r>
          </w:p>
        </w:tc>
        <w:tc>
          <w:tcPr>
            <w:tcW w:w="352"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15.00</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44.54</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55.00</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52.43</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62.38</w:t>
            </w:r>
          </w:p>
        </w:tc>
        <w:tc>
          <w:tcPr>
            <w:tcW w:w="29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94"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404.99</w:t>
            </w:r>
          </w:p>
        </w:tc>
        <w:tc>
          <w:tcPr>
            <w:tcW w:w="299"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0.08</w:t>
            </w:r>
          </w:p>
        </w:tc>
      </w:tr>
      <w:tr w:rsidR="003F7BF1" w:rsidTr="003F7BF1">
        <w:trPr>
          <w:trHeight w:val="257"/>
        </w:trPr>
        <w:tc>
          <w:tcPr>
            <w:tcW w:w="1117" w:type="pct"/>
            <w:tcBorders>
              <w:top w:val="single" w:sz="4" w:space="0" w:color="auto"/>
              <w:left w:val="nil"/>
              <w:bottom w:val="single" w:sz="4" w:space="0" w:color="auto"/>
            </w:tcBorders>
            <w:noWrap/>
            <w:vAlign w:val="bottom"/>
            <w:hideMark/>
          </w:tcPr>
          <w:p w:rsidR="003F7BF1" w:rsidRDefault="003F7BF1" w:rsidP="003F7BF1">
            <w:pPr>
              <w:rPr>
                <w:rFonts w:cs="Arial"/>
                <w:sz w:val="15"/>
                <w:szCs w:val="15"/>
              </w:rPr>
            </w:pPr>
            <w:r>
              <w:rPr>
                <w:rFonts w:cs="Arial"/>
                <w:sz w:val="15"/>
                <w:szCs w:val="15"/>
              </w:rPr>
              <w:t>Nascita</w:t>
            </w:r>
          </w:p>
        </w:tc>
        <w:tc>
          <w:tcPr>
            <w:tcW w:w="40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19.98</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119.29</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319.64</w:t>
            </w:r>
          </w:p>
        </w:tc>
        <w:tc>
          <w:tcPr>
            <w:tcW w:w="352"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10.00</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62.50</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27.88</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159.64</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186.52</w:t>
            </w:r>
          </w:p>
        </w:tc>
        <w:tc>
          <w:tcPr>
            <w:tcW w:w="29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10.00</w:t>
            </w:r>
          </w:p>
        </w:tc>
        <w:tc>
          <w:tcPr>
            <w:tcW w:w="394"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915.45</w:t>
            </w:r>
          </w:p>
        </w:tc>
        <w:tc>
          <w:tcPr>
            <w:tcW w:w="299"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0.19</w:t>
            </w:r>
          </w:p>
        </w:tc>
      </w:tr>
      <w:tr w:rsidR="003F7BF1" w:rsidTr="003F7BF1">
        <w:trPr>
          <w:trHeight w:val="257"/>
        </w:trPr>
        <w:tc>
          <w:tcPr>
            <w:tcW w:w="1117" w:type="pct"/>
            <w:tcBorders>
              <w:top w:val="single" w:sz="4" w:space="0" w:color="auto"/>
              <w:left w:val="nil"/>
              <w:bottom w:val="single" w:sz="4" w:space="0" w:color="auto"/>
            </w:tcBorders>
            <w:noWrap/>
            <w:vAlign w:val="bottom"/>
            <w:hideMark/>
          </w:tcPr>
          <w:p w:rsidR="003F7BF1" w:rsidRDefault="003F7BF1" w:rsidP="003F7BF1">
            <w:pPr>
              <w:rPr>
                <w:rFonts w:cs="Arial"/>
                <w:sz w:val="15"/>
                <w:szCs w:val="15"/>
              </w:rPr>
            </w:pPr>
            <w:r>
              <w:rPr>
                <w:rFonts w:cs="Arial"/>
                <w:sz w:val="15"/>
                <w:szCs w:val="15"/>
              </w:rPr>
              <w:t>Lutto</w:t>
            </w:r>
          </w:p>
        </w:tc>
        <w:tc>
          <w:tcPr>
            <w:tcW w:w="40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14.30</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141.69</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169.21</w:t>
            </w:r>
          </w:p>
        </w:tc>
        <w:tc>
          <w:tcPr>
            <w:tcW w:w="352"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56.36</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77.55</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68.43</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123.79</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180.44</w:t>
            </w:r>
          </w:p>
        </w:tc>
        <w:tc>
          <w:tcPr>
            <w:tcW w:w="29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1.94</w:t>
            </w:r>
          </w:p>
        </w:tc>
        <w:tc>
          <w:tcPr>
            <w:tcW w:w="394"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833.71</w:t>
            </w:r>
          </w:p>
        </w:tc>
        <w:tc>
          <w:tcPr>
            <w:tcW w:w="299"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0.17</w:t>
            </w:r>
          </w:p>
        </w:tc>
      </w:tr>
      <w:tr w:rsidR="003F7BF1" w:rsidTr="003F7BF1">
        <w:trPr>
          <w:trHeight w:val="257"/>
        </w:trPr>
        <w:tc>
          <w:tcPr>
            <w:tcW w:w="1117" w:type="pct"/>
            <w:tcBorders>
              <w:top w:val="single" w:sz="4" w:space="0" w:color="auto"/>
              <w:left w:val="nil"/>
              <w:bottom w:val="single" w:sz="4" w:space="0" w:color="auto"/>
            </w:tcBorders>
            <w:noWrap/>
            <w:vAlign w:val="bottom"/>
            <w:hideMark/>
          </w:tcPr>
          <w:p w:rsidR="003F7BF1" w:rsidRDefault="003F7BF1" w:rsidP="003F7BF1">
            <w:pPr>
              <w:rPr>
                <w:rFonts w:cs="Arial"/>
                <w:sz w:val="15"/>
                <w:szCs w:val="15"/>
              </w:rPr>
            </w:pPr>
            <w:r>
              <w:rPr>
                <w:rFonts w:cs="Arial"/>
                <w:sz w:val="15"/>
                <w:szCs w:val="15"/>
              </w:rPr>
              <w:t>Trasloco</w:t>
            </w:r>
          </w:p>
        </w:tc>
        <w:tc>
          <w:tcPr>
            <w:tcW w:w="40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8.27</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73.59</w:t>
            </w:r>
          </w:p>
        </w:tc>
        <w:tc>
          <w:tcPr>
            <w:tcW w:w="35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56.88</w:t>
            </w:r>
          </w:p>
        </w:tc>
        <w:tc>
          <w:tcPr>
            <w:tcW w:w="352"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22.81</w:t>
            </w:r>
          </w:p>
        </w:tc>
        <w:tc>
          <w:tcPr>
            <w:tcW w:w="35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40.95</w:t>
            </w:r>
          </w:p>
        </w:tc>
        <w:tc>
          <w:tcPr>
            <w:tcW w:w="35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41.08</w:t>
            </w:r>
          </w:p>
        </w:tc>
        <w:tc>
          <w:tcPr>
            <w:tcW w:w="35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55.14</w:t>
            </w:r>
          </w:p>
        </w:tc>
        <w:tc>
          <w:tcPr>
            <w:tcW w:w="35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74.83</w:t>
            </w:r>
          </w:p>
        </w:tc>
        <w:tc>
          <w:tcPr>
            <w:tcW w:w="29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2.00</w:t>
            </w:r>
          </w:p>
        </w:tc>
        <w:tc>
          <w:tcPr>
            <w:tcW w:w="394"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375.54</w:t>
            </w:r>
          </w:p>
        </w:tc>
        <w:tc>
          <w:tcPr>
            <w:tcW w:w="299"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0.08</w:t>
            </w:r>
          </w:p>
        </w:tc>
      </w:tr>
      <w:tr w:rsidR="003F7BF1" w:rsidTr="003F7BF1">
        <w:trPr>
          <w:trHeight w:val="257"/>
        </w:trPr>
        <w:tc>
          <w:tcPr>
            <w:tcW w:w="1117" w:type="pct"/>
            <w:tcBorders>
              <w:top w:val="single" w:sz="4" w:space="0" w:color="auto"/>
              <w:left w:val="nil"/>
              <w:bottom w:val="single" w:sz="4" w:space="0" w:color="auto"/>
            </w:tcBorders>
            <w:noWrap/>
            <w:vAlign w:val="bottom"/>
            <w:hideMark/>
          </w:tcPr>
          <w:p w:rsidR="003F7BF1" w:rsidRDefault="003F7BF1" w:rsidP="003F7BF1">
            <w:pPr>
              <w:rPr>
                <w:rFonts w:cs="Arial"/>
                <w:sz w:val="15"/>
                <w:szCs w:val="15"/>
              </w:rPr>
            </w:pPr>
            <w:r>
              <w:rPr>
                <w:rFonts w:cs="Arial"/>
                <w:sz w:val="15"/>
                <w:szCs w:val="15"/>
              </w:rPr>
              <w:t>Gravidanza</w:t>
            </w:r>
          </w:p>
        </w:tc>
        <w:tc>
          <w:tcPr>
            <w:tcW w:w="40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10.00</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993.04</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379.05</w:t>
            </w:r>
          </w:p>
        </w:tc>
        <w:tc>
          <w:tcPr>
            <w:tcW w:w="352"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454.05</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1'067.37</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661.24</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405.27</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281.31</w:t>
            </w:r>
          </w:p>
        </w:tc>
        <w:tc>
          <w:tcPr>
            <w:tcW w:w="29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94"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4'271.32</w:t>
            </w:r>
          </w:p>
        </w:tc>
        <w:tc>
          <w:tcPr>
            <w:tcW w:w="299"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0.90</w:t>
            </w:r>
          </w:p>
        </w:tc>
      </w:tr>
      <w:tr w:rsidR="003F7BF1" w:rsidTr="003F7BF1">
        <w:trPr>
          <w:trHeight w:val="257"/>
        </w:trPr>
        <w:tc>
          <w:tcPr>
            <w:tcW w:w="1117" w:type="pct"/>
            <w:tcBorders>
              <w:top w:val="single" w:sz="4" w:space="0" w:color="auto"/>
              <w:left w:val="nil"/>
              <w:bottom w:val="single" w:sz="4" w:space="0" w:color="auto"/>
            </w:tcBorders>
            <w:noWrap/>
            <w:vAlign w:val="bottom"/>
            <w:hideMark/>
          </w:tcPr>
          <w:p w:rsidR="003F7BF1" w:rsidRDefault="003F7BF1" w:rsidP="003F7BF1">
            <w:pPr>
              <w:rPr>
                <w:rFonts w:cs="Arial"/>
                <w:sz w:val="15"/>
                <w:szCs w:val="15"/>
              </w:rPr>
            </w:pPr>
            <w:r>
              <w:rPr>
                <w:rFonts w:cs="Arial"/>
                <w:sz w:val="15"/>
                <w:szCs w:val="15"/>
              </w:rPr>
              <w:t>Carica pubblica</w:t>
            </w:r>
          </w:p>
        </w:tc>
        <w:tc>
          <w:tcPr>
            <w:tcW w:w="40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40.85</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104.09</w:t>
            </w:r>
          </w:p>
        </w:tc>
        <w:tc>
          <w:tcPr>
            <w:tcW w:w="35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71.75</w:t>
            </w:r>
          </w:p>
        </w:tc>
        <w:tc>
          <w:tcPr>
            <w:tcW w:w="352"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27.86</w:t>
            </w:r>
          </w:p>
        </w:tc>
        <w:tc>
          <w:tcPr>
            <w:tcW w:w="35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15.33</w:t>
            </w:r>
          </w:p>
        </w:tc>
        <w:tc>
          <w:tcPr>
            <w:tcW w:w="35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25.73</w:t>
            </w:r>
          </w:p>
        </w:tc>
        <w:tc>
          <w:tcPr>
            <w:tcW w:w="35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207.28</w:t>
            </w:r>
          </w:p>
        </w:tc>
        <w:tc>
          <w:tcPr>
            <w:tcW w:w="35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215.31</w:t>
            </w:r>
          </w:p>
        </w:tc>
        <w:tc>
          <w:tcPr>
            <w:tcW w:w="29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94"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708.21</w:t>
            </w:r>
          </w:p>
        </w:tc>
        <w:tc>
          <w:tcPr>
            <w:tcW w:w="299"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0.15</w:t>
            </w:r>
          </w:p>
        </w:tc>
      </w:tr>
      <w:tr w:rsidR="003F7BF1" w:rsidTr="003F7BF1">
        <w:trPr>
          <w:trHeight w:val="257"/>
        </w:trPr>
        <w:tc>
          <w:tcPr>
            <w:tcW w:w="1117" w:type="pct"/>
            <w:tcBorders>
              <w:top w:val="single" w:sz="4" w:space="0" w:color="auto"/>
              <w:left w:val="nil"/>
              <w:bottom w:val="single" w:sz="4" w:space="0" w:color="auto"/>
            </w:tcBorders>
            <w:noWrap/>
            <w:vAlign w:val="bottom"/>
            <w:hideMark/>
          </w:tcPr>
          <w:p w:rsidR="003F7BF1" w:rsidRDefault="003F7BF1" w:rsidP="003F7BF1">
            <w:pPr>
              <w:rPr>
                <w:rFonts w:cs="Arial"/>
                <w:sz w:val="15"/>
                <w:szCs w:val="15"/>
              </w:rPr>
            </w:pPr>
            <w:r>
              <w:rPr>
                <w:rFonts w:cs="Arial"/>
                <w:sz w:val="15"/>
                <w:szCs w:val="15"/>
              </w:rPr>
              <w:t>Gioventù e sport</w:t>
            </w:r>
          </w:p>
        </w:tc>
        <w:tc>
          <w:tcPr>
            <w:tcW w:w="40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34.26</w:t>
            </w:r>
          </w:p>
        </w:tc>
        <w:tc>
          <w:tcPr>
            <w:tcW w:w="35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72.50</w:t>
            </w:r>
          </w:p>
        </w:tc>
        <w:tc>
          <w:tcPr>
            <w:tcW w:w="352"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6.88</w:t>
            </w:r>
          </w:p>
        </w:tc>
        <w:tc>
          <w:tcPr>
            <w:tcW w:w="35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7.00</w:t>
            </w:r>
          </w:p>
        </w:tc>
        <w:tc>
          <w:tcPr>
            <w:tcW w:w="35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11.50</w:t>
            </w:r>
          </w:p>
        </w:tc>
        <w:tc>
          <w:tcPr>
            <w:tcW w:w="35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95.38</w:t>
            </w:r>
          </w:p>
        </w:tc>
        <w:tc>
          <w:tcPr>
            <w:tcW w:w="35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65.48</w:t>
            </w:r>
          </w:p>
        </w:tc>
        <w:tc>
          <w:tcPr>
            <w:tcW w:w="29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5.00</w:t>
            </w:r>
          </w:p>
        </w:tc>
        <w:tc>
          <w:tcPr>
            <w:tcW w:w="394"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298.01</w:t>
            </w:r>
          </w:p>
        </w:tc>
        <w:tc>
          <w:tcPr>
            <w:tcW w:w="299"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0.06</w:t>
            </w:r>
          </w:p>
        </w:tc>
      </w:tr>
      <w:tr w:rsidR="003F7BF1" w:rsidTr="003F7BF1">
        <w:trPr>
          <w:trHeight w:val="257"/>
        </w:trPr>
        <w:tc>
          <w:tcPr>
            <w:tcW w:w="1117" w:type="pct"/>
            <w:tcBorders>
              <w:top w:val="single" w:sz="4" w:space="0" w:color="auto"/>
              <w:left w:val="nil"/>
              <w:bottom w:val="single" w:sz="4" w:space="0" w:color="auto"/>
            </w:tcBorders>
            <w:noWrap/>
            <w:vAlign w:val="bottom"/>
            <w:hideMark/>
          </w:tcPr>
          <w:p w:rsidR="003F7BF1" w:rsidRDefault="003F7BF1" w:rsidP="003F7BF1">
            <w:pPr>
              <w:rPr>
                <w:rFonts w:cs="Arial"/>
                <w:sz w:val="15"/>
                <w:szCs w:val="15"/>
              </w:rPr>
            </w:pPr>
            <w:r>
              <w:rPr>
                <w:rFonts w:cs="Arial"/>
                <w:sz w:val="15"/>
                <w:szCs w:val="15"/>
              </w:rPr>
              <w:t>Corso perf. pagato</w:t>
            </w:r>
          </w:p>
        </w:tc>
        <w:tc>
          <w:tcPr>
            <w:tcW w:w="40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46.60</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670.58</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6'313.44</w:t>
            </w:r>
          </w:p>
        </w:tc>
        <w:tc>
          <w:tcPr>
            <w:tcW w:w="352"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435.92</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1'254.42</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367.09</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458.37</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1'597.55</w:t>
            </w:r>
          </w:p>
        </w:tc>
        <w:tc>
          <w:tcPr>
            <w:tcW w:w="29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112.59</w:t>
            </w:r>
          </w:p>
        </w:tc>
        <w:tc>
          <w:tcPr>
            <w:tcW w:w="394"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11'256.54</w:t>
            </w:r>
          </w:p>
        </w:tc>
        <w:tc>
          <w:tcPr>
            <w:tcW w:w="299"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2.36</w:t>
            </w:r>
          </w:p>
        </w:tc>
      </w:tr>
      <w:tr w:rsidR="003F7BF1" w:rsidTr="003F7BF1">
        <w:trPr>
          <w:trHeight w:val="257"/>
        </w:trPr>
        <w:tc>
          <w:tcPr>
            <w:tcW w:w="1117" w:type="pct"/>
            <w:tcBorders>
              <w:top w:val="single" w:sz="4" w:space="0" w:color="auto"/>
              <w:left w:val="nil"/>
              <w:bottom w:val="single" w:sz="4" w:space="0" w:color="auto"/>
            </w:tcBorders>
            <w:noWrap/>
            <w:vAlign w:val="bottom"/>
            <w:hideMark/>
          </w:tcPr>
          <w:p w:rsidR="003F7BF1" w:rsidRDefault="003F7BF1" w:rsidP="003F7BF1">
            <w:pPr>
              <w:rPr>
                <w:rFonts w:cs="Arial"/>
                <w:sz w:val="15"/>
                <w:szCs w:val="15"/>
              </w:rPr>
            </w:pPr>
            <w:r>
              <w:rPr>
                <w:rFonts w:cs="Arial"/>
                <w:sz w:val="15"/>
                <w:szCs w:val="15"/>
              </w:rPr>
              <w:t>Affari sindacali</w:t>
            </w:r>
          </w:p>
        </w:tc>
        <w:tc>
          <w:tcPr>
            <w:tcW w:w="40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0.25</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205.28</w:t>
            </w:r>
          </w:p>
        </w:tc>
        <w:tc>
          <w:tcPr>
            <w:tcW w:w="352"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5.66</w:t>
            </w:r>
          </w:p>
        </w:tc>
        <w:tc>
          <w:tcPr>
            <w:tcW w:w="29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94"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211.19</w:t>
            </w:r>
          </w:p>
        </w:tc>
        <w:tc>
          <w:tcPr>
            <w:tcW w:w="299" w:type="pct"/>
            <w:tcBorders>
              <w:top w:val="single" w:sz="4" w:space="0" w:color="auto"/>
              <w:bottom w:val="single" w:sz="4" w:space="0" w:color="auto"/>
              <w:right w:val="nil"/>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0.04</w:t>
            </w:r>
          </w:p>
        </w:tc>
      </w:tr>
      <w:tr w:rsidR="003F7BF1" w:rsidTr="003F7BF1">
        <w:trPr>
          <w:trHeight w:val="257"/>
        </w:trPr>
        <w:tc>
          <w:tcPr>
            <w:tcW w:w="1117" w:type="pct"/>
            <w:tcBorders>
              <w:top w:val="single" w:sz="4" w:space="0" w:color="auto"/>
              <w:left w:val="nil"/>
              <w:bottom w:val="single" w:sz="4" w:space="0" w:color="auto"/>
            </w:tcBorders>
            <w:noWrap/>
            <w:vAlign w:val="bottom"/>
            <w:hideMark/>
          </w:tcPr>
          <w:p w:rsidR="003F7BF1" w:rsidRDefault="003F7BF1" w:rsidP="003F7BF1">
            <w:pPr>
              <w:rPr>
                <w:rFonts w:cs="Arial"/>
                <w:sz w:val="15"/>
                <w:szCs w:val="15"/>
              </w:rPr>
            </w:pPr>
            <w:r>
              <w:rPr>
                <w:rFonts w:cs="Arial"/>
                <w:sz w:val="15"/>
                <w:szCs w:val="15"/>
              </w:rPr>
              <w:t>Congedo Gioventù</w:t>
            </w:r>
          </w:p>
        </w:tc>
        <w:tc>
          <w:tcPr>
            <w:tcW w:w="40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7.88</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4.00</w:t>
            </w:r>
          </w:p>
        </w:tc>
        <w:tc>
          <w:tcPr>
            <w:tcW w:w="352"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3.88</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5.38</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11.50</w:t>
            </w:r>
          </w:p>
        </w:tc>
        <w:tc>
          <w:tcPr>
            <w:tcW w:w="29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94"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32.64</w:t>
            </w:r>
          </w:p>
        </w:tc>
        <w:tc>
          <w:tcPr>
            <w:tcW w:w="299"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0.01</w:t>
            </w:r>
          </w:p>
        </w:tc>
      </w:tr>
      <w:tr w:rsidR="003F7BF1" w:rsidTr="003F7BF1">
        <w:trPr>
          <w:trHeight w:val="257"/>
        </w:trPr>
        <w:tc>
          <w:tcPr>
            <w:tcW w:w="1117" w:type="pct"/>
            <w:tcBorders>
              <w:top w:val="single" w:sz="4" w:space="0" w:color="auto"/>
              <w:left w:val="nil"/>
              <w:bottom w:val="single" w:sz="4" w:space="0" w:color="auto"/>
            </w:tcBorders>
            <w:noWrap/>
            <w:vAlign w:val="bottom"/>
            <w:hideMark/>
          </w:tcPr>
          <w:p w:rsidR="003F7BF1" w:rsidRDefault="003F7BF1" w:rsidP="003F7BF1">
            <w:pPr>
              <w:rPr>
                <w:rFonts w:cs="Arial"/>
                <w:sz w:val="15"/>
                <w:szCs w:val="15"/>
              </w:rPr>
            </w:pPr>
            <w:r>
              <w:rPr>
                <w:rFonts w:cs="Arial"/>
                <w:sz w:val="15"/>
                <w:szCs w:val="15"/>
              </w:rPr>
              <w:t>Volontariato sociale</w:t>
            </w:r>
          </w:p>
        </w:tc>
        <w:tc>
          <w:tcPr>
            <w:tcW w:w="40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7.88</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30.88</w:t>
            </w:r>
          </w:p>
        </w:tc>
        <w:tc>
          <w:tcPr>
            <w:tcW w:w="35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18.38</w:t>
            </w:r>
          </w:p>
        </w:tc>
        <w:tc>
          <w:tcPr>
            <w:tcW w:w="352"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17.25</w:t>
            </w:r>
          </w:p>
        </w:tc>
        <w:tc>
          <w:tcPr>
            <w:tcW w:w="35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5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2.71</w:t>
            </w:r>
          </w:p>
        </w:tc>
        <w:tc>
          <w:tcPr>
            <w:tcW w:w="35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17.26</w:t>
            </w:r>
          </w:p>
        </w:tc>
        <w:tc>
          <w:tcPr>
            <w:tcW w:w="35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22.10</w:t>
            </w:r>
          </w:p>
        </w:tc>
        <w:tc>
          <w:tcPr>
            <w:tcW w:w="29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94"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116.46</w:t>
            </w:r>
          </w:p>
        </w:tc>
        <w:tc>
          <w:tcPr>
            <w:tcW w:w="299"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0.02</w:t>
            </w:r>
          </w:p>
        </w:tc>
      </w:tr>
      <w:tr w:rsidR="003F7BF1" w:rsidTr="003F7BF1">
        <w:trPr>
          <w:trHeight w:val="257"/>
        </w:trPr>
        <w:tc>
          <w:tcPr>
            <w:tcW w:w="1117" w:type="pct"/>
            <w:tcBorders>
              <w:top w:val="single" w:sz="4" w:space="0" w:color="auto"/>
              <w:left w:val="nil"/>
              <w:bottom w:val="single" w:sz="4" w:space="0" w:color="auto"/>
            </w:tcBorders>
            <w:noWrap/>
            <w:vAlign w:val="bottom"/>
            <w:hideMark/>
          </w:tcPr>
          <w:p w:rsidR="003F7BF1" w:rsidRDefault="003F7BF1" w:rsidP="003F7BF1">
            <w:pPr>
              <w:rPr>
                <w:rFonts w:cs="Arial"/>
                <w:sz w:val="15"/>
                <w:szCs w:val="15"/>
              </w:rPr>
            </w:pPr>
            <w:r>
              <w:rPr>
                <w:rFonts w:cs="Arial"/>
                <w:sz w:val="15"/>
                <w:szCs w:val="15"/>
              </w:rPr>
              <w:t>Volontariato colonie</w:t>
            </w:r>
          </w:p>
        </w:tc>
        <w:tc>
          <w:tcPr>
            <w:tcW w:w="40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52"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2.00</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7.88</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29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94"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9.88</w:t>
            </w:r>
          </w:p>
        </w:tc>
        <w:tc>
          <w:tcPr>
            <w:tcW w:w="299"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r>
      <w:tr w:rsidR="003F7BF1" w:rsidTr="003F7BF1">
        <w:trPr>
          <w:trHeight w:val="257"/>
        </w:trPr>
        <w:tc>
          <w:tcPr>
            <w:tcW w:w="1117" w:type="pct"/>
            <w:tcBorders>
              <w:top w:val="single" w:sz="4" w:space="0" w:color="auto"/>
              <w:left w:val="nil"/>
              <w:bottom w:val="single" w:sz="4" w:space="0" w:color="auto"/>
            </w:tcBorders>
            <w:noWrap/>
            <w:vAlign w:val="bottom"/>
            <w:hideMark/>
          </w:tcPr>
          <w:p w:rsidR="003F7BF1" w:rsidRDefault="003F7BF1" w:rsidP="003F7BF1">
            <w:pPr>
              <w:rPr>
                <w:rFonts w:cs="Arial"/>
                <w:sz w:val="15"/>
                <w:szCs w:val="15"/>
              </w:rPr>
            </w:pPr>
            <w:r>
              <w:rPr>
                <w:rFonts w:cs="Arial"/>
                <w:sz w:val="15"/>
                <w:szCs w:val="15"/>
              </w:rPr>
              <w:t>Militare</w:t>
            </w:r>
          </w:p>
        </w:tc>
        <w:tc>
          <w:tcPr>
            <w:tcW w:w="40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17.00</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457.98</w:t>
            </w:r>
          </w:p>
        </w:tc>
        <w:tc>
          <w:tcPr>
            <w:tcW w:w="35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261.00</w:t>
            </w:r>
          </w:p>
        </w:tc>
        <w:tc>
          <w:tcPr>
            <w:tcW w:w="352"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50.00</w:t>
            </w:r>
          </w:p>
        </w:tc>
        <w:tc>
          <w:tcPr>
            <w:tcW w:w="35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51.73</w:t>
            </w:r>
          </w:p>
        </w:tc>
        <w:tc>
          <w:tcPr>
            <w:tcW w:w="35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96.31</w:t>
            </w:r>
          </w:p>
        </w:tc>
        <w:tc>
          <w:tcPr>
            <w:tcW w:w="35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162.05</w:t>
            </w:r>
          </w:p>
        </w:tc>
        <w:tc>
          <w:tcPr>
            <w:tcW w:w="35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176.98</w:t>
            </w:r>
          </w:p>
        </w:tc>
        <w:tc>
          <w:tcPr>
            <w:tcW w:w="29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94"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1'273.05</w:t>
            </w:r>
          </w:p>
        </w:tc>
        <w:tc>
          <w:tcPr>
            <w:tcW w:w="299"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0.27</w:t>
            </w:r>
          </w:p>
        </w:tc>
      </w:tr>
      <w:tr w:rsidR="003F7BF1" w:rsidTr="003F7BF1">
        <w:trPr>
          <w:trHeight w:val="257"/>
        </w:trPr>
        <w:tc>
          <w:tcPr>
            <w:tcW w:w="1117" w:type="pct"/>
            <w:tcBorders>
              <w:top w:val="single" w:sz="4" w:space="0" w:color="auto"/>
              <w:left w:val="nil"/>
              <w:bottom w:val="single" w:sz="4" w:space="0" w:color="auto"/>
            </w:tcBorders>
            <w:noWrap/>
            <w:vAlign w:val="bottom"/>
            <w:hideMark/>
          </w:tcPr>
          <w:p w:rsidR="003F7BF1" w:rsidRDefault="003F7BF1" w:rsidP="003F7BF1">
            <w:pPr>
              <w:rPr>
                <w:rFonts w:cs="Arial"/>
                <w:sz w:val="15"/>
                <w:szCs w:val="15"/>
              </w:rPr>
            </w:pPr>
            <w:r>
              <w:rPr>
                <w:rFonts w:cs="Arial"/>
                <w:sz w:val="15"/>
                <w:szCs w:val="15"/>
              </w:rPr>
              <w:t>Protezione civile</w:t>
            </w:r>
          </w:p>
        </w:tc>
        <w:tc>
          <w:tcPr>
            <w:tcW w:w="40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12.38</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194.90</w:t>
            </w:r>
          </w:p>
        </w:tc>
        <w:tc>
          <w:tcPr>
            <w:tcW w:w="35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35.19</w:t>
            </w:r>
          </w:p>
        </w:tc>
        <w:tc>
          <w:tcPr>
            <w:tcW w:w="352"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43.63</w:t>
            </w:r>
          </w:p>
        </w:tc>
        <w:tc>
          <w:tcPr>
            <w:tcW w:w="35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66.90</w:t>
            </w:r>
          </w:p>
        </w:tc>
        <w:tc>
          <w:tcPr>
            <w:tcW w:w="35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132.90</w:t>
            </w:r>
          </w:p>
        </w:tc>
        <w:tc>
          <w:tcPr>
            <w:tcW w:w="35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254.65</w:t>
            </w:r>
          </w:p>
        </w:tc>
        <w:tc>
          <w:tcPr>
            <w:tcW w:w="35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422.67</w:t>
            </w:r>
          </w:p>
        </w:tc>
        <w:tc>
          <w:tcPr>
            <w:tcW w:w="29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94"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1'163.21</w:t>
            </w:r>
          </w:p>
        </w:tc>
        <w:tc>
          <w:tcPr>
            <w:tcW w:w="299"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0.24</w:t>
            </w:r>
          </w:p>
        </w:tc>
      </w:tr>
      <w:tr w:rsidR="003F7BF1" w:rsidTr="003F7BF1">
        <w:trPr>
          <w:trHeight w:val="257"/>
        </w:trPr>
        <w:tc>
          <w:tcPr>
            <w:tcW w:w="1117" w:type="pct"/>
            <w:tcBorders>
              <w:top w:val="single" w:sz="4" w:space="0" w:color="auto"/>
              <w:left w:val="nil"/>
              <w:bottom w:val="single" w:sz="4" w:space="0" w:color="auto"/>
            </w:tcBorders>
            <w:noWrap/>
            <w:vAlign w:val="bottom"/>
            <w:hideMark/>
          </w:tcPr>
          <w:p w:rsidR="003F7BF1" w:rsidRDefault="003F7BF1" w:rsidP="003F7BF1">
            <w:pPr>
              <w:rPr>
                <w:rFonts w:cs="Arial"/>
                <w:sz w:val="15"/>
                <w:szCs w:val="15"/>
              </w:rPr>
            </w:pPr>
            <w:r>
              <w:rPr>
                <w:rFonts w:cs="Arial"/>
                <w:sz w:val="15"/>
                <w:szCs w:val="15"/>
              </w:rPr>
              <w:t xml:space="preserve">Assicurazione militare </w:t>
            </w:r>
          </w:p>
        </w:tc>
        <w:tc>
          <w:tcPr>
            <w:tcW w:w="40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5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52"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5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5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5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5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296"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94"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299" w:type="pct"/>
            <w:tcBorders>
              <w:top w:val="single" w:sz="4" w:space="0" w:color="auto"/>
              <w:bottom w:val="single" w:sz="4" w:space="0" w:color="auto"/>
            </w:tcBorders>
            <w:shd w:val="clear" w:color="000000"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r>
      <w:tr w:rsidR="003F7BF1" w:rsidTr="003F7BF1">
        <w:trPr>
          <w:trHeight w:val="257"/>
        </w:trPr>
        <w:tc>
          <w:tcPr>
            <w:tcW w:w="1117" w:type="pct"/>
            <w:tcBorders>
              <w:top w:val="single" w:sz="4" w:space="0" w:color="auto"/>
              <w:left w:val="nil"/>
              <w:bottom w:val="single" w:sz="4" w:space="0" w:color="auto"/>
            </w:tcBorders>
            <w:noWrap/>
            <w:vAlign w:val="bottom"/>
            <w:hideMark/>
          </w:tcPr>
          <w:p w:rsidR="003F7BF1" w:rsidRDefault="003F7BF1" w:rsidP="003F7BF1">
            <w:pPr>
              <w:rPr>
                <w:rFonts w:cs="Arial"/>
                <w:sz w:val="15"/>
                <w:szCs w:val="15"/>
              </w:rPr>
            </w:pPr>
            <w:r>
              <w:rPr>
                <w:rFonts w:cs="Arial"/>
                <w:sz w:val="15"/>
                <w:szCs w:val="15"/>
              </w:rPr>
              <w:t>Malattia grave in fam.</w:t>
            </w:r>
          </w:p>
        </w:tc>
        <w:tc>
          <w:tcPr>
            <w:tcW w:w="40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24.56</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8.00</w:t>
            </w:r>
          </w:p>
        </w:tc>
        <w:tc>
          <w:tcPr>
            <w:tcW w:w="352"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9.66</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25.33</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39.93</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18.71</w:t>
            </w:r>
          </w:p>
        </w:tc>
        <w:tc>
          <w:tcPr>
            <w:tcW w:w="35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57.93</w:t>
            </w:r>
          </w:p>
        </w:tc>
        <w:tc>
          <w:tcPr>
            <w:tcW w:w="296"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0.00</w:t>
            </w:r>
          </w:p>
        </w:tc>
        <w:tc>
          <w:tcPr>
            <w:tcW w:w="394"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184.13</w:t>
            </w:r>
          </w:p>
        </w:tc>
        <w:tc>
          <w:tcPr>
            <w:tcW w:w="299" w:type="pct"/>
            <w:tcBorders>
              <w:top w:val="single" w:sz="4" w:space="0" w:color="auto"/>
              <w:bottom w:val="single" w:sz="4" w:space="0" w:color="auto"/>
            </w:tcBorders>
            <w:shd w:val="clear" w:color="D9D9D9" w:fill="FFFFFF"/>
            <w:noWrap/>
            <w:vAlign w:val="bottom"/>
          </w:tcPr>
          <w:p w:rsidR="003F7BF1" w:rsidRDefault="003F7BF1" w:rsidP="003F7BF1">
            <w:pPr>
              <w:jc w:val="right"/>
              <w:rPr>
                <w:rFonts w:cs="Arial"/>
                <w:color w:val="000000"/>
                <w:sz w:val="14"/>
                <w:szCs w:val="14"/>
              </w:rPr>
            </w:pPr>
            <w:r>
              <w:rPr>
                <w:rFonts w:cs="Arial"/>
                <w:color w:val="000000"/>
                <w:sz w:val="14"/>
                <w:szCs w:val="14"/>
              </w:rPr>
              <w:t>0.04</w:t>
            </w:r>
          </w:p>
        </w:tc>
      </w:tr>
      <w:tr w:rsidR="003F7BF1" w:rsidTr="003F7BF1">
        <w:trPr>
          <w:trHeight w:val="257"/>
        </w:trPr>
        <w:tc>
          <w:tcPr>
            <w:tcW w:w="1117" w:type="pct"/>
            <w:tcBorders>
              <w:top w:val="single" w:sz="4" w:space="0" w:color="auto"/>
              <w:left w:val="nil"/>
              <w:bottom w:val="single" w:sz="4" w:space="0" w:color="auto"/>
              <w:right w:val="nil"/>
            </w:tcBorders>
            <w:noWrap/>
            <w:vAlign w:val="bottom"/>
            <w:hideMark/>
          </w:tcPr>
          <w:p w:rsidR="003F7BF1" w:rsidRDefault="003F7BF1" w:rsidP="003F7BF1">
            <w:pPr>
              <w:rPr>
                <w:rFonts w:cs="Arial"/>
                <w:sz w:val="15"/>
                <w:szCs w:val="15"/>
              </w:rPr>
            </w:pPr>
            <w:r>
              <w:rPr>
                <w:rFonts w:cs="Arial"/>
                <w:sz w:val="15"/>
                <w:szCs w:val="15"/>
              </w:rPr>
              <w:t>Malattia figli</w:t>
            </w:r>
          </w:p>
        </w:tc>
        <w:tc>
          <w:tcPr>
            <w:tcW w:w="406" w:type="pct"/>
            <w:tcBorders>
              <w:top w:val="single" w:sz="4" w:space="0" w:color="auto"/>
              <w:left w:val="nil"/>
              <w:bottom w:val="single" w:sz="4" w:space="0" w:color="auto"/>
              <w:right w:val="nil"/>
            </w:tcBorders>
            <w:noWrap/>
            <w:vAlign w:val="bottom"/>
          </w:tcPr>
          <w:p w:rsidR="003F7BF1" w:rsidRDefault="003F7BF1" w:rsidP="003F7BF1">
            <w:pPr>
              <w:jc w:val="right"/>
              <w:rPr>
                <w:rFonts w:cs="Arial"/>
                <w:color w:val="000000"/>
                <w:sz w:val="14"/>
                <w:szCs w:val="14"/>
              </w:rPr>
            </w:pPr>
            <w:r>
              <w:rPr>
                <w:rFonts w:cs="Arial"/>
                <w:color w:val="000000"/>
                <w:sz w:val="14"/>
                <w:szCs w:val="14"/>
              </w:rPr>
              <w:t>12.24</w:t>
            </w:r>
          </w:p>
        </w:tc>
        <w:tc>
          <w:tcPr>
            <w:tcW w:w="356" w:type="pct"/>
            <w:tcBorders>
              <w:top w:val="single" w:sz="4" w:space="0" w:color="auto"/>
              <w:left w:val="nil"/>
              <w:bottom w:val="single" w:sz="4" w:space="0" w:color="auto"/>
              <w:right w:val="nil"/>
            </w:tcBorders>
            <w:noWrap/>
            <w:vAlign w:val="bottom"/>
          </w:tcPr>
          <w:p w:rsidR="003F7BF1" w:rsidRDefault="003F7BF1" w:rsidP="003F7BF1">
            <w:pPr>
              <w:jc w:val="right"/>
              <w:rPr>
                <w:rFonts w:cs="Arial"/>
                <w:color w:val="000000"/>
                <w:sz w:val="14"/>
                <w:szCs w:val="14"/>
              </w:rPr>
            </w:pPr>
            <w:r>
              <w:rPr>
                <w:rFonts w:cs="Arial"/>
                <w:color w:val="000000"/>
                <w:sz w:val="14"/>
                <w:szCs w:val="14"/>
              </w:rPr>
              <w:t>102.03</w:t>
            </w:r>
          </w:p>
        </w:tc>
        <w:tc>
          <w:tcPr>
            <w:tcW w:w="356" w:type="pct"/>
            <w:tcBorders>
              <w:top w:val="single" w:sz="4" w:space="0" w:color="auto"/>
              <w:left w:val="nil"/>
              <w:bottom w:val="single" w:sz="4" w:space="0" w:color="auto"/>
              <w:right w:val="nil"/>
            </w:tcBorders>
            <w:noWrap/>
            <w:vAlign w:val="bottom"/>
          </w:tcPr>
          <w:p w:rsidR="003F7BF1" w:rsidRDefault="003F7BF1" w:rsidP="003F7BF1">
            <w:pPr>
              <w:jc w:val="right"/>
              <w:rPr>
                <w:rFonts w:cs="Arial"/>
                <w:color w:val="000000"/>
                <w:sz w:val="14"/>
                <w:szCs w:val="14"/>
              </w:rPr>
            </w:pPr>
            <w:r>
              <w:rPr>
                <w:rFonts w:cs="Arial"/>
                <w:color w:val="000000"/>
                <w:sz w:val="14"/>
                <w:szCs w:val="14"/>
              </w:rPr>
              <w:t>95.22</w:t>
            </w:r>
          </w:p>
        </w:tc>
        <w:tc>
          <w:tcPr>
            <w:tcW w:w="352" w:type="pct"/>
            <w:tcBorders>
              <w:top w:val="single" w:sz="4" w:space="0" w:color="auto"/>
              <w:left w:val="nil"/>
              <w:bottom w:val="single" w:sz="4" w:space="0" w:color="auto"/>
              <w:right w:val="nil"/>
            </w:tcBorders>
            <w:noWrap/>
            <w:vAlign w:val="bottom"/>
          </w:tcPr>
          <w:p w:rsidR="003F7BF1" w:rsidRDefault="003F7BF1" w:rsidP="003F7BF1">
            <w:pPr>
              <w:jc w:val="right"/>
              <w:rPr>
                <w:rFonts w:cs="Arial"/>
                <w:color w:val="000000"/>
                <w:sz w:val="14"/>
                <w:szCs w:val="14"/>
              </w:rPr>
            </w:pPr>
            <w:r>
              <w:rPr>
                <w:rFonts w:cs="Arial"/>
                <w:color w:val="000000"/>
                <w:sz w:val="14"/>
                <w:szCs w:val="14"/>
              </w:rPr>
              <w:t>51.53</w:t>
            </w:r>
          </w:p>
        </w:tc>
        <w:tc>
          <w:tcPr>
            <w:tcW w:w="356" w:type="pct"/>
            <w:tcBorders>
              <w:top w:val="single" w:sz="4" w:space="0" w:color="auto"/>
              <w:left w:val="nil"/>
              <w:bottom w:val="single" w:sz="4" w:space="0" w:color="auto"/>
              <w:right w:val="nil"/>
            </w:tcBorders>
            <w:noWrap/>
            <w:vAlign w:val="bottom"/>
          </w:tcPr>
          <w:p w:rsidR="003F7BF1" w:rsidRDefault="003F7BF1" w:rsidP="003F7BF1">
            <w:pPr>
              <w:jc w:val="right"/>
              <w:rPr>
                <w:rFonts w:cs="Arial"/>
                <w:color w:val="000000"/>
                <w:sz w:val="14"/>
                <w:szCs w:val="14"/>
              </w:rPr>
            </w:pPr>
            <w:r>
              <w:rPr>
                <w:rFonts w:cs="Arial"/>
                <w:color w:val="000000"/>
                <w:sz w:val="14"/>
                <w:szCs w:val="14"/>
              </w:rPr>
              <w:t>49.79</w:t>
            </w:r>
          </w:p>
        </w:tc>
        <w:tc>
          <w:tcPr>
            <w:tcW w:w="356" w:type="pct"/>
            <w:tcBorders>
              <w:top w:val="single" w:sz="4" w:space="0" w:color="auto"/>
              <w:left w:val="nil"/>
              <w:bottom w:val="single" w:sz="4" w:space="0" w:color="auto"/>
              <w:right w:val="nil"/>
            </w:tcBorders>
            <w:noWrap/>
            <w:vAlign w:val="bottom"/>
          </w:tcPr>
          <w:p w:rsidR="003F7BF1" w:rsidRDefault="003F7BF1" w:rsidP="003F7BF1">
            <w:pPr>
              <w:jc w:val="right"/>
              <w:rPr>
                <w:rFonts w:cs="Arial"/>
                <w:color w:val="000000"/>
                <w:sz w:val="14"/>
                <w:szCs w:val="14"/>
              </w:rPr>
            </w:pPr>
            <w:r>
              <w:rPr>
                <w:rFonts w:cs="Arial"/>
                <w:color w:val="000000"/>
                <w:sz w:val="14"/>
                <w:szCs w:val="14"/>
              </w:rPr>
              <w:t>40.51</w:t>
            </w:r>
          </w:p>
        </w:tc>
        <w:tc>
          <w:tcPr>
            <w:tcW w:w="356" w:type="pct"/>
            <w:tcBorders>
              <w:top w:val="single" w:sz="4" w:space="0" w:color="auto"/>
              <w:left w:val="nil"/>
              <w:bottom w:val="single" w:sz="4" w:space="0" w:color="auto"/>
              <w:right w:val="nil"/>
            </w:tcBorders>
            <w:noWrap/>
            <w:vAlign w:val="bottom"/>
          </w:tcPr>
          <w:p w:rsidR="003F7BF1" w:rsidRDefault="003F7BF1" w:rsidP="003F7BF1">
            <w:pPr>
              <w:jc w:val="right"/>
              <w:rPr>
                <w:rFonts w:cs="Arial"/>
                <w:color w:val="000000"/>
                <w:sz w:val="14"/>
                <w:szCs w:val="14"/>
              </w:rPr>
            </w:pPr>
            <w:r>
              <w:rPr>
                <w:rFonts w:cs="Arial"/>
                <w:color w:val="000000"/>
                <w:sz w:val="14"/>
                <w:szCs w:val="14"/>
              </w:rPr>
              <w:t>65.33</w:t>
            </w:r>
          </w:p>
        </w:tc>
        <w:tc>
          <w:tcPr>
            <w:tcW w:w="356" w:type="pct"/>
            <w:tcBorders>
              <w:top w:val="single" w:sz="4" w:space="0" w:color="auto"/>
              <w:left w:val="nil"/>
              <w:bottom w:val="single" w:sz="4" w:space="0" w:color="auto"/>
              <w:right w:val="nil"/>
            </w:tcBorders>
            <w:noWrap/>
            <w:vAlign w:val="bottom"/>
          </w:tcPr>
          <w:p w:rsidR="003F7BF1" w:rsidRDefault="003F7BF1" w:rsidP="003F7BF1">
            <w:pPr>
              <w:jc w:val="right"/>
              <w:rPr>
                <w:rFonts w:cs="Arial"/>
                <w:color w:val="000000"/>
                <w:sz w:val="14"/>
                <w:szCs w:val="14"/>
              </w:rPr>
            </w:pPr>
            <w:r>
              <w:rPr>
                <w:rFonts w:cs="Arial"/>
                <w:color w:val="000000"/>
                <w:sz w:val="14"/>
                <w:szCs w:val="14"/>
              </w:rPr>
              <w:t>198.25</w:t>
            </w:r>
          </w:p>
        </w:tc>
        <w:tc>
          <w:tcPr>
            <w:tcW w:w="296" w:type="pct"/>
            <w:tcBorders>
              <w:top w:val="single" w:sz="4" w:space="0" w:color="auto"/>
              <w:left w:val="nil"/>
              <w:bottom w:val="single" w:sz="4" w:space="0" w:color="auto"/>
              <w:right w:val="nil"/>
            </w:tcBorders>
            <w:noWrap/>
            <w:vAlign w:val="bottom"/>
          </w:tcPr>
          <w:p w:rsidR="003F7BF1" w:rsidRDefault="003F7BF1" w:rsidP="003F7BF1">
            <w:pPr>
              <w:jc w:val="right"/>
              <w:rPr>
                <w:rFonts w:cs="Arial"/>
                <w:color w:val="000000"/>
                <w:sz w:val="14"/>
                <w:szCs w:val="14"/>
              </w:rPr>
            </w:pPr>
            <w:r>
              <w:rPr>
                <w:rFonts w:cs="Arial"/>
                <w:color w:val="000000"/>
                <w:sz w:val="14"/>
                <w:szCs w:val="14"/>
              </w:rPr>
              <w:t>1.50</w:t>
            </w:r>
          </w:p>
        </w:tc>
        <w:tc>
          <w:tcPr>
            <w:tcW w:w="394" w:type="pct"/>
            <w:tcBorders>
              <w:top w:val="single" w:sz="4" w:space="0" w:color="auto"/>
              <w:left w:val="nil"/>
              <w:bottom w:val="single" w:sz="4" w:space="0" w:color="auto"/>
              <w:right w:val="nil"/>
            </w:tcBorders>
            <w:noWrap/>
            <w:vAlign w:val="bottom"/>
          </w:tcPr>
          <w:p w:rsidR="003F7BF1" w:rsidRDefault="003F7BF1" w:rsidP="003F7BF1">
            <w:pPr>
              <w:jc w:val="right"/>
              <w:rPr>
                <w:rFonts w:cs="Arial"/>
                <w:color w:val="000000"/>
                <w:sz w:val="14"/>
                <w:szCs w:val="14"/>
              </w:rPr>
            </w:pPr>
            <w:r>
              <w:rPr>
                <w:rFonts w:cs="Arial"/>
                <w:color w:val="000000"/>
                <w:sz w:val="14"/>
                <w:szCs w:val="14"/>
              </w:rPr>
              <w:t>616.41</w:t>
            </w:r>
          </w:p>
        </w:tc>
        <w:tc>
          <w:tcPr>
            <w:tcW w:w="299" w:type="pct"/>
            <w:tcBorders>
              <w:top w:val="single" w:sz="4" w:space="0" w:color="auto"/>
              <w:left w:val="nil"/>
              <w:bottom w:val="single" w:sz="4" w:space="0" w:color="auto"/>
              <w:right w:val="nil"/>
            </w:tcBorders>
            <w:noWrap/>
            <w:vAlign w:val="bottom"/>
          </w:tcPr>
          <w:p w:rsidR="003F7BF1" w:rsidRDefault="003F7BF1" w:rsidP="003F7BF1">
            <w:pPr>
              <w:jc w:val="right"/>
              <w:rPr>
                <w:rFonts w:cs="Arial"/>
                <w:color w:val="000000"/>
                <w:sz w:val="14"/>
                <w:szCs w:val="14"/>
              </w:rPr>
            </w:pPr>
            <w:r>
              <w:rPr>
                <w:rFonts w:cs="Arial"/>
                <w:color w:val="000000"/>
                <w:sz w:val="14"/>
                <w:szCs w:val="14"/>
              </w:rPr>
              <w:t>0.13</w:t>
            </w:r>
          </w:p>
        </w:tc>
      </w:tr>
      <w:tr w:rsidR="003F7BF1" w:rsidTr="003F7BF1">
        <w:trPr>
          <w:trHeight w:val="257"/>
        </w:trPr>
        <w:tc>
          <w:tcPr>
            <w:tcW w:w="1117" w:type="pct"/>
            <w:tcBorders>
              <w:top w:val="single" w:sz="4" w:space="0" w:color="auto"/>
              <w:left w:val="nil"/>
              <w:bottom w:val="nil"/>
              <w:right w:val="nil"/>
            </w:tcBorders>
            <w:noWrap/>
            <w:vAlign w:val="bottom"/>
            <w:hideMark/>
          </w:tcPr>
          <w:p w:rsidR="003F7BF1" w:rsidRDefault="003F7BF1" w:rsidP="003F7BF1">
            <w:pPr>
              <w:rPr>
                <w:rFonts w:cs="Arial"/>
                <w:sz w:val="15"/>
                <w:szCs w:val="15"/>
              </w:rPr>
            </w:pPr>
            <w:r>
              <w:rPr>
                <w:rFonts w:cs="Arial"/>
                <w:sz w:val="15"/>
                <w:szCs w:val="15"/>
              </w:rPr>
              <w:t>Adozione</w:t>
            </w:r>
          </w:p>
        </w:tc>
        <w:tc>
          <w:tcPr>
            <w:tcW w:w="406" w:type="pct"/>
            <w:tcBorders>
              <w:top w:val="single" w:sz="4" w:space="0" w:color="auto"/>
              <w:left w:val="nil"/>
              <w:bottom w:val="nil"/>
              <w:right w:val="nil"/>
            </w:tcBorders>
            <w:noWrap/>
            <w:vAlign w:val="bottom"/>
          </w:tcPr>
          <w:p w:rsidR="003F7BF1" w:rsidRDefault="003F7BF1" w:rsidP="003F7BF1">
            <w:pPr>
              <w:jc w:val="right"/>
              <w:rPr>
                <w:rFonts w:cs="Arial"/>
                <w:sz w:val="14"/>
                <w:szCs w:val="14"/>
              </w:rPr>
            </w:pPr>
            <w:r>
              <w:rPr>
                <w:rFonts w:cs="Arial"/>
                <w:sz w:val="14"/>
                <w:szCs w:val="14"/>
              </w:rPr>
              <w:t>0.00</w:t>
            </w:r>
          </w:p>
        </w:tc>
        <w:tc>
          <w:tcPr>
            <w:tcW w:w="356" w:type="pct"/>
            <w:tcBorders>
              <w:top w:val="single" w:sz="4" w:space="0" w:color="auto"/>
              <w:left w:val="nil"/>
              <w:bottom w:val="nil"/>
              <w:right w:val="nil"/>
            </w:tcBorders>
            <w:noWrap/>
            <w:vAlign w:val="bottom"/>
          </w:tcPr>
          <w:p w:rsidR="003F7BF1" w:rsidRDefault="003F7BF1" w:rsidP="003F7BF1">
            <w:pPr>
              <w:jc w:val="right"/>
              <w:rPr>
                <w:rFonts w:cs="Arial"/>
                <w:sz w:val="14"/>
                <w:szCs w:val="14"/>
              </w:rPr>
            </w:pPr>
            <w:r>
              <w:rPr>
                <w:rFonts w:cs="Arial"/>
                <w:sz w:val="14"/>
                <w:szCs w:val="14"/>
              </w:rPr>
              <w:t>0.00</w:t>
            </w:r>
          </w:p>
        </w:tc>
        <w:tc>
          <w:tcPr>
            <w:tcW w:w="356" w:type="pct"/>
            <w:tcBorders>
              <w:top w:val="single" w:sz="4" w:space="0" w:color="auto"/>
              <w:left w:val="nil"/>
              <w:bottom w:val="nil"/>
              <w:right w:val="nil"/>
            </w:tcBorders>
            <w:noWrap/>
            <w:vAlign w:val="bottom"/>
          </w:tcPr>
          <w:p w:rsidR="003F7BF1" w:rsidRDefault="003F7BF1" w:rsidP="003F7BF1">
            <w:pPr>
              <w:ind w:left="-16"/>
              <w:jc w:val="right"/>
              <w:rPr>
                <w:rFonts w:cs="Arial"/>
                <w:sz w:val="14"/>
                <w:szCs w:val="14"/>
              </w:rPr>
            </w:pPr>
            <w:r>
              <w:rPr>
                <w:rFonts w:cs="Arial"/>
                <w:sz w:val="14"/>
                <w:szCs w:val="14"/>
              </w:rPr>
              <w:t>0.00</w:t>
            </w:r>
          </w:p>
        </w:tc>
        <w:tc>
          <w:tcPr>
            <w:tcW w:w="352" w:type="pct"/>
            <w:tcBorders>
              <w:top w:val="single" w:sz="4" w:space="0" w:color="auto"/>
              <w:left w:val="nil"/>
              <w:bottom w:val="nil"/>
              <w:right w:val="nil"/>
            </w:tcBorders>
            <w:noWrap/>
            <w:vAlign w:val="bottom"/>
          </w:tcPr>
          <w:p w:rsidR="003F7BF1" w:rsidRDefault="003F7BF1" w:rsidP="003F7BF1">
            <w:pPr>
              <w:ind w:left="-62"/>
              <w:jc w:val="right"/>
              <w:rPr>
                <w:rFonts w:cs="Arial"/>
                <w:sz w:val="14"/>
                <w:szCs w:val="14"/>
              </w:rPr>
            </w:pPr>
            <w:r>
              <w:rPr>
                <w:rFonts w:cs="Arial"/>
                <w:sz w:val="14"/>
                <w:szCs w:val="14"/>
              </w:rPr>
              <w:t>0.00</w:t>
            </w:r>
          </w:p>
        </w:tc>
        <w:tc>
          <w:tcPr>
            <w:tcW w:w="356" w:type="pct"/>
            <w:tcBorders>
              <w:top w:val="single" w:sz="4" w:space="0" w:color="auto"/>
              <w:left w:val="nil"/>
              <w:bottom w:val="nil"/>
              <w:right w:val="nil"/>
            </w:tcBorders>
            <w:noWrap/>
            <w:vAlign w:val="bottom"/>
          </w:tcPr>
          <w:p w:rsidR="003F7BF1" w:rsidRDefault="003F7BF1" w:rsidP="003F7BF1">
            <w:pPr>
              <w:ind w:left="-62"/>
              <w:jc w:val="right"/>
              <w:rPr>
                <w:rFonts w:cs="Arial"/>
                <w:sz w:val="14"/>
                <w:szCs w:val="14"/>
              </w:rPr>
            </w:pPr>
            <w:r>
              <w:rPr>
                <w:rFonts w:cs="Arial"/>
                <w:sz w:val="14"/>
                <w:szCs w:val="14"/>
              </w:rPr>
              <w:t>0.00</w:t>
            </w:r>
          </w:p>
        </w:tc>
        <w:tc>
          <w:tcPr>
            <w:tcW w:w="356" w:type="pct"/>
            <w:tcBorders>
              <w:top w:val="single" w:sz="4" w:space="0" w:color="auto"/>
              <w:left w:val="nil"/>
              <w:bottom w:val="nil"/>
              <w:right w:val="nil"/>
            </w:tcBorders>
            <w:noWrap/>
            <w:vAlign w:val="bottom"/>
          </w:tcPr>
          <w:p w:rsidR="003F7BF1" w:rsidRDefault="003F7BF1" w:rsidP="003F7BF1">
            <w:pPr>
              <w:ind w:left="-96"/>
              <w:jc w:val="right"/>
              <w:rPr>
                <w:rFonts w:cs="Arial"/>
                <w:sz w:val="14"/>
                <w:szCs w:val="14"/>
              </w:rPr>
            </w:pPr>
            <w:r>
              <w:rPr>
                <w:rFonts w:cs="Arial"/>
                <w:sz w:val="14"/>
                <w:szCs w:val="14"/>
              </w:rPr>
              <w:t>0.00</w:t>
            </w:r>
          </w:p>
        </w:tc>
        <w:tc>
          <w:tcPr>
            <w:tcW w:w="356" w:type="pct"/>
            <w:tcBorders>
              <w:top w:val="single" w:sz="4" w:space="0" w:color="auto"/>
              <w:left w:val="nil"/>
              <w:bottom w:val="nil"/>
              <w:right w:val="nil"/>
            </w:tcBorders>
            <w:noWrap/>
            <w:vAlign w:val="bottom"/>
          </w:tcPr>
          <w:p w:rsidR="003F7BF1" w:rsidRDefault="003F7BF1" w:rsidP="003F7BF1">
            <w:pPr>
              <w:ind w:left="-86"/>
              <w:jc w:val="right"/>
              <w:rPr>
                <w:rFonts w:cs="Arial"/>
                <w:sz w:val="14"/>
                <w:szCs w:val="14"/>
              </w:rPr>
            </w:pPr>
            <w:r>
              <w:rPr>
                <w:rFonts w:cs="Arial"/>
                <w:sz w:val="14"/>
                <w:szCs w:val="14"/>
              </w:rPr>
              <w:t>0.00</w:t>
            </w:r>
          </w:p>
        </w:tc>
        <w:tc>
          <w:tcPr>
            <w:tcW w:w="356" w:type="pct"/>
            <w:tcBorders>
              <w:top w:val="single" w:sz="4" w:space="0" w:color="auto"/>
              <w:left w:val="nil"/>
              <w:bottom w:val="nil"/>
              <w:right w:val="nil"/>
            </w:tcBorders>
            <w:noWrap/>
            <w:vAlign w:val="bottom"/>
          </w:tcPr>
          <w:p w:rsidR="003F7BF1" w:rsidRDefault="003F7BF1" w:rsidP="003F7BF1">
            <w:pPr>
              <w:ind w:left="-132"/>
              <w:jc w:val="right"/>
              <w:rPr>
                <w:rFonts w:cs="Arial"/>
                <w:sz w:val="14"/>
                <w:szCs w:val="14"/>
              </w:rPr>
            </w:pPr>
            <w:r>
              <w:rPr>
                <w:rFonts w:cs="Arial"/>
                <w:sz w:val="14"/>
                <w:szCs w:val="14"/>
              </w:rPr>
              <w:t>0.00</w:t>
            </w:r>
          </w:p>
        </w:tc>
        <w:tc>
          <w:tcPr>
            <w:tcW w:w="296" w:type="pct"/>
            <w:tcBorders>
              <w:top w:val="single" w:sz="4" w:space="0" w:color="auto"/>
              <w:left w:val="nil"/>
              <w:bottom w:val="nil"/>
              <w:right w:val="nil"/>
            </w:tcBorders>
            <w:noWrap/>
            <w:vAlign w:val="bottom"/>
          </w:tcPr>
          <w:p w:rsidR="003F7BF1" w:rsidRDefault="003F7BF1" w:rsidP="003F7BF1">
            <w:pPr>
              <w:jc w:val="right"/>
              <w:rPr>
                <w:rFonts w:cs="Arial"/>
                <w:sz w:val="14"/>
                <w:szCs w:val="14"/>
              </w:rPr>
            </w:pPr>
            <w:r>
              <w:rPr>
                <w:rFonts w:cs="Arial"/>
                <w:sz w:val="14"/>
                <w:szCs w:val="14"/>
              </w:rPr>
              <w:t>0.00</w:t>
            </w:r>
          </w:p>
        </w:tc>
        <w:tc>
          <w:tcPr>
            <w:tcW w:w="394" w:type="pct"/>
            <w:tcBorders>
              <w:top w:val="single" w:sz="4" w:space="0" w:color="auto"/>
              <w:left w:val="nil"/>
              <w:bottom w:val="nil"/>
              <w:right w:val="nil"/>
            </w:tcBorders>
            <w:noWrap/>
            <w:vAlign w:val="bottom"/>
          </w:tcPr>
          <w:p w:rsidR="003F7BF1" w:rsidRDefault="003F7BF1" w:rsidP="003F7BF1">
            <w:pPr>
              <w:ind w:left="-103"/>
              <w:jc w:val="right"/>
              <w:rPr>
                <w:rFonts w:cs="Arial"/>
                <w:sz w:val="14"/>
                <w:szCs w:val="14"/>
              </w:rPr>
            </w:pPr>
            <w:r>
              <w:rPr>
                <w:rFonts w:cs="Arial"/>
                <w:sz w:val="14"/>
                <w:szCs w:val="14"/>
              </w:rPr>
              <w:t>0.00</w:t>
            </w:r>
          </w:p>
        </w:tc>
        <w:tc>
          <w:tcPr>
            <w:tcW w:w="299" w:type="pct"/>
            <w:tcBorders>
              <w:top w:val="single" w:sz="4" w:space="0" w:color="auto"/>
              <w:left w:val="nil"/>
              <w:bottom w:val="nil"/>
              <w:right w:val="nil"/>
            </w:tcBorders>
            <w:noWrap/>
            <w:vAlign w:val="bottom"/>
          </w:tcPr>
          <w:p w:rsidR="003F7BF1" w:rsidRDefault="003F7BF1" w:rsidP="003F7BF1">
            <w:pPr>
              <w:jc w:val="right"/>
              <w:rPr>
                <w:rFonts w:cs="Arial"/>
                <w:sz w:val="14"/>
                <w:szCs w:val="14"/>
              </w:rPr>
            </w:pPr>
            <w:r>
              <w:rPr>
                <w:rFonts w:cs="Arial"/>
                <w:sz w:val="14"/>
                <w:szCs w:val="14"/>
              </w:rPr>
              <w:t>0.00</w:t>
            </w:r>
          </w:p>
        </w:tc>
      </w:tr>
      <w:tr w:rsidR="003F7BF1" w:rsidTr="003F7BF1">
        <w:trPr>
          <w:trHeight w:val="257"/>
        </w:trPr>
        <w:tc>
          <w:tcPr>
            <w:tcW w:w="1117" w:type="pct"/>
            <w:tcBorders>
              <w:top w:val="nil"/>
              <w:left w:val="nil"/>
              <w:bottom w:val="single" w:sz="4" w:space="0" w:color="auto"/>
              <w:right w:val="nil"/>
            </w:tcBorders>
            <w:noWrap/>
            <w:vAlign w:val="bottom"/>
          </w:tcPr>
          <w:p w:rsidR="003F7BF1" w:rsidRDefault="003F7BF1" w:rsidP="003F7BF1">
            <w:pPr>
              <w:rPr>
                <w:rFonts w:cs="Arial"/>
                <w:sz w:val="15"/>
                <w:szCs w:val="15"/>
              </w:rPr>
            </w:pPr>
          </w:p>
        </w:tc>
        <w:tc>
          <w:tcPr>
            <w:tcW w:w="406" w:type="pct"/>
            <w:tcBorders>
              <w:top w:val="nil"/>
              <w:left w:val="nil"/>
              <w:bottom w:val="single" w:sz="4" w:space="0" w:color="auto"/>
              <w:right w:val="nil"/>
            </w:tcBorders>
            <w:noWrap/>
            <w:vAlign w:val="bottom"/>
          </w:tcPr>
          <w:p w:rsidR="003F7BF1" w:rsidRDefault="003F7BF1" w:rsidP="003F7BF1">
            <w:pPr>
              <w:jc w:val="right"/>
              <w:rPr>
                <w:rFonts w:cs="Arial"/>
                <w:sz w:val="14"/>
                <w:szCs w:val="14"/>
              </w:rPr>
            </w:pPr>
          </w:p>
        </w:tc>
        <w:tc>
          <w:tcPr>
            <w:tcW w:w="356" w:type="pct"/>
            <w:tcBorders>
              <w:top w:val="nil"/>
              <w:left w:val="nil"/>
              <w:bottom w:val="single" w:sz="4" w:space="0" w:color="auto"/>
              <w:right w:val="nil"/>
            </w:tcBorders>
            <w:noWrap/>
            <w:vAlign w:val="bottom"/>
          </w:tcPr>
          <w:p w:rsidR="003F7BF1" w:rsidRDefault="003F7BF1" w:rsidP="003F7BF1">
            <w:pPr>
              <w:jc w:val="right"/>
              <w:rPr>
                <w:rFonts w:cs="Arial"/>
                <w:sz w:val="14"/>
                <w:szCs w:val="14"/>
              </w:rPr>
            </w:pPr>
          </w:p>
        </w:tc>
        <w:tc>
          <w:tcPr>
            <w:tcW w:w="356" w:type="pct"/>
            <w:tcBorders>
              <w:top w:val="nil"/>
              <w:left w:val="nil"/>
              <w:bottom w:val="single" w:sz="4" w:space="0" w:color="auto"/>
              <w:right w:val="nil"/>
            </w:tcBorders>
            <w:noWrap/>
            <w:vAlign w:val="bottom"/>
          </w:tcPr>
          <w:p w:rsidR="003F7BF1" w:rsidRDefault="003F7BF1" w:rsidP="003F7BF1">
            <w:pPr>
              <w:ind w:left="-16"/>
              <w:jc w:val="right"/>
              <w:rPr>
                <w:rFonts w:cs="Arial"/>
                <w:sz w:val="14"/>
                <w:szCs w:val="14"/>
              </w:rPr>
            </w:pPr>
          </w:p>
        </w:tc>
        <w:tc>
          <w:tcPr>
            <w:tcW w:w="352" w:type="pct"/>
            <w:tcBorders>
              <w:top w:val="nil"/>
              <w:left w:val="nil"/>
              <w:bottom w:val="single" w:sz="4" w:space="0" w:color="auto"/>
              <w:right w:val="nil"/>
            </w:tcBorders>
            <w:noWrap/>
            <w:vAlign w:val="bottom"/>
          </w:tcPr>
          <w:p w:rsidR="003F7BF1" w:rsidRDefault="003F7BF1" w:rsidP="003F7BF1">
            <w:pPr>
              <w:ind w:left="-62"/>
              <w:jc w:val="right"/>
              <w:rPr>
                <w:rFonts w:cs="Arial"/>
                <w:sz w:val="14"/>
                <w:szCs w:val="14"/>
              </w:rPr>
            </w:pPr>
          </w:p>
        </w:tc>
        <w:tc>
          <w:tcPr>
            <w:tcW w:w="356" w:type="pct"/>
            <w:tcBorders>
              <w:top w:val="nil"/>
              <w:left w:val="nil"/>
              <w:bottom w:val="single" w:sz="4" w:space="0" w:color="auto"/>
              <w:right w:val="nil"/>
            </w:tcBorders>
            <w:noWrap/>
            <w:vAlign w:val="bottom"/>
          </w:tcPr>
          <w:p w:rsidR="003F7BF1" w:rsidRDefault="003F7BF1" w:rsidP="003F7BF1">
            <w:pPr>
              <w:ind w:left="-62"/>
              <w:jc w:val="right"/>
              <w:rPr>
                <w:rFonts w:cs="Arial"/>
                <w:sz w:val="14"/>
                <w:szCs w:val="14"/>
              </w:rPr>
            </w:pPr>
          </w:p>
        </w:tc>
        <w:tc>
          <w:tcPr>
            <w:tcW w:w="356" w:type="pct"/>
            <w:tcBorders>
              <w:top w:val="nil"/>
              <w:left w:val="nil"/>
              <w:bottom w:val="single" w:sz="4" w:space="0" w:color="auto"/>
              <w:right w:val="nil"/>
            </w:tcBorders>
            <w:noWrap/>
            <w:vAlign w:val="bottom"/>
          </w:tcPr>
          <w:p w:rsidR="003F7BF1" w:rsidRDefault="003F7BF1" w:rsidP="003F7BF1">
            <w:pPr>
              <w:ind w:left="-96"/>
              <w:jc w:val="right"/>
              <w:rPr>
                <w:rFonts w:cs="Arial"/>
                <w:sz w:val="14"/>
                <w:szCs w:val="14"/>
              </w:rPr>
            </w:pPr>
          </w:p>
        </w:tc>
        <w:tc>
          <w:tcPr>
            <w:tcW w:w="356" w:type="pct"/>
            <w:tcBorders>
              <w:top w:val="nil"/>
              <w:left w:val="nil"/>
              <w:bottom w:val="single" w:sz="4" w:space="0" w:color="auto"/>
              <w:right w:val="nil"/>
            </w:tcBorders>
            <w:noWrap/>
            <w:vAlign w:val="bottom"/>
          </w:tcPr>
          <w:p w:rsidR="003F7BF1" w:rsidRDefault="003F7BF1" w:rsidP="003F7BF1">
            <w:pPr>
              <w:ind w:left="-86"/>
              <w:jc w:val="right"/>
              <w:rPr>
                <w:rFonts w:cs="Arial"/>
                <w:sz w:val="14"/>
                <w:szCs w:val="14"/>
              </w:rPr>
            </w:pPr>
          </w:p>
        </w:tc>
        <w:tc>
          <w:tcPr>
            <w:tcW w:w="356" w:type="pct"/>
            <w:tcBorders>
              <w:top w:val="nil"/>
              <w:left w:val="nil"/>
              <w:bottom w:val="single" w:sz="4" w:space="0" w:color="auto"/>
              <w:right w:val="nil"/>
            </w:tcBorders>
            <w:noWrap/>
            <w:vAlign w:val="bottom"/>
          </w:tcPr>
          <w:p w:rsidR="003F7BF1" w:rsidRDefault="003F7BF1" w:rsidP="003F7BF1">
            <w:pPr>
              <w:ind w:left="-132"/>
              <w:jc w:val="right"/>
              <w:rPr>
                <w:rFonts w:cs="Arial"/>
                <w:sz w:val="14"/>
                <w:szCs w:val="14"/>
              </w:rPr>
            </w:pPr>
          </w:p>
        </w:tc>
        <w:tc>
          <w:tcPr>
            <w:tcW w:w="296" w:type="pct"/>
            <w:tcBorders>
              <w:top w:val="nil"/>
              <w:left w:val="nil"/>
              <w:bottom w:val="single" w:sz="4" w:space="0" w:color="auto"/>
              <w:right w:val="nil"/>
            </w:tcBorders>
            <w:noWrap/>
            <w:vAlign w:val="bottom"/>
          </w:tcPr>
          <w:p w:rsidR="003F7BF1" w:rsidRDefault="003F7BF1" w:rsidP="003F7BF1">
            <w:pPr>
              <w:jc w:val="right"/>
              <w:rPr>
                <w:rFonts w:cs="Arial"/>
                <w:sz w:val="14"/>
                <w:szCs w:val="14"/>
              </w:rPr>
            </w:pPr>
          </w:p>
        </w:tc>
        <w:tc>
          <w:tcPr>
            <w:tcW w:w="394" w:type="pct"/>
            <w:tcBorders>
              <w:top w:val="nil"/>
              <w:left w:val="nil"/>
              <w:bottom w:val="single" w:sz="4" w:space="0" w:color="auto"/>
              <w:right w:val="nil"/>
            </w:tcBorders>
            <w:noWrap/>
            <w:vAlign w:val="bottom"/>
          </w:tcPr>
          <w:p w:rsidR="003F7BF1" w:rsidRDefault="003F7BF1" w:rsidP="003F7BF1">
            <w:pPr>
              <w:ind w:left="-103"/>
              <w:jc w:val="right"/>
              <w:rPr>
                <w:rFonts w:cs="Arial"/>
                <w:sz w:val="14"/>
                <w:szCs w:val="14"/>
              </w:rPr>
            </w:pPr>
          </w:p>
        </w:tc>
        <w:tc>
          <w:tcPr>
            <w:tcW w:w="299" w:type="pct"/>
            <w:tcBorders>
              <w:top w:val="nil"/>
              <w:left w:val="nil"/>
              <w:bottom w:val="single" w:sz="4" w:space="0" w:color="auto"/>
              <w:right w:val="nil"/>
            </w:tcBorders>
            <w:noWrap/>
            <w:vAlign w:val="bottom"/>
          </w:tcPr>
          <w:p w:rsidR="003F7BF1" w:rsidRDefault="003F7BF1" w:rsidP="003F7BF1">
            <w:pPr>
              <w:jc w:val="right"/>
              <w:rPr>
                <w:rFonts w:cs="Arial"/>
                <w:sz w:val="14"/>
                <w:szCs w:val="14"/>
              </w:rPr>
            </w:pPr>
          </w:p>
        </w:tc>
      </w:tr>
      <w:tr w:rsidR="003F7BF1" w:rsidTr="003F7BF1">
        <w:trPr>
          <w:trHeight w:val="257"/>
        </w:trPr>
        <w:tc>
          <w:tcPr>
            <w:tcW w:w="1117" w:type="pct"/>
            <w:tcBorders>
              <w:top w:val="single" w:sz="4" w:space="0" w:color="auto"/>
              <w:left w:val="nil"/>
              <w:bottom w:val="single" w:sz="4" w:space="0" w:color="auto"/>
              <w:right w:val="nil"/>
            </w:tcBorders>
            <w:noWrap/>
            <w:vAlign w:val="bottom"/>
            <w:hideMark/>
          </w:tcPr>
          <w:p w:rsidR="003F7BF1" w:rsidRDefault="003F7BF1" w:rsidP="003F7BF1">
            <w:pPr>
              <w:rPr>
                <w:rFonts w:cs="Arial"/>
                <w:b/>
                <w:bCs/>
                <w:sz w:val="15"/>
                <w:szCs w:val="15"/>
              </w:rPr>
            </w:pPr>
            <w:r>
              <w:rPr>
                <w:rFonts w:cs="Arial"/>
                <w:b/>
                <w:bCs/>
                <w:sz w:val="15"/>
                <w:szCs w:val="15"/>
              </w:rPr>
              <w:t>Assenze di diritto</w:t>
            </w:r>
          </w:p>
        </w:tc>
        <w:tc>
          <w:tcPr>
            <w:tcW w:w="406" w:type="pct"/>
            <w:tcBorders>
              <w:top w:val="single" w:sz="4" w:space="0" w:color="auto"/>
              <w:left w:val="nil"/>
              <w:bottom w:val="single" w:sz="4" w:space="0" w:color="auto"/>
              <w:right w:val="nil"/>
            </w:tcBorders>
            <w:noWrap/>
            <w:vAlign w:val="bottom"/>
          </w:tcPr>
          <w:p w:rsidR="003F7BF1" w:rsidRDefault="003F7BF1" w:rsidP="003F7BF1">
            <w:pPr>
              <w:jc w:val="right"/>
              <w:rPr>
                <w:rFonts w:cs="Arial"/>
                <w:sz w:val="14"/>
                <w:szCs w:val="14"/>
              </w:rPr>
            </w:pPr>
          </w:p>
        </w:tc>
        <w:tc>
          <w:tcPr>
            <w:tcW w:w="356" w:type="pct"/>
            <w:tcBorders>
              <w:top w:val="single" w:sz="4" w:space="0" w:color="auto"/>
              <w:left w:val="nil"/>
              <w:bottom w:val="single" w:sz="4" w:space="0" w:color="auto"/>
              <w:right w:val="nil"/>
            </w:tcBorders>
            <w:noWrap/>
            <w:vAlign w:val="bottom"/>
          </w:tcPr>
          <w:p w:rsidR="003F7BF1" w:rsidRDefault="003F7BF1" w:rsidP="003F7BF1">
            <w:pPr>
              <w:jc w:val="right"/>
              <w:rPr>
                <w:rFonts w:cs="Arial"/>
                <w:sz w:val="14"/>
                <w:szCs w:val="14"/>
              </w:rPr>
            </w:pPr>
          </w:p>
        </w:tc>
        <w:tc>
          <w:tcPr>
            <w:tcW w:w="356" w:type="pct"/>
            <w:tcBorders>
              <w:top w:val="single" w:sz="4" w:space="0" w:color="auto"/>
              <w:left w:val="nil"/>
              <w:bottom w:val="single" w:sz="4" w:space="0" w:color="auto"/>
              <w:right w:val="nil"/>
            </w:tcBorders>
            <w:noWrap/>
            <w:vAlign w:val="bottom"/>
          </w:tcPr>
          <w:p w:rsidR="003F7BF1" w:rsidRDefault="003F7BF1" w:rsidP="003F7BF1">
            <w:pPr>
              <w:ind w:left="-16"/>
              <w:jc w:val="right"/>
              <w:rPr>
                <w:rFonts w:cs="Arial"/>
                <w:sz w:val="14"/>
                <w:szCs w:val="14"/>
              </w:rPr>
            </w:pPr>
          </w:p>
        </w:tc>
        <w:tc>
          <w:tcPr>
            <w:tcW w:w="352" w:type="pct"/>
            <w:tcBorders>
              <w:top w:val="single" w:sz="4" w:space="0" w:color="auto"/>
              <w:left w:val="nil"/>
              <w:bottom w:val="single" w:sz="4" w:space="0" w:color="auto"/>
              <w:right w:val="nil"/>
            </w:tcBorders>
            <w:noWrap/>
            <w:vAlign w:val="bottom"/>
          </w:tcPr>
          <w:p w:rsidR="003F7BF1" w:rsidRDefault="003F7BF1" w:rsidP="003F7BF1">
            <w:pPr>
              <w:ind w:left="-62"/>
              <w:jc w:val="right"/>
              <w:rPr>
                <w:rFonts w:cs="Arial"/>
                <w:sz w:val="14"/>
                <w:szCs w:val="14"/>
              </w:rPr>
            </w:pPr>
          </w:p>
        </w:tc>
        <w:tc>
          <w:tcPr>
            <w:tcW w:w="356" w:type="pct"/>
            <w:tcBorders>
              <w:top w:val="single" w:sz="4" w:space="0" w:color="auto"/>
              <w:left w:val="nil"/>
              <w:bottom w:val="single" w:sz="4" w:space="0" w:color="auto"/>
              <w:right w:val="nil"/>
            </w:tcBorders>
            <w:noWrap/>
            <w:vAlign w:val="bottom"/>
          </w:tcPr>
          <w:p w:rsidR="003F7BF1" w:rsidRDefault="003F7BF1" w:rsidP="003F7BF1">
            <w:pPr>
              <w:ind w:left="-62"/>
              <w:jc w:val="right"/>
              <w:rPr>
                <w:rFonts w:cs="Arial"/>
                <w:sz w:val="14"/>
                <w:szCs w:val="14"/>
              </w:rPr>
            </w:pPr>
          </w:p>
        </w:tc>
        <w:tc>
          <w:tcPr>
            <w:tcW w:w="356" w:type="pct"/>
            <w:tcBorders>
              <w:top w:val="single" w:sz="4" w:space="0" w:color="auto"/>
              <w:left w:val="nil"/>
              <w:bottom w:val="single" w:sz="4" w:space="0" w:color="auto"/>
              <w:right w:val="nil"/>
            </w:tcBorders>
            <w:noWrap/>
            <w:vAlign w:val="bottom"/>
          </w:tcPr>
          <w:p w:rsidR="003F7BF1" w:rsidRDefault="003F7BF1" w:rsidP="003F7BF1">
            <w:pPr>
              <w:ind w:left="-96"/>
              <w:jc w:val="right"/>
              <w:rPr>
                <w:rFonts w:cs="Arial"/>
                <w:sz w:val="14"/>
                <w:szCs w:val="14"/>
              </w:rPr>
            </w:pPr>
          </w:p>
        </w:tc>
        <w:tc>
          <w:tcPr>
            <w:tcW w:w="356" w:type="pct"/>
            <w:tcBorders>
              <w:top w:val="single" w:sz="4" w:space="0" w:color="auto"/>
              <w:left w:val="nil"/>
              <w:bottom w:val="single" w:sz="4" w:space="0" w:color="auto"/>
              <w:right w:val="nil"/>
            </w:tcBorders>
            <w:noWrap/>
            <w:vAlign w:val="bottom"/>
          </w:tcPr>
          <w:p w:rsidR="003F7BF1" w:rsidRDefault="003F7BF1" w:rsidP="003F7BF1">
            <w:pPr>
              <w:ind w:left="-86"/>
              <w:jc w:val="right"/>
              <w:rPr>
                <w:rFonts w:cs="Arial"/>
                <w:sz w:val="14"/>
                <w:szCs w:val="14"/>
              </w:rPr>
            </w:pPr>
          </w:p>
        </w:tc>
        <w:tc>
          <w:tcPr>
            <w:tcW w:w="356" w:type="pct"/>
            <w:tcBorders>
              <w:top w:val="single" w:sz="4" w:space="0" w:color="auto"/>
              <w:left w:val="nil"/>
              <w:bottom w:val="single" w:sz="4" w:space="0" w:color="auto"/>
              <w:right w:val="nil"/>
            </w:tcBorders>
            <w:noWrap/>
            <w:vAlign w:val="bottom"/>
          </w:tcPr>
          <w:p w:rsidR="003F7BF1" w:rsidRDefault="003F7BF1" w:rsidP="003F7BF1">
            <w:pPr>
              <w:ind w:left="-132"/>
              <w:jc w:val="right"/>
              <w:rPr>
                <w:rFonts w:cs="Arial"/>
                <w:sz w:val="14"/>
                <w:szCs w:val="14"/>
              </w:rPr>
            </w:pPr>
          </w:p>
        </w:tc>
        <w:tc>
          <w:tcPr>
            <w:tcW w:w="296" w:type="pct"/>
            <w:tcBorders>
              <w:top w:val="single" w:sz="4" w:space="0" w:color="auto"/>
              <w:left w:val="nil"/>
              <w:bottom w:val="single" w:sz="4" w:space="0" w:color="auto"/>
              <w:right w:val="nil"/>
            </w:tcBorders>
            <w:noWrap/>
            <w:vAlign w:val="bottom"/>
          </w:tcPr>
          <w:p w:rsidR="003F7BF1" w:rsidRDefault="003F7BF1" w:rsidP="003F7BF1">
            <w:pPr>
              <w:jc w:val="right"/>
              <w:rPr>
                <w:rFonts w:cs="Arial"/>
                <w:sz w:val="14"/>
                <w:szCs w:val="14"/>
              </w:rPr>
            </w:pPr>
          </w:p>
        </w:tc>
        <w:tc>
          <w:tcPr>
            <w:tcW w:w="394" w:type="pct"/>
            <w:tcBorders>
              <w:top w:val="single" w:sz="4" w:space="0" w:color="auto"/>
              <w:left w:val="nil"/>
              <w:bottom w:val="single" w:sz="4" w:space="0" w:color="auto"/>
              <w:right w:val="nil"/>
            </w:tcBorders>
            <w:noWrap/>
            <w:vAlign w:val="bottom"/>
          </w:tcPr>
          <w:p w:rsidR="003F7BF1" w:rsidRDefault="003F7BF1" w:rsidP="003F7BF1">
            <w:pPr>
              <w:ind w:left="-103"/>
              <w:jc w:val="right"/>
              <w:rPr>
                <w:rFonts w:cs="Arial"/>
                <w:sz w:val="14"/>
                <w:szCs w:val="14"/>
              </w:rPr>
            </w:pPr>
          </w:p>
        </w:tc>
        <w:tc>
          <w:tcPr>
            <w:tcW w:w="299" w:type="pct"/>
            <w:tcBorders>
              <w:top w:val="single" w:sz="4" w:space="0" w:color="auto"/>
              <w:left w:val="nil"/>
              <w:bottom w:val="single" w:sz="4" w:space="0" w:color="auto"/>
              <w:right w:val="nil"/>
            </w:tcBorders>
            <w:noWrap/>
            <w:vAlign w:val="bottom"/>
          </w:tcPr>
          <w:p w:rsidR="003F7BF1" w:rsidRDefault="003F7BF1" w:rsidP="003F7BF1">
            <w:pPr>
              <w:jc w:val="right"/>
              <w:rPr>
                <w:rFonts w:cs="Arial"/>
                <w:sz w:val="14"/>
                <w:szCs w:val="14"/>
              </w:rPr>
            </w:pPr>
          </w:p>
        </w:tc>
      </w:tr>
      <w:tr w:rsidR="003F7BF1" w:rsidRPr="0079265D" w:rsidTr="003F7BF1">
        <w:trPr>
          <w:trHeight w:val="257"/>
        </w:trPr>
        <w:tc>
          <w:tcPr>
            <w:tcW w:w="1117" w:type="pct"/>
            <w:tcBorders>
              <w:top w:val="single" w:sz="4" w:space="0" w:color="auto"/>
              <w:left w:val="nil"/>
              <w:bottom w:val="nil"/>
              <w:right w:val="nil"/>
            </w:tcBorders>
            <w:noWrap/>
            <w:vAlign w:val="bottom"/>
            <w:hideMark/>
          </w:tcPr>
          <w:p w:rsidR="003F7BF1" w:rsidRPr="0079265D" w:rsidRDefault="003F7BF1" w:rsidP="003F7BF1">
            <w:pPr>
              <w:rPr>
                <w:rFonts w:cs="Arial"/>
                <w:b/>
                <w:sz w:val="15"/>
                <w:szCs w:val="15"/>
              </w:rPr>
            </w:pPr>
            <w:r w:rsidRPr="0079265D">
              <w:rPr>
                <w:rFonts w:cs="Arial"/>
                <w:b/>
                <w:sz w:val="15"/>
                <w:szCs w:val="15"/>
              </w:rPr>
              <w:t>Vacanze</w:t>
            </w:r>
          </w:p>
        </w:tc>
        <w:tc>
          <w:tcPr>
            <w:tcW w:w="406" w:type="pct"/>
            <w:tcBorders>
              <w:top w:val="nil"/>
              <w:left w:val="nil"/>
              <w:bottom w:val="nil"/>
              <w:right w:val="nil"/>
            </w:tcBorders>
            <w:shd w:val="clear" w:color="D9D9D9" w:fill="FFFFFF"/>
            <w:noWrap/>
            <w:vAlign w:val="bottom"/>
          </w:tcPr>
          <w:p w:rsidR="003F7BF1" w:rsidRPr="0079265D" w:rsidRDefault="003F7BF1" w:rsidP="003F7BF1">
            <w:pPr>
              <w:jc w:val="right"/>
              <w:rPr>
                <w:rFonts w:cs="Arial"/>
                <w:b/>
                <w:color w:val="000000"/>
                <w:sz w:val="14"/>
                <w:szCs w:val="14"/>
                <w:lang w:eastAsia="it-CH"/>
              </w:rPr>
            </w:pPr>
            <w:r w:rsidRPr="0079265D">
              <w:rPr>
                <w:rFonts w:cs="Arial"/>
                <w:b/>
                <w:color w:val="000000"/>
                <w:sz w:val="14"/>
                <w:szCs w:val="14"/>
              </w:rPr>
              <w:t>2'137.85</w:t>
            </w:r>
          </w:p>
        </w:tc>
        <w:tc>
          <w:tcPr>
            <w:tcW w:w="356" w:type="pct"/>
            <w:tcBorders>
              <w:top w:val="nil"/>
              <w:left w:val="nil"/>
              <w:bottom w:val="nil"/>
              <w:right w:val="nil"/>
            </w:tcBorders>
            <w:shd w:val="clear" w:color="D9D9D9" w:fill="FFFFFF"/>
            <w:noWrap/>
            <w:vAlign w:val="bottom"/>
          </w:tcPr>
          <w:p w:rsidR="003F7BF1" w:rsidRPr="0079265D" w:rsidRDefault="003F7BF1" w:rsidP="003F7BF1">
            <w:pPr>
              <w:jc w:val="right"/>
              <w:rPr>
                <w:rFonts w:cs="Arial"/>
                <w:b/>
                <w:color w:val="000000"/>
                <w:sz w:val="14"/>
                <w:szCs w:val="14"/>
              </w:rPr>
            </w:pPr>
            <w:r w:rsidRPr="0079265D">
              <w:rPr>
                <w:rFonts w:cs="Arial"/>
                <w:b/>
                <w:color w:val="000000"/>
                <w:sz w:val="14"/>
                <w:szCs w:val="14"/>
              </w:rPr>
              <w:t>18'569.37</w:t>
            </w:r>
          </w:p>
        </w:tc>
        <w:tc>
          <w:tcPr>
            <w:tcW w:w="356" w:type="pct"/>
            <w:tcBorders>
              <w:top w:val="nil"/>
              <w:left w:val="nil"/>
              <w:bottom w:val="nil"/>
              <w:right w:val="nil"/>
            </w:tcBorders>
            <w:shd w:val="clear" w:color="D9D9D9" w:fill="FFFFFF"/>
            <w:noWrap/>
            <w:vAlign w:val="bottom"/>
          </w:tcPr>
          <w:p w:rsidR="003F7BF1" w:rsidRPr="0079265D" w:rsidRDefault="003F7BF1" w:rsidP="003F7BF1">
            <w:pPr>
              <w:jc w:val="right"/>
              <w:rPr>
                <w:rFonts w:cs="Arial"/>
                <w:b/>
                <w:color w:val="000000"/>
                <w:sz w:val="14"/>
                <w:szCs w:val="14"/>
              </w:rPr>
            </w:pPr>
            <w:r w:rsidRPr="0079265D">
              <w:rPr>
                <w:rFonts w:cs="Arial"/>
                <w:b/>
                <w:color w:val="000000"/>
                <w:sz w:val="14"/>
                <w:szCs w:val="14"/>
              </w:rPr>
              <w:t>18'763.65</w:t>
            </w:r>
          </w:p>
        </w:tc>
        <w:tc>
          <w:tcPr>
            <w:tcW w:w="352" w:type="pct"/>
            <w:tcBorders>
              <w:top w:val="nil"/>
              <w:left w:val="nil"/>
              <w:bottom w:val="nil"/>
              <w:right w:val="nil"/>
            </w:tcBorders>
            <w:shd w:val="clear" w:color="D9D9D9" w:fill="FFFFFF"/>
            <w:noWrap/>
            <w:vAlign w:val="bottom"/>
          </w:tcPr>
          <w:p w:rsidR="003F7BF1" w:rsidRPr="0079265D" w:rsidRDefault="003F7BF1" w:rsidP="003F7BF1">
            <w:pPr>
              <w:jc w:val="right"/>
              <w:rPr>
                <w:rFonts w:cs="Arial"/>
                <w:b/>
                <w:color w:val="000000"/>
                <w:sz w:val="14"/>
                <w:szCs w:val="14"/>
              </w:rPr>
            </w:pPr>
            <w:r w:rsidRPr="0079265D">
              <w:rPr>
                <w:rFonts w:cs="Arial"/>
                <w:b/>
                <w:color w:val="000000"/>
                <w:sz w:val="14"/>
                <w:szCs w:val="14"/>
              </w:rPr>
              <w:t>7'788.95</w:t>
            </w:r>
          </w:p>
        </w:tc>
        <w:tc>
          <w:tcPr>
            <w:tcW w:w="356" w:type="pct"/>
            <w:tcBorders>
              <w:top w:val="nil"/>
              <w:left w:val="nil"/>
              <w:bottom w:val="nil"/>
              <w:right w:val="nil"/>
            </w:tcBorders>
            <w:shd w:val="clear" w:color="D9D9D9" w:fill="FFFFFF"/>
            <w:noWrap/>
            <w:vAlign w:val="bottom"/>
          </w:tcPr>
          <w:p w:rsidR="003F7BF1" w:rsidRPr="0079265D" w:rsidRDefault="003F7BF1" w:rsidP="003F7BF1">
            <w:pPr>
              <w:jc w:val="right"/>
              <w:rPr>
                <w:rFonts w:cs="Arial"/>
                <w:b/>
                <w:color w:val="000000"/>
                <w:sz w:val="14"/>
                <w:szCs w:val="14"/>
              </w:rPr>
            </w:pPr>
            <w:r w:rsidRPr="0079265D">
              <w:rPr>
                <w:rFonts w:cs="Arial"/>
                <w:b/>
                <w:color w:val="000000"/>
                <w:sz w:val="14"/>
                <w:szCs w:val="14"/>
              </w:rPr>
              <w:t>10'378.64</w:t>
            </w:r>
          </w:p>
        </w:tc>
        <w:tc>
          <w:tcPr>
            <w:tcW w:w="356" w:type="pct"/>
            <w:tcBorders>
              <w:top w:val="nil"/>
              <w:left w:val="nil"/>
              <w:bottom w:val="nil"/>
              <w:right w:val="nil"/>
            </w:tcBorders>
            <w:shd w:val="clear" w:color="D9D9D9" w:fill="FFFFFF"/>
            <w:noWrap/>
            <w:vAlign w:val="bottom"/>
          </w:tcPr>
          <w:p w:rsidR="003F7BF1" w:rsidRPr="0079265D" w:rsidRDefault="003F7BF1" w:rsidP="003F7BF1">
            <w:pPr>
              <w:jc w:val="right"/>
              <w:rPr>
                <w:rFonts w:cs="Arial"/>
                <w:b/>
                <w:color w:val="000000"/>
                <w:sz w:val="14"/>
                <w:szCs w:val="14"/>
              </w:rPr>
            </w:pPr>
            <w:r w:rsidRPr="0079265D">
              <w:rPr>
                <w:rFonts w:cs="Arial"/>
                <w:b/>
                <w:color w:val="000000"/>
                <w:sz w:val="14"/>
                <w:szCs w:val="14"/>
              </w:rPr>
              <w:t>11'075.25</w:t>
            </w:r>
          </w:p>
        </w:tc>
        <w:tc>
          <w:tcPr>
            <w:tcW w:w="356" w:type="pct"/>
            <w:tcBorders>
              <w:top w:val="nil"/>
              <w:left w:val="nil"/>
              <w:bottom w:val="nil"/>
              <w:right w:val="nil"/>
            </w:tcBorders>
            <w:shd w:val="clear" w:color="D9D9D9" w:fill="FFFFFF"/>
            <w:noWrap/>
            <w:vAlign w:val="bottom"/>
          </w:tcPr>
          <w:p w:rsidR="003F7BF1" w:rsidRPr="0079265D" w:rsidRDefault="003F7BF1" w:rsidP="003F7BF1">
            <w:pPr>
              <w:jc w:val="right"/>
              <w:rPr>
                <w:rFonts w:cs="Arial"/>
                <w:b/>
                <w:color w:val="000000"/>
                <w:sz w:val="14"/>
                <w:szCs w:val="14"/>
              </w:rPr>
            </w:pPr>
            <w:r w:rsidRPr="0079265D">
              <w:rPr>
                <w:rFonts w:cs="Arial"/>
                <w:b/>
                <w:color w:val="000000"/>
                <w:sz w:val="14"/>
                <w:szCs w:val="14"/>
              </w:rPr>
              <w:t>14'962.38</w:t>
            </w:r>
          </w:p>
        </w:tc>
        <w:tc>
          <w:tcPr>
            <w:tcW w:w="356" w:type="pct"/>
            <w:tcBorders>
              <w:top w:val="nil"/>
              <w:left w:val="nil"/>
              <w:bottom w:val="nil"/>
              <w:right w:val="nil"/>
            </w:tcBorders>
            <w:shd w:val="clear" w:color="D9D9D9" w:fill="FFFFFF"/>
            <w:noWrap/>
            <w:vAlign w:val="bottom"/>
          </w:tcPr>
          <w:p w:rsidR="003F7BF1" w:rsidRPr="0079265D" w:rsidRDefault="003F7BF1" w:rsidP="003F7BF1">
            <w:pPr>
              <w:jc w:val="right"/>
              <w:rPr>
                <w:rFonts w:cs="Arial"/>
                <w:b/>
                <w:color w:val="000000"/>
                <w:sz w:val="14"/>
                <w:szCs w:val="14"/>
              </w:rPr>
            </w:pPr>
            <w:r w:rsidRPr="0079265D">
              <w:rPr>
                <w:rFonts w:cs="Arial"/>
                <w:b/>
                <w:color w:val="000000"/>
                <w:sz w:val="14"/>
                <w:szCs w:val="14"/>
              </w:rPr>
              <w:t>21'588.50</w:t>
            </w:r>
          </w:p>
        </w:tc>
        <w:tc>
          <w:tcPr>
            <w:tcW w:w="296" w:type="pct"/>
            <w:tcBorders>
              <w:top w:val="nil"/>
              <w:left w:val="nil"/>
              <w:bottom w:val="nil"/>
              <w:right w:val="nil"/>
            </w:tcBorders>
            <w:shd w:val="clear" w:color="D9D9D9" w:fill="FFFFFF"/>
            <w:noWrap/>
            <w:vAlign w:val="bottom"/>
          </w:tcPr>
          <w:p w:rsidR="003F7BF1" w:rsidRPr="0079265D" w:rsidRDefault="003F7BF1" w:rsidP="003F7BF1">
            <w:pPr>
              <w:jc w:val="right"/>
              <w:rPr>
                <w:rFonts w:cs="Arial"/>
                <w:b/>
                <w:color w:val="000000"/>
                <w:sz w:val="14"/>
                <w:szCs w:val="14"/>
              </w:rPr>
            </w:pPr>
            <w:r w:rsidRPr="0079265D">
              <w:rPr>
                <w:rFonts w:cs="Arial"/>
                <w:b/>
                <w:color w:val="000000"/>
                <w:sz w:val="14"/>
                <w:szCs w:val="14"/>
              </w:rPr>
              <w:t>297.00</w:t>
            </w:r>
          </w:p>
        </w:tc>
        <w:tc>
          <w:tcPr>
            <w:tcW w:w="394" w:type="pct"/>
            <w:tcBorders>
              <w:top w:val="nil"/>
              <w:left w:val="nil"/>
              <w:bottom w:val="nil"/>
              <w:right w:val="nil"/>
            </w:tcBorders>
            <w:shd w:val="clear" w:color="D9D9D9" w:fill="FFFFFF"/>
            <w:noWrap/>
            <w:vAlign w:val="bottom"/>
          </w:tcPr>
          <w:p w:rsidR="003F7BF1" w:rsidRPr="0079265D" w:rsidRDefault="003F7BF1" w:rsidP="003F7BF1">
            <w:pPr>
              <w:jc w:val="right"/>
              <w:rPr>
                <w:rFonts w:cs="Arial"/>
                <w:b/>
                <w:color w:val="000000"/>
                <w:sz w:val="14"/>
                <w:szCs w:val="14"/>
              </w:rPr>
            </w:pPr>
            <w:r w:rsidRPr="0079265D">
              <w:rPr>
                <w:rFonts w:cs="Arial"/>
                <w:b/>
                <w:color w:val="000000"/>
                <w:sz w:val="14"/>
                <w:szCs w:val="14"/>
              </w:rPr>
              <w:t>105'561.57</w:t>
            </w:r>
          </w:p>
        </w:tc>
        <w:tc>
          <w:tcPr>
            <w:tcW w:w="299" w:type="pct"/>
            <w:tcBorders>
              <w:top w:val="nil"/>
              <w:left w:val="nil"/>
              <w:bottom w:val="nil"/>
              <w:right w:val="nil"/>
            </w:tcBorders>
            <w:shd w:val="clear" w:color="D9D9D9" w:fill="FFFFFF"/>
            <w:noWrap/>
            <w:vAlign w:val="bottom"/>
          </w:tcPr>
          <w:p w:rsidR="003F7BF1" w:rsidRPr="0079265D" w:rsidRDefault="003F7BF1" w:rsidP="003F7BF1">
            <w:pPr>
              <w:jc w:val="right"/>
              <w:rPr>
                <w:rFonts w:cs="Arial"/>
                <w:b/>
                <w:color w:val="000000"/>
                <w:sz w:val="14"/>
                <w:szCs w:val="14"/>
              </w:rPr>
            </w:pPr>
            <w:r w:rsidRPr="0079265D">
              <w:rPr>
                <w:rFonts w:cs="Arial"/>
                <w:b/>
                <w:color w:val="000000"/>
                <w:sz w:val="14"/>
                <w:szCs w:val="14"/>
              </w:rPr>
              <w:t>22.14</w:t>
            </w:r>
          </w:p>
        </w:tc>
      </w:tr>
      <w:tr w:rsidR="003F7BF1" w:rsidTr="003F7BF1">
        <w:trPr>
          <w:trHeight w:val="257"/>
        </w:trPr>
        <w:tc>
          <w:tcPr>
            <w:tcW w:w="1117" w:type="pct"/>
            <w:noWrap/>
            <w:vAlign w:val="bottom"/>
          </w:tcPr>
          <w:p w:rsidR="003F7BF1" w:rsidRDefault="003F7BF1" w:rsidP="003F7BF1">
            <w:pPr>
              <w:rPr>
                <w:rFonts w:cs="Arial"/>
                <w:sz w:val="15"/>
                <w:szCs w:val="15"/>
              </w:rPr>
            </w:pPr>
          </w:p>
        </w:tc>
        <w:tc>
          <w:tcPr>
            <w:tcW w:w="406" w:type="pct"/>
            <w:noWrap/>
            <w:vAlign w:val="bottom"/>
          </w:tcPr>
          <w:p w:rsidR="003F7BF1" w:rsidRDefault="003F7BF1" w:rsidP="003F7BF1">
            <w:pPr>
              <w:jc w:val="right"/>
              <w:rPr>
                <w:rFonts w:cs="Arial"/>
                <w:sz w:val="14"/>
                <w:szCs w:val="14"/>
              </w:rPr>
            </w:pPr>
          </w:p>
        </w:tc>
        <w:tc>
          <w:tcPr>
            <w:tcW w:w="356" w:type="pct"/>
            <w:noWrap/>
            <w:vAlign w:val="bottom"/>
          </w:tcPr>
          <w:p w:rsidR="003F7BF1" w:rsidRDefault="003F7BF1" w:rsidP="003F7BF1">
            <w:pPr>
              <w:jc w:val="right"/>
              <w:rPr>
                <w:rFonts w:cs="Arial"/>
                <w:sz w:val="14"/>
                <w:szCs w:val="14"/>
              </w:rPr>
            </w:pPr>
          </w:p>
        </w:tc>
        <w:tc>
          <w:tcPr>
            <w:tcW w:w="356" w:type="pct"/>
            <w:noWrap/>
            <w:vAlign w:val="bottom"/>
          </w:tcPr>
          <w:p w:rsidR="003F7BF1" w:rsidRDefault="003F7BF1" w:rsidP="003F7BF1">
            <w:pPr>
              <w:ind w:left="-16"/>
              <w:jc w:val="right"/>
              <w:rPr>
                <w:rFonts w:cs="Arial"/>
                <w:sz w:val="14"/>
                <w:szCs w:val="14"/>
              </w:rPr>
            </w:pPr>
          </w:p>
        </w:tc>
        <w:tc>
          <w:tcPr>
            <w:tcW w:w="352" w:type="pct"/>
            <w:noWrap/>
            <w:vAlign w:val="bottom"/>
          </w:tcPr>
          <w:p w:rsidR="003F7BF1" w:rsidRDefault="003F7BF1" w:rsidP="003F7BF1">
            <w:pPr>
              <w:ind w:left="-62"/>
              <w:jc w:val="right"/>
              <w:rPr>
                <w:rFonts w:cs="Arial"/>
                <w:sz w:val="14"/>
                <w:szCs w:val="14"/>
              </w:rPr>
            </w:pPr>
          </w:p>
        </w:tc>
        <w:tc>
          <w:tcPr>
            <w:tcW w:w="356" w:type="pct"/>
            <w:noWrap/>
            <w:vAlign w:val="bottom"/>
          </w:tcPr>
          <w:p w:rsidR="003F7BF1" w:rsidRDefault="003F7BF1" w:rsidP="003F7BF1">
            <w:pPr>
              <w:ind w:left="-62"/>
              <w:jc w:val="right"/>
              <w:rPr>
                <w:rFonts w:cs="Arial"/>
                <w:sz w:val="14"/>
                <w:szCs w:val="14"/>
              </w:rPr>
            </w:pPr>
          </w:p>
        </w:tc>
        <w:tc>
          <w:tcPr>
            <w:tcW w:w="356" w:type="pct"/>
            <w:noWrap/>
            <w:vAlign w:val="bottom"/>
          </w:tcPr>
          <w:p w:rsidR="003F7BF1" w:rsidRDefault="003F7BF1" w:rsidP="003F7BF1">
            <w:pPr>
              <w:ind w:left="-96"/>
              <w:jc w:val="right"/>
              <w:rPr>
                <w:rFonts w:cs="Arial"/>
                <w:sz w:val="14"/>
                <w:szCs w:val="14"/>
              </w:rPr>
            </w:pPr>
          </w:p>
        </w:tc>
        <w:tc>
          <w:tcPr>
            <w:tcW w:w="356" w:type="pct"/>
            <w:noWrap/>
            <w:vAlign w:val="bottom"/>
          </w:tcPr>
          <w:p w:rsidR="003F7BF1" w:rsidRDefault="003F7BF1" w:rsidP="003F7BF1">
            <w:pPr>
              <w:ind w:left="-86"/>
              <w:jc w:val="right"/>
              <w:rPr>
                <w:rFonts w:cs="Arial"/>
                <w:sz w:val="14"/>
                <w:szCs w:val="14"/>
              </w:rPr>
            </w:pPr>
          </w:p>
        </w:tc>
        <w:tc>
          <w:tcPr>
            <w:tcW w:w="356" w:type="pct"/>
            <w:noWrap/>
            <w:vAlign w:val="bottom"/>
          </w:tcPr>
          <w:p w:rsidR="003F7BF1" w:rsidRDefault="003F7BF1" w:rsidP="003F7BF1">
            <w:pPr>
              <w:ind w:left="-132"/>
              <w:jc w:val="right"/>
              <w:rPr>
                <w:rFonts w:cs="Arial"/>
                <w:sz w:val="14"/>
                <w:szCs w:val="14"/>
              </w:rPr>
            </w:pPr>
          </w:p>
        </w:tc>
        <w:tc>
          <w:tcPr>
            <w:tcW w:w="296" w:type="pct"/>
            <w:noWrap/>
            <w:vAlign w:val="bottom"/>
          </w:tcPr>
          <w:p w:rsidR="003F7BF1" w:rsidRDefault="003F7BF1" w:rsidP="003F7BF1">
            <w:pPr>
              <w:jc w:val="right"/>
              <w:rPr>
                <w:rFonts w:cs="Arial"/>
                <w:sz w:val="14"/>
                <w:szCs w:val="14"/>
              </w:rPr>
            </w:pPr>
          </w:p>
        </w:tc>
        <w:tc>
          <w:tcPr>
            <w:tcW w:w="394" w:type="pct"/>
            <w:noWrap/>
            <w:vAlign w:val="bottom"/>
          </w:tcPr>
          <w:p w:rsidR="003F7BF1" w:rsidRDefault="003F7BF1" w:rsidP="003F7BF1">
            <w:pPr>
              <w:ind w:left="-103"/>
              <w:jc w:val="right"/>
              <w:rPr>
                <w:rFonts w:cs="Arial"/>
                <w:sz w:val="14"/>
                <w:szCs w:val="14"/>
              </w:rPr>
            </w:pPr>
          </w:p>
        </w:tc>
        <w:tc>
          <w:tcPr>
            <w:tcW w:w="299" w:type="pct"/>
            <w:noWrap/>
            <w:vAlign w:val="bottom"/>
          </w:tcPr>
          <w:p w:rsidR="003F7BF1" w:rsidRDefault="003F7BF1" w:rsidP="003F7BF1">
            <w:pPr>
              <w:jc w:val="right"/>
              <w:rPr>
                <w:rFonts w:cs="Arial"/>
                <w:sz w:val="14"/>
                <w:szCs w:val="14"/>
              </w:rPr>
            </w:pPr>
          </w:p>
        </w:tc>
      </w:tr>
    </w:tbl>
    <w:p w:rsidR="00D53C9F" w:rsidRPr="00D53C9F" w:rsidRDefault="00D53C9F" w:rsidP="00D53C9F">
      <w:pPr>
        <w:rPr>
          <w:rFonts w:cs="Arial"/>
          <w:szCs w:val="24"/>
        </w:rPr>
      </w:pPr>
    </w:p>
    <w:p w:rsidR="00D53C9F" w:rsidRPr="003F7BF1" w:rsidRDefault="00D53C9F" w:rsidP="00D53C9F">
      <w:pPr>
        <w:ind w:left="113" w:hanging="113"/>
        <w:rPr>
          <w:rFonts w:cs="Arial"/>
          <w:sz w:val="20"/>
          <w:szCs w:val="20"/>
        </w:rPr>
      </w:pPr>
      <w:r w:rsidRPr="00D53C9F">
        <w:rPr>
          <w:rFonts w:cs="Arial"/>
          <w:szCs w:val="24"/>
          <w:vertAlign w:val="superscript"/>
        </w:rPr>
        <w:t>1</w:t>
      </w:r>
      <w:r w:rsidRPr="003F7BF1">
        <w:rPr>
          <w:rFonts w:cs="Arial"/>
          <w:sz w:val="20"/>
          <w:szCs w:val="20"/>
        </w:rPr>
        <w:t>Giorni di assenza diviso unità equivalenti al tempo pieno, che nel 2019 corrispondono a 4'767.01 (giorni dovuti 1'179'834.16 : 247.5 = 4'767.01 UETP).</w:t>
      </w:r>
    </w:p>
    <w:p w:rsidR="00D53C9F" w:rsidRPr="003F7BF1" w:rsidRDefault="00D53C9F" w:rsidP="00D53C9F">
      <w:pPr>
        <w:rPr>
          <w:rFonts w:cs="Arial"/>
          <w:sz w:val="20"/>
          <w:szCs w:val="20"/>
        </w:rPr>
      </w:pPr>
    </w:p>
    <w:p w:rsidR="00D53C9F" w:rsidRPr="003F7BF1" w:rsidRDefault="00D53C9F" w:rsidP="00D53C9F">
      <w:pPr>
        <w:rPr>
          <w:rFonts w:cs="Arial"/>
          <w:sz w:val="20"/>
          <w:szCs w:val="20"/>
        </w:rPr>
      </w:pPr>
      <w:r w:rsidRPr="003F7BF1">
        <w:rPr>
          <w:rFonts w:cs="Arial"/>
          <w:sz w:val="20"/>
          <w:szCs w:val="20"/>
        </w:rPr>
        <w:t>Fonte: Divisione delle risorse, Sezione delle risorse umane</w:t>
      </w:r>
    </w:p>
    <w:p w:rsidR="00D53C9F" w:rsidRDefault="00D53C9F" w:rsidP="00D53C9F">
      <w:pPr>
        <w:rPr>
          <w:rFonts w:cs="Arial"/>
          <w:noProof/>
          <w:szCs w:val="24"/>
          <w:lang w:eastAsia="it-CH"/>
        </w:rPr>
      </w:pPr>
    </w:p>
    <w:p w:rsidR="00F53D95" w:rsidRDefault="00F53D95" w:rsidP="00D53C9F">
      <w:pPr>
        <w:rPr>
          <w:rFonts w:cs="Arial"/>
          <w:noProof/>
          <w:szCs w:val="24"/>
          <w:lang w:eastAsia="it-CH"/>
        </w:rPr>
        <w:sectPr w:rsidR="00F53D95" w:rsidSect="008B4137">
          <w:footerReference w:type="default" r:id="rId14"/>
          <w:pgSz w:w="11906" w:h="16838"/>
          <w:pgMar w:top="1418" w:right="1134" w:bottom="1134" w:left="1134" w:header="709" w:footer="567" w:gutter="0"/>
          <w:cols w:space="708"/>
          <w:docGrid w:linePitch="360"/>
        </w:sectPr>
      </w:pPr>
    </w:p>
    <w:p w:rsidR="00D53C9F" w:rsidRPr="00D53C9F" w:rsidRDefault="00D53C9F" w:rsidP="00D53C9F">
      <w:pPr>
        <w:rPr>
          <w:rFonts w:cs="Arial"/>
          <w:noProof/>
          <w:szCs w:val="24"/>
          <w:lang w:eastAsia="it-CH"/>
        </w:rPr>
      </w:pPr>
      <w:r w:rsidRPr="00D53C9F">
        <w:rPr>
          <w:rFonts w:cs="Arial"/>
          <w:noProof/>
          <w:szCs w:val="24"/>
          <w:lang w:eastAsia="it-CH"/>
        </w:rPr>
        <w:lastRenderedPageBreak/>
        <w:t>L’approccio a questi dati deve sempre tenere conto anche di specificità e caratteristiche dei collaboratori sensibilmente diverse nei diversi dipartimenti. Rileviamo ad esempio il fatto che al DECS e al DSS vi sia una percentuale femminile con lavoro a tempo parziale significativamente maggiore rispetto ad altri dipartimenti. Oppure che vi sono dipartimenti e settori in cui si lavora a turni (ad esempio polizia cantonale e strutture carcerarie), situazioni diverse anche dal punto di vista del conteggio dei giorni lavorativi e delle relative percentuali delle assenze rispetto a chi non lavora a turni.</w:t>
      </w:r>
    </w:p>
    <w:p w:rsidR="00D53C9F" w:rsidRPr="00D53C9F" w:rsidRDefault="00D53C9F" w:rsidP="00D53C9F">
      <w:pPr>
        <w:rPr>
          <w:rFonts w:cs="Arial"/>
          <w:noProof/>
          <w:szCs w:val="24"/>
          <w:lang w:eastAsia="it-CH"/>
        </w:rPr>
      </w:pPr>
    </w:p>
    <w:p w:rsidR="00D53C9F" w:rsidRPr="003F7BF1" w:rsidRDefault="00D53C9F" w:rsidP="00D53C9F">
      <w:pPr>
        <w:rPr>
          <w:rFonts w:cs="Arial"/>
          <w:noProof/>
          <w:color w:val="000000" w:themeColor="text1"/>
          <w:szCs w:val="24"/>
          <w:lang w:eastAsia="it-CH"/>
        </w:rPr>
      </w:pPr>
      <w:r w:rsidRPr="003F7BF1">
        <w:rPr>
          <w:rFonts w:cs="Arial"/>
          <w:noProof/>
          <w:color w:val="000000" w:themeColor="text1"/>
          <w:szCs w:val="24"/>
          <w:lang w:eastAsia="it-CH"/>
        </w:rPr>
        <w:t>La Commissione ha chiesto un approfondimento per quanto attiene la ripartizione dei giorni di assenza per malattia nei diversi giorni della settimana declinati nei vari dipartimenti.</w:t>
      </w:r>
    </w:p>
    <w:p w:rsidR="00D53C9F" w:rsidRDefault="00D53C9F" w:rsidP="00D53C9F">
      <w:pPr>
        <w:rPr>
          <w:rFonts w:cs="Arial"/>
          <w:noProof/>
          <w:szCs w:val="24"/>
          <w:lang w:eastAsia="it-CH"/>
        </w:rPr>
      </w:pPr>
    </w:p>
    <w:p w:rsidR="00685131" w:rsidRPr="00D53C9F" w:rsidRDefault="00685131" w:rsidP="00D53C9F">
      <w:pPr>
        <w:rPr>
          <w:rFonts w:cs="Arial"/>
          <w:noProof/>
          <w:szCs w:val="24"/>
          <w:lang w:eastAsia="it-CH"/>
        </w:rPr>
      </w:pPr>
    </w:p>
    <w:p w:rsidR="00D53C9F" w:rsidRPr="00D53C9F" w:rsidRDefault="00A52CAD" w:rsidP="00D53C9F">
      <w:pPr>
        <w:rPr>
          <w:rFonts w:cs="Arial"/>
          <w:noProof/>
          <w:szCs w:val="24"/>
          <w:lang w:eastAsia="it-CH"/>
        </w:rPr>
      </w:pPr>
      <w:r w:rsidRPr="00D53C9F">
        <w:rPr>
          <w:rFonts w:cs="Arial"/>
          <w:noProof/>
          <w:szCs w:val="24"/>
          <w:lang w:eastAsia="it-CH"/>
        </w:rPr>
        <w:drawing>
          <wp:inline distT="0" distB="0" distL="0" distR="0">
            <wp:extent cx="6067425" cy="4000500"/>
            <wp:effectExtent l="0" t="0" r="0" b="0"/>
            <wp:docPr id="1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67425" cy="4000500"/>
                    </a:xfrm>
                    <a:prstGeom prst="rect">
                      <a:avLst/>
                    </a:prstGeom>
                    <a:noFill/>
                    <a:ln>
                      <a:noFill/>
                    </a:ln>
                  </pic:spPr>
                </pic:pic>
              </a:graphicData>
            </a:graphic>
          </wp:inline>
        </w:drawing>
      </w:r>
    </w:p>
    <w:p w:rsidR="00685131" w:rsidRPr="00D53C9F" w:rsidRDefault="00685131" w:rsidP="00D53C9F">
      <w:pPr>
        <w:rPr>
          <w:rFonts w:cs="Arial"/>
          <w:noProof/>
          <w:szCs w:val="24"/>
          <w:lang w:eastAsia="it-CH"/>
        </w:rPr>
      </w:pPr>
    </w:p>
    <w:p w:rsidR="00D53C9F" w:rsidRDefault="00D53C9F" w:rsidP="00D53C9F">
      <w:pPr>
        <w:rPr>
          <w:rFonts w:cs="Arial"/>
          <w:noProof/>
          <w:color w:val="000000" w:themeColor="text1"/>
          <w:szCs w:val="24"/>
          <w:lang w:eastAsia="it-CH"/>
        </w:rPr>
      </w:pPr>
      <w:r w:rsidRPr="003F7BF1">
        <w:rPr>
          <w:rFonts w:cs="Arial"/>
          <w:noProof/>
          <w:color w:val="000000" w:themeColor="text1"/>
          <w:szCs w:val="24"/>
          <w:lang w:eastAsia="it-CH"/>
        </w:rPr>
        <w:t>I dati del 2019 permettono di osservare che normalmente il numero di assenze per malattia è inferiore nella seconda parte della settimana, nei giorni di giovedì e venerdì. Una tendenza simile è riscontrabile ogni anno.</w:t>
      </w:r>
    </w:p>
    <w:p w:rsidR="007078C4" w:rsidRDefault="007078C4" w:rsidP="00D53C9F">
      <w:pPr>
        <w:rPr>
          <w:rFonts w:cs="Arial"/>
          <w:noProof/>
          <w:color w:val="000000" w:themeColor="text1"/>
          <w:szCs w:val="24"/>
          <w:lang w:eastAsia="it-CH"/>
        </w:rPr>
      </w:pPr>
    </w:p>
    <w:p w:rsidR="007078C4" w:rsidRDefault="007078C4" w:rsidP="00D53C9F">
      <w:pPr>
        <w:rPr>
          <w:rFonts w:cs="Arial"/>
          <w:noProof/>
          <w:color w:val="000000" w:themeColor="text1"/>
          <w:szCs w:val="24"/>
          <w:lang w:eastAsia="it-CH"/>
        </w:rPr>
      </w:pPr>
    </w:p>
    <w:p w:rsidR="00D53C9F" w:rsidRPr="003F7BF1" w:rsidRDefault="00D53C9F" w:rsidP="003F7BF1">
      <w:pPr>
        <w:pStyle w:val="Paragrafoelenco"/>
        <w:numPr>
          <w:ilvl w:val="1"/>
          <w:numId w:val="4"/>
        </w:numPr>
        <w:spacing w:after="120"/>
        <w:ind w:left="709" w:hanging="709"/>
        <w:contextualSpacing/>
        <w:rPr>
          <w:rFonts w:cs="Arial"/>
          <w:b/>
          <w:szCs w:val="24"/>
          <w:shd w:val="clear" w:color="auto" w:fill="FFFFFF"/>
        </w:rPr>
      </w:pPr>
      <w:r w:rsidRPr="003F7BF1">
        <w:rPr>
          <w:rFonts w:cs="Arial"/>
          <w:b/>
          <w:szCs w:val="24"/>
          <w:shd w:val="clear" w:color="auto" w:fill="FFFFFF"/>
        </w:rPr>
        <w:t>Infortuni</w:t>
      </w:r>
    </w:p>
    <w:p w:rsidR="00D53C9F" w:rsidRPr="00D53C9F" w:rsidRDefault="00D53C9F" w:rsidP="00D53C9F">
      <w:pPr>
        <w:rPr>
          <w:rFonts w:cs="Arial"/>
          <w:noProof/>
          <w:szCs w:val="24"/>
          <w:lang w:eastAsia="it-CH"/>
        </w:rPr>
      </w:pPr>
      <w:r w:rsidRPr="00D53C9F">
        <w:rPr>
          <w:rFonts w:cs="Arial"/>
          <w:noProof/>
          <w:szCs w:val="24"/>
          <w:lang w:eastAsia="it-CH"/>
        </w:rPr>
        <w:t>Le assenze per infortuni meritano un’attenzione particolare per verificarne l’evoluzione nel corso degli ultimi anni.</w:t>
      </w:r>
    </w:p>
    <w:p w:rsidR="00D53C9F" w:rsidRPr="00D53C9F" w:rsidRDefault="00D53C9F" w:rsidP="00D53C9F">
      <w:pPr>
        <w:rPr>
          <w:rFonts w:cs="Arial"/>
          <w:noProof/>
          <w:szCs w:val="24"/>
          <w:lang w:eastAsia="it-CH"/>
        </w:rPr>
      </w:pPr>
    </w:p>
    <w:p w:rsidR="00D53C9F" w:rsidRPr="00D53C9F" w:rsidRDefault="00A52CAD" w:rsidP="00D53C9F">
      <w:pPr>
        <w:rPr>
          <w:rFonts w:cs="Arial"/>
          <w:noProof/>
          <w:szCs w:val="24"/>
          <w:lang w:eastAsia="it-CH"/>
        </w:rPr>
      </w:pPr>
      <w:r w:rsidRPr="00D53C9F">
        <w:rPr>
          <w:rFonts w:cs="Arial"/>
          <w:noProof/>
          <w:szCs w:val="24"/>
          <w:lang w:eastAsia="it-CH"/>
        </w:rPr>
        <w:lastRenderedPageBreak/>
        <w:drawing>
          <wp:inline distT="0" distB="0" distL="0" distR="0">
            <wp:extent cx="5495925" cy="1885950"/>
            <wp:effectExtent l="0" t="0" r="0" b="0"/>
            <wp:docPr id="9"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95925" cy="1885950"/>
                    </a:xfrm>
                    <a:prstGeom prst="rect">
                      <a:avLst/>
                    </a:prstGeom>
                    <a:noFill/>
                    <a:ln>
                      <a:noFill/>
                    </a:ln>
                  </pic:spPr>
                </pic:pic>
              </a:graphicData>
            </a:graphic>
          </wp:inline>
        </w:drawing>
      </w:r>
    </w:p>
    <w:p w:rsidR="00D53C9F" w:rsidRPr="00D53C9F" w:rsidRDefault="00D53C9F" w:rsidP="00D53C9F">
      <w:pPr>
        <w:rPr>
          <w:rFonts w:cs="Arial"/>
          <w:noProof/>
          <w:szCs w:val="24"/>
          <w:lang w:eastAsia="it-CH"/>
        </w:rPr>
      </w:pPr>
    </w:p>
    <w:p w:rsidR="00D53C9F" w:rsidRPr="00D53C9F" w:rsidRDefault="00A52CAD" w:rsidP="00D53C9F">
      <w:pPr>
        <w:rPr>
          <w:rFonts w:cs="Arial"/>
          <w:noProof/>
          <w:szCs w:val="24"/>
          <w:lang w:eastAsia="it-CH"/>
        </w:rPr>
      </w:pPr>
      <w:r w:rsidRPr="00D53C9F">
        <w:rPr>
          <w:rFonts w:cs="Arial"/>
          <w:noProof/>
          <w:szCs w:val="24"/>
          <w:lang w:eastAsia="it-CH"/>
        </w:rPr>
        <w:drawing>
          <wp:inline distT="0" distB="0" distL="0" distR="0">
            <wp:extent cx="5203190" cy="2473325"/>
            <wp:effectExtent l="0" t="0" r="0" b="0"/>
            <wp:docPr id="7" name="Grafico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53C9F" w:rsidRPr="00D53C9F" w:rsidRDefault="00D53C9F" w:rsidP="007078C4">
      <w:pPr>
        <w:spacing w:after="120"/>
        <w:rPr>
          <w:rFonts w:cs="Arial"/>
          <w:noProof/>
          <w:szCs w:val="24"/>
          <w:lang w:eastAsia="it-CH"/>
        </w:rPr>
      </w:pPr>
    </w:p>
    <w:p w:rsidR="00D53C9F" w:rsidRPr="003F7BF1" w:rsidRDefault="00D53C9F" w:rsidP="00D53C9F">
      <w:pPr>
        <w:rPr>
          <w:rFonts w:cs="Arial"/>
          <w:noProof/>
          <w:color w:val="000000" w:themeColor="text1"/>
          <w:szCs w:val="24"/>
          <w:lang w:eastAsia="it-CH"/>
        </w:rPr>
      </w:pPr>
      <w:r w:rsidRPr="003F7BF1">
        <w:rPr>
          <w:rFonts w:cs="Arial"/>
          <w:noProof/>
          <w:color w:val="000000" w:themeColor="text1"/>
          <w:szCs w:val="24"/>
          <w:lang w:eastAsia="it-CH"/>
        </w:rPr>
        <w:t>Il numero di unità di personale assicurato (totale complessivo inclusi docenti e personale avventizio) è cresciuto costantemente nel corso degli ultimi dieci anni passando da 10’922 nel 2010 a 12'376 nel 2019 (+13%).</w:t>
      </w:r>
    </w:p>
    <w:p w:rsidR="003F7BF1" w:rsidRPr="003F7BF1" w:rsidRDefault="003F7BF1" w:rsidP="00D53C9F">
      <w:pPr>
        <w:rPr>
          <w:rFonts w:cs="Arial"/>
          <w:noProof/>
          <w:color w:val="000000" w:themeColor="text1"/>
          <w:szCs w:val="24"/>
          <w:lang w:eastAsia="it-CH"/>
        </w:rPr>
      </w:pPr>
    </w:p>
    <w:p w:rsidR="00D53C9F" w:rsidRPr="003F7BF1" w:rsidRDefault="00D53C9F" w:rsidP="00D53C9F">
      <w:pPr>
        <w:rPr>
          <w:rFonts w:cs="Arial"/>
          <w:noProof/>
          <w:color w:val="000000" w:themeColor="text1"/>
          <w:szCs w:val="24"/>
          <w:lang w:eastAsia="it-CH"/>
        </w:rPr>
      </w:pPr>
      <w:r w:rsidRPr="003F7BF1">
        <w:rPr>
          <w:rFonts w:cs="Arial"/>
          <w:noProof/>
          <w:color w:val="000000" w:themeColor="text1"/>
          <w:szCs w:val="24"/>
          <w:lang w:eastAsia="it-CH"/>
        </w:rPr>
        <w:t>La riflessione sul tema della percentuale di infortuni deve tenere conto di questa crescita. I dati cosentono di concludere che vi è stata una certa crescita degli infortuni non professionali mentre, malgrado l’aumento del numero di assicurati, il numero di infortuni professionali è rimasto costante.</w:t>
      </w:r>
    </w:p>
    <w:p w:rsidR="00D53C9F" w:rsidRPr="00D53C9F" w:rsidRDefault="00D53C9F" w:rsidP="00D53C9F">
      <w:pPr>
        <w:rPr>
          <w:rFonts w:cs="Arial"/>
          <w:noProof/>
          <w:szCs w:val="24"/>
          <w:lang w:eastAsia="it-CH"/>
        </w:rPr>
      </w:pPr>
    </w:p>
    <w:p w:rsidR="00D53C9F" w:rsidRPr="00D53C9F" w:rsidRDefault="00A52CAD" w:rsidP="00D53C9F">
      <w:pPr>
        <w:rPr>
          <w:rFonts w:cs="Arial"/>
          <w:noProof/>
          <w:szCs w:val="24"/>
          <w:lang w:eastAsia="it-CH"/>
        </w:rPr>
      </w:pPr>
      <w:r w:rsidRPr="00D53C9F">
        <w:rPr>
          <w:rFonts w:cs="Arial"/>
          <w:noProof/>
          <w:szCs w:val="24"/>
          <w:lang w:eastAsia="it-CH"/>
        </w:rPr>
        <w:lastRenderedPageBreak/>
        <w:drawing>
          <wp:inline distT="0" distB="0" distL="0" distR="0">
            <wp:extent cx="5210175" cy="2714625"/>
            <wp:effectExtent l="0" t="0" r="0" b="0"/>
            <wp:docPr id="6"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10175" cy="2714625"/>
                    </a:xfrm>
                    <a:prstGeom prst="rect">
                      <a:avLst/>
                    </a:prstGeom>
                    <a:noFill/>
                    <a:ln>
                      <a:noFill/>
                    </a:ln>
                  </pic:spPr>
                </pic:pic>
              </a:graphicData>
            </a:graphic>
          </wp:inline>
        </w:drawing>
      </w:r>
    </w:p>
    <w:p w:rsidR="007078C4" w:rsidRDefault="007078C4" w:rsidP="00D53C9F">
      <w:pPr>
        <w:rPr>
          <w:rFonts w:cs="Arial"/>
          <w:noProof/>
          <w:szCs w:val="24"/>
          <w:lang w:eastAsia="it-CH"/>
        </w:rPr>
      </w:pPr>
    </w:p>
    <w:p w:rsidR="00D53C9F" w:rsidRPr="00D53C9F" w:rsidRDefault="00D53C9F" w:rsidP="00D53C9F">
      <w:pPr>
        <w:rPr>
          <w:rFonts w:cs="Arial"/>
          <w:noProof/>
          <w:szCs w:val="24"/>
          <w:lang w:eastAsia="it-CH"/>
        </w:rPr>
      </w:pPr>
      <w:r w:rsidRPr="00D53C9F">
        <w:rPr>
          <w:rFonts w:cs="Arial"/>
          <w:noProof/>
          <w:szCs w:val="24"/>
          <w:lang w:eastAsia="it-CH"/>
        </w:rPr>
        <w:t>Sulla base dei dati del Rendiconto abbiamo voluto consolidare graficamente la situazione per meglio capire l’evoluzione degli infortuni professionalie e non professionali nel corso degli utlimi anni.</w:t>
      </w:r>
    </w:p>
    <w:p w:rsidR="00D53C9F" w:rsidRPr="00D53C9F" w:rsidRDefault="00D53C9F" w:rsidP="00D53C9F">
      <w:pPr>
        <w:rPr>
          <w:rFonts w:cs="Arial"/>
          <w:noProof/>
          <w:szCs w:val="24"/>
          <w:lang w:eastAsia="it-CH"/>
        </w:rPr>
      </w:pPr>
    </w:p>
    <w:p w:rsidR="00D53C9F" w:rsidRPr="00D53C9F" w:rsidRDefault="00A52CAD" w:rsidP="00D53C9F">
      <w:pPr>
        <w:rPr>
          <w:rFonts w:cs="Arial"/>
          <w:noProof/>
          <w:szCs w:val="24"/>
          <w:lang w:eastAsia="it-CH"/>
        </w:rPr>
      </w:pPr>
      <w:r w:rsidRPr="00D53C9F">
        <w:rPr>
          <w:rFonts w:cs="Arial"/>
          <w:noProof/>
          <w:szCs w:val="24"/>
          <w:lang w:eastAsia="it-CH"/>
        </w:rPr>
        <w:drawing>
          <wp:inline distT="0" distB="0" distL="0" distR="0">
            <wp:extent cx="5210810" cy="2437130"/>
            <wp:effectExtent l="0" t="0" r="0" b="0"/>
            <wp:docPr id="5" name="Gra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53C9F" w:rsidRPr="00D53C9F" w:rsidRDefault="00D53C9F" w:rsidP="007078C4">
      <w:pPr>
        <w:spacing w:after="120"/>
        <w:rPr>
          <w:rFonts w:cs="Arial"/>
          <w:noProof/>
          <w:szCs w:val="24"/>
          <w:lang w:eastAsia="it-CH"/>
        </w:rPr>
      </w:pPr>
    </w:p>
    <w:p w:rsidR="00D53C9F" w:rsidRPr="00D53C9F" w:rsidRDefault="00D53C9F" w:rsidP="00D53C9F">
      <w:pPr>
        <w:rPr>
          <w:rFonts w:cs="Arial"/>
          <w:noProof/>
          <w:szCs w:val="24"/>
          <w:lang w:eastAsia="it-CH"/>
        </w:rPr>
      </w:pPr>
      <w:r w:rsidRPr="00D53C9F">
        <w:rPr>
          <w:rFonts w:cs="Arial"/>
          <w:noProof/>
          <w:szCs w:val="24"/>
          <w:lang w:eastAsia="it-CH"/>
        </w:rPr>
        <w:t>I dati statistisici mostrano una certa stabilità degli infortuni siano essi professionali che non. In particolare gli infortuni professionali, quindi riconducibili alle attività professionali svolte all’interno dei servizi dello Stato, non presentano una situazione in crescita ma risultano essere piuttosto costanti.</w:t>
      </w:r>
    </w:p>
    <w:p w:rsidR="00D53C9F" w:rsidRPr="00D53C9F" w:rsidRDefault="00D53C9F" w:rsidP="00D53C9F">
      <w:pPr>
        <w:rPr>
          <w:rFonts w:cs="Arial"/>
          <w:szCs w:val="24"/>
        </w:rPr>
      </w:pPr>
    </w:p>
    <w:p w:rsidR="00D53C9F" w:rsidRPr="00D53C9F" w:rsidRDefault="00D53C9F" w:rsidP="00D53C9F">
      <w:pPr>
        <w:rPr>
          <w:rFonts w:cs="Arial"/>
          <w:szCs w:val="24"/>
        </w:rPr>
      </w:pPr>
      <w:r w:rsidRPr="00D53C9F">
        <w:rPr>
          <w:rFonts w:cs="Arial"/>
          <w:szCs w:val="24"/>
        </w:rPr>
        <w:t xml:space="preserve">Anche per quanto riguarda gli infortuni la Commissione ha chiesto il resoconto della ripartizione degli stessi per Dipartimento e nei giorni della settimana. </w:t>
      </w:r>
    </w:p>
    <w:p w:rsidR="00D53C9F" w:rsidRPr="00D53C9F" w:rsidRDefault="00D53C9F" w:rsidP="00D53C9F">
      <w:pPr>
        <w:rPr>
          <w:rFonts w:cs="Arial"/>
          <w:szCs w:val="24"/>
        </w:rPr>
      </w:pPr>
      <w:r w:rsidRPr="00D53C9F">
        <w:rPr>
          <w:rFonts w:cs="Arial"/>
          <w:szCs w:val="24"/>
        </w:rPr>
        <w:t xml:space="preserve">Dai dati del 2019, ma lo stesso vale per i gli anni precedenti, non sembra emergere una tendenza particolare. In alcuni Dipartimenti vi è un numero di assenze per infortuni maggiore a inizio settimana per altri piuttosto nella seconda metà della settimana.  </w:t>
      </w:r>
    </w:p>
    <w:p w:rsidR="00D53C9F" w:rsidRPr="00D53C9F" w:rsidRDefault="00D53C9F" w:rsidP="00D53C9F">
      <w:pPr>
        <w:rPr>
          <w:rFonts w:cs="Arial"/>
          <w:szCs w:val="24"/>
        </w:rPr>
      </w:pPr>
    </w:p>
    <w:p w:rsidR="00D53C9F" w:rsidRPr="00D53C9F" w:rsidRDefault="00A52CAD" w:rsidP="00D53C9F">
      <w:pPr>
        <w:spacing w:after="160" w:line="259" w:lineRule="auto"/>
        <w:jc w:val="left"/>
        <w:rPr>
          <w:rFonts w:cs="Arial"/>
          <w:b/>
          <w:szCs w:val="24"/>
        </w:rPr>
      </w:pPr>
      <w:r w:rsidRPr="00D53C9F">
        <w:rPr>
          <w:rFonts w:cs="Arial"/>
          <w:noProof/>
          <w:szCs w:val="24"/>
          <w:lang w:eastAsia="it-CH"/>
        </w:rPr>
        <w:lastRenderedPageBreak/>
        <w:drawing>
          <wp:inline distT="0" distB="0" distL="0" distR="0">
            <wp:extent cx="5667375" cy="3724275"/>
            <wp:effectExtent l="0" t="0" r="0" b="0"/>
            <wp:docPr id="2"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67375" cy="3724275"/>
                    </a:xfrm>
                    <a:prstGeom prst="rect">
                      <a:avLst/>
                    </a:prstGeom>
                    <a:noFill/>
                    <a:ln>
                      <a:noFill/>
                    </a:ln>
                  </pic:spPr>
                </pic:pic>
              </a:graphicData>
            </a:graphic>
          </wp:inline>
        </w:drawing>
      </w:r>
    </w:p>
    <w:p w:rsidR="00D53C9F" w:rsidRPr="00D53C9F" w:rsidRDefault="00D53C9F" w:rsidP="007078C4">
      <w:pPr>
        <w:spacing w:before="120"/>
        <w:jc w:val="left"/>
        <w:rPr>
          <w:rFonts w:cs="Arial"/>
          <w:szCs w:val="24"/>
        </w:rPr>
      </w:pPr>
      <w:r w:rsidRPr="00D53C9F">
        <w:rPr>
          <w:rFonts w:cs="Arial"/>
          <w:szCs w:val="24"/>
        </w:rPr>
        <w:t>A fronte di queste osservazioni di carattere generale, sembrerebbe opportuno una riflessione e un’analisi maggiormente approfondita sui singoli Dipartimenti.</w:t>
      </w:r>
    </w:p>
    <w:p w:rsidR="00D53C9F" w:rsidRPr="00D53C9F" w:rsidRDefault="00D53C9F" w:rsidP="00D53C9F">
      <w:pPr>
        <w:jc w:val="left"/>
        <w:rPr>
          <w:rFonts w:cs="Arial"/>
          <w:szCs w:val="24"/>
        </w:rPr>
      </w:pPr>
    </w:p>
    <w:p w:rsidR="00D53C9F" w:rsidRDefault="00D53C9F" w:rsidP="00D53C9F">
      <w:pPr>
        <w:jc w:val="left"/>
        <w:rPr>
          <w:rFonts w:cs="Arial"/>
          <w:szCs w:val="24"/>
        </w:rPr>
      </w:pPr>
    </w:p>
    <w:p w:rsidR="003F7BF1" w:rsidRPr="00D53C9F" w:rsidRDefault="003F7BF1" w:rsidP="00D53C9F">
      <w:pPr>
        <w:jc w:val="left"/>
        <w:rPr>
          <w:rFonts w:cs="Arial"/>
          <w:szCs w:val="24"/>
        </w:rPr>
      </w:pPr>
    </w:p>
    <w:p w:rsidR="00D53C9F" w:rsidRPr="00D53C9F" w:rsidRDefault="00D53C9F" w:rsidP="00D2062E">
      <w:pPr>
        <w:pStyle w:val="Titolo1"/>
      </w:pPr>
      <w:r w:rsidRPr="00D53C9F">
        <w:t xml:space="preserve">Alcuni settori delicati </w:t>
      </w:r>
    </w:p>
    <w:p w:rsidR="00D53C9F" w:rsidRPr="00D53C9F" w:rsidRDefault="003F7BF1" w:rsidP="00D2062E">
      <w:pPr>
        <w:pStyle w:val="Titolo2"/>
      </w:pPr>
      <w:r>
        <w:t>4.1</w:t>
      </w:r>
      <w:r>
        <w:tab/>
      </w:r>
      <w:r w:rsidR="00D53C9F" w:rsidRPr="00D53C9F">
        <w:t>Confronto interno all’AC</w:t>
      </w:r>
    </w:p>
    <w:p w:rsidR="00D53C9F" w:rsidRPr="00D53C9F" w:rsidRDefault="00D53C9F" w:rsidP="00D53C9F">
      <w:pPr>
        <w:pStyle w:val="Testonotaapidipagina"/>
        <w:spacing w:before="120"/>
        <w:rPr>
          <w:rFonts w:cs="Arial"/>
          <w:sz w:val="24"/>
          <w:szCs w:val="24"/>
        </w:rPr>
      </w:pPr>
      <w:r w:rsidRPr="00D53C9F">
        <w:rPr>
          <w:rFonts w:cs="Arial"/>
          <w:sz w:val="24"/>
          <w:szCs w:val="24"/>
        </w:rPr>
        <w:t>La sezione risorse umane ha focalizzato la propria attenzione nell’analisi delle assenze per malattia nei settori che secondo diversi studi scientifici avrebbero dovuto presentare i rischi maggiori rispetto alla normale Amministrazione cantonale quali l’OSC, la polizia cantonale, le Strutture carcerarie e i Servizi della manutenzione stradale.</w:t>
      </w:r>
    </w:p>
    <w:p w:rsidR="00D53C9F" w:rsidRPr="00D53C9F" w:rsidRDefault="00D53C9F" w:rsidP="00D53C9F">
      <w:pPr>
        <w:pStyle w:val="Testonotaapidipagina"/>
        <w:spacing w:before="120"/>
        <w:rPr>
          <w:rFonts w:cs="Arial"/>
          <w:sz w:val="24"/>
          <w:szCs w:val="24"/>
        </w:rPr>
      </w:pPr>
      <w:r w:rsidRPr="00D53C9F">
        <w:rPr>
          <w:rFonts w:cs="Arial"/>
          <w:sz w:val="24"/>
          <w:szCs w:val="24"/>
        </w:rPr>
        <w:t>La tabella indica il valore medio sugli anni 2011-2018.</w:t>
      </w:r>
    </w:p>
    <w:p w:rsidR="00D53C9F" w:rsidRPr="00D53C9F" w:rsidRDefault="00D53C9F" w:rsidP="00D53C9F">
      <w:pPr>
        <w:rPr>
          <w:rFonts w:cs="Arial"/>
          <w:szCs w:val="24"/>
        </w:rPr>
      </w:pPr>
    </w:p>
    <w:tbl>
      <w:tblPr>
        <w:tblW w:w="8080" w:type="dxa"/>
        <w:tblInd w:w="-10" w:type="dxa"/>
        <w:tblCellMar>
          <w:left w:w="70" w:type="dxa"/>
          <w:right w:w="70" w:type="dxa"/>
        </w:tblCellMar>
        <w:tblLook w:val="04A0" w:firstRow="1" w:lastRow="0" w:firstColumn="1" w:lastColumn="0" w:noHBand="0" w:noVBand="1"/>
      </w:tblPr>
      <w:tblGrid>
        <w:gridCol w:w="2240"/>
        <w:gridCol w:w="2019"/>
        <w:gridCol w:w="1229"/>
        <w:gridCol w:w="678"/>
        <w:gridCol w:w="708"/>
        <w:gridCol w:w="1206"/>
      </w:tblGrid>
      <w:tr w:rsidR="00D53C9F" w:rsidRPr="003F7BF1" w:rsidTr="00D53C9F">
        <w:trPr>
          <w:trHeight w:val="255"/>
        </w:trPr>
        <w:tc>
          <w:tcPr>
            <w:tcW w:w="2240" w:type="dxa"/>
            <w:tcBorders>
              <w:top w:val="single" w:sz="8" w:space="0" w:color="auto"/>
              <w:left w:val="single" w:sz="8" w:space="0" w:color="auto"/>
              <w:bottom w:val="nil"/>
              <w:right w:val="single" w:sz="8" w:space="0" w:color="auto"/>
            </w:tcBorders>
            <w:shd w:val="clear" w:color="auto" w:fill="auto"/>
            <w:vAlign w:val="center"/>
            <w:hideMark/>
          </w:tcPr>
          <w:p w:rsidR="00D53C9F" w:rsidRPr="003F7BF1" w:rsidRDefault="00D53C9F" w:rsidP="00D53C9F">
            <w:pPr>
              <w:rPr>
                <w:rFonts w:cs="Arial"/>
                <w:b/>
                <w:bCs/>
                <w:color w:val="000000"/>
                <w:sz w:val="20"/>
                <w:szCs w:val="20"/>
                <w:lang w:eastAsia="it-CH"/>
              </w:rPr>
            </w:pPr>
          </w:p>
        </w:tc>
        <w:tc>
          <w:tcPr>
            <w:tcW w:w="14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3C9F" w:rsidRPr="003F7BF1" w:rsidRDefault="00D53C9F" w:rsidP="00D53C9F">
            <w:pPr>
              <w:jc w:val="center"/>
              <w:rPr>
                <w:rFonts w:cs="Arial"/>
                <w:b/>
                <w:bCs/>
                <w:color w:val="000000"/>
                <w:sz w:val="20"/>
                <w:szCs w:val="20"/>
                <w:lang w:eastAsia="it-CH"/>
              </w:rPr>
            </w:pPr>
            <w:r w:rsidRPr="003F7BF1">
              <w:rPr>
                <w:rFonts w:cs="Arial"/>
                <w:b/>
                <w:bCs/>
                <w:color w:val="000000"/>
                <w:sz w:val="20"/>
                <w:szCs w:val="20"/>
                <w:lang w:eastAsia="it-CH"/>
              </w:rPr>
              <w:t xml:space="preserve">media assenza </w:t>
            </w:r>
            <w:r w:rsidRPr="003F7BF1">
              <w:rPr>
                <w:rFonts w:cs="Arial"/>
                <w:b/>
                <w:bCs/>
                <w:color w:val="000000"/>
                <w:sz w:val="20"/>
                <w:szCs w:val="20"/>
                <w:u w:val="single"/>
                <w:lang w:eastAsia="it-CH"/>
              </w:rPr>
              <w:t>giorni</w:t>
            </w:r>
            <w:r w:rsidRPr="003F7BF1">
              <w:rPr>
                <w:rFonts w:cs="Arial"/>
                <w:b/>
                <w:bCs/>
                <w:color w:val="000000"/>
                <w:sz w:val="20"/>
                <w:szCs w:val="20"/>
                <w:lang w:eastAsia="it-CH"/>
              </w:rPr>
              <w:t>/collaboratore</w:t>
            </w:r>
          </w:p>
        </w:tc>
        <w:tc>
          <w:tcPr>
            <w:tcW w:w="12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3C9F" w:rsidRPr="003F7BF1" w:rsidRDefault="00D53C9F" w:rsidP="00D53C9F">
            <w:pPr>
              <w:jc w:val="center"/>
              <w:rPr>
                <w:rFonts w:cs="Arial"/>
                <w:b/>
                <w:bCs/>
                <w:color w:val="000000"/>
                <w:sz w:val="20"/>
                <w:szCs w:val="20"/>
                <w:lang w:eastAsia="it-CH"/>
              </w:rPr>
            </w:pPr>
            <w:r w:rsidRPr="003F7BF1">
              <w:rPr>
                <w:rFonts w:cs="Arial"/>
                <w:b/>
                <w:bCs/>
                <w:color w:val="000000"/>
                <w:sz w:val="20"/>
                <w:szCs w:val="20"/>
                <w:lang w:eastAsia="it-CH"/>
              </w:rPr>
              <w:t>INFORTUNI</w:t>
            </w:r>
          </w:p>
        </w:tc>
        <w:tc>
          <w:tcPr>
            <w:tcW w:w="9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3C9F" w:rsidRPr="003F7BF1" w:rsidRDefault="00D53C9F" w:rsidP="00D53C9F">
            <w:pPr>
              <w:jc w:val="center"/>
              <w:rPr>
                <w:rFonts w:cs="Arial"/>
                <w:color w:val="000000"/>
                <w:sz w:val="20"/>
                <w:szCs w:val="20"/>
                <w:lang w:eastAsia="it-CH"/>
              </w:rPr>
            </w:pPr>
            <w:r w:rsidRPr="003F7BF1">
              <w:rPr>
                <w:rFonts w:cs="Arial"/>
                <w:color w:val="000000"/>
                <w:sz w:val="20"/>
                <w:szCs w:val="20"/>
                <w:lang w:eastAsia="it-CH"/>
              </w:rPr>
              <w:t>INP</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3C9F" w:rsidRPr="003F7BF1" w:rsidRDefault="00D53C9F" w:rsidP="00D53C9F">
            <w:pPr>
              <w:jc w:val="center"/>
              <w:rPr>
                <w:rFonts w:cs="Arial"/>
                <w:color w:val="000000"/>
                <w:sz w:val="20"/>
                <w:szCs w:val="20"/>
                <w:lang w:eastAsia="it-CH"/>
              </w:rPr>
            </w:pPr>
            <w:r w:rsidRPr="003F7BF1">
              <w:rPr>
                <w:rFonts w:cs="Arial"/>
                <w:color w:val="000000"/>
                <w:sz w:val="20"/>
                <w:szCs w:val="20"/>
                <w:lang w:eastAsia="it-CH"/>
              </w:rPr>
              <w:t>IP</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3C9F" w:rsidRPr="003F7BF1" w:rsidRDefault="00D53C9F" w:rsidP="00D53C9F">
            <w:pPr>
              <w:jc w:val="center"/>
              <w:rPr>
                <w:rFonts w:cs="Arial"/>
                <w:b/>
                <w:bCs/>
                <w:color w:val="000000"/>
                <w:sz w:val="20"/>
                <w:szCs w:val="20"/>
                <w:lang w:eastAsia="it-CH"/>
              </w:rPr>
            </w:pPr>
            <w:r w:rsidRPr="003F7BF1">
              <w:rPr>
                <w:rFonts w:cs="Arial"/>
                <w:b/>
                <w:bCs/>
                <w:color w:val="000000"/>
                <w:sz w:val="20"/>
                <w:szCs w:val="20"/>
                <w:lang w:eastAsia="it-CH"/>
              </w:rPr>
              <w:t>MALATTIA</w:t>
            </w:r>
          </w:p>
        </w:tc>
      </w:tr>
      <w:tr w:rsidR="00D53C9F" w:rsidRPr="003F7BF1" w:rsidTr="00D53C9F">
        <w:trPr>
          <w:trHeight w:val="301"/>
        </w:trPr>
        <w:tc>
          <w:tcPr>
            <w:tcW w:w="2240" w:type="dxa"/>
            <w:tcBorders>
              <w:top w:val="nil"/>
              <w:left w:val="single" w:sz="8" w:space="0" w:color="auto"/>
              <w:bottom w:val="single" w:sz="8" w:space="0" w:color="auto"/>
              <w:right w:val="single" w:sz="8" w:space="0" w:color="auto"/>
            </w:tcBorders>
            <w:shd w:val="clear" w:color="auto" w:fill="auto"/>
            <w:vAlign w:val="center"/>
            <w:hideMark/>
          </w:tcPr>
          <w:p w:rsidR="00D53C9F" w:rsidRPr="003F7BF1" w:rsidRDefault="00D53C9F" w:rsidP="00D53C9F">
            <w:pPr>
              <w:rPr>
                <w:rFonts w:cs="Arial"/>
                <w:b/>
                <w:bCs/>
                <w:sz w:val="20"/>
                <w:szCs w:val="20"/>
                <w:lang w:eastAsia="it-CH"/>
              </w:rPr>
            </w:pPr>
            <w:r w:rsidRPr="003F7BF1">
              <w:rPr>
                <w:rFonts w:cs="Arial"/>
                <w:b/>
                <w:bCs/>
                <w:sz w:val="20"/>
                <w:szCs w:val="20"/>
                <w:lang w:eastAsia="it-CH"/>
              </w:rPr>
              <w:t>Settore</w:t>
            </w:r>
          </w:p>
        </w:tc>
        <w:tc>
          <w:tcPr>
            <w:tcW w:w="1446" w:type="dxa"/>
            <w:vMerge/>
            <w:tcBorders>
              <w:top w:val="single" w:sz="8" w:space="0" w:color="auto"/>
              <w:left w:val="single" w:sz="8" w:space="0" w:color="auto"/>
              <w:bottom w:val="single" w:sz="8" w:space="0" w:color="000000"/>
              <w:right w:val="single" w:sz="8" w:space="0" w:color="auto"/>
            </w:tcBorders>
            <w:vAlign w:val="center"/>
            <w:hideMark/>
          </w:tcPr>
          <w:p w:rsidR="00D53C9F" w:rsidRPr="003F7BF1" w:rsidRDefault="00D53C9F" w:rsidP="00D53C9F">
            <w:pPr>
              <w:jc w:val="left"/>
              <w:rPr>
                <w:rFonts w:cs="Arial"/>
                <w:b/>
                <w:bCs/>
                <w:sz w:val="20"/>
                <w:szCs w:val="20"/>
                <w:lang w:eastAsia="it-CH"/>
              </w:rPr>
            </w:pPr>
          </w:p>
        </w:tc>
        <w:tc>
          <w:tcPr>
            <w:tcW w:w="1209" w:type="dxa"/>
            <w:vMerge/>
            <w:tcBorders>
              <w:top w:val="single" w:sz="8" w:space="0" w:color="auto"/>
              <w:left w:val="single" w:sz="8" w:space="0" w:color="auto"/>
              <w:bottom w:val="single" w:sz="8" w:space="0" w:color="000000"/>
              <w:right w:val="single" w:sz="8" w:space="0" w:color="auto"/>
            </w:tcBorders>
            <w:vAlign w:val="center"/>
            <w:hideMark/>
          </w:tcPr>
          <w:p w:rsidR="00D53C9F" w:rsidRPr="003F7BF1" w:rsidRDefault="00D53C9F" w:rsidP="00D53C9F">
            <w:pPr>
              <w:jc w:val="left"/>
              <w:rPr>
                <w:rFonts w:cs="Arial"/>
                <w:b/>
                <w:bCs/>
                <w:sz w:val="20"/>
                <w:szCs w:val="20"/>
                <w:lang w:eastAsia="it-CH"/>
              </w:rPr>
            </w:pPr>
          </w:p>
        </w:tc>
        <w:tc>
          <w:tcPr>
            <w:tcW w:w="917" w:type="dxa"/>
            <w:vMerge/>
            <w:tcBorders>
              <w:top w:val="single" w:sz="8" w:space="0" w:color="auto"/>
              <w:left w:val="single" w:sz="8" w:space="0" w:color="auto"/>
              <w:bottom w:val="single" w:sz="8" w:space="0" w:color="000000"/>
              <w:right w:val="single" w:sz="8" w:space="0" w:color="auto"/>
            </w:tcBorders>
            <w:vAlign w:val="center"/>
            <w:hideMark/>
          </w:tcPr>
          <w:p w:rsidR="00D53C9F" w:rsidRPr="003F7BF1" w:rsidRDefault="00D53C9F" w:rsidP="00D53C9F">
            <w:pPr>
              <w:jc w:val="left"/>
              <w:rPr>
                <w:rFonts w:cs="Arial"/>
                <w:b/>
                <w:sz w:val="20"/>
                <w:szCs w:val="20"/>
                <w:lang w:eastAsia="it-CH"/>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53C9F" w:rsidRPr="003F7BF1" w:rsidRDefault="00D53C9F" w:rsidP="00D53C9F">
            <w:pPr>
              <w:jc w:val="left"/>
              <w:rPr>
                <w:rFonts w:cs="Arial"/>
                <w:b/>
                <w:sz w:val="20"/>
                <w:szCs w:val="20"/>
                <w:lang w:eastAsia="it-CH"/>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D53C9F" w:rsidRPr="003F7BF1" w:rsidRDefault="00D53C9F" w:rsidP="00D53C9F">
            <w:pPr>
              <w:jc w:val="left"/>
              <w:rPr>
                <w:rFonts w:cs="Arial"/>
                <w:b/>
                <w:bCs/>
                <w:sz w:val="20"/>
                <w:szCs w:val="20"/>
                <w:lang w:eastAsia="it-CH"/>
              </w:rPr>
            </w:pPr>
          </w:p>
        </w:tc>
      </w:tr>
      <w:tr w:rsidR="00D53C9F" w:rsidRPr="003F7BF1" w:rsidTr="00D53C9F">
        <w:trPr>
          <w:trHeight w:val="398"/>
        </w:trPr>
        <w:tc>
          <w:tcPr>
            <w:tcW w:w="2240" w:type="dxa"/>
            <w:tcBorders>
              <w:top w:val="nil"/>
              <w:left w:val="single" w:sz="8" w:space="0" w:color="auto"/>
              <w:bottom w:val="single" w:sz="8" w:space="0" w:color="auto"/>
              <w:right w:val="nil"/>
            </w:tcBorders>
            <w:shd w:val="clear" w:color="auto" w:fill="auto"/>
            <w:noWrap/>
            <w:vAlign w:val="center"/>
            <w:hideMark/>
          </w:tcPr>
          <w:p w:rsidR="00D53C9F" w:rsidRPr="003F7BF1" w:rsidRDefault="00D53C9F" w:rsidP="00D53C9F">
            <w:pPr>
              <w:rPr>
                <w:rFonts w:cs="Arial"/>
                <w:b/>
                <w:bCs/>
                <w:sz w:val="20"/>
                <w:szCs w:val="20"/>
                <w:lang w:eastAsia="it-CH"/>
              </w:rPr>
            </w:pPr>
            <w:r w:rsidRPr="003F7BF1">
              <w:rPr>
                <w:rFonts w:cs="Arial"/>
                <w:b/>
                <w:bCs/>
                <w:sz w:val="20"/>
                <w:szCs w:val="20"/>
                <w:lang w:eastAsia="it-CH"/>
              </w:rPr>
              <w:t>Impiegati totale</w:t>
            </w:r>
          </w:p>
        </w:tc>
        <w:tc>
          <w:tcPr>
            <w:tcW w:w="1446" w:type="dxa"/>
            <w:tcBorders>
              <w:top w:val="nil"/>
              <w:left w:val="single" w:sz="8" w:space="0" w:color="auto"/>
              <w:bottom w:val="single" w:sz="8" w:space="0" w:color="auto"/>
              <w:right w:val="single" w:sz="8" w:space="0" w:color="auto"/>
            </w:tcBorders>
            <w:shd w:val="clear" w:color="auto" w:fill="auto"/>
            <w:vAlign w:val="center"/>
            <w:hideMark/>
          </w:tcPr>
          <w:p w:rsidR="00D53C9F" w:rsidRPr="003F7BF1" w:rsidRDefault="00D53C9F" w:rsidP="00D53C9F">
            <w:pPr>
              <w:jc w:val="center"/>
              <w:rPr>
                <w:rFonts w:cs="Arial"/>
                <w:b/>
                <w:bCs/>
                <w:sz w:val="20"/>
                <w:szCs w:val="20"/>
                <w:lang w:eastAsia="it-CH"/>
              </w:rPr>
            </w:pPr>
            <w:r w:rsidRPr="003F7BF1">
              <w:rPr>
                <w:rFonts w:cs="Arial"/>
                <w:b/>
                <w:bCs/>
                <w:sz w:val="20"/>
                <w:szCs w:val="20"/>
                <w:lang w:eastAsia="it-CH"/>
              </w:rPr>
              <w:t>12.5</w:t>
            </w:r>
          </w:p>
        </w:tc>
        <w:tc>
          <w:tcPr>
            <w:tcW w:w="1209" w:type="dxa"/>
            <w:tcBorders>
              <w:top w:val="nil"/>
              <w:left w:val="nil"/>
              <w:bottom w:val="single" w:sz="8" w:space="0" w:color="auto"/>
              <w:right w:val="single" w:sz="8" w:space="0" w:color="auto"/>
            </w:tcBorders>
            <w:shd w:val="clear" w:color="auto" w:fill="auto"/>
            <w:vAlign w:val="center"/>
            <w:hideMark/>
          </w:tcPr>
          <w:p w:rsidR="00D53C9F" w:rsidRPr="003F7BF1" w:rsidRDefault="00D53C9F" w:rsidP="00D53C9F">
            <w:pPr>
              <w:jc w:val="center"/>
              <w:rPr>
                <w:rFonts w:cs="Arial"/>
                <w:b/>
                <w:sz w:val="20"/>
                <w:szCs w:val="20"/>
                <w:lang w:eastAsia="it-CH"/>
              </w:rPr>
            </w:pPr>
            <w:r w:rsidRPr="003F7BF1">
              <w:rPr>
                <w:rFonts w:cs="Arial"/>
                <w:b/>
                <w:sz w:val="20"/>
                <w:szCs w:val="20"/>
                <w:lang w:eastAsia="it-CH"/>
              </w:rPr>
              <w:t>2.57</w:t>
            </w:r>
          </w:p>
        </w:tc>
        <w:tc>
          <w:tcPr>
            <w:tcW w:w="917" w:type="dxa"/>
            <w:tcBorders>
              <w:top w:val="nil"/>
              <w:left w:val="nil"/>
              <w:bottom w:val="single" w:sz="8" w:space="0" w:color="auto"/>
              <w:right w:val="single" w:sz="8" w:space="0" w:color="auto"/>
            </w:tcBorders>
            <w:shd w:val="clear" w:color="auto" w:fill="auto"/>
            <w:vAlign w:val="center"/>
            <w:hideMark/>
          </w:tcPr>
          <w:p w:rsidR="00D53C9F" w:rsidRPr="003F7BF1" w:rsidRDefault="00D53C9F" w:rsidP="00D53C9F">
            <w:pPr>
              <w:jc w:val="center"/>
              <w:rPr>
                <w:rFonts w:cs="Arial"/>
                <w:b/>
                <w:sz w:val="20"/>
                <w:szCs w:val="20"/>
                <w:lang w:eastAsia="it-CH"/>
              </w:rPr>
            </w:pPr>
            <w:r w:rsidRPr="003F7BF1">
              <w:rPr>
                <w:rFonts w:cs="Arial"/>
                <w:b/>
                <w:sz w:val="20"/>
                <w:szCs w:val="20"/>
                <w:lang w:eastAsia="it-CH"/>
              </w:rPr>
              <w:t>1.85</w:t>
            </w:r>
          </w:p>
        </w:tc>
        <w:tc>
          <w:tcPr>
            <w:tcW w:w="992" w:type="dxa"/>
            <w:tcBorders>
              <w:top w:val="nil"/>
              <w:left w:val="nil"/>
              <w:bottom w:val="single" w:sz="8" w:space="0" w:color="auto"/>
              <w:right w:val="single" w:sz="8" w:space="0" w:color="auto"/>
            </w:tcBorders>
            <w:shd w:val="clear" w:color="auto" w:fill="auto"/>
            <w:vAlign w:val="center"/>
            <w:hideMark/>
          </w:tcPr>
          <w:p w:rsidR="00D53C9F" w:rsidRPr="003F7BF1" w:rsidRDefault="00D53C9F" w:rsidP="00D53C9F">
            <w:pPr>
              <w:jc w:val="center"/>
              <w:rPr>
                <w:rFonts w:cs="Arial"/>
                <w:b/>
                <w:sz w:val="20"/>
                <w:szCs w:val="20"/>
                <w:lang w:eastAsia="it-CH"/>
              </w:rPr>
            </w:pPr>
            <w:r w:rsidRPr="003F7BF1">
              <w:rPr>
                <w:rFonts w:cs="Arial"/>
                <w:b/>
                <w:sz w:val="20"/>
                <w:szCs w:val="20"/>
                <w:lang w:eastAsia="it-CH"/>
              </w:rPr>
              <w:t>0.72</w:t>
            </w:r>
          </w:p>
        </w:tc>
        <w:tc>
          <w:tcPr>
            <w:tcW w:w="1276" w:type="dxa"/>
            <w:tcBorders>
              <w:top w:val="nil"/>
              <w:left w:val="nil"/>
              <w:bottom w:val="single" w:sz="8" w:space="0" w:color="auto"/>
              <w:right w:val="single" w:sz="8" w:space="0" w:color="auto"/>
            </w:tcBorders>
            <w:shd w:val="clear" w:color="auto" w:fill="auto"/>
            <w:vAlign w:val="center"/>
            <w:hideMark/>
          </w:tcPr>
          <w:p w:rsidR="00D53C9F" w:rsidRPr="003F7BF1" w:rsidRDefault="00D53C9F" w:rsidP="00D53C9F">
            <w:pPr>
              <w:jc w:val="center"/>
              <w:rPr>
                <w:rFonts w:cs="Arial"/>
                <w:b/>
                <w:bCs/>
                <w:sz w:val="20"/>
                <w:szCs w:val="20"/>
                <w:lang w:eastAsia="it-CH"/>
              </w:rPr>
            </w:pPr>
            <w:r w:rsidRPr="003F7BF1">
              <w:rPr>
                <w:rFonts w:cs="Arial"/>
                <w:b/>
                <w:bCs/>
                <w:sz w:val="20"/>
                <w:szCs w:val="20"/>
                <w:lang w:eastAsia="it-CH"/>
              </w:rPr>
              <w:t>9.93</w:t>
            </w:r>
          </w:p>
        </w:tc>
      </w:tr>
      <w:tr w:rsidR="00D53C9F" w:rsidRPr="003F7BF1" w:rsidTr="00D53C9F">
        <w:trPr>
          <w:trHeight w:val="404"/>
        </w:trPr>
        <w:tc>
          <w:tcPr>
            <w:tcW w:w="2240" w:type="dxa"/>
            <w:tcBorders>
              <w:top w:val="nil"/>
              <w:left w:val="single" w:sz="8" w:space="0" w:color="auto"/>
              <w:bottom w:val="single" w:sz="8" w:space="0" w:color="auto"/>
              <w:right w:val="nil"/>
            </w:tcBorders>
            <w:shd w:val="clear" w:color="auto" w:fill="auto"/>
            <w:noWrap/>
            <w:vAlign w:val="center"/>
            <w:hideMark/>
          </w:tcPr>
          <w:p w:rsidR="00D53C9F" w:rsidRPr="003F7BF1" w:rsidRDefault="00D53C9F" w:rsidP="00D53C9F">
            <w:pPr>
              <w:rPr>
                <w:rFonts w:cs="Arial"/>
                <w:bCs/>
                <w:sz w:val="20"/>
                <w:szCs w:val="20"/>
                <w:lang w:eastAsia="it-CH"/>
              </w:rPr>
            </w:pPr>
            <w:r w:rsidRPr="003F7BF1">
              <w:rPr>
                <w:rFonts w:cs="Arial"/>
                <w:bCs/>
                <w:sz w:val="20"/>
                <w:szCs w:val="20"/>
                <w:lang w:eastAsia="it-CH"/>
              </w:rPr>
              <w:t>Impiegati parziale</w:t>
            </w:r>
          </w:p>
        </w:tc>
        <w:tc>
          <w:tcPr>
            <w:tcW w:w="1446" w:type="dxa"/>
            <w:tcBorders>
              <w:top w:val="nil"/>
              <w:left w:val="single" w:sz="8" w:space="0" w:color="auto"/>
              <w:bottom w:val="single" w:sz="8" w:space="0" w:color="auto"/>
              <w:right w:val="single" w:sz="8" w:space="0" w:color="auto"/>
            </w:tcBorders>
            <w:shd w:val="clear" w:color="auto" w:fill="auto"/>
            <w:vAlign w:val="center"/>
            <w:hideMark/>
          </w:tcPr>
          <w:p w:rsidR="00D53C9F" w:rsidRPr="003F7BF1" w:rsidRDefault="00D53C9F" w:rsidP="00D53C9F">
            <w:pPr>
              <w:jc w:val="center"/>
              <w:rPr>
                <w:rFonts w:cs="Arial"/>
                <w:bCs/>
                <w:sz w:val="20"/>
                <w:szCs w:val="20"/>
                <w:lang w:eastAsia="it-CH"/>
              </w:rPr>
            </w:pPr>
            <w:r w:rsidRPr="003F7BF1">
              <w:rPr>
                <w:rFonts w:cs="Arial"/>
                <w:bCs/>
                <w:sz w:val="20"/>
                <w:szCs w:val="20"/>
                <w:lang w:eastAsia="it-CH"/>
              </w:rPr>
              <w:t>10.34</w:t>
            </w:r>
          </w:p>
        </w:tc>
        <w:tc>
          <w:tcPr>
            <w:tcW w:w="1209" w:type="dxa"/>
            <w:tcBorders>
              <w:top w:val="nil"/>
              <w:left w:val="nil"/>
              <w:bottom w:val="single" w:sz="8" w:space="0" w:color="auto"/>
              <w:right w:val="single" w:sz="8" w:space="0" w:color="auto"/>
            </w:tcBorders>
            <w:shd w:val="clear" w:color="auto" w:fill="auto"/>
            <w:vAlign w:val="center"/>
            <w:hideMark/>
          </w:tcPr>
          <w:p w:rsidR="00D53C9F" w:rsidRPr="003F7BF1" w:rsidRDefault="00D53C9F" w:rsidP="00D53C9F">
            <w:pPr>
              <w:jc w:val="center"/>
              <w:rPr>
                <w:rFonts w:cs="Arial"/>
                <w:sz w:val="20"/>
                <w:szCs w:val="20"/>
                <w:lang w:eastAsia="it-CH"/>
              </w:rPr>
            </w:pPr>
            <w:r w:rsidRPr="003F7BF1">
              <w:rPr>
                <w:rFonts w:cs="Arial"/>
                <w:sz w:val="20"/>
                <w:szCs w:val="20"/>
                <w:lang w:eastAsia="it-CH"/>
              </w:rPr>
              <w:t>1.56</w:t>
            </w:r>
          </w:p>
        </w:tc>
        <w:tc>
          <w:tcPr>
            <w:tcW w:w="917" w:type="dxa"/>
            <w:tcBorders>
              <w:top w:val="nil"/>
              <w:left w:val="nil"/>
              <w:bottom w:val="single" w:sz="8" w:space="0" w:color="auto"/>
              <w:right w:val="single" w:sz="8" w:space="0" w:color="auto"/>
            </w:tcBorders>
            <w:shd w:val="clear" w:color="auto" w:fill="auto"/>
            <w:vAlign w:val="center"/>
            <w:hideMark/>
          </w:tcPr>
          <w:p w:rsidR="00D53C9F" w:rsidRPr="003F7BF1" w:rsidRDefault="00D53C9F" w:rsidP="00D53C9F">
            <w:pPr>
              <w:jc w:val="center"/>
              <w:rPr>
                <w:rFonts w:cs="Arial"/>
                <w:sz w:val="20"/>
                <w:szCs w:val="20"/>
                <w:lang w:eastAsia="it-CH"/>
              </w:rPr>
            </w:pPr>
            <w:r w:rsidRPr="003F7BF1">
              <w:rPr>
                <w:rFonts w:cs="Arial"/>
                <w:sz w:val="20"/>
                <w:szCs w:val="20"/>
                <w:lang w:eastAsia="it-CH"/>
              </w:rPr>
              <w:t>1.25</w:t>
            </w:r>
          </w:p>
        </w:tc>
        <w:tc>
          <w:tcPr>
            <w:tcW w:w="992" w:type="dxa"/>
            <w:tcBorders>
              <w:top w:val="nil"/>
              <w:left w:val="nil"/>
              <w:bottom w:val="single" w:sz="8" w:space="0" w:color="auto"/>
              <w:right w:val="single" w:sz="8" w:space="0" w:color="auto"/>
            </w:tcBorders>
            <w:shd w:val="clear" w:color="auto" w:fill="auto"/>
            <w:vAlign w:val="center"/>
            <w:hideMark/>
          </w:tcPr>
          <w:p w:rsidR="00D53C9F" w:rsidRPr="003F7BF1" w:rsidRDefault="00D53C9F" w:rsidP="00D53C9F">
            <w:pPr>
              <w:jc w:val="center"/>
              <w:rPr>
                <w:rFonts w:cs="Arial"/>
                <w:sz w:val="20"/>
                <w:szCs w:val="20"/>
                <w:lang w:eastAsia="it-CH"/>
              </w:rPr>
            </w:pPr>
            <w:r w:rsidRPr="003F7BF1">
              <w:rPr>
                <w:rFonts w:cs="Arial"/>
                <w:sz w:val="20"/>
                <w:szCs w:val="20"/>
                <w:lang w:eastAsia="it-CH"/>
              </w:rPr>
              <w:t>0.3</w:t>
            </w:r>
          </w:p>
        </w:tc>
        <w:tc>
          <w:tcPr>
            <w:tcW w:w="1276" w:type="dxa"/>
            <w:tcBorders>
              <w:top w:val="nil"/>
              <w:left w:val="nil"/>
              <w:bottom w:val="single" w:sz="8" w:space="0" w:color="auto"/>
              <w:right w:val="single" w:sz="8" w:space="0" w:color="auto"/>
            </w:tcBorders>
            <w:shd w:val="clear" w:color="auto" w:fill="auto"/>
            <w:vAlign w:val="center"/>
            <w:hideMark/>
          </w:tcPr>
          <w:p w:rsidR="00D53C9F" w:rsidRPr="003F7BF1" w:rsidRDefault="00D53C9F" w:rsidP="00D53C9F">
            <w:pPr>
              <w:jc w:val="center"/>
              <w:rPr>
                <w:rFonts w:cs="Arial"/>
                <w:bCs/>
                <w:sz w:val="20"/>
                <w:szCs w:val="20"/>
                <w:lang w:eastAsia="it-CH"/>
              </w:rPr>
            </w:pPr>
            <w:r w:rsidRPr="003F7BF1">
              <w:rPr>
                <w:rFonts w:cs="Arial"/>
                <w:bCs/>
                <w:sz w:val="20"/>
                <w:szCs w:val="20"/>
                <w:lang w:eastAsia="it-CH"/>
              </w:rPr>
              <w:t>8.79</w:t>
            </w:r>
          </w:p>
        </w:tc>
      </w:tr>
      <w:tr w:rsidR="00D53C9F" w:rsidRPr="003F7BF1" w:rsidTr="00D53C9F">
        <w:trPr>
          <w:trHeight w:val="410"/>
        </w:trPr>
        <w:tc>
          <w:tcPr>
            <w:tcW w:w="2240" w:type="dxa"/>
            <w:tcBorders>
              <w:top w:val="nil"/>
              <w:left w:val="single" w:sz="8" w:space="0" w:color="auto"/>
              <w:bottom w:val="single" w:sz="8" w:space="0" w:color="auto"/>
              <w:right w:val="single" w:sz="8" w:space="0" w:color="auto"/>
            </w:tcBorders>
            <w:shd w:val="clear" w:color="auto" w:fill="auto"/>
            <w:noWrap/>
            <w:vAlign w:val="center"/>
            <w:hideMark/>
          </w:tcPr>
          <w:p w:rsidR="00D53C9F" w:rsidRPr="003F7BF1" w:rsidRDefault="00D53C9F" w:rsidP="00D53C9F">
            <w:pPr>
              <w:rPr>
                <w:rFonts w:cs="Arial"/>
                <w:bCs/>
                <w:sz w:val="20"/>
                <w:szCs w:val="20"/>
                <w:lang w:eastAsia="it-CH"/>
              </w:rPr>
            </w:pPr>
            <w:r w:rsidRPr="003F7BF1">
              <w:rPr>
                <w:rFonts w:cs="Arial"/>
                <w:bCs/>
                <w:sz w:val="20"/>
                <w:szCs w:val="20"/>
                <w:lang w:eastAsia="it-CH"/>
              </w:rPr>
              <w:t>OSC</w:t>
            </w:r>
          </w:p>
        </w:tc>
        <w:tc>
          <w:tcPr>
            <w:tcW w:w="1446" w:type="dxa"/>
            <w:tcBorders>
              <w:top w:val="nil"/>
              <w:left w:val="nil"/>
              <w:bottom w:val="single" w:sz="8" w:space="0" w:color="auto"/>
              <w:right w:val="single" w:sz="8" w:space="0" w:color="auto"/>
            </w:tcBorders>
            <w:shd w:val="clear" w:color="auto" w:fill="auto"/>
            <w:vAlign w:val="center"/>
            <w:hideMark/>
          </w:tcPr>
          <w:p w:rsidR="00D53C9F" w:rsidRPr="003F7BF1" w:rsidRDefault="00D53C9F" w:rsidP="00D53C9F">
            <w:pPr>
              <w:jc w:val="center"/>
              <w:rPr>
                <w:rFonts w:cs="Arial"/>
                <w:bCs/>
                <w:sz w:val="20"/>
                <w:szCs w:val="20"/>
                <w:lang w:eastAsia="it-CH"/>
              </w:rPr>
            </w:pPr>
            <w:r w:rsidRPr="003F7BF1">
              <w:rPr>
                <w:rFonts w:cs="Arial"/>
                <w:bCs/>
                <w:sz w:val="20"/>
                <w:szCs w:val="20"/>
                <w:lang w:eastAsia="it-CH"/>
              </w:rPr>
              <w:t>19.52</w:t>
            </w:r>
          </w:p>
        </w:tc>
        <w:tc>
          <w:tcPr>
            <w:tcW w:w="1209" w:type="dxa"/>
            <w:tcBorders>
              <w:top w:val="nil"/>
              <w:left w:val="nil"/>
              <w:bottom w:val="single" w:sz="8" w:space="0" w:color="auto"/>
              <w:right w:val="single" w:sz="8" w:space="0" w:color="auto"/>
            </w:tcBorders>
            <w:shd w:val="clear" w:color="auto" w:fill="auto"/>
            <w:vAlign w:val="center"/>
            <w:hideMark/>
          </w:tcPr>
          <w:p w:rsidR="00D53C9F" w:rsidRPr="003F7BF1" w:rsidRDefault="00D53C9F" w:rsidP="00D53C9F">
            <w:pPr>
              <w:jc w:val="center"/>
              <w:rPr>
                <w:rFonts w:cs="Arial"/>
                <w:sz w:val="20"/>
                <w:szCs w:val="20"/>
                <w:lang w:eastAsia="it-CH"/>
              </w:rPr>
            </w:pPr>
            <w:r w:rsidRPr="003F7BF1">
              <w:rPr>
                <w:rFonts w:cs="Arial"/>
                <w:sz w:val="20"/>
                <w:szCs w:val="20"/>
                <w:lang w:eastAsia="it-CH"/>
              </w:rPr>
              <w:t>4.42</w:t>
            </w:r>
          </w:p>
        </w:tc>
        <w:tc>
          <w:tcPr>
            <w:tcW w:w="917" w:type="dxa"/>
            <w:tcBorders>
              <w:top w:val="nil"/>
              <w:left w:val="nil"/>
              <w:bottom w:val="single" w:sz="8" w:space="0" w:color="auto"/>
              <w:right w:val="single" w:sz="8" w:space="0" w:color="auto"/>
            </w:tcBorders>
            <w:shd w:val="clear" w:color="auto" w:fill="auto"/>
            <w:vAlign w:val="center"/>
            <w:hideMark/>
          </w:tcPr>
          <w:p w:rsidR="00D53C9F" w:rsidRPr="003F7BF1" w:rsidRDefault="00D53C9F" w:rsidP="00D53C9F">
            <w:pPr>
              <w:jc w:val="center"/>
              <w:rPr>
                <w:rFonts w:cs="Arial"/>
                <w:sz w:val="20"/>
                <w:szCs w:val="20"/>
                <w:lang w:eastAsia="it-CH"/>
              </w:rPr>
            </w:pPr>
            <w:r w:rsidRPr="003F7BF1">
              <w:rPr>
                <w:rFonts w:cs="Arial"/>
                <w:sz w:val="20"/>
                <w:szCs w:val="20"/>
                <w:lang w:eastAsia="it-CH"/>
              </w:rPr>
              <w:t>2.65</w:t>
            </w:r>
          </w:p>
        </w:tc>
        <w:tc>
          <w:tcPr>
            <w:tcW w:w="992" w:type="dxa"/>
            <w:tcBorders>
              <w:top w:val="nil"/>
              <w:left w:val="nil"/>
              <w:bottom w:val="single" w:sz="8" w:space="0" w:color="auto"/>
              <w:right w:val="single" w:sz="8" w:space="0" w:color="auto"/>
            </w:tcBorders>
            <w:shd w:val="clear" w:color="auto" w:fill="auto"/>
            <w:vAlign w:val="center"/>
            <w:hideMark/>
          </w:tcPr>
          <w:p w:rsidR="00D53C9F" w:rsidRPr="003F7BF1" w:rsidRDefault="00D53C9F" w:rsidP="00D53C9F">
            <w:pPr>
              <w:jc w:val="center"/>
              <w:rPr>
                <w:rFonts w:cs="Arial"/>
                <w:sz w:val="20"/>
                <w:szCs w:val="20"/>
                <w:lang w:eastAsia="it-CH"/>
              </w:rPr>
            </w:pPr>
            <w:r w:rsidRPr="003F7BF1">
              <w:rPr>
                <w:rFonts w:cs="Arial"/>
                <w:sz w:val="20"/>
                <w:szCs w:val="20"/>
                <w:lang w:eastAsia="it-CH"/>
              </w:rPr>
              <w:t>1.77</w:t>
            </w:r>
          </w:p>
        </w:tc>
        <w:tc>
          <w:tcPr>
            <w:tcW w:w="1276" w:type="dxa"/>
            <w:tcBorders>
              <w:top w:val="nil"/>
              <w:left w:val="nil"/>
              <w:bottom w:val="single" w:sz="8" w:space="0" w:color="auto"/>
              <w:right w:val="single" w:sz="8" w:space="0" w:color="auto"/>
            </w:tcBorders>
            <w:shd w:val="clear" w:color="auto" w:fill="auto"/>
            <w:vAlign w:val="center"/>
            <w:hideMark/>
          </w:tcPr>
          <w:p w:rsidR="00D53C9F" w:rsidRPr="003F7BF1" w:rsidRDefault="00D53C9F" w:rsidP="00D53C9F">
            <w:pPr>
              <w:jc w:val="center"/>
              <w:rPr>
                <w:rFonts w:cs="Arial"/>
                <w:bCs/>
                <w:sz w:val="20"/>
                <w:szCs w:val="20"/>
                <w:lang w:eastAsia="it-CH"/>
              </w:rPr>
            </w:pPr>
            <w:r w:rsidRPr="003F7BF1">
              <w:rPr>
                <w:rFonts w:cs="Arial"/>
                <w:bCs/>
                <w:sz w:val="20"/>
                <w:szCs w:val="20"/>
                <w:lang w:eastAsia="it-CH"/>
              </w:rPr>
              <w:t>15.22</w:t>
            </w:r>
          </w:p>
        </w:tc>
      </w:tr>
      <w:tr w:rsidR="00D53C9F" w:rsidRPr="003F7BF1" w:rsidTr="00D53C9F">
        <w:trPr>
          <w:trHeight w:val="396"/>
        </w:trPr>
        <w:tc>
          <w:tcPr>
            <w:tcW w:w="2240" w:type="dxa"/>
            <w:tcBorders>
              <w:top w:val="nil"/>
              <w:left w:val="single" w:sz="8" w:space="0" w:color="auto"/>
              <w:bottom w:val="single" w:sz="8" w:space="0" w:color="auto"/>
              <w:right w:val="single" w:sz="8" w:space="0" w:color="auto"/>
            </w:tcBorders>
            <w:shd w:val="clear" w:color="auto" w:fill="auto"/>
            <w:noWrap/>
            <w:vAlign w:val="center"/>
            <w:hideMark/>
          </w:tcPr>
          <w:p w:rsidR="00D53C9F" w:rsidRPr="003F7BF1" w:rsidRDefault="00D53C9F" w:rsidP="00D53C9F">
            <w:pPr>
              <w:rPr>
                <w:rFonts w:cs="Arial"/>
                <w:bCs/>
                <w:sz w:val="20"/>
                <w:szCs w:val="20"/>
                <w:lang w:eastAsia="it-CH"/>
              </w:rPr>
            </w:pPr>
            <w:r w:rsidRPr="003F7BF1">
              <w:rPr>
                <w:rFonts w:cs="Arial"/>
                <w:bCs/>
                <w:sz w:val="20"/>
                <w:szCs w:val="20"/>
                <w:lang w:eastAsia="it-CH"/>
              </w:rPr>
              <w:t>Polizia</w:t>
            </w:r>
          </w:p>
        </w:tc>
        <w:tc>
          <w:tcPr>
            <w:tcW w:w="1446" w:type="dxa"/>
            <w:tcBorders>
              <w:top w:val="nil"/>
              <w:left w:val="nil"/>
              <w:bottom w:val="single" w:sz="8" w:space="0" w:color="auto"/>
              <w:right w:val="single" w:sz="8" w:space="0" w:color="auto"/>
            </w:tcBorders>
            <w:shd w:val="clear" w:color="auto" w:fill="auto"/>
            <w:vAlign w:val="center"/>
            <w:hideMark/>
          </w:tcPr>
          <w:p w:rsidR="00D53C9F" w:rsidRPr="003F7BF1" w:rsidRDefault="00D53C9F" w:rsidP="00D53C9F">
            <w:pPr>
              <w:jc w:val="center"/>
              <w:rPr>
                <w:rFonts w:cs="Arial"/>
                <w:bCs/>
                <w:sz w:val="20"/>
                <w:szCs w:val="20"/>
                <w:lang w:eastAsia="it-CH"/>
              </w:rPr>
            </w:pPr>
            <w:r w:rsidRPr="003F7BF1">
              <w:rPr>
                <w:rFonts w:cs="Arial"/>
                <w:bCs/>
                <w:sz w:val="20"/>
                <w:szCs w:val="20"/>
                <w:lang w:eastAsia="it-CH"/>
              </w:rPr>
              <w:t>11.77</w:t>
            </w:r>
          </w:p>
        </w:tc>
        <w:tc>
          <w:tcPr>
            <w:tcW w:w="1209" w:type="dxa"/>
            <w:tcBorders>
              <w:top w:val="nil"/>
              <w:left w:val="nil"/>
              <w:bottom w:val="single" w:sz="8" w:space="0" w:color="auto"/>
              <w:right w:val="single" w:sz="8" w:space="0" w:color="auto"/>
            </w:tcBorders>
            <w:shd w:val="clear" w:color="auto" w:fill="auto"/>
            <w:vAlign w:val="center"/>
            <w:hideMark/>
          </w:tcPr>
          <w:p w:rsidR="00D53C9F" w:rsidRPr="003F7BF1" w:rsidRDefault="00D53C9F" w:rsidP="00D53C9F">
            <w:pPr>
              <w:jc w:val="center"/>
              <w:rPr>
                <w:rFonts w:cs="Arial"/>
                <w:sz w:val="20"/>
                <w:szCs w:val="20"/>
                <w:lang w:eastAsia="it-CH"/>
              </w:rPr>
            </w:pPr>
            <w:r w:rsidRPr="003F7BF1">
              <w:rPr>
                <w:rFonts w:cs="Arial"/>
                <w:sz w:val="20"/>
                <w:szCs w:val="20"/>
                <w:lang w:eastAsia="it-CH"/>
              </w:rPr>
              <w:t>3.83</w:t>
            </w:r>
          </w:p>
        </w:tc>
        <w:tc>
          <w:tcPr>
            <w:tcW w:w="917" w:type="dxa"/>
            <w:tcBorders>
              <w:top w:val="nil"/>
              <w:left w:val="nil"/>
              <w:bottom w:val="single" w:sz="8" w:space="0" w:color="auto"/>
              <w:right w:val="single" w:sz="8" w:space="0" w:color="auto"/>
            </w:tcBorders>
            <w:shd w:val="clear" w:color="auto" w:fill="auto"/>
            <w:vAlign w:val="center"/>
            <w:hideMark/>
          </w:tcPr>
          <w:p w:rsidR="00D53C9F" w:rsidRPr="003F7BF1" w:rsidRDefault="00D53C9F" w:rsidP="00D53C9F">
            <w:pPr>
              <w:jc w:val="center"/>
              <w:rPr>
                <w:rFonts w:cs="Arial"/>
                <w:sz w:val="20"/>
                <w:szCs w:val="20"/>
                <w:lang w:eastAsia="it-CH"/>
              </w:rPr>
            </w:pPr>
            <w:r w:rsidRPr="003F7BF1">
              <w:rPr>
                <w:rFonts w:cs="Arial"/>
                <w:sz w:val="20"/>
                <w:szCs w:val="20"/>
                <w:lang w:eastAsia="it-CH"/>
              </w:rPr>
              <w:t>2.73</w:t>
            </w:r>
          </w:p>
        </w:tc>
        <w:tc>
          <w:tcPr>
            <w:tcW w:w="992" w:type="dxa"/>
            <w:tcBorders>
              <w:top w:val="nil"/>
              <w:left w:val="nil"/>
              <w:bottom w:val="single" w:sz="8" w:space="0" w:color="auto"/>
              <w:right w:val="single" w:sz="8" w:space="0" w:color="auto"/>
            </w:tcBorders>
            <w:shd w:val="clear" w:color="auto" w:fill="auto"/>
            <w:vAlign w:val="center"/>
            <w:hideMark/>
          </w:tcPr>
          <w:p w:rsidR="00D53C9F" w:rsidRPr="003F7BF1" w:rsidRDefault="00D53C9F" w:rsidP="00D53C9F">
            <w:pPr>
              <w:jc w:val="center"/>
              <w:rPr>
                <w:rFonts w:cs="Arial"/>
                <w:sz w:val="20"/>
                <w:szCs w:val="20"/>
                <w:lang w:eastAsia="it-CH"/>
              </w:rPr>
            </w:pPr>
            <w:r w:rsidRPr="003F7BF1">
              <w:rPr>
                <w:rFonts w:cs="Arial"/>
                <w:sz w:val="20"/>
                <w:szCs w:val="20"/>
                <w:lang w:eastAsia="it-CH"/>
              </w:rPr>
              <w:t>1.1</w:t>
            </w:r>
          </w:p>
        </w:tc>
        <w:tc>
          <w:tcPr>
            <w:tcW w:w="1276" w:type="dxa"/>
            <w:tcBorders>
              <w:top w:val="nil"/>
              <w:left w:val="nil"/>
              <w:bottom w:val="single" w:sz="8" w:space="0" w:color="auto"/>
              <w:right w:val="single" w:sz="8" w:space="0" w:color="auto"/>
            </w:tcBorders>
            <w:shd w:val="clear" w:color="auto" w:fill="auto"/>
            <w:vAlign w:val="center"/>
            <w:hideMark/>
          </w:tcPr>
          <w:p w:rsidR="00D53C9F" w:rsidRPr="003F7BF1" w:rsidRDefault="00D53C9F" w:rsidP="00D53C9F">
            <w:pPr>
              <w:jc w:val="center"/>
              <w:rPr>
                <w:rFonts w:cs="Arial"/>
                <w:bCs/>
                <w:sz w:val="20"/>
                <w:szCs w:val="20"/>
                <w:lang w:eastAsia="it-CH"/>
              </w:rPr>
            </w:pPr>
            <w:r w:rsidRPr="003F7BF1">
              <w:rPr>
                <w:rFonts w:cs="Arial"/>
                <w:bCs/>
                <w:sz w:val="20"/>
                <w:szCs w:val="20"/>
                <w:lang w:eastAsia="it-CH"/>
              </w:rPr>
              <w:t>7.93</w:t>
            </w:r>
          </w:p>
        </w:tc>
      </w:tr>
      <w:tr w:rsidR="00D53C9F" w:rsidRPr="003F7BF1" w:rsidTr="00D53C9F">
        <w:trPr>
          <w:trHeight w:val="380"/>
        </w:trPr>
        <w:tc>
          <w:tcPr>
            <w:tcW w:w="2240" w:type="dxa"/>
            <w:tcBorders>
              <w:top w:val="nil"/>
              <w:left w:val="single" w:sz="8" w:space="0" w:color="auto"/>
              <w:bottom w:val="single" w:sz="8" w:space="0" w:color="auto"/>
              <w:right w:val="single" w:sz="8" w:space="0" w:color="auto"/>
            </w:tcBorders>
            <w:shd w:val="clear" w:color="auto" w:fill="auto"/>
            <w:noWrap/>
            <w:vAlign w:val="center"/>
            <w:hideMark/>
          </w:tcPr>
          <w:p w:rsidR="00D53C9F" w:rsidRPr="003F7BF1" w:rsidRDefault="00D53C9F" w:rsidP="00D53C9F">
            <w:pPr>
              <w:rPr>
                <w:rFonts w:cs="Arial"/>
                <w:bCs/>
                <w:sz w:val="20"/>
                <w:szCs w:val="20"/>
                <w:lang w:eastAsia="it-CH"/>
              </w:rPr>
            </w:pPr>
            <w:r w:rsidRPr="003F7BF1">
              <w:rPr>
                <w:rFonts w:cs="Arial"/>
                <w:bCs/>
                <w:sz w:val="20"/>
                <w:szCs w:val="20"/>
                <w:lang w:eastAsia="it-CH"/>
              </w:rPr>
              <w:t>Strutture carcerarie</w:t>
            </w:r>
          </w:p>
        </w:tc>
        <w:tc>
          <w:tcPr>
            <w:tcW w:w="1446" w:type="dxa"/>
            <w:tcBorders>
              <w:top w:val="nil"/>
              <w:left w:val="nil"/>
              <w:bottom w:val="single" w:sz="8" w:space="0" w:color="auto"/>
              <w:right w:val="single" w:sz="8" w:space="0" w:color="auto"/>
            </w:tcBorders>
            <w:shd w:val="clear" w:color="auto" w:fill="auto"/>
            <w:vAlign w:val="center"/>
            <w:hideMark/>
          </w:tcPr>
          <w:p w:rsidR="00D53C9F" w:rsidRPr="003F7BF1" w:rsidRDefault="00D53C9F" w:rsidP="00D53C9F">
            <w:pPr>
              <w:jc w:val="center"/>
              <w:rPr>
                <w:rFonts w:cs="Arial"/>
                <w:bCs/>
                <w:sz w:val="20"/>
                <w:szCs w:val="20"/>
                <w:lang w:eastAsia="it-CH"/>
              </w:rPr>
            </w:pPr>
            <w:r w:rsidRPr="003F7BF1">
              <w:rPr>
                <w:rFonts w:cs="Arial"/>
                <w:bCs/>
                <w:sz w:val="20"/>
                <w:szCs w:val="20"/>
                <w:lang w:eastAsia="it-CH"/>
              </w:rPr>
              <w:t>20.64</w:t>
            </w:r>
          </w:p>
        </w:tc>
        <w:tc>
          <w:tcPr>
            <w:tcW w:w="1209" w:type="dxa"/>
            <w:tcBorders>
              <w:top w:val="nil"/>
              <w:left w:val="nil"/>
              <w:bottom w:val="single" w:sz="8" w:space="0" w:color="auto"/>
              <w:right w:val="single" w:sz="8" w:space="0" w:color="auto"/>
            </w:tcBorders>
            <w:shd w:val="clear" w:color="auto" w:fill="auto"/>
            <w:vAlign w:val="center"/>
            <w:hideMark/>
          </w:tcPr>
          <w:p w:rsidR="00D53C9F" w:rsidRPr="003F7BF1" w:rsidRDefault="00D53C9F" w:rsidP="00D53C9F">
            <w:pPr>
              <w:jc w:val="center"/>
              <w:rPr>
                <w:rFonts w:cs="Arial"/>
                <w:sz w:val="20"/>
                <w:szCs w:val="20"/>
                <w:lang w:eastAsia="it-CH"/>
              </w:rPr>
            </w:pPr>
            <w:r w:rsidRPr="003F7BF1">
              <w:rPr>
                <w:rFonts w:cs="Arial"/>
                <w:sz w:val="20"/>
                <w:szCs w:val="20"/>
                <w:lang w:eastAsia="it-CH"/>
              </w:rPr>
              <w:t>4.93</w:t>
            </w:r>
          </w:p>
        </w:tc>
        <w:tc>
          <w:tcPr>
            <w:tcW w:w="917" w:type="dxa"/>
            <w:tcBorders>
              <w:top w:val="nil"/>
              <w:left w:val="nil"/>
              <w:bottom w:val="single" w:sz="8" w:space="0" w:color="auto"/>
              <w:right w:val="single" w:sz="8" w:space="0" w:color="auto"/>
            </w:tcBorders>
            <w:shd w:val="clear" w:color="auto" w:fill="auto"/>
            <w:vAlign w:val="center"/>
            <w:hideMark/>
          </w:tcPr>
          <w:p w:rsidR="00D53C9F" w:rsidRPr="003F7BF1" w:rsidRDefault="00D53C9F" w:rsidP="00D53C9F">
            <w:pPr>
              <w:jc w:val="center"/>
              <w:rPr>
                <w:rFonts w:cs="Arial"/>
                <w:sz w:val="20"/>
                <w:szCs w:val="20"/>
                <w:lang w:eastAsia="it-CH"/>
              </w:rPr>
            </w:pPr>
            <w:r w:rsidRPr="003F7BF1">
              <w:rPr>
                <w:rFonts w:cs="Arial"/>
                <w:sz w:val="20"/>
                <w:szCs w:val="20"/>
                <w:lang w:eastAsia="it-CH"/>
              </w:rPr>
              <w:t>4.19</w:t>
            </w:r>
          </w:p>
        </w:tc>
        <w:tc>
          <w:tcPr>
            <w:tcW w:w="992" w:type="dxa"/>
            <w:tcBorders>
              <w:top w:val="nil"/>
              <w:left w:val="nil"/>
              <w:bottom w:val="single" w:sz="8" w:space="0" w:color="auto"/>
              <w:right w:val="single" w:sz="8" w:space="0" w:color="auto"/>
            </w:tcBorders>
            <w:shd w:val="clear" w:color="auto" w:fill="auto"/>
            <w:vAlign w:val="center"/>
            <w:hideMark/>
          </w:tcPr>
          <w:p w:rsidR="00D53C9F" w:rsidRPr="003F7BF1" w:rsidRDefault="00D53C9F" w:rsidP="00D53C9F">
            <w:pPr>
              <w:jc w:val="center"/>
              <w:rPr>
                <w:rFonts w:cs="Arial"/>
                <w:sz w:val="20"/>
                <w:szCs w:val="20"/>
                <w:lang w:eastAsia="it-CH"/>
              </w:rPr>
            </w:pPr>
            <w:r w:rsidRPr="003F7BF1">
              <w:rPr>
                <w:rFonts w:cs="Arial"/>
                <w:sz w:val="20"/>
                <w:szCs w:val="20"/>
                <w:lang w:eastAsia="it-CH"/>
              </w:rPr>
              <w:t>0.74</w:t>
            </w:r>
          </w:p>
        </w:tc>
        <w:tc>
          <w:tcPr>
            <w:tcW w:w="1276" w:type="dxa"/>
            <w:tcBorders>
              <w:top w:val="nil"/>
              <w:left w:val="nil"/>
              <w:bottom w:val="single" w:sz="8" w:space="0" w:color="auto"/>
              <w:right w:val="single" w:sz="8" w:space="0" w:color="auto"/>
            </w:tcBorders>
            <w:shd w:val="clear" w:color="auto" w:fill="auto"/>
            <w:vAlign w:val="center"/>
            <w:hideMark/>
          </w:tcPr>
          <w:p w:rsidR="00D53C9F" w:rsidRPr="003F7BF1" w:rsidRDefault="00D53C9F" w:rsidP="00D53C9F">
            <w:pPr>
              <w:jc w:val="center"/>
              <w:rPr>
                <w:rFonts w:cs="Arial"/>
                <w:bCs/>
                <w:sz w:val="20"/>
                <w:szCs w:val="20"/>
                <w:lang w:eastAsia="it-CH"/>
              </w:rPr>
            </w:pPr>
            <w:r w:rsidRPr="003F7BF1">
              <w:rPr>
                <w:rFonts w:cs="Arial"/>
                <w:bCs/>
                <w:sz w:val="20"/>
                <w:szCs w:val="20"/>
                <w:lang w:eastAsia="it-CH"/>
              </w:rPr>
              <w:t>15.71</w:t>
            </w:r>
          </w:p>
        </w:tc>
      </w:tr>
      <w:tr w:rsidR="00D53C9F" w:rsidRPr="003F7BF1" w:rsidTr="00D53C9F">
        <w:trPr>
          <w:trHeight w:val="400"/>
        </w:trPr>
        <w:tc>
          <w:tcPr>
            <w:tcW w:w="2240" w:type="dxa"/>
            <w:tcBorders>
              <w:top w:val="nil"/>
              <w:left w:val="single" w:sz="8" w:space="0" w:color="auto"/>
              <w:bottom w:val="single" w:sz="8" w:space="0" w:color="auto"/>
              <w:right w:val="single" w:sz="8" w:space="0" w:color="auto"/>
            </w:tcBorders>
            <w:shd w:val="clear" w:color="auto" w:fill="auto"/>
            <w:noWrap/>
            <w:vAlign w:val="center"/>
            <w:hideMark/>
          </w:tcPr>
          <w:p w:rsidR="00D53C9F" w:rsidRPr="003F7BF1" w:rsidRDefault="00D53C9F" w:rsidP="00D53C9F">
            <w:pPr>
              <w:rPr>
                <w:rFonts w:cs="Arial"/>
                <w:bCs/>
                <w:sz w:val="20"/>
                <w:szCs w:val="20"/>
                <w:lang w:eastAsia="it-CH"/>
              </w:rPr>
            </w:pPr>
            <w:r w:rsidRPr="003F7BF1">
              <w:rPr>
                <w:rFonts w:cs="Arial"/>
                <w:bCs/>
                <w:sz w:val="20"/>
                <w:szCs w:val="20"/>
                <w:lang w:eastAsia="it-CH"/>
              </w:rPr>
              <w:t xml:space="preserve">Area manutenzione </w:t>
            </w:r>
          </w:p>
        </w:tc>
        <w:tc>
          <w:tcPr>
            <w:tcW w:w="1446" w:type="dxa"/>
            <w:tcBorders>
              <w:top w:val="nil"/>
              <w:left w:val="nil"/>
              <w:bottom w:val="single" w:sz="8" w:space="0" w:color="auto"/>
              <w:right w:val="single" w:sz="8" w:space="0" w:color="auto"/>
            </w:tcBorders>
            <w:shd w:val="clear" w:color="auto" w:fill="auto"/>
            <w:vAlign w:val="center"/>
            <w:hideMark/>
          </w:tcPr>
          <w:p w:rsidR="00D53C9F" w:rsidRPr="003F7BF1" w:rsidRDefault="00D53C9F" w:rsidP="00D53C9F">
            <w:pPr>
              <w:jc w:val="center"/>
              <w:rPr>
                <w:rFonts w:cs="Arial"/>
                <w:bCs/>
                <w:sz w:val="20"/>
                <w:szCs w:val="20"/>
                <w:lang w:eastAsia="it-CH"/>
              </w:rPr>
            </w:pPr>
            <w:r w:rsidRPr="003F7BF1">
              <w:rPr>
                <w:rFonts w:cs="Arial"/>
                <w:bCs/>
                <w:sz w:val="20"/>
                <w:szCs w:val="20"/>
                <w:lang w:eastAsia="it-CH"/>
              </w:rPr>
              <w:t>25.04</w:t>
            </w:r>
          </w:p>
        </w:tc>
        <w:tc>
          <w:tcPr>
            <w:tcW w:w="1209" w:type="dxa"/>
            <w:tcBorders>
              <w:top w:val="nil"/>
              <w:left w:val="nil"/>
              <w:bottom w:val="single" w:sz="8" w:space="0" w:color="auto"/>
              <w:right w:val="single" w:sz="8" w:space="0" w:color="auto"/>
            </w:tcBorders>
            <w:shd w:val="clear" w:color="auto" w:fill="auto"/>
            <w:vAlign w:val="center"/>
            <w:hideMark/>
          </w:tcPr>
          <w:p w:rsidR="00D53C9F" w:rsidRPr="003F7BF1" w:rsidRDefault="00D53C9F" w:rsidP="00D53C9F">
            <w:pPr>
              <w:jc w:val="center"/>
              <w:rPr>
                <w:rFonts w:cs="Arial"/>
                <w:sz w:val="20"/>
                <w:szCs w:val="20"/>
                <w:lang w:eastAsia="it-CH"/>
              </w:rPr>
            </w:pPr>
            <w:r w:rsidRPr="003F7BF1">
              <w:rPr>
                <w:rFonts w:cs="Arial"/>
                <w:sz w:val="20"/>
                <w:szCs w:val="20"/>
                <w:lang w:eastAsia="it-CH"/>
              </w:rPr>
              <w:t>7.68</w:t>
            </w:r>
          </w:p>
        </w:tc>
        <w:tc>
          <w:tcPr>
            <w:tcW w:w="917" w:type="dxa"/>
            <w:tcBorders>
              <w:top w:val="nil"/>
              <w:left w:val="nil"/>
              <w:bottom w:val="single" w:sz="8" w:space="0" w:color="auto"/>
              <w:right w:val="single" w:sz="8" w:space="0" w:color="auto"/>
            </w:tcBorders>
            <w:shd w:val="clear" w:color="auto" w:fill="auto"/>
            <w:vAlign w:val="center"/>
            <w:hideMark/>
          </w:tcPr>
          <w:p w:rsidR="00D53C9F" w:rsidRPr="003F7BF1" w:rsidRDefault="00D53C9F" w:rsidP="00D53C9F">
            <w:pPr>
              <w:jc w:val="center"/>
              <w:rPr>
                <w:rFonts w:cs="Arial"/>
                <w:sz w:val="20"/>
                <w:szCs w:val="20"/>
                <w:lang w:eastAsia="it-CH"/>
              </w:rPr>
            </w:pPr>
            <w:r w:rsidRPr="003F7BF1">
              <w:rPr>
                <w:rFonts w:cs="Arial"/>
                <w:sz w:val="20"/>
                <w:szCs w:val="20"/>
                <w:lang w:eastAsia="it-CH"/>
              </w:rPr>
              <w:t>4.28</w:t>
            </w:r>
          </w:p>
        </w:tc>
        <w:tc>
          <w:tcPr>
            <w:tcW w:w="992" w:type="dxa"/>
            <w:tcBorders>
              <w:top w:val="nil"/>
              <w:left w:val="nil"/>
              <w:bottom w:val="single" w:sz="8" w:space="0" w:color="auto"/>
              <w:right w:val="single" w:sz="8" w:space="0" w:color="auto"/>
            </w:tcBorders>
            <w:shd w:val="clear" w:color="auto" w:fill="auto"/>
            <w:vAlign w:val="center"/>
            <w:hideMark/>
          </w:tcPr>
          <w:p w:rsidR="00D53C9F" w:rsidRPr="003F7BF1" w:rsidRDefault="00D53C9F" w:rsidP="00D53C9F">
            <w:pPr>
              <w:jc w:val="center"/>
              <w:rPr>
                <w:rFonts w:cs="Arial"/>
                <w:sz w:val="20"/>
                <w:szCs w:val="20"/>
                <w:lang w:eastAsia="it-CH"/>
              </w:rPr>
            </w:pPr>
            <w:r w:rsidRPr="003F7BF1">
              <w:rPr>
                <w:rFonts w:cs="Arial"/>
                <w:sz w:val="20"/>
                <w:szCs w:val="20"/>
                <w:lang w:eastAsia="it-CH"/>
              </w:rPr>
              <w:t>3.4</w:t>
            </w:r>
          </w:p>
        </w:tc>
        <w:tc>
          <w:tcPr>
            <w:tcW w:w="1276" w:type="dxa"/>
            <w:tcBorders>
              <w:top w:val="nil"/>
              <w:left w:val="nil"/>
              <w:bottom w:val="single" w:sz="8" w:space="0" w:color="auto"/>
              <w:right w:val="single" w:sz="8" w:space="0" w:color="auto"/>
            </w:tcBorders>
            <w:shd w:val="clear" w:color="auto" w:fill="auto"/>
            <w:vAlign w:val="center"/>
            <w:hideMark/>
          </w:tcPr>
          <w:p w:rsidR="00D53C9F" w:rsidRPr="003F7BF1" w:rsidRDefault="00D53C9F" w:rsidP="00D53C9F">
            <w:pPr>
              <w:jc w:val="center"/>
              <w:rPr>
                <w:rFonts w:cs="Arial"/>
                <w:bCs/>
                <w:sz w:val="20"/>
                <w:szCs w:val="20"/>
                <w:lang w:eastAsia="it-CH"/>
              </w:rPr>
            </w:pPr>
            <w:r w:rsidRPr="003F7BF1">
              <w:rPr>
                <w:rFonts w:cs="Arial"/>
                <w:bCs/>
                <w:sz w:val="20"/>
                <w:szCs w:val="20"/>
                <w:lang w:eastAsia="it-CH"/>
              </w:rPr>
              <w:t>17.35</w:t>
            </w:r>
          </w:p>
        </w:tc>
      </w:tr>
      <w:tr w:rsidR="00D53C9F" w:rsidRPr="003F7BF1" w:rsidTr="00D53C9F">
        <w:trPr>
          <w:trHeight w:val="330"/>
        </w:trPr>
        <w:tc>
          <w:tcPr>
            <w:tcW w:w="2240" w:type="dxa"/>
            <w:tcBorders>
              <w:top w:val="nil"/>
              <w:left w:val="single" w:sz="8" w:space="0" w:color="auto"/>
              <w:bottom w:val="single" w:sz="8" w:space="0" w:color="auto"/>
              <w:right w:val="nil"/>
            </w:tcBorders>
            <w:shd w:val="clear" w:color="auto" w:fill="auto"/>
            <w:noWrap/>
            <w:vAlign w:val="center"/>
            <w:hideMark/>
          </w:tcPr>
          <w:p w:rsidR="00D53C9F" w:rsidRPr="003F7BF1" w:rsidRDefault="00D53C9F" w:rsidP="00D53C9F">
            <w:pPr>
              <w:rPr>
                <w:rFonts w:cs="Arial"/>
                <w:bCs/>
                <w:sz w:val="20"/>
                <w:szCs w:val="20"/>
                <w:lang w:eastAsia="it-CH"/>
              </w:rPr>
            </w:pPr>
            <w:r w:rsidRPr="003F7BF1">
              <w:rPr>
                <w:rFonts w:cs="Arial"/>
                <w:bCs/>
                <w:sz w:val="20"/>
                <w:szCs w:val="20"/>
                <w:lang w:eastAsia="it-CH"/>
              </w:rPr>
              <w:t xml:space="preserve">Valore medio </w:t>
            </w:r>
          </w:p>
        </w:tc>
        <w:tc>
          <w:tcPr>
            <w:tcW w:w="1446" w:type="dxa"/>
            <w:tcBorders>
              <w:top w:val="nil"/>
              <w:left w:val="single" w:sz="8" w:space="0" w:color="auto"/>
              <w:bottom w:val="single" w:sz="8" w:space="0" w:color="auto"/>
              <w:right w:val="single" w:sz="8" w:space="0" w:color="auto"/>
            </w:tcBorders>
            <w:shd w:val="clear" w:color="auto" w:fill="auto"/>
            <w:vAlign w:val="center"/>
            <w:hideMark/>
          </w:tcPr>
          <w:p w:rsidR="00D53C9F" w:rsidRPr="003F7BF1" w:rsidRDefault="00D53C9F" w:rsidP="00D53C9F">
            <w:pPr>
              <w:jc w:val="center"/>
              <w:rPr>
                <w:rFonts w:cs="Arial"/>
                <w:b/>
                <w:bCs/>
                <w:sz w:val="20"/>
                <w:szCs w:val="20"/>
                <w:lang w:eastAsia="it-CH"/>
              </w:rPr>
            </w:pPr>
            <w:r w:rsidRPr="003F7BF1">
              <w:rPr>
                <w:rFonts w:cs="Arial"/>
                <w:b/>
                <w:bCs/>
                <w:sz w:val="20"/>
                <w:szCs w:val="20"/>
                <w:lang w:eastAsia="it-CH"/>
              </w:rPr>
              <w:t>16.64</w:t>
            </w:r>
          </w:p>
        </w:tc>
        <w:tc>
          <w:tcPr>
            <w:tcW w:w="1209" w:type="dxa"/>
            <w:tcBorders>
              <w:top w:val="nil"/>
              <w:left w:val="nil"/>
              <w:bottom w:val="single" w:sz="8" w:space="0" w:color="auto"/>
              <w:right w:val="single" w:sz="8" w:space="0" w:color="auto"/>
            </w:tcBorders>
            <w:shd w:val="clear" w:color="auto" w:fill="auto"/>
            <w:vAlign w:val="center"/>
            <w:hideMark/>
          </w:tcPr>
          <w:p w:rsidR="00D53C9F" w:rsidRPr="003F7BF1" w:rsidRDefault="00D53C9F" w:rsidP="00D53C9F">
            <w:pPr>
              <w:jc w:val="center"/>
              <w:rPr>
                <w:rFonts w:cs="Arial"/>
                <w:b/>
                <w:bCs/>
                <w:sz w:val="20"/>
                <w:szCs w:val="20"/>
                <w:lang w:eastAsia="it-CH"/>
              </w:rPr>
            </w:pPr>
            <w:r w:rsidRPr="003F7BF1">
              <w:rPr>
                <w:rFonts w:cs="Arial"/>
                <w:b/>
                <w:bCs/>
                <w:sz w:val="20"/>
                <w:szCs w:val="20"/>
                <w:lang w:eastAsia="it-CH"/>
              </w:rPr>
              <w:t>4.17</w:t>
            </w:r>
          </w:p>
        </w:tc>
        <w:tc>
          <w:tcPr>
            <w:tcW w:w="917" w:type="dxa"/>
            <w:tcBorders>
              <w:top w:val="nil"/>
              <w:left w:val="nil"/>
              <w:bottom w:val="single" w:sz="8" w:space="0" w:color="auto"/>
              <w:right w:val="single" w:sz="8" w:space="0" w:color="auto"/>
            </w:tcBorders>
            <w:shd w:val="clear" w:color="auto" w:fill="auto"/>
            <w:vAlign w:val="center"/>
            <w:hideMark/>
          </w:tcPr>
          <w:p w:rsidR="00D53C9F" w:rsidRPr="003F7BF1" w:rsidRDefault="00D53C9F" w:rsidP="00D53C9F">
            <w:pPr>
              <w:jc w:val="center"/>
              <w:rPr>
                <w:rFonts w:cs="Arial"/>
                <w:b/>
                <w:bCs/>
                <w:sz w:val="20"/>
                <w:szCs w:val="20"/>
                <w:lang w:eastAsia="it-CH"/>
              </w:rPr>
            </w:pPr>
            <w:r w:rsidRPr="003F7BF1">
              <w:rPr>
                <w:rFonts w:cs="Arial"/>
                <w:b/>
                <w:bCs/>
                <w:sz w:val="20"/>
                <w:szCs w:val="20"/>
                <w:lang w:eastAsia="it-CH"/>
              </w:rPr>
              <w:t>2.83</w:t>
            </w:r>
          </w:p>
        </w:tc>
        <w:tc>
          <w:tcPr>
            <w:tcW w:w="992" w:type="dxa"/>
            <w:tcBorders>
              <w:top w:val="nil"/>
              <w:left w:val="nil"/>
              <w:bottom w:val="single" w:sz="8" w:space="0" w:color="auto"/>
              <w:right w:val="single" w:sz="8" w:space="0" w:color="auto"/>
            </w:tcBorders>
            <w:shd w:val="clear" w:color="auto" w:fill="auto"/>
            <w:vAlign w:val="center"/>
            <w:hideMark/>
          </w:tcPr>
          <w:p w:rsidR="00D53C9F" w:rsidRPr="003F7BF1" w:rsidRDefault="00D53C9F" w:rsidP="00D53C9F">
            <w:pPr>
              <w:jc w:val="center"/>
              <w:rPr>
                <w:rFonts w:cs="Arial"/>
                <w:b/>
                <w:bCs/>
                <w:sz w:val="20"/>
                <w:szCs w:val="20"/>
                <w:lang w:eastAsia="it-CH"/>
              </w:rPr>
            </w:pPr>
            <w:r w:rsidRPr="003F7BF1">
              <w:rPr>
                <w:rFonts w:cs="Arial"/>
                <w:b/>
                <w:bCs/>
                <w:sz w:val="20"/>
                <w:szCs w:val="20"/>
                <w:lang w:eastAsia="it-CH"/>
              </w:rPr>
              <w:t>1.34</w:t>
            </w:r>
          </w:p>
        </w:tc>
        <w:tc>
          <w:tcPr>
            <w:tcW w:w="1276" w:type="dxa"/>
            <w:tcBorders>
              <w:top w:val="nil"/>
              <w:left w:val="nil"/>
              <w:bottom w:val="single" w:sz="8" w:space="0" w:color="auto"/>
              <w:right w:val="single" w:sz="8" w:space="0" w:color="auto"/>
            </w:tcBorders>
            <w:shd w:val="clear" w:color="auto" w:fill="auto"/>
            <w:vAlign w:val="center"/>
            <w:hideMark/>
          </w:tcPr>
          <w:p w:rsidR="00D53C9F" w:rsidRPr="003F7BF1" w:rsidRDefault="00D53C9F" w:rsidP="00D53C9F">
            <w:pPr>
              <w:jc w:val="center"/>
              <w:rPr>
                <w:rFonts w:cs="Arial"/>
                <w:b/>
                <w:bCs/>
                <w:sz w:val="20"/>
                <w:szCs w:val="20"/>
                <w:lang w:eastAsia="it-CH"/>
              </w:rPr>
            </w:pPr>
            <w:r w:rsidRPr="003F7BF1">
              <w:rPr>
                <w:rFonts w:cs="Arial"/>
                <w:b/>
                <w:bCs/>
                <w:sz w:val="20"/>
                <w:szCs w:val="20"/>
                <w:lang w:eastAsia="it-CH"/>
              </w:rPr>
              <w:t>12.49</w:t>
            </w:r>
          </w:p>
        </w:tc>
      </w:tr>
    </w:tbl>
    <w:p w:rsidR="003F7BF1" w:rsidRDefault="003F7BF1" w:rsidP="00D53C9F">
      <w:pPr>
        <w:rPr>
          <w:rFonts w:cs="Arial"/>
          <w:szCs w:val="24"/>
        </w:rPr>
      </w:pPr>
    </w:p>
    <w:p w:rsidR="00D53C9F" w:rsidRDefault="00D53C9F" w:rsidP="00D53C9F">
      <w:pPr>
        <w:rPr>
          <w:rFonts w:cs="Arial"/>
          <w:szCs w:val="24"/>
        </w:rPr>
      </w:pPr>
      <w:r w:rsidRPr="00D53C9F">
        <w:rPr>
          <w:rFonts w:cs="Arial"/>
          <w:szCs w:val="24"/>
        </w:rPr>
        <w:lastRenderedPageBreak/>
        <w:t>Il messaggio entra nel dettaglio delle diverse caratteristiche di questi servizi nei quali si presume possa sussistere un rischio maggiore di assenza per malattia. I dati confermano l’ipotesi con l’eccezione della polizia cantonale.</w:t>
      </w:r>
    </w:p>
    <w:p w:rsidR="003F7BF1" w:rsidRPr="00D53C9F" w:rsidRDefault="003F7BF1" w:rsidP="00D53C9F">
      <w:pPr>
        <w:rPr>
          <w:rFonts w:cs="Arial"/>
          <w:szCs w:val="24"/>
        </w:rPr>
      </w:pPr>
    </w:p>
    <w:p w:rsidR="00D53C9F" w:rsidRPr="00D53C9F" w:rsidRDefault="00D53C9F" w:rsidP="00D53C9F">
      <w:pPr>
        <w:rPr>
          <w:rFonts w:cs="Arial"/>
          <w:szCs w:val="24"/>
        </w:rPr>
      </w:pPr>
      <w:r w:rsidRPr="00D53C9F">
        <w:rPr>
          <w:rFonts w:cs="Arial"/>
          <w:szCs w:val="24"/>
        </w:rPr>
        <w:t>Le spiegazioni indicate nel messaggio risultano essere plausibili e confermano l’attenzione con cui sono seguite le specificità di ogni settore. Tuttavia è anche evidente che il lavoro maggiormente fisico richiesto in taluni ambiti comporta un rischio maggiore di assenze per malattia, ad esempio provocate da problematiche connesse all’apparato locomotore, rispetto a chi è impiegato d’ufficio.</w:t>
      </w:r>
    </w:p>
    <w:p w:rsidR="00D53C9F" w:rsidRDefault="00D53C9F" w:rsidP="00D53C9F">
      <w:pPr>
        <w:rPr>
          <w:rFonts w:cs="Arial"/>
          <w:szCs w:val="24"/>
        </w:rPr>
      </w:pPr>
    </w:p>
    <w:p w:rsidR="003F7BF1" w:rsidRPr="00D53C9F" w:rsidRDefault="003F7BF1" w:rsidP="00D53C9F">
      <w:pPr>
        <w:rPr>
          <w:rFonts w:cs="Arial"/>
          <w:szCs w:val="24"/>
        </w:rPr>
      </w:pPr>
    </w:p>
    <w:p w:rsidR="00D53C9F" w:rsidRPr="00D53C9F" w:rsidRDefault="003F7BF1" w:rsidP="00D2062E">
      <w:pPr>
        <w:pStyle w:val="Titolo2"/>
      </w:pPr>
      <w:r>
        <w:t>4.2</w:t>
      </w:r>
      <w:r>
        <w:tab/>
      </w:r>
      <w:r w:rsidR="00D53C9F" w:rsidRPr="00D53C9F">
        <w:t>Benchmarking esterno</w:t>
      </w:r>
    </w:p>
    <w:p w:rsidR="00D53C9F" w:rsidRPr="00D53C9F" w:rsidRDefault="00D53C9F" w:rsidP="00D53C9F">
      <w:pPr>
        <w:spacing w:before="120"/>
        <w:rPr>
          <w:rFonts w:cs="Arial"/>
          <w:szCs w:val="24"/>
        </w:rPr>
      </w:pPr>
      <w:r w:rsidRPr="00D53C9F">
        <w:rPr>
          <w:rFonts w:cs="Arial"/>
          <w:szCs w:val="24"/>
        </w:rPr>
        <w:t>Il messaggio indica le difficoltà oggettive riscontrate per potersi confrontare con altre realtà cantonali in quanto non esiste una stessa metodologia di conteggio delle assenze quando addirittura in molti cantoni i dati non sono pubblici essendo solo otto i cantoni che danno informazioni sul tema. E tra questi otto solo Berna e Ginevra hanno indicazioni confrontabili pur con rilevanti differenze di impostazione ciò che rende difficile trarre conclusioni certe (rinunciamo a riprendere l’esaustiva e articolata spiegazione contenuta nel messaggio del CdS).</w:t>
      </w:r>
    </w:p>
    <w:p w:rsidR="003F7BF1" w:rsidRDefault="00D53C9F" w:rsidP="00D53C9F">
      <w:pPr>
        <w:rPr>
          <w:rFonts w:cs="Arial"/>
          <w:szCs w:val="24"/>
        </w:rPr>
      </w:pPr>
      <w:r w:rsidRPr="00D53C9F">
        <w:rPr>
          <w:rFonts w:cs="Arial"/>
          <w:szCs w:val="24"/>
        </w:rPr>
        <w:t>Interessante e basati su dati comparabili è il confronto con i dati di Germania e Austria nel 2018. Anche in questo caso la situazione dell’AC risulta essere in linea.</w:t>
      </w:r>
    </w:p>
    <w:p w:rsidR="007078C4" w:rsidRDefault="007078C4" w:rsidP="00D53C9F">
      <w:pPr>
        <w:rPr>
          <w:rFonts w:cs="Arial"/>
          <w:szCs w:val="24"/>
        </w:rPr>
      </w:pPr>
    </w:p>
    <w:p w:rsidR="00D53C9F" w:rsidRPr="00D2062E" w:rsidRDefault="00D53C9F" w:rsidP="00D53C9F">
      <w:pPr>
        <w:tabs>
          <w:tab w:val="left" w:pos="3119"/>
          <w:tab w:val="left" w:pos="5670"/>
        </w:tabs>
        <w:ind w:left="4956" w:hanging="4956"/>
        <w:rPr>
          <w:rFonts w:cs="Arial"/>
          <w:b/>
          <w:szCs w:val="24"/>
        </w:rPr>
      </w:pPr>
      <w:r w:rsidRPr="00D53C9F">
        <w:rPr>
          <w:rFonts w:cs="Arial"/>
          <w:b/>
          <w:szCs w:val="24"/>
        </w:rPr>
        <w:tab/>
      </w:r>
      <w:r w:rsidRPr="00D2062E">
        <w:rPr>
          <w:rFonts w:cs="Arial"/>
          <w:b/>
          <w:szCs w:val="24"/>
        </w:rPr>
        <w:t>Quota di assenza</w:t>
      </w:r>
      <w:r w:rsidRPr="00D2062E">
        <w:rPr>
          <w:rFonts w:cs="Arial"/>
          <w:b/>
          <w:szCs w:val="24"/>
        </w:rPr>
        <w:tab/>
      </w:r>
      <w:r w:rsidRPr="00D2062E">
        <w:rPr>
          <w:rFonts w:cs="Arial"/>
          <w:b/>
          <w:szCs w:val="24"/>
          <w:u w:val="single"/>
        </w:rPr>
        <w:t>Giorni</w:t>
      </w:r>
      <w:r w:rsidRPr="00D2062E">
        <w:rPr>
          <w:rFonts w:cs="Arial"/>
          <w:b/>
          <w:szCs w:val="24"/>
        </w:rPr>
        <w:t xml:space="preserve"> </w:t>
      </w:r>
    </w:p>
    <w:p w:rsidR="00F53D95" w:rsidRDefault="00D53C9F" w:rsidP="00F53D95">
      <w:pPr>
        <w:tabs>
          <w:tab w:val="left" w:pos="3544"/>
          <w:tab w:val="left" w:pos="5670"/>
        </w:tabs>
        <w:ind w:left="4956" w:hanging="4956"/>
        <w:rPr>
          <w:rFonts w:cs="Arial"/>
          <w:szCs w:val="24"/>
        </w:rPr>
      </w:pPr>
      <w:r w:rsidRPr="00D2062E">
        <w:rPr>
          <w:rFonts w:cs="Arial"/>
          <w:szCs w:val="24"/>
        </w:rPr>
        <w:tab/>
      </w:r>
      <w:r w:rsidRPr="00D2062E">
        <w:rPr>
          <w:rFonts w:cs="Arial"/>
          <w:szCs w:val="24"/>
        </w:rPr>
        <w:tab/>
      </w:r>
      <w:r w:rsidRPr="00D2062E">
        <w:rPr>
          <w:rFonts w:cs="Arial"/>
          <w:szCs w:val="24"/>
        </w:rPr>
        <w:tab/>
        <w:t xml:space="preserve">(su base annua </w:t>
      </w:r>
    </w:p>
    <w:p w:rsidR="00D53C9F" w:rsidRPr="00D2062E" w:rsidRDefault="00F53D95" w:rsidP="007078C4">
      <w:pPr>
        <w:tabs>
          <w:tab w:val="left" w:pos="3544"/>
          <w:tab w:val="left" w:pos="5670"/>
        </w:tabs>
        <w:spacing w:after="120"/>
        <w:ind w:left="4956" w:hanging="4956"/>
        <w:rPr>
          <w:rFonts w:cs="Arial"/>
          <w:szCs w:val="24"/>
        </w:rPr>
      </w:pPr>
      <w:r>
        <w:rPr>
          <w:rFonts w:cs="Arial"/>
          <w:szCs w:val="24"/>
        </w:rPr>
        <w:tab/>
      </w:r>
      <w:r>
        <w:rPr>
          <w:rFonts w:cs="Arial"/>
          <w:szCs w:val="24"/>
        </w:rPr>
        <w:tab/>
      </w:r>
      <w:r>
        <w:rPr>
          <w:rFonts w:cs="Arial"/>
          <w:szCs w:val="24"/>
        </w:rPr>
        <w:tab/>
      </w:r>
      <w:r w:rsidR="00D53C9F" w:rsidRPr="00D2062E">
        <w:rPr>
          <w:rFonts w:cs="Arial"/>
          <w:szCs w:val="24"/>
        </w:rPr>
        <w:t>365 giorni all’anno)</w:t>
      </w:r>
    </w:p>
    <w:p w:rsidR="00D53C9F" w:rsidRPr="00D2062E" w:rsidRDefault="00D53C9F" w:rsidP="007078C4">
      <w:pPr>
        <w:tabs>
          <w:tab w:val="left" w:pos="3544"/>
          <w:tab w:val="left" w:pos="5670"/>
        </w:tabs>
        <w:spacing w:after="80"/>
        <w:rPr>
          <w:rFonts w:cs="Arial"/>
          <w:szCs w:val="24"/>
        </w:rPr>
      </w:pPr>
      <w:r w:rsidRPr="00D2062E">
        <w:rPr>
          <w:rFonts w:cs="Arial"/>
          <w:szCs w:val="24"/>
        </w:rPr>
        <w:t>Germania</w:t>
      </w:r>
      <w:r w:rsidRPr="00D2062E">
        <w:rPr>
          <w:rStyle w:val="Rimandonotaapidipagina"/>
          <w:rFonts w:cs="Arial"/>
          <w:szCs w:val="24"/>
        </w:rPr>
        <w:footnoteReference w:id="3"/>
      </w:r>
      <w:r w:rsidRPr="00D2062E">
        <w:rPr>
          <w:rFonts w:cs="Arial"/>
          <w:szCs w:val="24"/>
        </w:rPr>
        <w:t xml:space="preserve"> </w:t>
      </w:r>
      <w:r w:rsidRPr="00D2062E">
        <w:rPr>
          <w:rFonts w:cs="Arial"/>
          <w:szCs w:val="24"/>
        </w:rPr>
        <w:tab/>
        <w:t>5.9%</w:t>
      </w:r>
      <w:r w:rsidRPr="00D2062E">
        <w:rPr>
          <w:rFonts w:cs="Arial"/>
          <w:szCs w:val="24"/>
        </w:rPr>
        <w:tab/>
        <w:t>21.7</w:t>
      </w:r>
    </w:p>
    <w:p w:rsidR="00D53C9F" w:rsidRPr="00D2062E" w:rsidRDefault="00D53C9F" w:rsidP="00D53C9F">
      <w:pPr>
        <w:tabs>
          <w:tab w:val="left" w:pos="3544"/>
          <w:tab w:val="left" w:pos="5670"/>
        </w:tabs>
        <w:rPr>
          <w:rFonts w:cs="Arial"/>
          <w:szCs w:val="24"/>
        </w:rPr>
      </w:pPr>
      <w:r w:rsidRPr="00D2062E">
        <w:rPr>
          <w:rFonts w:cs="Arial"/>
          <w:szCs w:val="24"/>
        </w:rPr>
        <w:t>Austria</w:t>
      </w:r>
      <w:r w:rsidRPr="00D2062E">
        <w:rPr>
          <w:rStyle w:val="Rimandonotaapidipagina"/>
          <w:rFonts w:cs="Arial"/>
          <w:szCs w:val="24"/>
        </w:rPr>
        <w:footnoteReference w:id="4"/>
      </w:r>
      <w:r w:rsidRPr="00D2062E">
        <w:rPr>
          <w:rFonts w:cs="Arial"/>
          <w:szCs w:val="24"/>
        </w:rPr>
        <w:tab/>
        <w:t>3.78%</w:t>
      </w:r>
      <w:r w:rsidRPr="00D2062E">
        <w:rPr>
          <w:rFonts w:cs="Arial"/>
          <w:szCs w:val="24"/>
        </w:rPr>
        <w:tab/>
        <w:t>13.8</w:t>
      </w:r>
    </w:p>
    <w:p w:rsidR="00D53C9F" w:rsidRDefault="00D53C9F" w:rsidP="00D53C9F">
      <w:pPr>
        <w:tabs>
          <w:tab w:val="left" w:pos="3544"/>
          <w:tab w:val="left" w:pos="5670"/>
        </w:tabs>
        <w:rPr>
          <w:rFonts w:cs="Arial"/>
          <w:szCs w:val="24"/>
        </w:rPr>
      </w:pPr>
    </w:p>
    <w:p w:rsidR="003F7BF1" w:rsidRPr="00D53C9F" w:rsidRDefault="003F7BF1" w:rsidP="00D53C9F">
      <w:pPr>
        <w:tabs>
          <w:tab w:val="left" w:pos="3544"/>
          <w:tab w:val="left" w:pos="5670"/>
        </w:tabs>
        <w:rPr>
          <w:rFonts w:cs="Arial"/>
          <w:szCs w:val="24"/>
        </w:rPr>
      </w:pPr>
    </w:p>
    <w:p w:rsidR="00D53C9F" w:rsidRPr="00D53C9F" w:rsidRDefault="003F7BF1" w:rsidP="00D2062E">
      <w:pPr>
        <w:pStyle w:val="Titolo2"/>
      </w:pPr>
      <w:r>
        <w:t>4.3</w:t>
      </w:r>
      <w:r>
        <w:tab/>
      </w:r>
      <w:r w:rsidR="00D53C9F" w:rsidRPr="00D53C9F">
        <w:t>Docenti</w:t>
      </w:r>
    </w:p>
    <w:p w:rsidR="00D53C9F" w:rsidRDefault="00D53C9F" w:rsidP="00D53C9F">
      <w:pPr>
        <w:spacing w:before="120"/>
        <w:rPr>
          <w:rFonts w:cs="Arial"/>
          <w:szCs w:val="24"/>
        </w:rPr>
      </w:pPr>
      <w:r w:rsidRPr="00D53C9F">
        <w:rPr>
          <w:rFonts w:cs="Arial"/>
          <w:szCs w:val="24"/>
        </w:rPr>
        <w:t>Il messaggio del CdS in oggetto dedica un capitolo specifico alla situazione dei docenti le cui assenze sono registrate nello specifico supporto informatico GAS (Gestione amministrativa scuole). Il sistema informatico consente alla sezione amministrativa del DECS il monitoraggio della situazione in considerazione che i docenti non timbrano, operano spesso in sedi diverse e quindi richiedono una soluzione specifica. Anche per quanto concerne i docenti il monitoraggio è costante e non si evidenzia una situazione di particolare rilievo o una tendenza in crescita.</w:t>
      </w:r>
    </w:p>
    <w:p w:rsidR="007078C4" w:rsidRDefault="007078C4" w:rsidP="00D53C9F">
      <w:pPr>
        <w:spacing w:before="120"/>
        <w:rPr>
          <w:rFonts w:cs="Arial"/>
          <w:szCs w:val="24"/>
        </w:rPr>
      </w:pPr>
    </w:p>
    <w:p w:rsidR="007078C4" w:rsidRDefault="007078C4">
      <w:pPr>
        <w:jc w:val="left"/>
        <w:rPr>
          <w:rFonts w:cs="Arial"/>
          <w:szCs w:val="24"/>
        </w:rPr>
      </w:pPr>
      <w:r>
        <w:rPr>
          <w:rFonts w:cs="Arial"/>
          <w:szCs w:val="24"/>
        </w:rPr>
        <w:br w:type="page"/>
      </w:r>
    </w:p>
    <w:tbl>
      <w:tblPr>
        <w:tblStyle w:val="Grigliatabella"/>
        <w:tblW w:w="10060" w:type="dxa"/>
        <w:tblLayout w:type="fixed"/>
        <w:tblLook w:val="04A0" w:firstRow="1" w:lastRow="0" w:firstColumn="1" w:lastColumn="0" w:noHBand="0" w:noVBand="1"/>
      </w:tblPr>
      <w:tblGrid>
        <w:gridCol w:w="959"/>
        <w:gridCol w:w="1304"/>
        <w:gridCol w:w="1276"/>
        <w:gridCol w:w="1276"/>
        <w:gridCol w:w="992"/>
        <w:gridCol w:w="992"/>
        <w:gridCol w:w="1134"/>
        <w:gridCol w:w="1134"/>
        <w:gridCol w:w="993"/>
      </w:tblGrid>
      <w:tr w:rsidR="00D53C9F" w:rsidRPr="003F7BF1" w:rsidTr="00D53C9F">
        <w:trPr>
          <w:trHeight w:val="375"/>
        </w:trPr>
        <w:tc>
          <w:tcPr>
            <w:tcW w:w="4815" w:type="dxa"/>
            <w:gridSpan w:val="4"/>
            <w:noWrap/>
            <w:hideMark/>
          </w:tcPr>
          <w:p w:rsidR="00D53C9F" w:rsidRPr="003F7BF1" w:rsidRDefault="00D53C9F" w:rsidP="00D53C9F">
            <w:pPr>
              <w:rPr>
                <w:rFonts w:cs="Arial"/>
                <w:b/>
                <w:bCs/>
                <w:sz w:val="20"/>
                <w:szCs w:val="20"/>
              </w:rPr>
            </w:pPr>
            <w:r w:rsidRPr="003F7BF1">
              <w:rPr>
                <w:rFonts w:cs="Arial"/>
                <w:b/>
                <w:bCs/>
                <w:sz w:val="20"/>
                <w:szCs w:val="20"/>
              </w:rPr>
              <w:lastRenderedPageBreak/>
              <w:t xml:space="preserve">Evoluzione assenze docenti 2012/2017 </w:t>
            </w:r>
            <w:r w:rsidRPr="003F7BF1">
              <w:rPr>
                <w:rFonts w:cs="Arial"/>
                <w:b/>
                <w:sz w:val="20"/>
                <w:szCs w:val="20"/>
                <w:vertAlign w:val="superscript"/>
              </w:rPr>
              <w:t>3</w:t>
            </w:r>
          </w:p>
        </w:tc>
        <w:tc>
          <w:tcPr>
            <w:tcW w:w="992" w:type="dxa"/>
            <w:noWrap/>
            <w:hideMark/>
          </w:tcPr>
          <w:p w:rsidR="00D53C9F" w:rsidRPr="003F7BF1" w:rsidRDefault="00D53C9F" w:rsidP="00D53C9F">
            <w:pPr>
              <w:rPr>
                <w:rFonts w:cs="Arial"/>
                <w:b/>
                <w:sz w:val="20"/>
                <w:szCs w:val="20"/>
              </w:rPr>
            </w:pPr>
            <w:r w:rsidRPr="003F7BF1">
              <w:rPr>
                <w:rFonts w:cs="Arial"/>
                <w:b/>
                <w:sz w:val="20"/>
                <w:szCs w:val="20"/>
              </w:rPr>
              <w:t> </w:t>
            </w:r>
          </w:p>
        </w:tc>
        <w:tc>
          <w:tcPr>
            <w:tcW w:w="992" w:type="dxa"/>
            <w:noWrap/>
            <w:hideMark/>
          </w:tcPr>
          <w:p w:rsidR="00D53C9F" w:rsidRPr="003F7BF1" w:rsidRDefault="00D53C9F" w:rsidP="00D53C9F">
            <w:pPr>
              <w:rPr>
                <w:rFonts w:cs="Arial"/>
                <w:b/>
                <w:sz w:val="20"/>
                <w:szCs w:val="20"/>
              </w:rPr>
            </w:pPr>
            <w:r w:rsidRPr="003F7BF1">
              <w:rPr>
                <w:rFonts w:cs="Arial"/>
                <w:b/>
                <w:sz w:val="20"/>
                <w:szCs w:val="20"/>
              </w:rPr>
              <w:t> </w:t>
            </w:r>
          </w:p>
        </w:tc>
        <w:tc>
          <w:tcPr>
            <w:tcW w:w="1134" w:type="dxa"/>
            <w:noWrap/>
            <w:hideMark/>
          </w:tcPr>
          <w:p w:rsidR="00D53C9F" w:rsidRPr="003F7BF1" w:rsidRDefault="00D53C9F" w:rsidP="00D53C9F">
            <w:pPr>
              <w:rPr>
                <w:rFonts w:cs="Arial"/>
                <w:b/>
                <w:sz w:val="20"/>
                <w:szCs w:val="20"/>
              </w:rPr>
            </w:pPr>
            <w:r w:rsidRPr="003F7BF1">
              <w:rPr>
                <w:rFonts w:cs="Arial"/>
                <w:b/>
                <w:sz w:val="20"/>
                <w:szCs w:val="20"/>
              </w:rPr>
              <w:t> </w:t>
            </w:r>
          </w:p>
        </w:tc>
        <w:tc>
          <w:tcPr>
            <w:tcW w:w="1134" w:type="dxa"/>
            <w:noWrap/>
            <w:hideMark/>
          </w:tcPr>
          <w:p w:rsidR="00D53C9F" w:rsidRPr="003F7BF1" w:rsidRDefault="00D53C9F" w:rsidP="00D53C9F">
            <w:pPr>
              <w:rPr>
                <w:rFonts w:cs="Arial"/>
                <w:b/>
                <w:sz w:val="20"/>
                <w:szCs w:val="20"/>
              </w:rPr>
            </w:pPr>
            <w:r w:rsidRPr="003F7BF1">
              <w:rPr>
                <w:rFonts w:cs="Arial"/>
                <w:b/>
                <w:sz w:val="20"/>
                <w:szCs w:val="20"/>
              </w:rPr>
              <w:t> </w:t>
            </w:r>
          </w:p>
        </w:tc>
        <w:tc>
          <w:tcPr>
            <w:tcW w:w="993" w:type="dxa"/>
            <w:noWrap/>
            <w:hideMark/>
          </w:tcPr>
          <w:p w:rsidR="00D53C9F" w:rsidRPr="003F7BF1" w:rsidRDefault="00D53C9F" w:rsidP="00D53C9F">
            <w:pPr>
              <w:rPr>
                <w:rFonts w:cs="Arial"/>
                <w:b/>
                <w:sz w:val="20"/>
                <w:szCs w:val="20"/>
              </w:rPr>
            </w:pPr>
            <w:r w:rsidRPr="003F7BF1">
              <w:rPr>
                <w:rFonts w:cs="Arial"/>
                <w:b/>
                <w:sz w:val="20"/>
                <w:szCs w:val="20"/>
              </w:rPr>
              <w:t> </w:t>
            </w:r>
          </w:p>
        </w:tc>
      </w:tr>
      <w:tr w:rsidR="00D53C9F" w:rsidRPr="003F7BF1" w:rsidTr="00D53C9F">
        <w:trPr>
          <w:trHeight w:val="300"/>
        </w:trPr>
        <w:tc>
          <w:tcPr>
            <w:tcW w:w="959" w:type="dxa"/>
            <w:vMerge w:val="restart"/>
            <w:noWrap/>
            <w:hideMark/>
          </w:tcPr>
          <w:p w:rsidR="00D53C9F" w:rsidRPr="003F7BF1" w:rsidRDefault="00D53C9F" w:rsidP="00D53C9F">
            <w:pPr>
              <w:rPr>
                <w:rFonts w:cs="Arial"/>
                <w:sz w:val="20"/>
                <w:szCs w:val="20"/>
              </w:rPr>
            </w:pPr>
            <w:r w:rsidRPr="003F7BF1">
              <w:rPr>
                <w:rFonts w:cs="Arial"/>
                <w:sz w:val="20"/>
                <w:szCs w:val="20"/>
              </w:rPr>
              <w:t> </w:t>
            </w:r>
          </w:p>
        </w:tc>
        <w:tc>
          <w:tcPr>
            <w:tcW w:w="1304" w:type="dxa"/>
            <w:vMerge w:val="restart"/>
            <w:noWrap/>
            <w:hideMark/>
          </w:tcPr>
          <w:p w:rsidR="00D53C9F" w:rsidRPr="003F7BF1" w:rsidRDefault="00D53C9F" w:rsidP="00D53C9F">
            <w:pPr>
              <w:jc w:val="left"/>
              <w:rPr>
                <w:rFonts w:cs="Arial"/>
                <w:sz w:val="20"/>
                <w:szCs w:val="20"/>
              </w:rPr>
            </w:pPr>
            <w:r w:rsidRPr="003F7BF1">
              <w:rPr>
                <w:rFonts w:cs="Arial"/>
                <w:sz w:val="20"/>
                <w:szCs w:val="20"/>
              </w:rPr>
              <w:t>numero di docenti (persone fisiche PF)</w:t>
            </w:r>
          </w:p>
        </w:tc>
        <w:tc>
          <w:tcPr>
            <w:tcW w:w="1276" w:type="dxa"/>
            <w:vMerge w:val="restart"/>
            <w:noWrap/>
            <w:hideMark/>
          </w:tcPr>
          <w:p w:rsidR="00D53C9F" w:rsidRPr="003F7BF1" w:rsidRDefault="00D53C9F" w:rsidP="00D53C9F">
            <w:pPr>
              <w:jc w:val="left"/>
              <w:rPr>
                <w:rFonts w:cs="Arial"/>
                <w:sz w:val="20"/>
                <w:szCs w:val="20"/>
              </w:rPr>
            </w:pPr>
            <w:r w:rsidRPr="003F7BF1">
              <w:rPr>
                <w:rFonts w:cs="Arial"/>
                <w:sz w:val="20"/>
                <w:szCs w:val="20"/>
              </w:rPr>
              <w:t>Unità a tempo pieno equivalenti</w:t>
            </w:r>
          </w:p>
        </w:tc>
        <w:tc>
          <w:tcPr>
            <w:tcW w:w="2268" w:type="dxa"/>
            <w:gridSpan w:val="2"/>
            <w:hideMark/>
          </w:tcPr>
          <w:p w:rsidR="00D53C9F" w:rsidRPr="003F7BF1" w:rsidRDefault="00D53C9F" w:rsidP="00D53C9F">
            <w:pPr>
              <w:jc w:val="center"/>
              <w:rPr>
                <w:rFonts w:cs="Arial"/>
                <w:sz w:val="20"/>
                <w:szCs w:val="20"/>
              </w:rPr>
            </w:pPr>
            <w:r w:rsidRPr="003F7BF1">
              <w:rPr>
                <w:rFonts w:cs="Arial"/>
                <w:sz w:val="20"/>
                <w:szCs w:val="20"/>
              </w:rPr>
              <w:t>Malattia e Infortunio</w:t>
            </w:r>
          </w:p>
        </w:tc>
        <w:tc>
          <w:tcPr>
            <w:tcW w:w="3260" w:type="dxa"/>
            <w:gridSpan w:val="3"/>
            <w:hideMark/>
          </w:tcPr>
          <w:p w:rsidR="00D53C9F" w:rsidRPr="003F7BF1" w:rsidRDefault="00D53C9F" w:rsidP="00D53C9F">
            <w:pPr>
              <w:jc w:val="center"/>
              <w:rPr>
                <w:rFonts w:cs="Arial"/>
                <w:sz w:val="20"/>
                <w:szCs w:val="20"/>
              </w:rPr>
            </w:pPr>
            <w:r w:rsidRPr="003F7BF1">
              <w:rPr>
                <w:rFonts w:cs="Arial"/>
                <w:sz w:val="20"/>
                <w:szCs w:val="20"/>
              </w:rPr>
              <w:t>Infortunio</w:t>
            </w:r>
          </w:p>
        </w:tc>
        <w:tc>
          <w:tcPr>
            <w:tcW w:w="993" w:type="dxa"/>
            <w:hideMark/>
          </w:tcPr>
          <w:p w:rsidR="00D53C9F" w:rsidRPr="003F7BF1" w:rsidRDefault="00D53C9F" w:rsidP="00D53C9F">
            <w:pPr>
              <w:rPr>
                <w:rFonts w:cs="Arial"/>
                <w:bCs/>
                <w:sz w:val="20"/>
                <w:szCs w:val="20"/>
              </w:rPr>
            </w:pPr>
            <w:r w:rsidRPr="003F7BF1">
              <w:rPr>
                <w:rFonts w:cs="Arial"/>
                <w:bCs/>
                <w:sz w:val="20"/>
                <w:szCs w:val="20"/>
              </w:rPr>
              <w:t>Malattia</w:t>
            </w:r>
          </w:p>
        </w:tc>
      </w:tr>
      <w:tr w:rsidR="00D53C9F" w:rsidRPr="003F7BF1" w:rsidTr="00D53C9F">
        <w:trPr>
          <w:trHeight w:val="540"/>
        </w:trPr>
        <w:tc>
          <w:tcPr>
            <w:tcW w:w="959" w:type="dxa"/>
            <w:vMerge/>
            <w:hideMark/>
          </w:tcPr>
          <w:p w:rsidR="00D53C9F" w:rsidRPr="003F7BF1" w:rsidRDefault="00D53C9F" w:rsidP="00D53C9F">
            <w:pPr>
              <w:rPr>
                <w:rFonts w:cs="Arial"/>
                <w:bCs/>
                <w:sz w:val="20"/>
                <w:szCs w:val="20"/>
              </w:rPr>
            </w:pPr>
          </w:p>
        </w:tc>
        <w:tc>
          <w:tcPr>
            <w:tcW w:w="1304" w:type="dxa"/>
            <w:vMerge/>
            <w:hideMark/>
          </w:tcPr>
          <w:p w:rsidR="00D53C9F" w:rsidRPr="003F7BF1" w:rsidRDefault="00D53C9F" w:rsidP="00D53C9F">
            <w:pPr>
              <w:rPr>
                <w:rFonts w:cs="Arial"/>
                <w:sz w:val="20"/>
                <w:szCs w:val="20"/>
              </w:rPr>
            </w:pPr>
          </w:p>
        </w:tc>
        <w:tc>
          <w:tcPr>
            <w:tcW w:w="1276" w:type="dxa"/>
            <w:vMerge/>
            <w:hideMark/>
          </w:tcPr>
          <w:p w:rsidR="00D53C9F" w:rsidRPr="003F7BF1" w:rsidRDefault="00D53C9F" w:rsidP="00D53C9F">
            <w:pPr>
              <w:rPr>
                <w:rFonts w:cs="Arial"/>
                <w:sz w:val="20"/>
                <w:szCs w:val="20"/>
              </w:rPr>
            </w:pPr>
          </w:p>
        </w:tc>
        <w:tc>
          <w:tcPr>
            <w:tcW w:w="1276" w:type="dxa"/>
            <w:hideMark/>
          </w:tcPr>
          <w:p w:rsidR="00D53C9F" w:rsidRPr="003F7BF1" w:rsidRDefault="00D53C9F" w:rsidP="00D53C9F">
            <w:pPr>
              <w:rPr>
                <w:rFonts w:cs="Arial"/>
                <w:sz w:val="20"/>
                <w:szCs w:val="20"/>
              </w:rPr>
            </w:pPr>
            <w:r w:rsidRPr="003F7BF1">
              <w:rPr>
                <w:rFonts w:cs="Arial"/>
                <w:sz w:val="20"/>
                <w:szCs w:val="20"/>
              </w:rPr>
              <w:t xml:space="preserve">numero giorni assenza </w:t>
            </w:r>
            <w:r w:rsidRPr="003F7BF1">
              <w:rPr>
                <w:rFonts w:cs="Arial"/>
                <w:sz w:val="20"/>
                <w:szCs w:val="20"/>
                <w:vertAlign w:val="superscript"/>
              </w:rPr>
              <w:t>1</w:t>
            </w:r>
          </w:p>
        </w:tc>
        <w:tc>
          <w:tcPr>
            <w:tcW w:w="992" w:type="dxa"/>
            <w:hideMark/>
          </w:tcPr>
          <w:p w:rsidR="00D53C9F" w:rsidRPr="003F7BF1" w:rsidRDefault="00D53C9F" w:rsidP="00D53C9F">
            <w:pPr>
              <w:rPr>
                <w:rFonts w:cs="Arial"/>
                <w:bCs/>
                <w:sz w:val="20"/>
                <w:szCs w:val="20"/>
              </w:rPr>
            </w:pPr>
            <w:r w:rsidRPr="003F7BF1">
              <w:rPr>
                <w:rFonts w:cs="Arial"/>
                <w:bCs/>
                <w:sz w:val="20"/>
                <w:szCs w:val="20"/>
              </w:rPr>
              <w:t xml:space="preserve">media </w:t>
            </w:r>
            <w:r w:rsidRPr="003F7BF1">
              <w:rPr>
                <w:rFonts w:cs="Arial"/>
                <w:bCs/>
                <w:sz w:val="20"/>
                <w:szCs w:val="20"/>
                <w:vertAlign w:val="superscript"/>
              </w:rPr>
              <w:t>2</w:t>
            </w:r>
            <w:r w:rsidRPr="003F7BF1">
              <w:rPr>
                <w:rFonts w:cs="Arial"/>
                <w:bCs/>
                <w:sz w:val="20"/>
                <w:szCs w:val="20"/>
              </w:rPr>
              <w:br/>
              <w:t>(su PF)</w:t>
            </w:r>
          </w:p>
        </w:tc>
        <w:tc>
          <w:tcPr>
            <w:tcW w:w="992" w:type="dxa"/>
            <w:hideMark/>
          </w:tcPr>
          <w:p w:rsidR="00D53C9F" w:rsidRPr="003F7BF1" w:rsidRDefault="00D53C9F" w:rsidP="00D53C9F">
            <w:pPr>
              <w:rPr>
                <w:rFonts w:cs="Arial"/>
                <w:bCs/>
                <w:sz w:val="20"/>
                <w:szCs w:val="20"/>
              </w:rPr>
            </w:pPr>
            <w:r w:rsidRPr="003F7BF1">
              <w:rPr>
                <w:rFonts w:cs="Arial"/>
                <w:bCs/>
                <w:sz w:val="20"/>
                <w:szCs w:val="20"/>
              </w:rPr>
              <w:t>media</w:t>
            </w:r>
            <w:r w:rsidRPr="003F7BF1">
              <w:rPr>
                <w:rFonts w:cs="Arial"/>
                <w:bCs/>
                <w:sz w:val="20"/>
                <w:szCs w:val="20"/>
              </w:rPr>
              <w:br/>
              <w:t>(su PF)</w:t>
            </w:r>
          </w:p>
        </w:tc>
        <w:tc>
          <w:tcPr>
            <w:tcW w:w="1134" w:type="dxa"/>
            <w:hideMark/>
          </w:tcPr>
          <w:p w:rsidR="00D53C9F" w:rsidRPr="003F7BF1" w:rsidRDefault="00D53C9F" w:rsidP="00D53C9F">
            <w:pPr>
              <w:rPr>
                <w:rFonts w:cs="Arial"/>
                <w:sz w:val="20"/>
                <w:szCs w:val="20"/>
              </w:rPr>
            </w:pPr>
            <w:r w:rsidRPr="003F7BF1">
              <w:rPr>
                <w:rFonts w:cs="Arial"/>
                <w:sz w:val="20"/>
                <w:szCs w:val="20"/>
              </w:rPr>
              <w:t xml:space="preserve">media INP </w:t>
            </w:r>
            <w:r w:rsidRPr="003F7BF1">
              <w:rPr>
                <w:rFonts w:cs="Arial"/>
                <w:sz w:val="20"/>
                <w:szCs w:val="20"/>
                <w:vertAlign w:val="superscript"/>
              </w:rPr>
              <w:t>4</w:t>
            </w:r>
            <w:r w:rsidRPr="003F7BF1">
              <w:rPr>
                <w:rFonts w:cs="Arial"/>
                <w:sz w:val="20"/>
                <w:szCs w:val="20"/>
              </w:rPr>
              <w:br/>
              <w:t>(su PF)</w:t>
            </w:r>
          </w:p>
        </w:tc>
        <w:tc>
          <w:tcPr>
            <w:tcW w:w="1134" w:type="dxa"/>
            <w:hideMark/>
          </w:tcPr>
          <w:p w:rsidR="00D53C9F" w:rsidRPr="003F7BF1" w:rsidRDefault="00D53C9F" w:rsidP="00D53C9F">
            <w:pPr>
              <w:rPr>
                <w:rFonts w:cs="Arial"/>
                <w:sz w:val="20"/>
                <w:szCs w:val="20"/>
              </w:rPr>
            </w:pPr>
            <w:r w:rsidRPr="003F7BF1">
              <w:rPr>
                <w:rFonts w:cs="Arial"/>
                <w:sz w:val="20"/>
                <w:szCs w:val="20"/>
              </w:rPr>
              <w:t xml:space="preserve">media IP </w:t>
            </w:r>
            <w:r w:rsidRPr="003F7BF1">
              <w:rPr>
                <w:rFonts w:cs="Arial"/>
                <w:sz w:val="20"/>
                <w:szCs w:val="20"/>
                <w:vertAlign w:val="superscript"/>
              </w:rPr>
              <w:t>5</w:t>
            </w:r>
            <w:r w:rsidRPr="003F7BF1">
              <w:rPr>
                <w:rFonts w:cs="Arial"/>
                <w:sz w:val="20"/>
                <w:szCs w:val="20"/>
              </w:rPr>
              <w:br/>
              <w:t>(su PF)</w:t>
            </w:r>
          </w:p>
        </w:tc>
        <w:tc>
          <w:tcPr>
            <w:tcW w:w="993" w:type="dxa"/>
            <w:hideMark/>
          </w:tcPr>
          <w:p w:rsidR="00D53C9F" w:rsidRPr="003F7BF1" w:rsidRDefault="00D53C9F" w:rsidP="00D53C9F">
            <w:pPr>
              <w:rPr>
                <w:rFonts w:cs="Arial"/>
                <w:bCs/>
                <w:sz w:val="20"/>
                <w:szCs w:val="20"/>
              </w:rPr>
            </w:pPr>
            <w:r w:rsidRPr="003F7BF1">
              <w:rPr>
                <w:rFonts w:cs="Arial"/>
                <w:bCs/>
                <w:sz w:val="20"/>
                <w:szCs w:val="20"/>
              </w:rPr>
              <w:t>media</w:t>
            </w:r>
            <w:r w:rsidRPr="003F7BF1">
              <w:rPr>
                <w:rFonts w:cs="Arial"/>
                <w:bCs/>
                <w:sz w:val="20"/>
                <w:szCs w:val="20"/>
              </w:rPr>
              <w:br/>
              <w:t>(su PF)</w:t>
            </w:r>
          </w:p>
        </w:tc>
      </w:tr>
      <w:tr w:rsidR="00D53C9F" w:rsidRPr="003F7BF1" w:rsidTr="00D53C9F">
        <w:trPr>
          <w:trHeight w:val="315"/>
        </w:trPr>
        <w:tc>
          <w:tcPr>
            <w:tcW w:w="959" w:type="dxa"/>
            <w:noWrap/>
            <w:hideMark/>
          </w:tcPr>
          <w:p w:rsidR="00D53C9F" w:rsidRPr="003F7BF1" w:rsidRDefault="00D53C9F" w:rsidP="00D53C9F">
            <w:pPr>
              <w:rPr>
                <w:rFonts w:cs="Arial"/>
                <w:bCs/>
                <w:sz w:val="20"/>
                <w:szCs w:val="20"/>
              </w:rPr>
            </w:pPr>
            <w:r w:rsidRPr="003F7BF1">
              <w:rPr>
                <w:rFonts w:cs="Arial"/>
                <w:bCs/>
                <w:sz w:val="20"/>
                <w:szCs w:val="20"/>
              </w:rPr>
              <w:t>2012/13</w:t>
            </w:r>
          </w:p>
        </w:tc>
        <w:tc>
          <w:tcPr>
            <w:tcW w:w="1304" w:type="dxa"/>
            <w:hideMark/>
          </w:tcPr>
          <w:p w:rsidR="00D53C9F" w:rsidRPr="003F7BF1" w:rsidRDefault="00D53C9F" w:rsidP="00D53C9F">
            <w:pPr>
              <w:jc w:val="center"/>
              <w:rPr>
                <w:rFonts w:cs="Arial"/>
                <w:sz w:val="20"/>
                <w:szCs w:val="20"/>
              </w:rPr>
            </w:pPr>
            <w:r w:rsidRPr="003F7BF1">
              <w:rPr>
                <w:rFonts w:cs="Arial"/>
                <w:sz w:val="20"/>
                <w:szCs w:val="20"/>
              </w:rPr>
              <w:t>3'768</w:t>
            </w:r>
          </w:p>
        </w:tc>
        <w:tc>
          <w:tcPr>
            <w:tcW w:w="1276" w:type="dxa"/>
            <w:hideMark/>
          </w:tcPr>
          <w:p w:rsidR="00D53C9F" w:rsidRPr="003F7BF1" w:rsidRDefault="00D53C9F" w:rsidP="00D53C9F">
            <w:pPr>
              <w:jc w:val="center"/>
              <w:rPr>
                <w:rFonts w:cs="Arial"/>
                <w:sz w:val="20"/>
                <w:szCs w:val="20"/>
              </w:rPr>
            </w:pPr>
            <w:r w:rsidRPr="003F7BF1">
              <w:rPr>
                <w:rFonts w:cs="Arial"/>
                <w:sz w:val="20"/>
                <w:szCs w:val="20"/>
              </w:rPr>
              <w:t>2'699.15</w:t>
            </w:r>
          </w:p>
        </w:tc>
        <w:tc>
          <w:tcPr>
            <w:tcW w:w="1276" w:type="dxa"/>
            <w:hideMark/>
          </w:tcPr>
          <w:p w:rsidR="00D53C9F" w:rsidRPr="003F7BF1" w:rsidRDefault="00D53C9F" w:rsidP="00D53C9F">
            <w:pPr>
              <w:jc w:val="center"/>
              <w:rPr>
                <w:rFonts w:cs="Arial"/>
                <w:sz w:val="20"/>
                <w:szCs w:val="20"/>
              </w:rPr>
            </w:pPr>
            <w:r w:rsidRPr="003F7BF1">
              <w:rPr>
                <w:rFonts w:cs="Arial"/>
                <w:sz w:val="20"/>
                <w:szCs w:val="20"/>
              </w:rPr>
              <w:t>25'744.5</w:t>
            </w:r>
          </w:p>
        </w:tc>
        <w:tc>
          <w:tcPr>
            <w:tcW w:w="992" w:type="dxa"/>
            <w:hideMark/>
          </w:tcPr>
          <w:p w:rsidR="00D53C9F" w:rsidRPr="003F7BF1" w:rsidRDefault="00D53C9F" w:rsidP="00D53C9F">
            <w:pPr>
              <w:jc w:val="center"/>
              <w:rPr>
                <w:rFonts w:cs="Arial"/>
                <w:bCs/>
                <w:sz w:val="20"/>
                <w:szCs w:val="20"/>
              </w:rPr>
            </w:pPr>
            <w:r w:rsidRPr="003F7BF1">
              <w:rPr>
                <w:rFonts w:cs="Arial"/>
                <w:bCs/>
                <w:sz w:val="20"/>
                <w:szCs w:val="20"/>
              </w:rPr>
              <w:t>6.83</w:t>
            </w:r>
          </w:p>
        </w:tc>
        <w:tc>
          <w:tcPr>
            <w:tcW w:w="992" w:type="dxa"/>
            <w:hideMark/>
          </w:tcPr>
          <w:p w:rsidR="00D53C9F" w:rsidRPr="003F7BF1" w:rsidRDefault="00D53C9F" w:rsidP="00D53C9F">
            <w:pPr>
              <w:jc w:val="center"/>
              <w:rPr>
                <w:rFonts w:cs="Arial"/>
                <w:bCs/>
                <w:sz w:val="20"/>
                <w:szCs w:val="20"/>
              </w:rPr>
            </w:pPr>
            <w:r w:rsidRPr="003F7BF1">
              <w:rPr>
                <w:rFonts w:cs="Arial"/>
                <w:bCs/>
                <w:sz w:val="20"/>
                <w:szCs w:val="20"/>
              </w:rPr>
              <w:t>0.85</w:t>
            </w:r>
          </w:p>
        </w:tc>
        <w:tc>
          <w:tcPr>
            <w:tcW w:w="1134" w:type="dxa"/>
            <w:hideMark/>
          </w:tcPr>
          <w:p w:rsidR="00D53C9F" w:rsidRPr="003F7BF1" w:rsidRDefault="00D53C9F" w:rsidP="00D53C9F">
            <w:pPr>
              <w:jc w:val="center"/>
              <w:rPr>
                <w:rFonts w:cs="Arial"/>
                <w:sz w:val="20"/>
                <w:szCs w:val="20"/>
              </w:rPr>
            </w:pPr>
            <w:r w:rsidRPr="003F7BF1">
              <w:rPr>
                <w:rFonts w:cs="Arial"/>
                <w:sz w:val="20"/>
                <w:szCs w:val="20"/>
              </w:rPr>
              <w:t>0.78</w:t>
            </w:r>
          </w:p>
        </w:tc>
        <w:tc>
          <w:tcPr>
            <w:tcW w:w="1134" w:type="dxa"/>
            <w:hideMark/>
          </w:tcPr>
          <w:p w:rsidR="00D53C9F" w:rsidRPr="003F7BF1" w:rsidRDefault="00D53C9F" w:rsidP="00D53C9F">
            <w:pPr>
              <w:jc w:val="center"/>
              <w:rPr>
                <w:rFonts w:cs="Arial"/>
                <w:sz w:val="20"/>
                <w:szCs w:val="20"/>
              </w:rPr>
            </w:pPr>
            <w:r w:rsidRPr="003F7BF1">
              <w:rPr>
                <w:rFonts w:cs="Arial"/>
                <w:sz w:val="20"/>
                <w:szCs w:val="20"/>
              </w:rPr>
              <w:t>0.08</w:t>
            </w:r>
          </w:p>
        </w:tc>
        <w:tc>
          <w:tcPr>
            <w:tcW w:w="993" w:type="dxa"/>
            <w:hideMark/>
          </w:tcPr>
          <w:p w:rsidR="00D53C9F" w:rsidRPr="003F7BF1" w:rsidRDefault="00D53C9F" w:rsidP="00D53C9F">
            <w:pPr>
              <w:jc w:val="center"/>
              <w:rPr>
                <w:rFonts w:cs="Arial"/>
                <w:bCs/>
                <w:sz w:val="20"/>
                <w:szCs w:val="20"/>
              </w:rPr>
            </w:pPr>
            <w:r w:rsidRPr="003F7BF1">
              <w:rPr>
                <w:rFonts w:cs="Arial"/>
                <w:bCs/>
                <w:sz w:val="20"/>
                <w:szCs w:val="20"/>
              </w:rPr>
              <w:t>5.98</w:t>
            </w:r>
          </w:p>
        </w:tc>
      </w:tr>
      <w:tr w:rsidR="00D53C9F" w:rsidRPr="003F7BF1" w:rsidTr="00D53C9F">
        <w:trPr>
          <w:trHeight w:val="315"/>
        </w:trPr>
        <w:tc>
          <w:tcPr>
            <w:tcW w:w="959" w:type="dxa"/>
            <w:noWrap/>
            <w:hideMark/>
          </w:tcPr>
          <w:p w:rsidR="00D53C9F" w:rsidRPr="003F7BF1" w:rsidRDefault="00D53C9F" w:rsidP="00D53C9F">
            <w:pPr>
              <w:rPr>
                <w:rFonts w:cs="Arial"/>
                <w:bCs/>
                <w:sz w:val="20"/>
                <w:szCs w:val="20"/>
              </w:rPr>
            </w:pPr>
            <w:r w:rsidRPr="003F7BF1">
              <w:rPr>
                <w:rFonts w:cs="Arial"/>
                <w:bCs/>
                <w:sz w:val="20"/>
                <w:szCs w:val="20"/>
              </w:rPr>
              <w:t>2013/14</w:t>
            </w:r>
          </w:p>
        </w:tc>
        <w:tc>
          <w:tcPr>
            <w:tcW w:w="1304" w:type="dxa"/>
            <w:hideMark/>
          </w:tcPr>
          <w:p w:rsidR="00D53C9F" w:rsidRPr="003F7BF1" w:rsidRDefault="00D53C9F" w:rsidP="00D53C9F">
            <w:pPr>
              <w:jc w:val="center"/>
              <w:rPr>
                <w:rFonts w:cs="Arial"/>
                <w:sz w:val="20"/>
                <w:szCs w:val="20"/>
              </w:rPr>
            </w:pPr>
            <w:r w:rsidRPr="003F7BF1">
              <w:rPr>
                <w:rFonts w:cs="Arial"/>
                <w:sz w:val="20"/>
                <w:szCs w:val="20"/>
              </w:rPr>
              <w:t>3'840</w:t>
            </w:r>
          </w:p>
        </w:tc>
        <w:tc>
          <w:tcPr>
            <w:tcW w:w="1276" w:type="dxa"/>
            <w:hideMark/>
          </w:tcPr>
          <w:p w:rsidR="00D53C9F" w:rsidRPr="003F7BF1" w:rsidRDefault="00D53C9F" w:rsidP="00D53C9F">
            <w:pPr>
              <w:jc w:val="center"/>
              <w:rPr>
                <w:rFonts w:cs="Arial"/>
                <w:sz w:val="20"/>
                <w:szCs w:val="20"/>
              </w:rPr>
            </w:pPr>
            <w:r w:rsidRPr="003F7BF1">
              <w:rPr>
                <w:rFonts w:cs="Arial"/>
                <w:sz w:val="20"/>
                <w:szCs w:val="20"/>
              </w:rPr>
              <w:t>2'759.46</w:t>
            </w:r>
          </w:p>
        </w:tc>
        <w:tc>
          <w:tcPr>
            <w:tcW w:w="1276" w:type="dxa"/>
            <w:hideMark/>
          </w:tcPr>
          <w:p w:rsidR="00D53C9F" w:rsidRPr="003F7BF1" w:rsidRDefault="00D53C9F" w:rsidP="00D53C9F">
            <w:pPr>
              <w:jc w:val="center"/>
              <w:rPr>
                <w:rFonts w:cs="Arial"/>
                <w:sz w:val="20"/>
                <w:szCs w:val="20"/>
              </w:rPr>
            </w:pPr>
            <w:r w:rsidRPr="003F7BF1">
              <w:rPr>
                <w:rFonts w:cs="Arial"/>
                <w:sz w:val="20"/>
                <w:szCs w:val="20"/>
              </w:rPr>
              <w:t>26'274.5</w:t>
            </w:r>
          </w:p>
        </w:tc>
        <w:tc>
          <w:tcPr>
            <w:tcW w:w="992" w:type="dxa"/>
            <w:hideMark/>
          </w:tcPr>
          <w:p w:rsidR="00D53C9F" w:rsidRPr="003F7BF1" w:rsidRDefault="00D53C9F" w:rsidP="00D53C9F">
            <w:pPr>
              <w:jc w:val="center"/>
              <w:rPr>
                <w:rFonts w:cs="Arial"/>
                <w:bCs/>
                <w:sz w:val="20"/>
                <w:szCs w:val="20"/>
              </w:rPr>
            </w:pPr>
            <w:r w:rsidRPr="003F7BF1">
              <w:rPr>
                <w:rFonts w:cs="Arial"/>
                <w:bCs/>
                <w:sz w:val="20"/>
                <w:szCs w:val="20"/>
              </w:rPr>
              <w:t>6.84</w:t>
            </w:r>
          </w:p>
        </w:tc>
        <w:tc>
          <w:tcPr>
            <w:tcW w:w="992" w:type="dxa"/>
            <w:hideMark/>
          </w:tcPr>
          <w:p w:rsidR="00D53C9F" w:rsidRPr="003F7BF1" w:rsidRDefault="00D53C9F" w:rsidP="00D53C9F">
            <w:pPr>
              <w:jc w:val="center"/>
              <w:rPr>
                <w:rFonts w:cs="Arial"/>
                <w:bCs/>
                <w:sz w:val="20"/>
                <w:szCs w:val="20"/>
              </w:rPr>
            </w:pPr>
            <w:r w:rsidRPr="003F7BF1">
              <w:rPr>
                <w:rFonts w:cs="Arial"/>
                <w:bCs/>
                <w:sz w:val="20"/>
                <w:szCs w:val="20"/>
              </w:rPr>
              <w:t>1.02</w:t>
            </w:r>
          </w:p>
        </w:tc>
        <w:tc>
          <w:tcPr>
            <w:tcW w:w="1134" w:type="dxa"/>
            <w:hideMark/>
          </w:tcPr>
          <w:p w:rsidR="00D53C9F" w:rsidRPr="003F7BF1" w:rsidRDefault="00D53C9F" w:rsidP="00D53C9F">
            <w:pPr>
              <w:jc w:val="center"/>
              <w:rPr>
                <w:rFonts w:cs="Arial"/>
                <w:sz w:val="20"/>
                <w:szCs w:val="20"/>
              </w:rPr>
            </w:pPr>
            <w:r w:rsidRPr="003F7BF1">
              <w:rPr>
                <w:rFonts w:cs="Arial"/>
                <w:sz w:val="20"/>
                <w:szCs w:val="20"/>
              </w:rPr>
              <w:t>0.87</w:t>
            </w:r>
          </w:p>
        </w:tc>
        <w:tc>
          <w:tcPr>
            <w:tcW w:w="1134" w:type="dxa"/>
            <w:hideMark/>
          </w:tcPr>
          <w:p w:rsidR="00D53C9F" w:rsidRPr="003F7BF1" w:rsidRDefault="00D53C9F" w:rsidP="00D53C9F">
            <w:pPr>
              <w:jc w:val="center"/>
              <w:rPr>
                <w:rFonts w:cs="Arial"/>
                <w:sz w:val="20"/>
                <w:szCs w:val="20"/>
              </w:rPr>
            </w:pPr>
            <w:r w:rsidRPr="003F7BF1">
              <w:rPr>
                <w:rFonts w:cs="Arial"/>
                <w:sz w:val="20"/>
                <w:szCs w:val="20"/>
              </w:rPr>
              <w:t>0.14</w:t>
            </w:r>
          </w:p>
        </w:tc>
        <w:tc>
          <w:tcPr>
            <w:tcW w:w="993" w:type="dxa"/>
            <w:hideMark/>
          </w:tcPr>
          <w:p w:rsidR="00D53C9F" w:rsidRPr="003F7BF1" w:rsidRDefault="00D53C9F" w:rsidP="00D53C9F">
            <w:pPr>
              <w:jc w:val="center"/>
              <w:rPr>
                <w:rFonts w:cs="Arial"/>
                <w:bCs/>
                <w:sz w:val="20"/>
                <w:szCs w:val="20"/>
              </w:rPr>
            </w:pPr>
            <w:r w:rsidRPr="003F7BF1">
              <w:rPr>
                <w:rFonts w:cs="Arial"/>
                <w:bCs/>
                <w:sz w:val="20"/>
                <w:szCs w:val="20"/>
              </w:rPr>
              <w:t>5.82</w:t>
            </w:r>
          </w:p>
        </w:tc>
      </w:tr>
      <w:tr w:rsidR="00D53C9F" w:rsidRPr="003F7BF1" w:rsidTr="00D53C9F">
        <w:trPr>
          <w:trHeight w:val="315"/>
        </w:trPr>
        <w:tc>
          <w:tcPr>
            <w:tcW w:w="959" w:type="dxa"/>
            <w:noWrap/>
            <w:hideMark/>
          </w:tcPr>
          <w:p w:rsidR="00D53C9F" w:rsidRPr="003F7BF1" w:rsidRDefault="00D53C9F" w:rsidP="00D53C9F">
            <w:pPr>
              <w:rPr>
                <w:rFonts w:cs="Arial"/>
                <w:bCs/>
                <w:sz w:val="20"/>
                <w:szCs w:val="20"/>
              </w:rPr>
            </w:pPr>
            <w:r w:rsidRPr="003F7BF1">
              <w:rPr>
                <w:rFonts w:cs="Arial"/>
                <w:bCs/>
                <w:sz w:val="20"/>
                <w:szCs w:val="20"/>
              </w:rPr>
              <w:t>2014/15</w:t>
            </w:r>
          </w:p>
        </w:tc>
        <w:tc>
          <w:tcPr>
            <w:tcW w:w="1304" w:type="dxa"/>
            <w:hideMark/>
          </w:tcPr>
          <w:p w:rsidR="00D53C9F" w:rsidRPr="003F7BF1" w:rsidRDefault="00D53C9F" w:rsidP="00D53C9F">
            <w:pPr>
              <w:jc w:val="center"/>
              <w:rPr>
                <w:rFonts w:cs="Arial"/>
                <w:sz w:val="20"/>
                <w:szCs w:val="20"/>
              </w:rPr>
            </w:pPr>
            <w:r w:rsidRPr="003F7BF1">
              <w:rPr>
                <w:rFonts w:cs="Arial"/>
                <w:sz w:val="20"/>
                <w:szCs w:val="20"/>
              </w:rPr>
              <w:t>3'859</w:t>
            </w:r>
          </w:p>
        </w:tc>
        <w:tc>
          <w:tcPr>
            <w:tcW w:w="1276" w:type="dxa"/>
            <w:hideMark/>
          </w:tcPr>
          <w:p w:rsidR="00D53C9F" w:rsidRPr="003F7BF1" w:rsidRDefault="00D53C9F" w:rsidP="00D53C9F">
            <w:pPr>
              <w:jc w:val="center"/>
              <w:rPr>
                <w:rFonts w:cs="Arial"/>
                <w:sz w:val="20"/>
                <w:szCs w:val="20"/>
              </w:rPr>
            </w:pPr>
            <w:r w:rsidRPr="003F7BF1">
              <w:rPr>
                <w:rFonts w:cs="Arial"/>
                <w:sz w:val="20"/>
                <w:szCs w:val="20"/>
              </w:rPr>
              <w:t>2'775.05</w:t>
            </w:r>
          </w:p>
        </w:tc>
        <w:tc>
          <w:tcPr>
            <w:tcW w:w="1276" w:type="dxa"/>
            <w:hideMark/>
          </w:tcPr>
          <w:p w:rsidR="00D53C9F" w:rsidRPr="003F7BF1" w:rsidRDefault="00D53C9F" w:rsidP="00D53C9F">
            <w:pPr>
              <w:jc w:val="center"/>
              <w:rPr>
                <w:rFonts w:cs="Arial"/>
                <w:sz w:val="20"/>
                <w:szCs w:val="20"/>
              </w:rPr>
            </w:pPr>
            <w:r w:rsidRPr="003F7BF1">
              <w:rPr>
                <w:rFonts w:cs="Arial"/>
                <w:sz w:val="20"/>
                <w:szCs w:val="20"/>
              </w:rPr>
              <w:t>28'815.0</w:t>
            </w:r>
          </w:p>
        </w:tc>
        <w:tc>
          <w:tcPr>
            <w:tcW w:w="992" w:type="dxa"/>
            <w:hideMark/>
          </w:tcPr>
          <w:p w:rsidR="00D53C9F" w:rsidRPr="003F7BF1" w:rsidRDefault="00D53C9F" w:rsidP="00D53C9F">
            <w:pPr>
              <w:jc w:val="center"/>
              <w:rPr>
                <w:rFonts w:cs="Arial"/>
                <w:bCs/>
                <w:sz w:val="20"/>
                <w:szCs w:val="20"/>
              </w:rPr>
            </w:pPr>
            <w:r w:rsidRPr="003F7BF1">
              <w:rPr>
                <w:rFonts w:cs="Arial"/>
                <w:bCs/>
                <w:sz w:val="20"/>
                <w:szCs w:val="20"/>
              </w:rPr>
              <w:t>7.47</w:t>
            </w:r>
          </w:p>
        </w:tc>
        <w:tc>
          <w:tcPr>
            <w:tcW w:w="992" w:type="dxa"/>
            <w:hideMark/>
          </w:tcPr>
          <w:p w:rsidR="00D53C9F" w:rsidRPr="003F7BF1" w:rsidRDefault="00D53C9F" w:rsidP="00D53C9F">
            <w:pPr>
              <w:jc w:val="center"/>
              <w:rPr>
                <w:rFonts w:cs="Arial"/>
                <w:bCs/>
                <w:sz w:val="20"/>
                <w:szCs w:val="20"/>
              </w:rPr>
            </w:pPr>
            <w:r w:rsidRPr="003F7BF1">
              <w:rPr>
                <w:rFonts w:cs="Arial"/>
                <w:bCs/>
                <w:sz w:val="20"/>
                <w:szCs w:val="20"/>
              </w:rPr>
              <w:t>0.82</w:t>
            </w:r>
          </w:p>
        </w:tc>
        <w:tc>
          <w:tcPr>
            <w:tcW w:w="1134" w:type="dxa"/>
            <w:hideMark/>
          </w:tcPr>
          <w:p w:rsidR="00D53C9F" w:rsidRPr="003F7BF1" w:rsidRDefault="00D53C9F" w:rsidP="00D53C9F">
            <w:pPr>
              <w:jc w:val="center"/>
              <w:rPr>
                <w:rFonts w:cs="Arial"/>
                <w:sz w:val="20"/>
                <w:szCs w:val="20"/>
              </w:rPr>
            </w:pPr>
            <w:r w:rsidRPr="003F7BF1">
              <w:rPr>
                <w:rFonts w:cs="Arial"/>
                <w:sz w:val="20"/>
                <w:szCs w:val="20"/>
              </w:rPr>
              <w:t>0.73</w:t>
            </w:r>
          </w:p>
        </w:tc>
        <w:tc>
          <w:tcPr>
            <w:tcW w:w="1134" w:type="dxa"/>
            <w:hideMark/>
          </w:tcPr>
          <w:p w:rsidR="00D53C9F" w:rsidRPr="003F7BF1" w:rsidRDefault="00D53C9F" w:rsidP="00D53C9F">
            <w:pPr>
              <w:jc w:val="center"/>
              <w:rPr>
                <w:rFonts w:cs="Arial"/>
                <w:sz w:val="20"/>
                <w:szCs w:val="20"/>
              </w:rPr>
            </w:pPr>
            <w:r w:rsidRPr="003F7BF1">
              <w:rPr>
                <w:rFonts w:cs="Arial"/>
                <w:sz w:val="20"/>
                <w:szCs w:val="20"/>
              </w:rPr>
              <w:t>0.08</w:t>
            </w:r>
          </w:p>
        </w:tc>
        <w:tc>
          <w:tcPr>
            <w:tcW w:w="993" w:type="dxa"/>
            <w:hideMark/>
          </w:tcPr>
          <w:p w:rsidR="00D53C9F" w:rsidRPr="003F7BF1" w:rsidRDefault="00D53C9F" w:rsidP="00D53C9F">
            <w:pPr>
              <w:jc w:val="center"/>
              <w:rPr>
                <w:rFonts w:cs="Arial"/>
                <w:bCs/>
                <w:sz w:val="20"/>
                <w:szCs w:val="20"/>
              </w:rPr>
            </w:pPr>
            <w:r w:rsidRPr="003F7BF1">
              <w:rPr>
                <w:rFonts w:cs="Arial"/>
                <w:bCs/>
                <w:sz w:val="20"/>
                <w:szCs w:val="20"/>
              </w:rPr>
              <w:t>6.65</w:t>
            </w:r>
          </w:p>
        </w:tc>
      </w:tr>
      <w:tr w:rsidR="00D53C9F" w:rsidRPr="003F7BF1" w:rsidTr="00D53C9F">
        <w:trPr>
          <w:trHeight w:val="315"/>
        </w:trPr>
        <w:tc>
          <w:tcPr>
            <w:tcW w:w="959" w:type="dxa"/>
            <w:noWrap/>
            <w:hideMark/>
          </w:tcPr>
          <w:p w:rsidR="00D53C9F" w:rsidRPr="003F7BF1" w:rsidRDefault="00D53C9F" w:rsidP="00D53C9F">
            <w:pPr>
              <w:rPr>
                <w:rFonts w:cs="Arial"/>
                <w:bCs/>
                <w:sz w:val="20"/>
                <w:szCs w:val="20"/>
              </w:rPr>
            </w:pPr>
            <w:r w:rsidRPr="003F7BF1">
              <w:rPr>
                <w:rFonts w:cs="Arial"/>
                <w:bCs/>
                <w:sz w:val="20"/>
                <w:szCs w:val="20"/>
              </w:rPr>
              <w:t>2015/16</w:t>
            </w:r>
          </w:p>
        </w:tc>
        <w:tc>
          <w:tcPr>
            <w:tcW w:w="1304" w:type="dxa"/>
            <w:hideMark/>
          </w:tcPr>
          <w:p w:rsidR="00D53C9F" w:rsidRPr="003F7BF1" w:rsidRDefault="00D53C9F" w:rsidP="00D53C9F">
            <w:pPr>
              <w:jc w:val="center"/>
              <w:rPr>
                <w:rFonts w:cs="Arial"/>
                <w:sz w:val="20"/>
                <w:szCs w:val="20"/>
              </w:rPr>
            </w:pPr>
            <w:r w:rsidRPr="003F7BF1">
              <w:rPr>
                <w:rFonts w:cs="Arial"/>
                <w:sz w:val="20"/>
                <w:szCs w:val="20"/>
              </w:rPr>
              <w:t>3'950</w:t>
            </w:r>
          </w:p>
        </w:tc>
        <w:tc>
          <w:tcPr>
            <w:tcW w:w="1276" w:type="dxa"/>
            <w:hideMark/>
          </w:tcPr>
          <w:p w:rsidR="00D53C9F" w:rsidRPr="003F7BF1" w:rsidRDefault="00D53C9F" w:rsidP="00D53C9F">
            <w:pPr>
              <w:jc w:val="center"/>
              <w:rPr>
                <w:rFonts w:cs="Arial"/>
                <w:sz w:val="20"/>
                <w:szCs w:val="20"/>
              </w:rPr>
            </w:pPr>
            <w:r w:rsidRPr="003F7BF1">
              <w:rPr>
                <w:rFonts w:cs="Arial"/>
                <w:sz w:val="20"/>
                <w:szCs w:val="20"/>
              </w:rPr>
              <w:t>2'822.68</w:t>
            </w:r>
          </w:p>
        </w:tc>
        <w:tc>
          <w:tcPr>
            <w:tcW w:w="1276" w:type="dxa"/>
            <w:hideMark/>
          </w:tcPr>
          <w:p w:rsidR="00D53C9F" w:rsidRPr="003F7BF1" w:rsidRDefault="00D53C9F" w:rsidP="00D53C9F">
            <w:pPr>
              <w:jc w:val="center"/>
              <w:rPr>
                <w:rFonts w:cs="Arial"/>
                <w:sz w:val="20"/>
                <w:szCs w:val="20"/>
              </w:rPr>
            </w:pPr>
            <w:r w:rsidRPr="003F7BF1">
              <w:rPr>
                <w:rFonts w:cs="Arial"/>
                <w:sz w:val="20"/>
                <w:szCs w:val="20"/>
              </w:rPr>
              <w:t>26'412.5</w:t>
            </w:r>
          </w:p>
        </w:tc>
        <w:tc>
          <w:tcPr>
            <w:tcW w:w="992" w:type="dxa"/>
            <w:hideMark/>
          </w:tcPr>
          <w:p w:rsidR="00D53C9F" w:rsidRPr="003F7BF1" w:rsidRDefault="00D53C9F" w:rsidP="00D53C9F">
            <w:pPr>
              <w:jc w:val="center"/>
              <w:rPr>
                <w:rFonts w:cs="Arial"/>
                <w:bCs/>
                <w:sz w:val="20"/>
                <w:szCs w:val="20"/>
              </w:rPr>
            </w:pPr>
            <w:r w:rsidRPr="003F7BF1">
              <w:rPr>
                <w:rFonts w:cs="Arial"/>
                <w:bCs/>
                <w:sz w:val="20"/>
                <w:szCs w:val="20"/>
              </w:rPr>
              <w:t>6.69</w:t>
            </w:r>
          </w:p>
        </w:tc>
        <w:tc>
          <w:tcPr>
            <w:tcW w:w="992" w:type="dxa"/>
            <w:hideMark/>
          </w:tcPr>
          <w:p w:rsidR="00D53C9F" w:rsidRPr="003F7BF1" w:rsidRDefault="00D53C9F" w:rsidP="00D53C9F">
            <w:pPr>
              <w:jc w:val="center"/>
              <w:rPr>
                <w:rFonts w:cs="Arial"/>
                <w:bCs/>
                <w:sz w:val="20"/>
                <w:szCs w:val="20"/>
              </w:rPr>
            </w:pPr>
            <w:r w:rsidRPr="003F7BF1">
              <w:rPr>
                <w:rFonts w:cs="Arial"/>
                <w:bCs/>
                <w:sz w:val="20"/>
                <w:szCs w:val="20"/>
              </w:rPr>
              <w:t>0.77</w:t>
            </w:r>
          </w:p>
        </w:tc>
        <w:tc>
          <w:tcPr>
            <w:tcW w:w="1134" w:type="dxa"/>
            <w:hideMark/>
          </w:tcPr>
          <w:p w:rsidR="00D53C9F" w:rsidRPr="003F7BF1" w:rsidRDefault="00D53C9F" w:rsidP="00D53C9F">
            <w:pPr>
              <w:jc w:val="center"/>
              <w:rPr>
                <w:rFonts w:cs="Arial"/>
                <w:sz w:val="20"/>
                <w:szCs w:val="20"/>
              </w:rPr>
            </w:pPr>
            <w:r w:rsidRPr="003F7BF1">
              <w:rPr>
                <w:rFonts w:cs="Arial"/>
                <w:sz w:val="20"/>
                <w:szCs w:val="20"/>
              </w:rPr>
              <w:t>0.64</w:t>
            </w:r>
          </w:p>
        </w:tc>
        <w:tc>
          <w:tcPr>
            <w:tcW w:w="1134" w:type="dxa"/>
            <w:hideMark/>
          </w:tcPr>
          <w:p w:rsidR="00D53C9F" w:rsidRPr="003F7BF1" w:rsidRDefault="00D53C9F" w:rsidP="00D53C9F">
            <w:pPr>
              <w:jc w:val="center"/>
              <w:rPr>
                <w:rFonts w:cs="Arial"/>
                <w:sz w:val="20"/>
                <w:szCs w:val="20"/>
              </w:rPr>
            </w:pPr>
            <w:r w:rsidRPr="003F7BF1">
              <w:rPr>
                <w:rFonts w:cs="Arial"/>
                <w:sz w:val="20"/>
                <w:szCs w:val="20"/>
              </w:rPr>
              <w:t>0.13</w:t>
            </w:r>
          </w:p>
        </w:tc>
        <w:tc>
          <w:tcPr>
            <w:tcW w:w="993" w:type="dxa"/>
            <w:hideMark/>
          </w:tcPr>
          <w:p w:rsidR="00D53C9F" w:rsidRPr="003F7BF1" w:rsidRDefault="00D53C9F" w:rsidP="00D53C9F">
            <w:pPr>
              <w:jc w:val="center"/>
              <w:rPr>
                <w:rFonts w:cs="Arial"/>
                <w:bCs/>
                <w:sz w:val="20"/>
                <w:szCs w:val="20"/>
              </w:rPr>
            </w:pPr>
            <w:r w:rsidRPr="003F7BF1">
              <w:rPr>
                <w:rFonts w:cs="Arial"/>
                <w:bCs/>
                <w:sz w:val="20"/>
                <w:szCs w:val="20"/>
              </w:rPr>
              <w:t>5.91</w:t>
            </w:r>
          </w:p>
        </w:tc>
      </w:tr>
      <w:tr w:rsidR="00D53C9F" w:rsidRPr="003F7BF1" w:rsidTr="00D53C9F">
        <w:trPr>
          <w:trHeight w:val="345"/>
        </w:trPr>
        <w:tc>
          <w:tcPr>
            <w:tcW w:w="959" w:type="dxa"/>
            <w:noWrap/>
            <w:hideMark/>
          </w:tcPr>
          <w:p w:rsidR="00D53C9F" w:rsidRPr="003F7BF1" w:rsidRDefault="00D53C9F" w:rsidP="00D53C9F">
            <w:pPr>
              <w:rPr>
                <w:rFonts w:cs="Arial"/>
                <w:bCs/>
                <w:sz w:val="20"/>
                <w:szCs w:val="20"/>
              </w:rPr>
            </w:pPr>
            <w:r w:rsidRPr="003F7BF1">
              <w:rPr>
                <w:rFonts w:cs="Arial"/>
                <w:bCs/>
                <w:sz w:val="20"/>
                <w:szCs w:val="20"/>
              </w:rPr>
              <w:t>2016/17</w:t>
            </w:r>
          </w:p>
        </w:tc>
        <w:tc>
          <w:tcPr>
            <w:tcW w:w="1304" w:type="dxa"/>
            <w:hideMark/>
          </w:tcPr>
          <w:p w:rsidR="00D53C9F" w:rsidRPr="003F7BF1" w:rsidRDefault="00D53C9F" w:rsidP="00D53C9F">
            <w:pPr>
              <w:jc w:val="center"/>
              <w:rPr>
                <w:rFonts w:cs="Arial"/>
                <w:sz w:val="20"/>
                <w:szCs w:val="20"/>
              </w:rPr>
            </w:pPr>
            <w:r w:rsidRPr="003F7BF1">
              <w:rPr>
                <w:rFonts w:cs="Arial"/>
                <w:sz w:val="20"/>
                <w:szCs w:val="20"/>
              </w:rPr>
              <w:t>3'996</w:t>
            </w:r>
          </w:p>
        </w:tc>
        <w:tc>
          <w:tcPr>
            <w:tcW w:w="1276" w:type="dxa"/>
            <w:hideMark/>
          </w:tcPr>
          <w:p w:rsidR="00D53C9F" w:rsidRPr="003F7BF1" w:rsidRDefault="00D53C9F" w:rsidP="00D53C9F">
            <w:pPr>
              <w:jc w:val="center"/>
              <w:rPr>
                <w:rFonts w:cs="Arial"/>
                <w:sz w:val="20"/>
                <w:szCs w:val="20"/>
              </w:rPr>
            </w:pPr>
            <w:r w:rsidRPr="003F7BF1">
              <w:rPr>
                <w:rFonts w:cs="Arial"/>
                <w:sz w:val="20"/>
                <w:szCs w:val="20"/>
              </w:rPr>
              <w:t>2'849.36</w:t>
            </w:r>
          </w:p>
        </w:tc>
        <w:tc>
          <w:tcPr>
            <w:tcW w:w="1276" w:type="dxa"/>
            <w:hideMark/>
          </w:tcPr>
          <w:p w:rsidR="00D53C9F" w:rsidRPr="003F7BF1" w:rsidRDefault="00D53C9F" w:rsidP="00D53C9F">
            <w:pPr>
              <w:jc w:val="center"/>
              <w:rPr>
                <w:rFonts w:cs="Arial"/>
                <w:sz w:val="20"/>
                <w:szCs w:val="20"/>
              </w:rPr>
            </w:pPr>
            <w:r w:rsidRPr="003F7BF1">
              <w:rPr>
                <w:rFonts w:cs="Arial"/>
                <w:sz w:val="20"/>
                <w:szCs w:val="20"/>
              </w:rPr>
              <w:t>28'012.5</w:t>
            </w:r>
          </w:p>
        </w:tc>
        <w:tc>
          <w:tcPr>
            <w:tcW w:w="992" w:type="dxa"/>
            <w:hideMark/>
          </w:tcPr>
          <w:p w:rsidR="00D53C9F" w:rsidRPr="003F7BF1" w:rsidRDefault="00D53C9F" w:rsidP="00D53C9F">
            <w:pPr>
              <w:jc w:val="center"/>
              <w:rPr>
                <w:rFonts w:cs="Arial"/>
                <w:bCs/>
                <w:sz w:val="20"/>
                <w:szCs w:val="20"/>
              </w:rPr>
            </w:pPr>
            <w:r w:rsidRPr="003F7BF1">
              <w:rPr>
                <w:rFonts w:cs="Arial"/>
                <w:bCs/>
                <w:sz w:val="20"/>
                <w:szCs w:val="20"/>
              </w:rPr>
              <w:t>7.01</w:t>
            </w:r>
          </w:p>
        </w:tc>
        <w:tc>
          <w:tcPr>
            <w:tcW w:w="992" w:type="dxa"/>
            <w:hideMark/>
          </w:tcPr>
          <w:p w:rsidR="00D53C9F" w:rsidRPr="003F7BF1" w:rsidRDefault="00D53C9F" w:rsidP="00D53C9F">
            <w:pPr>
              <w:jc w:val="center"/>
              <w:rPr>
                <w:rFonts w:cs="Arial"/>
                <w:bCs/>
                <w:sz w:val="20"/>
                <w:szCs w:val="20"/>
              </w:rPr>
            </w:pPr>
            <w:r w:rsidRPr="003F7BF1">
              <w:rPr>
                <w:rFonts w:cs="Arial"/>
                <w:bCs/>
                <w:sz w:val="20"/>
                <w:szCs w:val="20"/>
              </w:rPr>
              <w:t>0.97</w:t>
            </w:r>
          </w:p>
        </w:tc>
        <w:tc>
          <w:tcPr>
            <w:tcW w:w="1134" w:type="dxa"/>
            <w:hideMark/>
          </w:tcPr>
          <w:p w:rsidR="00D53C9F" w:rsidRPr="003F7BF1" w:rsidRDefault="00D53C9F" w:rsidP="00D53C9F">
            <w:pPr>
              <w:jc w:val="center"/>
              <w:rPr>
                <w:rFonts w:cs="Arial"/>
                <w:sz w:val="20"/>
                <w:szCs w:val="20"/>
              </w:rPr>
            </w:pPr>
            <w:r w:rsidRPr="003F7BF1">
              <w:rPr>
                <w:rFonts w:cs="Arial"/>
                <w:sz w:val="20"/>
                <w:szCs w:val="20"/>
              </w:rPr>
              <w:t>0.89</w:t>
            </w:r>
          </w:p>
        </w:tc>
        <w:tc>
          <w:tcPr>
            <w:tcW w:w="1134" w:type="dxa"/>
            <w:hideMark/>
          </w:tcPr>
          <w:p w:rsidR="00D53C9F" w:rsidRPr="003F7BF1" w:rsidRDefault="00D53C9F" w:rsidP="00D53C9F">
            <w:pPr>
              <w:jc w:val="center"/>
              <w:rPr>
                <w:rFonts w:cs="Arial"/>
                <w:sz w:val="20"/>
                <w:szCs w:val="20"/>
              </w:rPr>
            </w:pPr>
            <w:r w:rsidRPr="003F7BF1">
              <w:rPr>
                <w:rFonts w:cs="Arial"/>
                <w:sz w:val="20"/>
                <w:szCs w:val="20"/>
              </w:rPr>
              <w:t>0.08</w:t>
            </w:r>
          </w:p>
        </w:tc>
        <w:tc>
          <w:tcPr>
            <w:tcW w:w="993" w:type="dxa"/>
            <w:hideMark/>
          </w:tcPr>
          <w:p w:rsidR="00D53C9F" w:rsidRPr="003F7BF1" w:rsidRDefault="00D53C9F" w:rsidP="00D53C9F">
            <w:pPr>
              <w:jc w:val="center"/>
              <w:rPr>
                <w:rFonts w:cs="Arial"/>
                <w:bCs/>
                <w:sz w:val="20"/>
                <w:szCs w:val="20"/>
              </w:rPr>
            </w:pPr>
            <w:r w:rsidRPr="003F7BF1">
              <w:rPr>
                <w:rFonts w:cs="Arial"/>
                <w:bCs/>
                <w:sz w:val="20"/>
                <w:szCs w:val="20"/>
              </w:rPr>
              <w:t>6.04</w:t>
            </w:r>
          </w:p>
        </w:tc>
      </w:tr>
      <w:tr w:rsidR="00D53C9F" w:rsidRPr="003F7BF1" w:rsidTr="00D53C9F">
        <w:trPr>
          <w:trHeight w:val="300"/>
        </w:trPr>
        <w:tc>
          <w:tcPr>
            <w:tcW w:w="959" w:type="dxa"/>
            <w:noWrap/>
            <w:hideMark/>
          </w:tcPr>
          <w:p w:rsidR="00D53C9F" w:rsidRPr="003F7BF1" w:rsidRDefault="00D53C9F" w:rsidP="00D53C9F">
            <w:pPr>
              <w:rPr>
                <w:rFonts w:cs="Arial"/>
                <w:b/>
                <w:sz w:val="20"/>
                <w:szCs w:val="20"/>
              </w:rPr>
            </w:pPr>
            <w:r w:rsidRPr="003F7BF1">
              <w:rPr>
                <w:rFonts w:cs="Arial"/>
                <w:b/>
                <w:sz w:val="20"/>
                <w:szCs w:val="20"/>
              </w:rPr>
              <w:t>MEDIA</w:t>
            </w:r>
          </w:p>
        </w:tc>
        <w:tc>
          <w:tcPr>
            <w:tcW w:w="1304" w:type="dxa"/>
            <w:hideMark/>
          </w:tcPr>
          <w:p w:rsidR="00D53C9F" w:rsidRPr="003F7BF1" w:rsidRDefault="00D53C9F" w:rsidP="00D53C9F">
            <w:pPr>
              <w:jc w:val="center"/>
              <w:rPr>
                <w:rFonts w:cs="Arial"/>
                <w:sz w:val="20"/>
                <w:szCs w:val="20"/>
              </w:rPr>
            </w:pPr>
            <w:r w:rsidRPr="003F7BF1">
              <w:rPr>
                <w:rFonts w:cs="Arial"/>
                <w:sz w:val="20"/>
                <w:szCs w:val="20"/>
              </w:rPr>
              <w:t>3'882</w:t>
            </w:r>
          </w:p>
        </w:tc>
        <w:tc>
          <w:tcPr>
            <w:tcW w:w="1276" w:type="dxa"/>
            <w:hideMark/>
          </w:tcPr>
          <w:p w:rsidR="00D53C9F" w:rsidRPr="003F7BF1" w:rsidRDefault="00D53C9F" w:rsidP="00D53C9F">
            <w:pPr>
              <w:jc w:val="center"/>
              <w:rPr>
                <w:rFonts w:cs="Arial"/>
                <w:sz w:val="20"/>
                <w:szCs w:val="20"/>
              </w:rPr>
            </w:pPr>
            <w:r w:rsidRPr="003F7BF1">
              <w:rPr>
                <w:rFonts w:cs="Arial"/>
                <w:sz w:val="20"/>
                <w:szCs w:val="20"/>
              </w:rPr>
              <w:t>2'781.14</w:t>
            </w:r>
          </w:p>
        </w:tc>
        <w:tc>
          <w:tcPr>
            <w:tcW w:w="1276" w:type="dxa"/>
            <w:hideMark/>
          </w:tcPr>
          <w:p w:rsidR="00D53C9F" w:rsidRPr="003F7BF1" w:rsidRDefault="00D53C9F" w:rsidP="00D53C9F">
            <w:pPr>
              <w:jc w:val="center"/>
              <w:rPr>
                <w:rFonts w:cs="Arial"/>
                <w:sz w:val="20"/>
                <w:szCs w:val="20"/>
              </w:rPr>
            </w:pPr>
            <w:r w:rsidRPr="003F7BF1">
              <w:rPr>
                <w:rFonts w:cs="Arial"/>
                <w:sz w:val="20"/>
                <w:szCs w:val="20"/>
              </w:rPr>
              <w:t>27'051.8</w:t>
            </w:r>
          </w:p>
        </w:tc>
        <w:tc>
          <w:tcPr>
            <w:tcW w:w="992" w:type="dxa"/>
            <w:hideMark/>
          </w:tcPr>
          <w:p w:rsidR="00D53C9F" w:rsidRPr="003F7BF1" w:rsidRDefault="00D53C9F" w:rsidP="00D53C9F">
            <w:pPr>
              <w:jc w:val="center"/>
              <w:rPr>
                <w:rFonts w:cs="Arial"/>
                <w:b/>
                <w:bCs/>
                <w:sz w:val="20"/>
                <w:szCs w:val="20"/>
              </w:rPr>
            </w:pPr>
            <w:r w:rsidRPr="003F7BF1">
              <w:rPr>
                <w:rFonts w:cs="Arial"/>
                <w:b/>
                <w:bCs/>
                <w:sz w:val="20"/>
                <w:szCs w:val="20"/>
              </w:rPr>
              <w:t>6.97</w:t>
            </w:r>
          </w:p>
        </w:tc>
        <w:tc>
          <w:tcPr>
            <w:tcW w:w="992" w:type="dxa"/>
            <w:hideMark/>
          </w:tcPr>
          <w:p w:rsidR="00D53C9F" w:rsidRPr="003F7BF1" w:rsidRDefault="00D53C9F" w:rsidP="00D53C9F">
            <w:pPr>
              <w:jc w:val="center"/>
              <w:rPr>
                <w:rFonts w:cs="Arial"/>
                <w:bCs/>
                <w:sz w:val="20"/>
                <w:szCs w:val="20"/>
              </w:rPr>
            </w:pPr>
            <w:r w:rsidRPr="003F7BF1">
              <w:rPr>
                <w:rFonts w:cs="Arial"/>
                <w:bCs/>
                <w:sz w:val="20"/>
                <w:szCs w:val="20"/>
              </w:rPr>
              <w:t>0.89</w:t>
            </w:r>
          </w:p>
        </w:tc>
        <w:tc>
          <w:tcPr>
            <w:tcW w:w="1134" w:type="dxa"/>
            <w:hideMark/>
          </w:tcPr>
          <w:p w:rsidR="00D53C9F" w:rsidRPr="003F7BF1" w:rsidRDefault="00D53C9F" w:rsidP="00D53C9F">
            <w:pPr>
              <w:jc w:val="center"/>
              <w:rPr>
                <w:rFonts w:cs="Arial"/>
                <w:bCs/>
                <w:sz w:val="20"/>
                <w:szCs w:val="20"/>
              </w:rPr>
            </w:pPr>
            <w:r w:rsidRPr="003F7BF1">
              <w:rPr>
                <w:rFonts w:cs="Arial"/>
                <w:bCs/>
                <w:sz w:val="20"/>
                <w:szCs w:val="20"/>
              </w:rPr>
              <w:t>0.78</w:t>
            </w:r>
          </w:p>
        </w:tc>
        <w:tc>
          <w:tcPr>
            <w:tcW w:w="1134" w:type="dxa"/>
            <w:hideMark/>
          </w:tcPr>
          <w:p w:rsidR="00D53C9F" w:rsidRPr="003F7BF1" w:rsidRDefault="00D53C9F" w:rsidP="00D53C9F">
            <w:pPr>
              <w:jc w:val="center"/>
              <w:rPr>
                <w:rFonts w:cs="Arial"/>
                <w:bCs/>
                <w:sz w:val="20"/>
                <w:szCs w:val="20"/>
              </w:rPr>
            </w:pPr>
            <w:r w:rsidRPr="003F7BF1">
              <w:rPr>
                <w:rFonts w:cs="Arial"/>
                <w:bCs/>
                <w:sz w:val="20"/>
                <w:szCs w:val="20"/>
              </w:rPr>
              <w:t>0.10</w:t>
            </w:r>
          </w:p>
        </w:tc>
        <w:tc>
          <w:tcPr>
            <w:tcW w:w="993" w:type="dxa"/>
            <w:hideMark/>
          </w:tcPr>
          <w:p w:rsidR="00D53C9F" w:rsidRPr="003F7BF1" w:rsidRDefault="00D53C9F" w:rsidP="00D53C9F">
            <w:pPr>
              <w:jc w:val="center"/>
              <w:rPr>
                <w:rFonts w:cs="Arial"/>
                <w:b/>
                <w:bCs/>
                <w:sz w:val="20"/>
                <w:szCs w:val="20"/>
              </w:rPr>
            </w:pPr>
            <w:r w:rsidRPr="003F7BF1">
              <w:rPr>
                <w:rFonts w:cs="Arial"/>
                <w:b/>
                <w:bCs/>
                <w:sz w:val="20"/>
                <w:szCs w:val="20"/>
              </w:rPr>
              <w:t>6.08</w:t>
            </w:r>
          </w:p>
        </w:tc>
      </w:tr>
      <w:tr w:rsidR="00D53C9F" w:rsidRPr="003F7BF1" w:rsidTr="00D53C9F">
        <w:trPr>
          <w:trHeight w:val="300"/>
        </w:trPr>
        <w:tc>
          <w:tcPr>
            <w:tcW w:w="10060" w:type="dxa"/>
            <w:gridSpan w:val="9"/>
            <w:hideMark/>
          </w:tcPr>
          <w:p w:rsidR="00D53C9F" w:rsidRPr="003F7BF1" w:rsidRDefault="00D53C9F" w:rsidP="00D53C9F">
            <w:pPr>
              <w:spacing w:before="60" w:after="20"/>
              <w:rPr>
                <w:rFonts w:cs="Arial"/>
                <w:sz w:val="20"/>
                <w:szCs w:val="20"/>
                <w:vertAlign w:val="superscript"/>
              </w:rPr>
            </w:pPr>
          </w:p>
          <w:p w:rsidR="00D53C9F" w:rsidRPr="003F7BF1" w:rsidRDefault="00D53C9F" w:rsidP="00D53C9F">
            <w:pPr>
              <w:spacing w:before="60" w:after="20"/>
              <w:rPr>
                <w:rFonts w:cs="Arial"/>
                <w:sz w:val="20"/>
                <w:szCs w:val="20"/>
              </w:rPr>
            </w:pPr>
            <w:r w:rsidRPr="003F7BF1">
              <w:rPr>
                <w:rFonts w:cs="Arial"/>
                <w:sz w:val="20"/>
                <w:szCs w:val="20"/>
                <w:vertAlign w:val="superscript"/>
              </w:rPr>
              <w:t xml:space="preserve">1  </w:t>
            </w:r>
            <w:r w:rsidRPr="003F7BF1">
              <w:rPr>
                <w:rFonts w:cs="Arial"/>
                <w:sz w:val="20"/>
                <w:szCs w:val="20"/>
              </w:rPr>
              <w:t>non è considerata l'assenza per visita medica.</w:t>
            </w:r>
          </w:p>
        </w:tc>
      </w:tr>
      <w:tr w:rsidR="00D53C9F" w:rsidRPr="003F7BF1" w:rsidTr="00D53C9F">
        <w:trPr>
          <w:trHeight w:val="510"/>
        </w:trPr>
        <w:tc>
          <w:tcPr>
            <w:tcW w:w="10060" w:type="dxa"/>
            <w:gridSpan w:val="9"/>
            <w:hideMark/>
          </w:tcPr>
          <w:p w:rsidR="00D53C9F" w:rsidRPr="003F7BF1" w:rsidRDefault="00D53C9F" w:rsidP="00D53C9F">
            <w:pPr>
              <w:spacing w:before="60" w:after="20"/>
              <w:rPr>
                <w:rFonts w:cs="Arial"/>
                <w:sz w:val="20"/>
                <w:szCs w:val="20"/>
              </w:rPr>
            </w:pPr>
            <w:r w:rsidRPr="003F7BF1">
              <w:rPr>
                <w:rFonts w:cs="Arial"/>
                <w:sz w:val="20"/>
                <w:szCs w:val="20"/>
                <w:vertAlign w:val="superscript"/>
              </w:rPr>
              <w:t xml:space="preserve">2 </w:t>
            </w:r>
            <w:r w:rsidRPr="003F7BF1">
              <w:rPr>
                <w:rFonts w:cs="Arial"/>
                <w:sz w:val="20"/>
                <w:szCs w:val="20"/>
              </w:rPr>
              <w:t>media calcolata sul totale dei giorni di assenza diviso per il numero di docenti (unità fisiche). Sono inclusi i sabati, domeniche, festivi infrasettimanali, vacanze scolastiche autunno/Natale/Carnevale/Pasqua. Giorni conteggiati indipendentemente dal grado di occupazione.</w:t>
            </w:r>
          </w:p>
        </w:tc>
      </w:tr>
      <w:tr w:rsidR="00D53C9F" w:rsidRPr="003F7BF1" w:rsidTr="00D53C9F">
        <w:trPr>
          <w:trHeight w:val="300"/>
        </w:trPr>
        <w:tc>
          <w:tcPr>
            <w:tcW w:w="10060" w:type="dxa"/>
            <w:gridSpan w:val="9"/>
            <w:hideMark/>
          </w:tcPr>
          <w:p w:rsidR="00D53C9F" w:rsidRPr="003F7BF1" w:rsidRDefault="00D53C9F" w:rsidP="00D53C9F">
            <w:pPr>
              <w:spacing w:before="60" w:after="20"/>
              <w:rPr>
                <w:rFonts w:cs="Arial"/>
                <w:sz w:val="20"/>
                <w:szCs w:val="20"/>
              </w:rPr>
            </w:pPr>
            <w:r w:rsidRPr="003F7BF1">
              <w:rPr>
                <w:rFonts w:cs="Arial"/>
                <w:sz w:val="20"/>
                <w:szCs w:val="20"/>
                <w:vertAlign w:val="superscript"/>
              </w:rPr>
              <w:t xml:space="preserve">3 </w:t>
            </w:r>
            <w:r w:rsidRPr="003F7BF1">
              <w:rPr>
                <w:rFonts w:cs="Arial"/>
                <w:sz w:val="20"/>
                <w:szCs w:val="20"/>
              </w:rPr>
              <w:t>per il dettaglio si rinvia alla tabella Anno scolastico 2016/2017.</w:t>
            </w:r>
          </w:p>
        </w:tc>
      </w:tr>
      <w:tr w:rsidR="00D53C9F" w:rsidRPr="003F7BF1" w:rsidTr="00D53C9F">
        <w:trPr>
          <w:trHeight w:val="300"/>
        </w:trPr>
        <w:tc>
          <w:tcPr>
            <w:tcW w:w="10060" w:type="dxa"/>
            <w:gridSpan w:val="9"/>
            <w:hideMark/>
          </w:tcPr>
          <w:p w:rsidR="00D53C9F" w:rsidRPr="003F7BF1" w:rsidRDefault="00D53C9F" w:rsidP="00D53C9F">
            <w:pPr>
              <w:spacing w:before="60" w:after="20"/>
              <w:rPr>
                <w:rFonts w:cs="Arial"/>
                <w:sz w:val="20"/>
                <w:szCs w:val="20"/>
              </w:rPr>
            </w:pPr>
            <w:r w:rsidRPr="003F7BF1">
              <w:rPr>
                <w:rFonts w:cs="Arial"/>
                <w:sz w:val="20"/>
                <w:szCs w:val="20"/>
                <w:vertAlign w:val="superscript"/>
              </w:rPr>
              <w:t>4</w:t>
            </w:r>
            <w:r w:rsidRPr="003F7BF1">
              <w:rPr>
                <w:rFonts w:cs="Arial"/>
                <w:sz w:val="20"/>
                <w:szCs w:val="20"/>
              </w:rPr>
              <w:t xml:space="preserve"> INP = Infortunio non professionale. </w:t>
            </w:r>
          </w:p>
        </w:tc>
      </w:tr>
      <w:tr w:rsidR="00D53C9F" w:rsidRPr="003F7BF1" w:rsidTr="00D53C9F">
        <w:trPr>
          <w:trHeight w:val="315"/>
        </w:trPr>
        <w:tc>
          <w:tcPr>
            <w:tcW w:w="10060" w:type="dxa"/>
            <w:gridSpan w:val="9"/>
            <w:hideMark/>
          </w:tcPr>
          <w:p w:rsidR="00D53C9F" w:rsidRPr="003F7BF1" w:rsidRDefault="00D53C9F" w:rsidP="00D53C9F">
            <w:pPr>
              <w:spacing w:before="60" w:after="20"/>
              <w:rPr>
                <w:rFonts w:cs="Arial"/>
                <w:sz w:val="20"/>
                <w:szCs w:val="20"/>
              </w:rPr>
            </w:pPr>
            <w:r w:rsidRPr="003F7BF1">
              <w:rPr>
                <w:rFonts w:cs="Arial"/>
                <w:sz w:val="20"/>
                <w:szCs w:val="20"/>
                <w:vertAlign w:val="superscript"/>
              </w:rPr>
              <w:t>5</w:t>
            </w:r>
            <w:r w:rsidRPr="003F7BF1">
              <w:rPr>
                <w:rFonts w:cs="Arial"/>
                <w:sz w:val="20"/>
                <w:szCs w:val="20"/>
              </w:rPr>
              <w:t xml:space="preserve"> IP = Infortunio professionale.</w:t>
            </w:r>
          </w:p>
        </w:tc>
      </w:tr>
    </w:tbl>
    <w:p w:rsidR="00D53C9F" w:rsidRPr="00D53C9F" w:rsidRDefault="00D53C9F" w:rsidP="00D53C9F">
      <w:pPr>
        <w:spacing w:before="120"/>
        <w:rPr>
          <w:rFonts w:cs="Arial"/>
          <w:szCs w:val="24"/>
        </w:rPr>
      </w:pPr>
    </w:p>
    <w:p w:rsidR="00D53C9F" w:rsidRPr="00D53C9F" w:rsidRDefault="00D53C9F" w:rsidP="00D53C9F">
      <w:pPr>
        <w:spacing w:before="120"/>
        <w:rPr>
          <w:rFonts w:cs="Arial"/>
          <w:szCs w:val="24"/>
        </w:rPr>
      </w:pPr>
      <w:r w:rsidRPr="00D53C9F">
        <w:rPr>
          <w:rFonts w:cs="Arial"/>
          <w:szCs w:val="24"/>
        </w:rPr>
        <w:t>A questo si aggiunge il menzionato progetto LINEA che offre strumenti preventivi rispetto al tema del burn out non raro in questa professione. Nel rapporto del 2012 si danno esaustive indicazione sul possibile accompagnamento offerto ai docenti in difficoltà</w:t>
      </w:r>
    </w:p>
    <w:p w:rsidR="00D53C9F" w:rsidRPr="00F53D95" w:rsidRDefault="00D53C9F" w:rsidP="00D53C9F">
      <w:pPr>
        <w:spacing w:before="120"/>
        <w:jc w:val="left"/>
        <w:rPr>
          <w:rFonts w:cs="Arial"/>
          <w:sz w:val="22"/>
        </w:rPr>
      </w:pPr>
      <w:r w:rsidRPr="00F53D95">
        <w:rPr>
          <w:rFonts w:cs="Arial"/>
          <w:sz w:val="22"/>
        </w:rPr>
        <w:t>(</w:t>
      </w:r>
      <w:hyperlink r:id="rId21" w:history="1">
        <w:r w:rsidRPr="00F53D95">
          <w:rPr>
            <w:rStyle w:val="Collegamentoipertestuale"/>
            <w:rFonts w:cs="Arial"/>
            <w:sz w:val="22"/>
          </w:rPr>
          <w:t>https://www4.ti.ch/fileadmin/DECS/LINEA/documents/Rapporto_finale_Progetto_Sostegno_ai_docenti_in_difficolta_Le_14_Misure.pdf</w:t>
        </w:r>
      </w:hyperlink>
      <w:r w:rsidRPr="00F53D95">
        <w:rPr>
          <w:rFonts w:cs="Arial"/>
          <w:sz w:val="22"/>
        </w:rPr>
        <w:t>).</w:t>
      </w:r>
    </w:p>
    <w:p w:rsidR="007078C4" w:rsidRPr="007078C4" w:rsidRDefault="007078C4" w:rsidP="007078C4">
      <w:pPr>
        <w:jc w:val="left"/>
        <w:rPr>
          <w:rFonts w:cs="Arial"/>
          <w:szCs w:val="24"/>
        </w:rPr>
      </w:pPr>
    </w:p>
    <w:p w:rsidR="007078C4" w:rsidRPr="007078C4" w:rsidRDefault="007078C4" w:rsidP="007078C4">
      <w:pPr>
        <w:jc w:val="left"/>
        <w:rPr>
          <w:rFonts w:cs="Arial"/>
          <w:szCs w:val="24"/>
        </w:rPr>
      </w:pPr>
    </w:p>
    <w:p w:rsidR="007078C4" w:rsidRPr="007078C4" w:rsidRDefault="007078C4" w:rsidP="007078C4">
      <w:pPr>
        <w:jc w:val="left"/>
        <w:rPr>
          <w:rFonts w:cs="Arial"/>
          <w:szCs w:val="24"/>
        </w:rPr>
      </w:pPr>
    </w:p>
    <w:p w:rsidR="00D53C9F" w:rsidRPr="00D53C9F" w:rsidRDefault="00D53C9F" w:rsidP="00D2062E">
      <w:pPr>
        <w:pStyle w:val="Titolo1"/>
      </w:pPr>
      <w:r w:rsidRPr="00D53C9F">
        <w:t>Misure attuate</w:t>
      </w:r>
    </w:p>
    <w:p w:rsidR="00D53C9F" w:rsidRPr="00D53C9F" w:rsidRDefault="00D2062E" w:rsidP="00D2062E">
      <w:pPr>
        <w:pStyle w:val="Titolo2"/>
      </w:pPr>
      <w:r>
        <w:t>5.1</w:t>
      </w:r>
      <w:r>
        <w:tab/>
      </w:r>
      <w:r w:rsidR="00D53C9F" w:rsidRPr="00D53C9F">
        <w:t>Basi legali</w:t>
      </w:r>
    </w:p>
    <w:p w:rsidR="00D53C9F" w:rsidRDefault="00D53C9F" w:rsidP="00D53C9F">
      <w:pPr>
        <w:spacing w:before="120"/>
        <w:rPr>
          <w:rFonts w:cs="Arial"/>
          <w:szCs w:val="24"/>
        </w:rPr>
      </w:pPr>
      <w:r w:rsidRPr="00D53C9F">
        <w:rPr>
          <w:rFonts w:cs="Arial"/>
          <w:szCs w:val="24"/>
        </w:rPr>
        <w:t>Il personale dello Stato è gestito in particolare dal quadro giuridico definito nella LORD e LStip. La prima definisce in modo esplicito la responsabilità del funzionario dirigente di applicare i principi di efficacia ed efficienza e quindi di applicare la gestione per obiettivi all’interno della propria unità amministrativa. Il principio richiede una gestione rigorosa delle risorse umane con il conseguente logico coinvolgimento del servizio medico del personale in caso di assenze prolungate e situazioni problematiche.</w:t>
      </w:r>
    </w:p>
    <w:p w:rsidR="00D2062E" w:rsidRPr="00D53C9F" w:rsidRDefault="00D2062E" w:rsidP="00D53C9F">
      <w:pPr>
        <w:spacing w:before="120"/>
        <w:rPr>
          <w:rFonts w:cs="Arial"/>
          <w:szCs w:val="24"/>
        </w:rPr>
      </w:pPr>
    </w:p>
    <w:p w:rsidR="00D53C9F" w:rsidRPr="00D53C9F" w:rsidRDefault="00D53C9F" w:rsidP="00D53C9F">
      <w:pPr>
        <w:rPr>
          <w:rFonts w:cs="Arial"/>
          <w:szCs w:val="24"/>
        </w:rPr>
      </w:pPr>
      <w:r w:rsidRPr="00D53C9F">
        <w:rPr>
          <w:rFonts w:cs="Arial"/>
          <w:szCs w:val="24"/>
        </w:rPr>
        <w:t xml:space="preserve">Inoltre nell’ambito della gestione generale delle assenze, con l’entrata in vigore della nuova Legge stipendi al </w:t>
      </w:r>
      <w:r w:rsidR="00F53D95">
        <w:rPr>
          <w:rFonts w:cs="Arial"/>
          <w:szCs w:val="24"/>
        </w:rPr>
        <w:t>0</w:t>
      </w:r>
      <w:r w:rsidRPr="00D53C9F">
        <w:rPr>
          <w:rFonts w:cs="Arial"/>
          <w:szCs w:val="24"/>
        </w:rPr>
        <w:t>1.</w:t>
      </w:r>
      <w:r w:rsidR="00F53D95">
        <w:rPr>
          <w:rFonts w:cs="Arial"/>
          <w:szCs w:val="24"/>
        </w:rPr>
        <w:t>0</w:t>
      </w:r>
      <w:r w:rsidRPr="00D53C9F">
        <w:rPr>
          <w:rFonts w:cs="Arial"/>
          <w:szCs w:val="24"/>
        </w:rPr>
        <w:t>1.2018, è prevista una modifica della modalità di conteggio dei giorni di assenza per malattia/infortunio. La nuova norma prevede l’introduzione di un periodo di osservazione fissato a 900 giorni, che si sposta sull’asse del tempo senza mai chiudersi, conteggiando sin dall’inizio tutti i periodi di inabilità lavorativa indipendentemente dalla loro durata e dalla percentuale d’impiego. Si tratta della stessa modalità in uso a livello di Confederazione e di diversi Cantoni, e può ridurre la soglia a partire dalla quale si attiva la riduzione dello stipendio incidendo così sulla durata delle assenze per malattia e infortunio.</w:t>
      </w:r>
    </w:p>
    <w:p w:rsidR="00D53C9F" w:rsidRPr="00D53C9F" w:rsidRDefault="00D53C9F" w:rsidP="00D53C9F">
      <w:pPr>
        <w:rPr>
          <w:rFonts w:cs="Arial"/>
          <w:szCs w:val="24"/>
        </w:rPr>
      </w:pPr>
    </w:p>
    <w:p w:rsidR="00D53C9F" w:rsidRPr="00D53C9F" w:rsidRDefault="00D53C9F" w:rsidP="00D53C9F">
      <w:pPr>
        <w:rPr>
          <w:rFonts w:cs="Arial"/>
          <w:szCs w:val="24"/>
        </w:rPr>
      </w:pPr>
    </w:p>
    <w:p w:rsidR="00D53C9F" w:rsidRPr="00D53C9F" w:rsidRDefault="00D2062E" w:rsidP="00D2062E">
      <w:pPr>
        <w:pStyle w:val="Titolo2"/>
      </w:pPr>
      <w:r>
        <w:lastRenderedPageBreak/>
        <w:t>5.2</w:t>
      </w:r>
      <w:r>
        <w:tab/>
      </w:r>
      <w:r w:rsidR="00D53C9F" w:rsidRPr="00D53C9F">
        <w:t>Monitoraggio</w:t>
      </w:r>
    </w:p>
    <w:p w:rsidR="00D53C9F" w:rsidRPr="00D53C9F" w:rsidRDefault="00D2062E" w:rsidP="00D2062E">
      <w:pPr>
        <w:pStyle w:val="Titolo3"/>
      </w:pPr>
      <w:r>
        <w:t>5.2.1</w:t>
      </w:r>
      <w:r>
        <w:tab/>
      </w:r>
      <w:r w:rsidR="00D53C9F" w:rsidRPr="00D53C9F">
        <w:t>Uff HR controlling</w:t>
      </w:r>
    </w:p>
    <w:p w:rsidR="00D53C9F" w:rsidRPr="00D53C9F" w:rsidRDefault="00D53C9F" w:rsidP="00D53C9F">
      <w:pPr>
        <w:spacing w:before="120"/>
        <w:rPr>
          <w:rFonts w:cs="Arial"/>
          <w:szCs w:val="24"/>
        </w:rPr>
      </w:pPr>
      <w:r w:rsidRPr="00D53C9F">
        <w:rPr>
          <w:rFonts w:cs="Arial"/>
          <w:szCs w:val="24"/>
        </w:rPr>
        <w:t>Il Rendiconto annuale del CdS con i dati di consuntivo propone tabelle riassuntive molto trasparenti che indicano lo sviluppo della situazione. Anche in questo caso, ci permettiamo di suggerire di stabilire in base agli obbiettivi gestioni del servizio risorse umane dell’AC, gli indicatori prioritari e quindi le tabelle ritenute essenziali ai fini della valutazione della situazione accompagnando il rispettivo resoconto annuale. In questo senso la Commissione invita il Consiglio di Stato a voler rintegrare nel rendiconto statistico annuale l’indicatore dei numeri di giorni di assenza per malattia, per infortuni professionali e non, declinandolo per ogni Dipartimento e possibilmente per servizio.</w:t>
      </w:r>
    </w:p>
    <w:p w:rsidR="00D2062E" w:rsidRPr="00D53C9F" w:rsidRDefault="00D2062E" w:rsidP="00D53C9F">
      <w:pPr>
        <w:rPr>
          <w:rFonts w:cs="Arial"/>
          <w:szCs w:val="24"/>
        </w:rPr>
      </w:pPr>
    </w:p>
    <w:p w:rsidR="00D53C9F" w:rsidRPr="00D53C9F" w:rsidRDefault="00D53C9F" w:rsidP="00D2062E">
      <w:pPr>
        <w:pStyle w:val="Titolo3"/>
        <w:numPr>
          <w:ilvl w:val="2"/>
          <w:numId w:val="21"/>
        </w:numPr>
        <w:ind w:hanging="1287"/>
      </w:pPr>
      <w:r w:rsidRPr="00D53C9F">
        <w:t>Servizio medico</w:t>
      </w:r>
    </w:p>
    <w:p w:rsidR="00D2062E" w:rsidRDefault="00D53C9F" w:rsidP="00D2062E">
      <w:pPr>
        <w:spacing w:before="120"/>
        <w:rPr>
          <w:rFonts w:cs="Arial"/>
          <w:szCs w:val="24"/>
        </w:rPr>
      </w:pPr>
      <w:r w:rsidRPr="00D53C9F">
        <w:rPr>
          <w:rFonts w:cs="Arial"/>
          <w:szCs w:val="24"/>
        </w:rPr>
        <w:t xml:space="preserve">Il Servizio medico del personale e il team gestione delle assenze attivi dal 2007 sono organi preziosi per il monitoraggio del delicato tema delle assenze. Anche il resoconto dell’attività di questi organi potrebbe essere inserito nel comento annuale del Consuntivo nel contesto del rapporto della Sezione risorse umane (Messaggio </w:t>
      </w:r>
      <w:r w:rsidR="00F53D95">
        <w:rPr>
          <w:rFonts w:cs="Arial"/>
          <w:szCs w:val="24"/>
        </w:rPr>
        <w:t xml:space="preserve">n. </w:t>
      </w:r>
      <w:r w:rsidRPr="00D53C9F">
        <w:rPr>
          <w:rFonts w:cs="Arial"/>
          <w:szCs w:val="24"/>
        </w:rPr>
        <w:t>7655, DFE 10 - Se</w:t>
      </w:r>
      <w:r w:rsidR="00D2062E">
        <w:rPr>
          <w:rFonts w:cs="Arial"/>
          <w:szCs w:val="24"/>
        </w:rPr>
        <w:t>zione risorse umane, pag</w:t>
      </w:r>
      <w:r w:rsidR="00F53D95">
        <w:rPr>
          <w:rFonts w:cs="Arial"/>
          <w:szCs w:val="24"/>
        </w:rPr>
        <w:t>.</w:t>
      </w:r>
      <w:r w:rsidR="00D2062E">
        <w:rPr>
          <w:rFonts w:cs="Arial"/>
          <w:szCs w:val="24"/>
        </w:rPr>
        <w:t xml:space="preserve"> 196). </w:t>
      </w:r>
    </w:p>
    <w:p w:rsidR="00D2062E" w:rsidRDefault="00D2062E" w:rsidP="00D2062E">
      <w:pPr>
        <w:rPr>
          <w:rFonts w:cs="Arial"/>
          <w:szCs w:val="24"/>
        </w:rPr>
      </w:pPr>
    </w:p>
    <w:p w:rsidR="00D2062E" w:rsidRDefault="00D2062E" w:rsidP="00D2062E">
      <w:pPr>
        <w:rPr>
          <w:rFonts w:cs="Arial"/>
          <w:szCs w:val="24"/>
        </w:rPr>
      </w:pPr>
    </w:p>
    <w:p w:rsidR="00D53C9F" w:rsidRPr="00D2062E" w:rsidRDefault="00D2062E" w:rsidP="00D2062E">
      <w:pPr>
        <w:pStyle w:val="Titolo2"/>
        <w:rPr>
          <w:rFonts w:cs="Arial"/>
          <w:szCs w:val="24"/>
        </w:rPr>
      </w:pPr>
      <w:r>
        <w:t>5.3</w:t>
      </w:r>
      <w:r>
        <w:tab/>
      </w:r>
      <w:r w:rsidR="00D53C9F" w:rsidRPr="00D53C9F">
        <w:t xml:space="preserve">Formazione </w:t>
      </w:r>
    </w:p>
    <w:p w:rsidR="00D2062E" w:rsidRDefault="00D53C9F" w:rsidP="007078C4">
      <w:pPr>
        <w:spacing w:after="120"/>
        <w:rPr>
          <w:rFonts w:cs="Arial"/>
          <w:szCs w:val="24"/>
        </w:rPr>
      </w:pPr>
      <w:r w:rsidRPr="00D53C9F">
        <w:rPr>
          <w:rFonts w:cs="Arial"/>
          <w:szCs w:val="24"/>
        </w:rPr>
        <w:t xml:space="preserve">Un aspetto rilevante nell’ampio contesto della gestione del personale è certamente la formazione dei quadri dirigenti dell’AC. Anche in questo contesto è stato fatto un lavoro ragguardevole con la promozione di un’importante attività di formazione e di aggiornamento. </w:t>
      </w:r>
    </w:p>
    <w:p w:rsidR="007078C4" w:rsidRDefault="007078C4" w:rsidP="007078C4">
      <w:pPr>
        <w:rPr>
          <w:rFonts w:cs="Arial"/>
          <w:szCs w:val="24"/>
        </w:rPr>
      </w:pPr>
    </w:p>
    <w:tbl>
      <w:tblPr>
        <w:tblW w:w="7230" w:type="dxa"/>
        <w:tblCellMar>
          <w:left w:w="70" w:type="dxa"/>
          <w:right w:w="70" w:type="dxa"/>
        </w:tblCellMar>
        <w:tblLook w:val="04A0" w:firstRow="1" w:lastRow="0" w:firstColumn="1" w:lastColumn="0" w:noHBand="0" w:noVBand="1"/>
      </w:tblPr>
      <w:tblGrid>
        <w:gridCol w:w="5384"/>
        <w:gridCol w:w="1562"/>
        <w:gridCol w:w="284"/>
      </w:tblGrid>
      <w:tr w:rsidR="00D53C9F" w:rsidRPr="00D53C9F" w:rsidTr="00D53C9F">
        <w:trPr>
          <w:trHeight w:val="315"/>
        </w:trPr>
        <w:tc>
          <w:tcPr>
            <w:tcW w:w="7230" w:type="dxa"/>
            <w:gridSpan w:val="3"/>
            <w:tcBorders>
              <w:top w:val="nil"/>
              <w:left w:val="nil"/>
              <w:bottom w:val="nil"/>
              <w:right w:val="nil"/>
            </w:tcBorders>
            <w:shd w:val="clear" w:color="auto" w:fill="auto"/>
            <w:noWrap/>
            <w:vAlign w:val="bottom"/>
            <w:hideMark/>
          </w:tcPr>
          <w:p w:rsidR="00D53C9F" w:rsidRPr="00D2062E" w:rsidRDefault="00D53C9F" w:rsidP="00D53C9F">
            <w:pPr>
              <w:ind w:left="-75"/>
              <w:jc w:val="left"/>
              <w:rPr>
                <w:rFonts w:cs="Arial"/>
                <w:b/>
                <w:bCs/>
                <w:sz w:val="22"/>
                <w:lang w:eastAsia="it-CH"/>
              </w:rPr>
            </w:pPr>
            <w:r w:rsidRPr="00D2062E">
              <w:rPr>
                <w:rFonts w:cs="Arial"/>
                <w:b/>
                <w:bCs/>
                <w:sz w:val="22"/>
                <w:lang w:eastAsia="it-CH"/>
              </w:rPr>
              <w:t>STATISTICA CORSI PER FUNZIONARI DIRIGENTI 09.2013 - 09.2019</w:t>
            </w:r>
          </w:p>
          <w:p w:rsidR="00D53C9F" w:rsidRPr="00D2062E" w:rsidRDefault="00D53C9F" w:rsidP="00D53C9F">
            <w:pPr>
              <w:ind w:left="-75"/>
              <w:jc w:val="left"/>
              <w:rPr>
                <w:rFonts w:cs="Arial"/>
                <w:b/>
                <w:bCs/>
                <w:sz w:val="22"/>
                <w:lang w:eastAsia="it-CH"/>
              </w:rPr>
            </w:pPr>
          </w:p>
        </w:tc>
      </w:tr>
      <w:tr w:rsidR="00D53C9F" w:rsidRPr="00D53C9F" w:rsidTr="00D53C9F">
        <w:trPr>
          <w:gridAfter w:val="1"/>
          <w:wAfter w:w="284" w:type="dxa"/>
          <w:trHeight w:val="300"/>
        </w:trPr>
        <w:tc>
          <w:tcPr>
            <w:tcW w:w="5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3C9F" w:rsidRPr="00D2062E" w:rsidRDefault="007078C4" w:rsidP="007078C4">
            <w:pPr>
              <w:jc w:val="left"/>
              <w:rPr>
                <w:rFonts w:cs="Arial"/>
                <w:b/>
                <w:bCs/>
                <w:sz w:val="22"/>
                <w:lang w:eastAsia="it-CH"/>
              </w:rPr>
            </w:pPr>
            <w:r>
              <w:rPr>
                <w:rFonts w:cs="Arial"/>
                <w:b/>
                <w:bCs/>
                <w:sz w:val="22"/>
                <w:lang w:eastAsia="it-CH"/>
              </w:rPr>
              <w:t>n</w:t>
            </w:r>
            <w:r w:rsidR="00D53C9F" w:rsidRPr="00D2062E">
              <w:rPr>
                <w:rFonts w:cs="Arial"/>
                <w:b/>
                <w:bCs/>
                <w:sz w:val="22"/>
                <w:lang w:eastAsia="it-CH"/>
              </w:rPr>
              <w:t>. partecipanti</w:t>
            </w: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rsidR="00D53C9F" w:rsidRPr="00D2062E" w:rsidRDefault="00D53C9F" w:rsidP="00D53C9F">
            <w:pPr>
              <w:jc w:val="center"/>
              <w:rPr>
                <w:rFonts w:cs="Arial"/>
                <w:b/>
                <w:bCs/>
                <w:sz w:val="22"/>
                <w:lang w:eastAsia="it-CH"/>
              </w:rPr>
            </w:pPr>
            <w:r w:rsidRPr="00D2062E">
              <w:rPr>
                <w:rFonts w:cs="Arial"/>
                <w:b/>
                <w:bCs/>
                <w:sz w:val="22"/>
                <w:lang w:eastAsia="it-CH"/>
              </w:rPr>
              <w:t>2505</w:t>
            </w:r>
          </w:p>
        </w:tc>
      </w:tr>
      <w:tr w:rsidR="00D53C9F" w:rsidRPr="00D53C9F" w:rsidTr="00D53C9F">
        <w:trPr>
          <w:gridAfter w:val="1"/>
          <w:wAfter w:w="284" w:type="dxa"/>
          <w:trHeight w:val="300"/>
        </w:trPr>
        <w:tc>
          <w:tcPr>
            <w:tcW w:w="5384" w:type="dxa"/>
            <w:tcBorders>
              <w:top w:val="nil"/>
              <w:left w:val="single" w:sz="4" w:space="0" w:color="auto"/>
              <w:bottom w:val="single" w:sz="4" w:space="0" w:color="auto"/>
              <w:right w:val="single" w:sz="4" w:space="0" w:color="auto"/>
            </w:tcBorders>
            <w:shd w:val="clear" w:color="auto" w:fill="auto"/>
            <w:noWrap/>
            <w:vAlign w:val="bottom"/>
            <w:hideMark/>
          </w:tcPr>
          <w:p w:rsidR="00D53C9F" w:rsidRPr="00D2062E" w:rsidRDefault="007078C4" w:rsidP="007078C4">
            <w:pPr>
              <w:jc w:val="left"/>
              <w:rPr>
                <w:rFonts w:cs="Arial"/>
                <w:b/>
                <w:bCs/>
                <w:sz w:val="22"/>
                <w:lang w:eastAsia="it-CH"/>
              </w:rPr>
            </w:pPr>
            <w:r>
              <w:rPr>
                <w:rFonts w:cs="Arial"/>
                <w:b/>
                <w:bCs/>
                <w:sz w:val="22"/>
                <w:lang w:eastAsia="it-CH"/>
              </w:rPr>
              <w:t>n</w:t>
            </w:r>
            <w:r w:rsidR="00D53C9F" w:rsidRPr="00D2062E">
              <w:rPr>
                <w:rFonts w:cs="Arial"/>
                <w:b/>
                <w:bCs/>
                <w:sz w:val="22"/>
                <w:lang w:eastAsia="it-CH"/>
              </w:rPr>
              <w:t>. giornate di formazione</w:t>
            </w:r>
          </w:p>
        </w:tc>
        <w:tc>
          <w:tcPr>
            <w:tcW w:w="1562" w:type="dxa"/>
            <w:tcBorders>
              <w:top w:val="nil"/>
              <w:left w:val="nil"/>
              <w:bottom w:val="single" w:sz="4" w:space="0" w:color="auto"/>
              <w:right w:val="single" w:sz="4" w:space="0" w:color="auto"/>
            </w:tcBorders>
            <w:shd w:val="clear" w:color="auto" w:fill="auto"/>
            <w:noWrap/>
            <w:vAlign w:val="bottom"/>
            <w:hideMark/>
          </w:tcPr>
          <w:p w:rsidR="00D53C9F" w:rsidRPr="00D2062E" w:rsidRDefault="00D53C9F" w:rsidP="00D53C9F">
            <w:pPr>
              <w:jc w:val="center"/>
              <w:rPr>
                <w:rFonts w:cs="Arial"/>
                <w:b/>
                <w:bCs/>
                <w:sz w:val="22"/>
                <w:lang w:eastAsia="it-CH"/>
              </w:rPr>
            </w:pPr>
            <w:r w:rsidRPr="00D2062E">
              <w:rPr>
                <w:rFonts w:cs="Arial"/>
                <w:b/>
                <w:bCs/>
                <w:sz w:val="22"/>
                <w:lang w:eastAsia="it-CH"/>
              </w:rPr>
              <w:t>337</w:t>
            </w:r>
          </w:p>
        </w:tc>
      </w:tr>
      <w:tr w:rsidR="00D53C9F" w:rsidRPr="00D53C9F" w:rsidTr="00D53C9F">
        <w:trPr>
          <w:gridAfter w:val="1"/>
          <w:wAfter w:w="284" w:type="dxa"/>
          <w:trHeight w:val="300"/>
        </w:trPr>
        <w:tc>
          <w:tcPr>
            <w:tcW w:w="5384" w:type="dxa"/>
            <w:tcBorders>
              <w:top w:val="nil"/>
              <w:left w:val="single" w:sz="4" w:space="0" w:color="auto"/>
              <w:bottom w:val="single" w:sz="4" w:space="0" w:color="auto"/>
              <w:right w:val="single" w:sz="4" w:space="0" w:color="auto"/>
            </w:tcBorders>
            <w:shd w:val="clear" w:color="auto" w:fill="auto"/>
            <w:noWrap/>
            <w:vAlign w:val="bottom"/>
            <w:hideMark/>
          </w:tcPr>
          <w:p w:rsidR="00D53C9F" w:rsidRPr="00D2062E" w:rsidRDefault="007078C4" w:rsidP="007078C4">
            <w:pPr>
              <w:jc w:val="left"/>
              <w:rPr>
                <w:rFonts w:cs="Arial"/>
                <w:sz w:val="22"/>
                <w:lang w:eastAsia="it-CH"/>
              </w:rPr>
            </w:pPr>
            <w:r>
              <w:rPr>
                <w:rFonts w:cs="Arial"/>
                <w:sz w:val="22"/>
                <w:lang w:eastAsia="it-CH"/>
              </w:rPr>
              <w:t>n</w:t>
            </w:r>
            <w:r w:rsidR="00D53C9F" w:rsidRPr="00D2062E">
              <w:rPr>
                <w:rFonts w:cs="Arial"/>
                <w:sz w:val="22"/>
                <w:lang w:eastAsia="it-CH"/>
              </w:rPr>
              <w:t>. corsi erogati</w:t>
            </w:r>
          </w:p>
        </w:tc>
        <w:tc>
          <w:tcPr>
            <w:tcW w:w="1562" w:type="dxa"/>
            <w:tcBorders>
              <w:top w:val="nil"/>
              <w:left w:val="nil"/>
              <w:bottom w:val="single" w:sz="4" w:space="0" w:color="auto"/>
              <w:right w:val="single" w:sz="4" w:space="0" w:color="auto"/>
            </w:tcBorders>
            <w:shd w:val="clear" w:color="auto" w:fill="auto"/>
            <w:noWrap/>
            <w:vAlign w:val="bottom"/>
            <w:hideMark/>
          </w:tcPr>
          <w:p w:rsidR="00D53C9F" w:rsidRPr="00D2062E" w:rsidRDefault="00D53C9F" w:rsidP="00D53C9F">
            <w:pPr>
              <w:jc w:val="center"/>
              <w:rPr>
                <w:rFonts w:cs="Arial"/>
                <w:sz w:val="22"/>
                <w:lang w:eastAsia="it-CH"/>
              </w:rPr>
            </w:pPr>
            <w:r w:rsidRPr="00D2062E">
              <w:rPr>
                <w:rFonts w:cs="Arial"/>
                <w:sz w:val="22"/>
                <w:lang w:eastAsia="it-CH"/>
              </w:rPr>
              <w:t>197</w:t>
            </w:r>
          </w:p>
        </w:tc>
      </w:tr>
      <w:tr w:rsidR="00D53C9F" w:rsidRPr="00D53C9F" w:rsidTr="00D53C9F">
        <w:trPr>
          <w:gridAfter w:val="1"/>
          <w:wAfter w:w="284" w:type="dxa"/>
          <w:trHeight w:val="300"/>
        </w:trPr>
        <w:tc>
          <w:tcPr>
            <w:tcW w:w="5384" w:type="dxa"/>
            <w:tcBorders>
              <w:top w:val="nil"/>
              <w:left w:val="single" w:sz="4" w:space="0" w:color="auto"/>
              <w:bottom w:val="single" w:sz="4" w:space="0" w:color="auto"/>
              <w:right w:val="single" w:sz="4" w:space="0" w:color="auto"/>
            </w:tcBorders>
            <w:shd w:val="clear" w:color="auto" w:fill="auto"/>
            <w:noWrap/>
            <w:vAlign w:val="bottom"/>
            <w:hideMark/>
          </w:tcPr>
          <w:p w:rsidR="00D53C9F" w:rsidRPr="00D2062E" w:rsidRDefault="007078C4" w:rsidP="007078C4">
            <w:pPr>
              <w:jc w:val="left"/>
              <w:rPr>
                <w:rFonts w:cs="Arial"/>
                <w:color w:val="000000"/>
                <w:sz w:val="22"/>
                <w:lang w:eastAsia="it-CH"/>
              </w:rPr>
            </w:pPr>
            <w:r>
              <w:rPr>
                <w:rFonts w:cs="Arial"/>
                <w:color w:val="000000"/>
                <w:sz w:val="22"/>
                <w:lang w:eastAsia="it-CH"/>
              </w:rPr>
              <w:t>n</w:t>
            </w:r>
            <w:r w:rsidR="009F2A36">
              <w:rPr>
                <w:rFonts w:cs="Arial"/>
                <w:color w:val="000000"/>
                <w:sz w:val="22"/>
                <w:lang w:eastAsia="it-CH"/>
              </w:rPr>
              <w:t>. g</w:t>
            </w:r>
            <w:r w:rsidR="00D53C9F" w:rsidRPr="00D2062E">
              <w:rPr>
                <w:rFonts w:cs="Arial"/>
                <w:color w:val="000000"/>
                <w:sz w:val="22"/>
                <w:lang w:eastAsia="it-CH"/>
              </w:rPr>
              <w:t>iornate partecipante</w:t>
            </w:r>
          </w:p>
        </w:tc>
        <w:tc>
          <w:tcPr>
            <w:tcW w:w="1562" w:type="dxa"/>
            <w:tcBorders>
              <w:top w:val="nil"/>
              <w:left w:val="nil"/>
              <w:bottom w:val="single" w:sz="4" w:space="0" w:color="auto"/>
              <w:right w:val="single" w:sz="4" w:space="0" w:color="auto"/>
            </w:tcBorders>
            <w:shd w:val="clear" w:color="auto" w:fill="auto"/>
            <w:noWrap/>
            <w:vAlign w:val="bottom"/>
            <w:hideMark/>
          </w:tcPr>
          <w:p w:rsidR="00D53C9F" w:rsidRPr="00D2062E" w:rsidRDefault="00D53C9F" w:rsidP="00D53C9F">
            <w:pPr>
              <w:jc w:val="center"/>
              <w:rPr>
                <w:rFonts w:cs="Arial"/>
                <w:color w:val="000000"/>
                <w:sz w:val="22"/>
                <w:lang w:eastAsia="it-CH"/>
              </w:rPr>
            </w:pPr>
            <w:r w:rsidRPr="00D2062E">
              <w:rPr>
                <w:rFonts w:cs="Arial"/>
                <w:color w:val="000000"/>
                <w:sz w:val="22"/>
                <w:lang w:eastAsia="it-CH"/>
              </w:rPr>
              <w:t>3880.5</w:t>
            </w:r>
          </w:p>
        </w:tc>
      </w:tr>
    </w:tbl>
    <w:p w:rsidR="00D53C9F" w:rsidRPr="00D53C9F" w:rsidRDefault="00D53C9F" w:rsidP="00D53C9F">
      <w:pPr>
        <w:rPr>
          <w:rFonts w:cs="Arial"/>
          <w:szCs w:val="24"/>
        </w:rPr>
      </w:pPr>
    </w:p>
    <w:p w:rsidR="00D53C9F" w:rsidRDefault="00D53C9F" w:rsidP="00D53C9F">
      <w:pPr>
        <w:rPr>
          <w:rFonts w:cs="Arial"/>
          <w:szCs w:val="24"/>
        </w:rPr>
      </w:pPr>
      <w:r w:rsidRPr="00D53C9F">
        <w:rPr>
          <w:rFonts w:cs="Arial"/>
          <w:szCs w:val="24"/>
        </w:rPr>
        <w:t xml:space="preserve">Oltre agli aspetti quantitativi il Governo è intervenuto anche su aspetti qualitativi della formazione perfezionando in un’apposita risoluzione i contenuti del programma di formazione dichiarato obbligatorio. </w:t>
      </w:r>
    </w:p>
    <w:p w:rsidR="00D2062E" w:rsidRPr="00D53C9F" w:rsidRDefault="00D2062E" w:rsidP="00D53C9F">
      <w:pPr>
        <w:rPr>
          <w:rFonts w:cs="Arial"/>
          <w:szCs w:val="24"/>
        </w:rPr>
      </w:pPr>
    </w:p>
    <w:p w:rsidR="00D53C9F" w:rsidRPr="00D53C9F" w:rsidRDefault="00D53C9F" w:rsidP="00D53C9F">
      <w:pPr>
        <w:rPr>
          <w:rFonts w:cs="Arial"/>
          <w:szCs w:val="24"/>
        </w:rPr>
      </w:pPr>
      <w:r w:rsidRPr="00D53C9F">
        <w:rPr>
          <w:rFonts w:cs="Arial"/>
          <w:szCs w:val="24"/>
        </w:rPr>
        <w:t xml:space="preserve">Risoluzione che ci sembra opportuno riprendere. </w:t>
      </w:r>
    </w:p>
    <w:p w:rsidR="00D53C9F" w:rsidRPr="00D53C9F" w:rsidRDefault="00D53C9F" w:rsidP="00D53C9F">
      <w:pPr>
        <w:pStyle w:val="Default"/>
        <w:rPr>
          <w:lang w:val="it-IT"/>
        </w:rPr>
      </w:pPr>
    </w:p>
    <w:p w:rsidR="00D53C9F" w:rsidRDefault="00D53C9F" w:rsidP="007078C4">
      <w:pPr>
        <w:pStyle w:val="Default"/>
        <w:spacing w:after="120"/>
        <w:rPr>
          <w:b/>
          <w:color w:val="auto"/>
        </w:rPr>
      </w:pPr>
      <w:r w:rsidRPr="00BB0A8A">
        <w:rPr>
          <w:b/>
          <w:color w:val="auto"/>
        </w:rPr>
        <w:t xml:space="preserve">Formazione funzionari dirigenti </w:t>
      </w:r>
    </w:p>
    <w:p w:rsidR="009F2A36" w:rsidRDefault="00D53C9F" w:rsidP="00A52CAD">
      <w:pPr>
        <w:pStyle w:val="Default"/>
        <w:jc w:val="both"/>
        <w:rPr>
          <w:bCs/>
          <w:i/>
          <w:color w:val="auto"/>
          <w:sz w:val="22"/>
          <w:szCs w:val="22"/>
        </w:rPr>
      </w:pPr>
      <w:r w:rsidRPr="00D2062E">
        <w:rPr>
          <w:i/>
          <w:color w:val="auto"/>
          <w:sz w:val="22"/>
          <w:szCs w:val="22"/>
        </w:rPr>
        <w:t>Il Consiglio di Stato</w:t>
      </w:r>
      <w:r w:rsidRPr="00D2062E">
        <w:rPr>
          <w:bCs/>
          <w:i/>
          <w:color w:val="auto"/>
          <w:sz w:val="22"/>
          <w:szCs w:val="22"/>
        </w:rPr>
        <w:t xml:space="preserve"> </w:t>
      </w:r>
    </w:p>
    <w:p w:rsidR="00D53C9F" w:rsidRPr="00D2062E" w:rsidRDefault="00F53D95" w:rsidP="00A52CAD">
      <w:pPr>
        <w:pStyle w:val="Default"/>
        <w:jc w:val="both"/>
        <w:rPr>
          <w:i/>
          <w:color w:val="auto"/>
          <w:sz w:val="22"/>
          <w:szCs w:val="22"/>
        </w:rPr>
      </w:pPr>
      <w:r>
        <w:rPr>
          <w:i/>
          <w:color w:val="auto"/>
          <w:sz w:val="22"/>
          <w:szCs w:val="22"/>
        </w:rPr>
        <w:t>r</w:t>
      </w:r>
      <w:r w:rsidR="00D53C9F" w:rsidRPr="00D2062E">
        <w:rPr>
          <w:i/>
          <w:color w:val="auto"/>
          <w:sz w:val="22"/>
          <w:szCs w:val="22"/>
        </w:rPr>
        <w:t xml:space="preserve">ichiamati: </w:t>
      </w:r>
    </w:p>
    <w:p w:rsidR="00D53C9F" w:rsidRPr="00D2062E" w:rsidRDefault="00D53C9F" w:rsidP="00C74328">
      <w:pPr>
        <w:pStyle w:val="Default"/>
        <w:numPr>
          <w:ilvl w:val="0"/>
          <w:numId w:val="15"/>
        </w:numPr>
        <w:spacing w:before="60" w:after="60"/>
        <w:jc w:val="both"/>
        <w:rPr>
          <w:i/>
          <w:color w:val="auto"/>
          <w:sz w:val="22"/>
          <w:szCs w:val="22"/>
        </w:rPr>
      </w:pPr>
      <w:r w:rsidRPr="00D2062E">
        <w:rPr>
          <w:i/>
          <w:color w:val="auto"/>
          <w:sz w:val="22"/>
          <w:szCs w:val="22"/>
        </w:rPr>
        <w:t xml:space="preserve">l'art. 54 LORD e gli articoli 2 e 3 del Regolamento concernente la formazione continua degli impiegati del 29 aprile 2003; </w:t>
      </w:r>
    </w:p>
    <w:p w:rsidR="00D53C9F" w:rsidRPr="00D2062E" w:rsidRDefault="00D53C9F" w:rsidP="00C74328">
      <w:pPr>
        <w:pStyle w:val="Default"/>
        <w:numPr>
          <w:ilvl w:val="0"/>
          <w:numId w:val="15"/>
        </w:numPr>
        <w:spacing w:before="60" w:after="60"/>
        <w:jc w:val="both"/>
        <w:rPr>
          <w:i/>
          <w:color w:val="auto"/>
          <w:sz w:val="22"/>
          <w:szCs w:val="22"/>
        </w:rPr>
      </w:pPr>
      <w:r w:rsidRPr="00D2062E">
        <w:rPr>
          <w:i/>
          <w:color w:val="auto"/>
          <w:sz w:val="22"/>
          <w:szCs w:val="22"/>
        </w:rPr>
        <w:t xml:space="preserve">la Risoluzione governativa 6535 del 21 novembre 2012 nella quale si elencano i corsi obbligatori per i funzionari dirigenti; </w:t>
      </w:r>
    </w:p>
    <w:p w:rsidR="00D53C9F" w:rsidRPr="00D2062E" w:rsidRDefault="00D53C9F" w:rsidP="00C74328">
      <w:pPr>
        <w:pStyle w:val="Default"/>
        <w:numPr>
          <w:ilvl w:val="0"/>
          <w:numId w:val="15"/>
        </w:numPr>
        <w:spacing w:before="60" w:after="60"/>
        <w:ind w:left="357" w:hanging="357"/>
        <w:jc w:val="both"/>
        <w:rPr>
          <w:i/>
          <w:color w:val="auto"/>
          <w:sz w:val="22"/>
          <w:szCs w:val="22"/>
        </w:rPr>
      </w:pPr>
      <w:r w:rsidRPr="00D2062E">
        <w:rPr>
          <w:i/>
          <w:color w:val="auto"/>
          <w:sz w:val="22"/>
          <w:szCs w:val="22"/>
        </w:rPr>
        <w:t xml:space="preserve">la Risoluzione governativa 2044 del 20 maggio 2015 con la quale si approva l'implementazione dei corsi facoltativi del percorso "Condurre e dirigere" per funzionari dirigenti; </w:t>
      </w:r>
    </w:p>
    <w:p w:rsidR="00D53C9F" w:rsidRPr="00D2062E" w:rsidRDefault="00D53C9F" w:rsidP="00A52CAD">
      <w:pPr>
        <w:pStyle w:val="Default"/>
        <w:spacing w:after="120"/>
        <w:jc w:val="both"/>
        <w:rPr>
          <w:i/>
          <w:color w:val="auto"/>
          <w:sz w:val="22"/>
          <w:szCs w:val="22"/>
        </w:rPr>
      </w:pPr>
      <w:r w:rsidRPr="00D2062E">
        <w:rPr>
          <w:i/>
          <w:color w:val="auto"/>
          <w:sz w:val="22"/>
          <w:szCs w:val="22"/>
        </w:rPr>
        <w:lastRenderedPageBreak/>
        <w:t xml:space="preserve">considerata l'importanza di adattare i contenuti dei corsi offerti con il Master in Public Administration Management sia ai mutamenti del nostro contesto operativo sia al Regolamento dei percorsi Advanced Studies MAS, EMBA, DAS, CAS della SUSPI; </w:t>
      </w:r>
    </w:p>
    <w:p w:rsidR="00D53C9F" w:rsidRPr="00D2062E" w:rsidRDefault="00D53C9F" w:rsidP="00A52CAD">
      <w:pPr>
        <w:pStyle w:val="Default"/>
        <w:spacing w:after="120"/>
        <w:jc w:val="both"/>
        <w:rPr>
          <w:i/>
          <w:color w:val="auto"/>
          <w:sz w:val="22"/>
          <w:szCs w:val="22"/>
        </w:rPr>
      </w:pPr>
      <w:r w:rsidRPr="00D2062E">
        <w:rPr>
          <w:i/>
          <w:color w:val="auto"/>
          <w:sz w:val="22"/>
          <w:szCs w:val="22"/>
        </w:rPr>
        <w:t xml:space="preserve">preso atto dell'importanza per un funzionario dirigente di possedere solide conoscenze di base utili all'analisi della propria unità amministrativa in materia di </w:t>
      </w:r>
      <w:r w:rsidRPr="00D2062E">
        <w:rPr>
          <w:bCs/>
          <w:i/>
          <w:color w:val="auto"/>
          <w:sz w:val="22"/>
          <w:szCs w:val="22"/>
        </w:rPr>
        <w:t xml:space="preserve">Gestione dei rischi </w:t>
      </w:r>
      <w:r w:rsidRPr="00D2062E">
        <w:rPr>
          <w:i/>
          <w:color w:val="auto"/>
          <w:sz w:val="22"/>
          <w:szCs w:val="22"/>
        </w:rPr>
        <w:t xml:space="preserve">così come in materia di </w:t>
      </w:r>
      <w:r w:rsidRPr="00D2062E">
        <w:rPr>
          <w:bCs/>
          <w:i/>
          <w:color w:val="auto"/>
          <w:sz w:val="22"/>
          <w:szCs w:val="22"/>
        </w:rPr>
        <w:t xml:space="preserve">Gestione finanziaria dello Stato; </w:t>
      </w:r>
    </w:p>
    <w:p w:rsidR="00D53C9F" w:rsidRPr="00D2062E" w:rsidRDefault="00D53C9F" w:rsidP="00A52CAD">
      <w:pPr>
        <w:pStyle w:val="Default"/>
        <w:spacing w:after="120"/>
        <w:jc w:val="both"/>
        <w:rPr>
          <w:i/>
          <w:color w:val="auto"/>
          <w:sz w:val="22"/>
          <w:szCs w:val="22"/>
        </w:rPr>
      </w:pPr>
      <w:r w:rsidRPr="00D2062E">
        <w:rPr>
          <w:i/>
          <w:color w:val="auto"/>
          <w:sz w:val="22"/>
          <w:szCs w:val="22"/>
        </w:rPr>
        <w:t xml:space="preserve">considerato che il modulo obbligatorio "Conoscere i servizi centrali" verrà ridisegnato e proposto in modalità multimediale direttamente su Intranet e che quello facoltativo "Identità dell'amministrazione pubblica ticinese", se pur interessante da un punto di vista "teorico", ha evidenziato grossi limiti rispetto alla concreta trasferibilità dei contenuti nell'attività lavorativa; </w:t>
      </w:r>
    </w:p>
    <w:p w:rsidR="00D53C9F" w:rsidRPr="00D2062E" w:rsidRDefault="00D53C9F" w:rsidP="00A52CAD">
      <w:pPr>
        <w:pStyle w:val="Default"/>
        <w:spacing w:after="120"/>
        <w:jc w:val="both"/>
        <w:rPr>
          <w:i/>
          <w:color w:val="auto"/>
          <w:sz w:val="22"/>
          <w:szCs w:val="22"/>
        </w:rPr>
      </w:pPr>
      <w:r w:rsidRPr="00D2062E">
        <w:rPr>
          <w:i/>
          <w:color w:val="auto"/>
          <w:sz w:val="22"/>
          <w:szCs w:val="22"/>
        </w:rPr>
        <w:t xml:space="preserve">ottenuto, in data 10 luglio 2018, l'accordo del Comitato scientifico del Master Public Administration Management della SUPSI / Dipartimento economia aziendale, sanità e sociale in merito alle modifiche del CAS 1 oggetto del cambiamento qui proposto; </w:t>
      </w:r>
    </w:p>
    <w:p w:rsidR="00D53C9F" w:rsidRPr="00D2062E" w:rsidRDefault="00D53C9F" w:rsidP="00A52CAD">
      <w:pPr>
        <w:pStyle w:val="Default"/>
        <w:spacing w:after="120"/>
        <w:jc w:val="both"/>
        <w:rPr>
          <w:i/>
          <w:color w:val="auto"/>
          <w:sz w:val="22"/>
          <w:szCs w:val="22"/>
        </w:rPr>
      </w:pPr>
      <w:r w:rsidRPr="00D2062E">
        <w:rPr>
          <w:i/>
          <w:color w:val="auto"/>
          <w:sz w:val="22"/>
          <w:szCs w:val="22"/>
        </w:rPr>
        <w:t xml:space="preserve">sentita la Sezione delle risorse umane e il Gruppo di coordinamento interdipartimentale ristretto - GCIr; </w:t>
      </w:r>
    </w:p>
    <w:p w:rsidR="00D53C9F" w:rsidRPr="00D2062E" w:rsidRDefault="00D53C9F" w:rsidP="00A52CAD">
      <w:pPr>
        <w:pStyle w:val="Default"/>
        <w:jc w:val="both"/>
        <w:rPr>
          <w:i/>
          <w:color w:val="auto"/>
          <w:sz w:val="22"/>
          <w:szCs w:val="22"/>
        </w:rPr>
      </w:pPr>
      <w:r w:rsidRPr="00D2062E">
        <w:rPr>
          <w:i/>
          <w:color w:val="auto"/>
          <w:sz w:val="22"/>
          <w:szCs w:val="22"/>
        </w:rPr>
        <w:t xml:space="preserve">su proposta dell'Ufficio dello sviluppo manageriale; </w:t>
      </w:r>
    </w:p>
    <w:p w:rsidR="00D53C9F" w:rsidRPr="00D2062E" w:rsidRDefault="00D53C9F" w:rsidP="009F2A36">
      <w:pPr>
        <w:pStyle w:val="Default"/>
        <w:spacing w:before="120" w:after="120"/>
        <w:rPr>
          <w:b/>
          <w:bCs/>
          <w:i/>
          <w:color w:val="auto"/>
          <w:sz w:val="22"/>
          <w:szCs w:val="22"/>
        </w:rPr>
      </w:pPr>
      <w:r w:rsidRPr="00D2062E">
        <w:rPr>
          <w:b/>
          <w:bCs/>
          <w:i/>
          <w:color w:val="auto"/>
          <w:sz w:val="22"/>
          <w:szCs w:val="22"/>
        </w:rPr>
        <w:t xml:space="preserve">risolve: </w:t>
      </w:r>
    </w:p>
    <w:p w:rsidR="00D53C9F" w:rsidRPr="00D2062E" w:rsidRDefault="00D53C9F" w:rsidP="00A52CAD">
      <w:pPr>
        <w:spacing w:after="120"/>
        <w:rPr>
          <w:rFonts w:cs="Arial"/>
          <w:i/>
          <w:sz w:val="22"/>
        </w:rPr>
      </w:pPr>
      <w:r w:rsidRPr="00D2062E">
        <w:rPr>
          <w:rFonts w:cs="Arial"/>
          <w:i/>
          <w:sz w:val="22"/>
        </w:rPr>
        <w:t>1. Il CAS 1 è modificato come segue:</w:t>
      </w:r>
    </w:p>
    <w:p w:rsidR="00D53C9F" w:rsidRDefault="00D53C9F" w:rsidP="00D53C9F">
      <w:pPr>
        <w:rPr>
          <w:rFonts w:cs="Arial"/>
          <w:sz w:val="22"/>
        </w:rPr>
      </w:pPr>
      <w:r w:rsidRPr="00D2062E">
        <w:rPr>
          <w:rFonts w:cs="Arial"/>
          <w:sz w:val="22"/>
        </w:rPr>
        <w:t>….</w:t>
      </w:r>
    </w:p>
    <w:p w:rsidR="00A52CAD" w:rsidRPr="00D2062E" w:rsidRDefault="00A52CAD" w:rsidP="00D53C9F">
      <w:pPr>
        <w:rPr>
          <w:rFonts w:cs="Arial"/>
          <w:sz w:val="22"/>
        </w:rPr>
      </w:pPr>
    </w:p>
    <w:p w:rsidR="00D53C9F" w:rsidRPr="00D2062E" w:rsidRDefault="00D53C9F" w:rsidP="00A52CAD">
      <w:pPr>
        <w:pStyle w:val="Default"/>
        <w:jc w:val="both"/>
        <w:rPr>
          <w:b/>
          <w:i/>
          <w:color w:val="auto"/>
          <w:sz w:val="22"/>
          <w:szCs w:val="22"/>
          <w:u w:val="single"/>
        </w:rPr>
      </w:pPr>
      <w:r w:rsidRPr="009F2A36">
        <w:rPr>
          <w:b/>
          <w:i/>
          <w:color w:val="auto"/>
          <w:sz w:val="22"/>
          <w:szCs w:val="22"/>
        </w:rPr>
        <w:t xml:space="preserve">2. </w:t>
      </w:r>
      <w:r w:rsidRPr="00D2062E">
        <w:rPr>
          <w:b/>
          <w:i/>
          <w:color w:val="auto"/>
          <w:sz w:val="22"/>
          <w:szCs w:val="22"/>
          <w:u w:val="single"/>
        </w:rPr>
        <w:t xml:space="preserve">I seguenti corsi sono considerati obbligatori: </w:t>
      </w:r>
    </w:p>
    <w:p w:rsidR="00D53C9F" w:rsidRPr="00D2062E" w:rsidRDefault="00D53C9F" w:rsidP="00A52CAD">
      <w:pPr>
        <w:pStyle w:val="Default"/>
        <w:spacing w:before="60" w:after="60"/>
        <w:jc w:val="both"/>
        <w:rPr>
          <w:i/>
          <w:color w:val="auto"/>
          <w:sz w:val="22"/>
          <w:szCs w:val="22"/>
        </w:rPr>
      </w:pPr>
      <w:r w:rsidRPr="00D2062E">
        <w:rPr>
          <w:i/>
          <w:color w:val="auto"/>
          <w:sz w:val="22"/>
          <w:szCs w:val="22"/>
        </w:rPr>
        <w:t xml:space="preserve">- Diritto Amministrativo </w:t>
      </w:r>
    </w:p>
    <w:p w:rsidR="00D53C9F" w:rsidRPr="00D2062E" w:rsidRDefault="00D53C9F" w:rsidP="00A52CAD">
      <w:pPr>
        <w:pStyle w:val="Default"/>
        <w:spacing w:before="60" w:after="60"/>
        <w:jc w:val="both"/>
        <w:rPr>
          <w:i/>
          <w:color w:val="auto"/>
          <w:sz w:val="22"/>
          <w:szCs w:val="22"/>
        </w:rPr>
      </w:pPr>
      <w:r w:rsidRPr="00D2062E">
        <w:rPr>
          <w:i/>
          <w:color w:val="auto"/>
          <w:sz w:val="22"/>
          <w:szCs w:val="22"/>
        </w:rPr>
        <w:t xml:space="preserve">- Il ruolo del Funzionario Dirigente </w:t>
      </w:r>
    </w:p>
    <w:p w:rsidR="00D53C9F" w:rsidRPr="00D2062E" w:rsidRDefault="00D53C9F" w:rsidP="00A52CAD">
      <w:pPr>
        <w:pStyle w:val="Default"/>
        <w:spacing w:before="60" w:after="60"/>
        <w:jc w:val="both"/>
        <w:rPr>
          <w:b/>
          <w:i/>
          <w:color w:val="auto"/>
          <w:sz w:val="22"/>
          <w:szCs w:val="22"/>
        </w:rPr>
      </w:pPr>
      <w:r w:rsidRPr="00D2062E">
        <w:rPr>
          <w:b/>
          <w:i/>
          <w:color w:val="auto"/>
          <w:sz w:val="22"/>
          <w:szCs w:val="22"/>
        </w:rPr>
        <w:t xml:space="preserve">- Motivare e team building - Delegare </w:t>
      </w:r>
    </w:p>
    <w:p w:rsidR="00D53C9F" w:rsidRPr="00D2062E" w:rsidRDefault="00D53C9F" w:rsidP="00A52CAD">
      <w:pPr>
        <w:pStyle w:val="Default"/>
        <w:spacing w:before="60" w:after="60"/>
        <w:jc w:val="both"/>
        <w:rPr>
          <w:b/>
          <w:i/>
          <w:color w:val="auto"/>
          <w:sz w:val="22"/>
          <w:szCs w:val="22"/>
        </w:rPr>
      </w:pPr>
      <w:r w:rsidRPr="00D2062E">
        <w:rPr>
          <w:b/>
          <w:i/>
          <w:color w:val="auto"/>
          <w:sz w:val="22"/>
          <w:szCs w:val="22"/>
        </w:rPr>
        <w:t xml:space="preserve">- Procedure e normative per la gestione del personale </w:t>
      </w:r>
    </w:p>
    <w:p w:rsidR="00D53C9F" w:rsidRPr="00D2062E" w:rsidRDefault="00D53C9F" w:rsidP="00A52CAD">
      <w:pPr>
        <w:pStyle w:val="Default"/>
        <w:spacing w:before="60" w:after="60"/>
        <w:jc w:val="both"/>
        <w:rPr>
          <w:i/>
          <w:color w:val="auto"/>
          <w:sz w:val="22"/>
          <w:szCs w:val="22"/>
        </w:rPr>
      </w:pPr>
      <w:r w:rsidRPr="00D2062E">
        <w:rPr>
          <w:i/>
          <w:color w:val="auto"/>
          <w:sz w:val="22"/>
          <w:szCs w:val="22"/>
        </w:rPr>
        <w:t xml:space="preserve">- Organizzazione del lavoro base (processi e strutture) </w:t>
      </w:r>
    </w:p>
    <w:p w:rsidR="00D53C9F" w:rsidRPr="00D2062E" w:rsidRDefault="00D53C9F" w:rsidP="00A52CAD">
      <w:pPr>
        <w:pStyle w:val="Default"/>
        <w:spacing w:before="60" w:after="60"/>
        <w:jc w:val="both"/>
        <w:rPr>
          <w:i/>
          <w:color w:val="auto"/>
          <w:sz w:val="22"/>
          <w:szCs w:val="22"/>
        </w:rPr>
      </w:pPr>
      <w:r w:rsidRPr="00D2062E">
        <w:rPr>
          <w:i/>
          <w:color w:val="auto"/>
          <w:sz w:val="22"/>
          <w:szCs w:val="22"/>
        </w:rPr>
        <w:t xml:space="preserve">- Gestire una riunione efficace </w:t>
      </w:r>
    </w:p>
    <w:p w:rsidR="00D53C9F" w:rsidRPr="00D2062E" w:rsidRDefault="00D53C9F" w:rsidP="00A52CAD">
      <w:pPr>
        <w:pStyle w:val="Default"/>
        <w:spacing w:before="60" w:after="60"/>
        <w:jc w:val="both"/>
        <w:rPr>
          <w:i/>
          <w:color w:val="auto"/>
          <w:sz w:val="22"/>
          <w:szCs w:val="22"/>
        </w:rPr>
      </w:pPr>
      <w:r w:rsidRPr="00D2062E">
        <w:rPr>
          <w:i/>
          <w:color w:val="auto"/>
          <w:sz w:val="22"/>
          <w:szCs w:val="22"/>
        </w:rPr>
        <w:t xml:space="preserve">- Tecniche di presentazione e comunicazione </w:t>
      </w:r>
    </w:p>
    <w:p w:rsidR="00D53C9F" w:rsidRPr="00D2062E" w:rsidRDefault="00D53C9F" w:rsidP="00A52CAD">
      <w:pPr>
        <w:pStyle w:val="Default"/>
        <w:spacing w:before="60" w:after="60"/>
        <w:jc w:val="both"/>
        <w:rPr>
          <w:i/>
          <w:color w:val="auto"/>
          <w:sz w:val="22"/>
          <w:szCs w:val="22"/>
        </w:rPr>
      </w:pPr>
      <w:r w:rsidRPr="00D2062E">
        <w:rPr>
          <w:i/>
          <w:color w:val="auto"/>
          <w:sz w:val="22"/>
          <w:szCs w:val="22"/>
        </w:rPr>
        <w:t xml:space="preserve">- Gestione del tempo </w:t>
      </w:r>
    </w:p>
    <w:p w:rsidR="00D53C9F" w:rsidRPr="00D2062E" w:rsidRDefault="00D53C9F" w:rsidP="00A52CAD">
      <w:pPr>
        <w:pStyle w:val="Default"/>
        <w:spacing w:before="60" w:after="60"/>
        <w:jc w:val="both"/>
        <w:rPr>
          <w:i/>
          <w:color w:val="auto"/>
          <w:sz w:val="22"/>
          <w:szCs w:val="22"/>
        </w:rPr>
      </w:pPr>
      <w:r w:rsidRPr="00D2062E">
        <w:rPr>
          <w:i/>
          <w:color w:val="auto"/>
          <w:sz w:val="22"/>
          <w:szCs w:val="22"/>
        </w:rPr>
        <w:t xml:space="preserve">- Decision Making / Problem Solving </w:t>
      </w:r>
    </w:p>
    <w:p w:rsidR="00D53C9F" w:rsidRPr="00D2062E" w:rsidRDefault="00D53C9F" w:rsidP="00A52CAD">
      <w:pPr>
        <w:pStyle w:val="Default"/>
        <w:spacing w:before="60" w:after="60"/>
        <w:jc w:val="both"/>
        <w:rPr>
          <w:b/>
          <w:i/>
          <w:color w:val="auto"/>
          <w:sz w:val="22"/>
          <w:szCs w:val="22"/>
        </w:rPr>
      </w:pPr>
      <w:r w:rsidRPr="00D2062E">
        <w:rPr>
          <w:b/>
          <w:i/>
          <w:color w:val="auto"/>
          <w:sz w:val="22"/>
          <w:szCs w:val="22"/>
        </w:rPr>
        <w:t xml:space="preserve">- Mediazione e gestione di casi difficili </w:t>
      </w:r>
    </w:p>
    <w:p w:rsidR="00D53C9F" w:rsidRPr="00D2062E" w:rsidRDefault="00D53C9F" w:rsidP="00A52CAD">
      <w:pPr>
        <w:pStyle w:val="Default"/>
        <w:spacing w:before="60" w:after="60"/>
        <w:jc w:val="both"/>
        <w:rPr>
          <w:b/>
          <w:i/>
          <w:color w:val="auto"/>
          <w:sz w:val="22"/>
          <w:szCs w:val="22"/>
        </w:rPr>
      </w:pPr>
      <w:r w:rsidRPr="00D2062E">
        <w:rPr>
          <w:b/>
          <w:i/>
          <w:color w:val="auto"/>
          <w:sz w:val="22"/>
          <w:szCs w:val="22"/>
        </w:rPr>
        <w:t xml:space="preserve">- Processi di selezione e assunzione </w:t>
      </w:r>
    </w:p>
    <w:p w:rsidR="00D53C9F" w:rsidRPr="00D2062E" w:rsidRDefault="00D53C9F" w:rsidP="00A52CAD">
      <w:pPr>
        <w:pStyle w:val="Default"/>
        <w:spacing w:before="60" w:after="60"/>
        <w:jc w:val="both"/>
        <w:rPr>
          <w:b/>
          <w:i/>
          <w:color w:val="auto"/>
          <w:sz w:val="22"/>
          <w:szCs w:val="22"/>
        </w:rPr>
      </w:pPr>
      <w:r w:rsidRPr="00D2062E">
        <w:rPr>
          <w:b/>
          <w:i/>
          <w:color w:val="auto"/>
          <w:sz w:val="22"/>
          <w:szCs w:val="22"/>
        </w:rPr>
        <w:t xml:space="preserve">- Valutazione del personale </w:t>
      </w:r>
    </w:p>
    <w:p w:rsidR="00D53C9F" w:rsidRPr="00D2062E" w:rsidRDefault="00D53C9F" w:rsidP="00A52CAD">
      <w:pPr>
        <w:pStyle w:val="Default"/>
        <w:spacing w:before="60" w:after="60"/>
        <w:jc w:val="both"/>
        <w:rPr>
          <w:i/>
          <w:color w:val="auto"/>
          <w:sz w:val="22"/>
          <w:szCs w:val="22"/>
        </w:rPr>
      </w:pPr>
      <w:r w:rsidRPr="00D2062E">
        <w:rPr>
          <w:i/>
          <w:color w:val="auto"/>
          <w:sz w:val="22"/>
          <w:szCs w:val="22"/>
        </w:rPr>
        <w:t xml:space="preserve">- Gestione dei rischi </w:t>
      </w:r>
    </w:p>
    <w:p w:rsidR="00D53C9F" w:rsidRPr="00D2062E" w:rsidRDefault="00D53C9F" w:rsidP="00A52CAD">
      <w:pPr>
        <w:pStyle w:val="Default"/>
        <w:spacing w:before="60" w:after="60"/>
        <w:jc w:val="both"/>
        <w:rPr>
          <w:i/>
          <w:color w:val="auto"/>
          <w:sz w:val="22"/>
          <w:szCs w:val="22"/>
        </w:rPr>
      </w:pPr>
      <w:r w:rsidRPr="00D2062E">
        <w:rPr>
          <w:i/>
          <w:color w:val="auto"/>
          <w:sz w:val="22"/>
          <w:szCs w:val="22"/>
        </w:rPr>
        <w:t xml:space="preserve">- Gestione finanziaria dello Stato </w:t>
      </w:r>
    </w:p>
    <w:p w:rsidR="00D53C9F" w:rsidRPr="00D2062E" w:rsidRDefault="00D53C9F" w:rsidP="00D53C9F">
      <w:pPr>
        <w:pStyle w:val="Default"/>
        <w:rPr>
          <w:i/>
          <w:color w:val="auto"/>
          <w:sz w:val="22"/>
          <w:szCs w:val="22"/>
        </w:rPr>
      </w:pPr>
    </w:p>
    <w:p w:rsidR="00D53C9F" w:rsidRPr="00D2062E" w:rsidRDefault="00D53C9F" w:rsidP="00D53C9F">
      <w:pPr>
        <w:rPr>
          <w:rFonts w:cs="Arial"/>
          <w:i/>
          <w:sz w:val="22"/>
        </w:rPr>
      </w:pPr>
      <w:r w:rsidRPr="00D2062E">
        <w:rPr>
          <w:rFonts w:cs="Arial"/>
          <w:i/>
          <w:sz w:val="22"/>
        </w:rPr>
        <w:t>3. Questi cambiamenti entreranno in vigore il 1. Gennaio 2019.</w:t>
      </w:r>
    </w:p>
    <w:p w:rsidR="00D53C9F" w:rsidRDefault="00D53C9F" w:rsidP="00D53C9F"/>
    <w:p w:rsidR="00D53C9F" w:rsidRDefault="00D53C9F" w:rsidP="00D53C9F"/>
    <w:p w:rsidR="00D2062E" w:rsidRDefault="00D2062E" w:rsidP="00D53C9F"/>
    <w:p w:rsidR="00D53C9F" w:rsidRPr="00D53C9F" w:rsidRDefault="00D53C9F" w:rsidP="00D2062E">
      <w:pPr>
        <w:pStyle w:val="Titolo1"/>
      </w:pPr>
      <w:r w:rsidRPr="00D53C9F">
        <w:t xml:space="preserve">Conclusione </w:t>
      </w:r>
    </w:p>
    <w:p w:rsidR="00D53C9F" w:rsidRDefault="00D53C9F" w:rsidP="00D53C9F">
      <w:pPr>
        <w:spacing w:before="120"/>
        <w:rPr>
          <w:rFonts w:cs="Arial"/>
          <w:szCs w:val="24"/>
        </w:rPr>
      </w:pPr>
      <w:r w:rsidRPr="00D53C9F">
        <w:rPr>
          <w:rFonts w:cs="Arial"/>
          <w:szCs w:val="24"/>
        </w:rPr>
        <w:t>La mozione ha permesso al parlamento di approfondire un aspetto importante della gestione del personale dell’amministrazione cantonale quale il tema delle assenze per malattia e per infortuni. Il messaggio in esame permette di meglio conoscere la situazione presentando con grande trasparenza e dovizia di particolari la situazione in essere e l’evoluzione conosciuta negli ultimi anni.</w:t>
      </w:r>
    </w:p>
    <w:p w:rsidR="00D2062E" w:rsidRPr="00D53C9F" w:rsidRDefault="00D2062E" w:rsidP="007078C4">
      <w:pPr>
        <w:rPr>
          <w:rFonts w:cs="Arial"/>
          <w:szCs w:val="24"/>
        </w:rPr>
      </w:pPr>
    </w:p>
    <w:p w:rsidR="00D53C9F" w:rsidRDefault="00D53C9F" w:rsidP="00D53C9F">
      <w:pPr>
        <w:rPr>
          <w:rFonts w:cs="Arial"/>
          <w:szCs w:val="24"/>
        </w:rPr>
      </w:pPr>
      <w:r w:rsidRPr="00D53C9F">
        <w:rPr>
          <w:rFonts w:cs="Arial"/>
          <w:szCs w:val="24"/>
        </w:rPr>
        <w:lastRenderedPageBreak/>
        <w:t xml:space="preserve">Queste valutazioni permettono di concludere che esiste un preciso monitoraggio della tematica, che il processo della gestione dei casi è definito e accompagnato da servizi competenti e che sussistono le premesse legali e l’offerta formativa adeguata per la corretta gestione delle risorse umane e in particolare della questione delle assenze per malattia. </w:t>
      </w:r>
    </w:p>
    <w:p w:rsidR="00D2062E" w:rsidRPr="00D53C9F" w:rsidRDefault="00D2062E" w:rsidP="00D53C9F">
      <w:pPr>
        <w:rPr>
          <w:rFonts w:cs="Arial"/>
          <w:szCs w:val="24"/>
        </w:rPr>
      </w:pPr>
    </w:p>
    <w:p w:rsidR="00D53C9F" w:rsidRPr="00D2062E" w:rsidRDefault="00D53C9F" w:rsidP="00D53C9F">
      <w:pPr>
        <w:rPr>
          <w:rFonts w:cs="Arial"/>
          <w:color w:val="000000" w:themeColor="text1"/>
          <w:szCs w:val="24"/>
        </w:rPr>
      </w:pPr>
      <w:r w:rsidRPr="00D2062E">
        <w:rPr>
          <w:rFonts w:cs="Arial"/>
          <w:color w:val="000000" w:themeColor="text1"/>
          <w:szCs w:val="24"/>
        </w:rPr>
        <w:t>Le riflessioni commissionali portano a sottolineare come il monitoraggio costante di questo parametro sia importante per individuare even</w:t>
      </w:r>
      <w:r w:rsidR="00D2062E" w:rsidRPr="00D2062E">
        <w:rPr>
          <w:rFonts w:cs="Arial"/>
          <w:color w:val="000000" w:themeColor="text1"/>
          <w:szCs w:val="24"/>
        </w:rPr>
        <w:t xml:space="preserve">tuali situazioni problematiche, </w:t>
      </w:r>
      <w:r w:rsidRPr="00D2062E">
        <w:rPr>
          <w:rFonts w:cs="Arial"/>
          <w:color w:val="000000" w:themeColor="text1"/>
          <w:szCs w:val="24"/>
        </w:rPr>
        <w:t xml:space="preserve">come affermato dallo stesso Consiglio di Stato. </w:t>
      </w:r>
    </w:p>
    <w:p w:rsidR="00D2062E" w:rsidRPr="00D2062E" w:rsidRDefault="00D2062E" w:rsidP="00D53C9F">
      <w:pPr>
        <w:rPr>
          <w:rFonts w:cs="Arial"/>
          <w:color w:val="000000" w:themeColor="text1"/>
          <w:szCs w:val="24"/>
        </w:rPr>
      </w:pPr>
    </w:p>
    <w:p w:rsidR="00D53C9F" w:rsidRPr="00D2062E" w:rsidRDefault="00D53C9F" w:rsidP="00D53C9F">
      <w:pPr>
        <w:rPr>
          <w:rFonts w:cs="Arial"/>
          <w:color w:val="000000" w:themeColor="text1"/>
          <w:szCs w:val="24"/>
        </w:rPr>
      </w:pPr>
      <w:r w:rsidRPr="00D2062E">
        <w:rPr>
          <w:rFonts w:cs="Arial"/>
          <w:color w:val="000000" w:themeColor="text1"/>
          <w:szCs w:val="24"/>
        </w:rPr>
        <w:t>Se dal punto di vista macro non sembrerebbero emergere criticità particolari, è pur vero che nei singoli uffici e servizi una percentuale di assenze rilevanti potrebbe fare emergere situazioni particolari da correggere. Per questo motivo la Commissione auspica la pubblicazione nell’allegato statistico delle tabelle normalizzate con le indicazioni delle assenze in relazione al numero di personale impiegato.</w:t>
      </w:r>
    </w:p>
    <w:p w:rsidR="00D2062E" w:rsidRPr="00D2062E" w:rsidRDefault="00D2062E" w:rsidP="00D53C9F">
      <w:pPr>
        <w:rPr>
          <w:rFonts w:cs="Arial"/>
          <w:color w:val="000000" w:themeColor="text1"/>
          <w:szCs w:val="24"/>
        </w:rPr>
      </w:pPr>
    </w:p>
    <w:p w:rsidR="00D53C9F" w:rsidRPr="00D2062E" w:rsidRDefault="00D53C9F" w:rsidP="00D53C9F">
      <w:pPr>
        <w:rPr>
          <w:rFonts w:cs="Arial"/>
          <w:color w:val="000000" w:themeColor="text1"/>
          <w:szCs w:val="24"/>
        </w:rPr>
      </w:pPr>
      <w:r w:rsidRPr="00D2062E">
        <w:rPr>
          <w:rFonts w:cs="Arial"/>
          <w:color w:val="000000" w:themeColor="text1"/>
          <w:szCs w:val="24"/>
        </w:rPr>
        <w:t xml:space="preserve">Una corretta gestione delle risorse umane, quindi delle donne e degli uomini che lavorano dell’Amministrazione cantonale, è la premessa fondamentale e indispensabile per attuare i principi di efficacia ed efficienza da tutti auspicati e sottolineati quali principi anche nella stessa LORD. </w:t>
      </w:r>
    </w:p>
    <w:p w:rsidR="00D2062E" w:rsidRPr="00D2062E" w:rsidRDefault="00D2062E" w:rsidP="00D53C9F">
      <w:pPr>
        <w:rPr>
          <w:rFonts w:cs="Arial"/>
          <w:color w:val="000000" w:themeColor="text1"/>
          <w:szCs w:val="24"/>
        </w:rPr>
      </w:pPr>
    </w:p>
    <w:p w:rsidR="00A52CAD" w:rsidRDefault="00D53C9F" w:rsidP="00D53C9F">
      <w:pPr>
        <w:rPr>
          <w:rFonts w:cs="Arial"/>
          <w:color w:val="000000" w:themeColor="text1"/>
          <w:szCs w:val="24"/>
        </w:rPr>
      </w:pPr>
      <w:r w:rsidRPr="00D2062E">
        <w:rPr>
          <w:rFonts w:cs="Arial"/>
          <w:color w:val="000000" w:themeColor="text1"/>
          <w:szCs w:val="24"/>
        </w:rPr>
        <w:t xml:space="preserve">Una responsabilità che ricade sul Consiglio di Stato e in particolare sui funzionari dirigenti a cui la LORD affida la responsabilità della definizione di obiettivi e la valutazione dei risultati ottenuti. Un approccio che richiede un’adeguata formazione da parte dei quadri come sostenuto anche dallo stesso Consiglio di Stato (cap. 5.3). Solo con queste premesse sarà possibile il costante miglioramento della “cultura aziendale” </w:t>
      </w:r>
      <w:r w:rsidR="00A52CAD">
        <w:rPr>
          <w:rFonts w:cs="Arial"/>
          <w:color w:val="000000" w:themeColor="text1"/>
          <w:szCs w:val="24"/>
        </w:rPr>
        <w:t>dell’A</w:t>
      </w:r>
      <w:r w:rsidRPr="00D2062E">
        <w:rPr>
          <w:rFonts w:cs="Arial"/>
          <w:color w:val="000000" w:themeColor="text1"/>
          <w:szCs w:val="24"/>
        </w:rPr>
        <w:t>mministrazione cantonale a favore di un miglior servizio della qualità del servizio pubblico verso i cittadini e di una gestione parsimoniosa e oculata delle risorse pubbliche.</w:t>
      </w:r>
    </w:p>
    <w:p w:rsidR="00C74328" w:rsidRDefault="00C74328" w:rsidP="00D53C9F">
      <w:pPr>
        <w:rPr>
          <w:rFonts w:cs="Arial"/>
          <w:color w:val="000000" w:themeColor="text1"/>
          <w:szCs w:val="24"/>
        </w:rPr>
      </w:pPr>
    </w:p>
    <w:p w:rsidR="00C74328" w:rsidRDefault="00C74328" w:rsidP="00D53C9F">
      <w:pPr>
        <w:rPr>
          <w:rFonts w:cs="Arial"/>
          <w:color w:val="000000" w:themeColor="text1"/>
          <w:szCs w:val="24"/>
        </w:rPr>
      </w:pPr>
    </w:p>
    <w:p w:rsidR="00D53C9F" w:rsidRPr="00D2062E" w:rsidRDefault="00D53C9F" w:rsidP="00D53C9F">
      <w:pPr>
        <w:rPr>
          <w:rFonts w:cs="Arial"/>
          <w:color w:val="000000" w:themeColor="text1"/>
          <w:szCs w:val="24"/>
        </w:rPr>
      </w:pPr>
      <w:r w:rsidRPr="00D2062E">
        <w:rPr>
          <w:rFonts w:cs="Arial"/>
          <w:color w:val="000000" w:themeColor="text1"/>
          <w:szCs w:val="24"/>
        </w:rPr>
        <w:t xml:space="preserve">Tenendo conto di quanto precede la Commissione gestione </w:t>
      </w:r>
      <w:r w:rsidR="00A52CAD">
        <w:rPr>
          <w:rFonts w:cs="Arial"/>
          <w:color w:val="000000" w:themeColor="text1"/>
          <w:szCs w:val="24"/>
        </w:rPr>
        <w:t xml:space="preserve">e </w:t>
      </w:r>
      <w:r w:rsidRPr="00D2062E">
        <w:rPr>
          <w:rFonts w:cs="Arial"/>
          <w:color w:val="000000" w:themeColor="text1"/>
          <w:szCs w:val="24"/>
        </w:rPr>
        <w:t xml:space="preserve">finanze propone al Gran Consiglio di approvare il messaggio </w:t>
      </w:r>
      <w:r w:rsidR="00C61A00" w:rsidRPr="00C61A00">
        <w:rPr>
          <w:rFonts w:cs="Arial"/>
          <w:color w:val="000000" w:themeColor="text1"/>
          <w:szCs w:val="24"/>
        </w:rPr>
        <w:t>governativo che ritiene evasa la mozione</w:t>
      </w:r>
      <w:r w:rsidR="00C61A00">
        <w:rPr>
          <w:rFonts w:cs="Arial"/>
          <w:color w:val="000000" w:themeColor="text1"/>
          <w:szCs w:val="24"/>
        </w:rPr>
        <w:t>.</w:t>
      </w:r>
    </w:p>
    <w:p w:rsidR="00D53C9F" w:rsidRPr="00D53C9F" w:rsidRDefault="00D53C9F" w:rsidP="00D53C9F">
      <w:pPr>
        <w:rPr>
          <w:rFonts w:cs="Arial"/>
          <w:szCs w:val="24"/>
        </w:rPr>
      </w:pPr>
    </w:p>
    <w:p w:rsidR="00D53C9F" w:rsidRDefault="00D53C9F" w:rsidP="00D53C9F">
      <w:pPr>
        <w:rPr>
          <w:rFonts w:cs="Arial"/>
          <w:szCs w:val="24"/>
        </w:rPr>
      </w:pPr>
    </w:p>
    <w:p w:rsidR="00A52CAD" w:rsidRPr="00D53C9F" w:rsidRDefault="00A52CAD" w:rsidP="00D53C9F">
      <w:pPr>
        <w:rPr>
          <w:rFonts w:cs="Arial"/>
          <w:szCs w:val="24"/>
        </w:rPr>
      </w:pPr>
    </w:p>
    <w:p w:rsidR="008472B7" w:rsidRPr="008472B7" w:rsidRDefault="008472B7" w:rsidP="000F1381">
      <w:pPr>
        <w:spacing w:after="120"/>
        <w:rPr>
          <w:rFonts w:cs="Arial"/>
          <w:szCs w:val="24"/>
        </w:rPr>
      </w:pPr>
      <w:r w:rsidRPr="008472B7">
        <w:rPr>
          <w:rFonts w:cs="Arial"/>
          <w:szCs w:val="24"/>
        </w:rPr>
        <w:t xml:space="preserve">Per </w:t>
      </w:r>
      <w:smartTag w:uri="urn:schemas-microsoft-com:office:smarttags" w:element="PersonName">
        <w:smartTagPr>
          <w:attr w:name="ProductID" w:val="la Commissione"/>
        </w:smartTagPr>
        <w:r w:rsidRPr="008472B7">
          <w:rPr>
            <w:rFonts w:cs="Arial"/>
            <w:szCs w:val="24"/>
          </w:rPr>
          <w:t>la Commissione</w:t>
        </w:r>
      </w:smartTag>
      <w:r w:rsidRPr="008472B7">
        <w:rPr>
          <w:rFonts w:cs="Arial"/>
          <w:szCs w:val="24"/>
        </w:rPr>
        <w:t xml:space="preserve"> gestione e finanze:</w:t>
      </w:r>
    </w:p>
    <w:p w:rsidR="008472B7" w:rsidRPr="008472B7" w:rsidRDefault="008472B7" w:rsidP="008472B7">
      <w:pPr>
        <w:rPr>
          <w:rFonts w:cs="Arial"/>
          <w:szCs w:val="24"/>
        </w:rPr>
      </w:pPr>
      <w:r>
        <w:rPr>
          <w:rFonts w:cs="Arial"/>
          <w:szCs w:val="24"/>
        </w:rPr>
        <w:t>Bixio Caprara</w:t>
      </w:r>
      <w:r w:rsidRPr="008472B7">
        <w:rPr>
          <w:rFonts w:cs="Arial"/>
          <w:szCs w:val="24"/>
        </w:rPr>
        <w:t>, relatore</w:t>
      </w:r>
    </w:p>
    <w:p w:rsidR="000654A3" w:rsidRDefault="000654A3" w:rsidP="000654A3">
      <w:pPr>
        <w:rPr>
          <w:rFonts w:cs="Arial"/>
        </w:rPr>
      </w:pPr>
      <w:bookmarkStart w:id="3" w:name="OLE_LINK1"/>
      <w:bookmarkStart w:id="4" w:name="OLE_LINK2"/>
      <w:r>
        <w:rPr>
          <w:rFonts w:cs="Arial"/>
        </w:rPr>
        <w:t xml:space="preserve">Agustoni - Bang - Bignasca - Biscossa - Bourgoin - </w:t>
      </w:r>
    </w:p>
    <w:p w:rsidR="000654A3" w:rsidRDefault="000654A3" w:rsidP="000654A3">
      <w:pPr>
        <w:rPr>
          <w:rFonts w:cs="Arial"/>
        </w:rPr>
      </w:pPr>
      <w:r>
        <w:rPr>
          <w:rFonts w:cs="Arial"/>
        </w:rPr>
        <w:t xml:space="preserve">Dadò - Durisch - Ferrara </w:t>
      </w:r>
      <w:r w:rsidRPr="00FD2C39">
        <w:rPr>
          <w:rFonts w:cs="Arial"/>
        </w:rPr>
        <w:t>- Foletti</w:t>
      </w:r>
      <w:r>
        <w:rPr>
          <w:rFonts w:cs="Arial"/>
        </w:rPr>
        <w:t xml:space="preserve"> - Gianella Alessandra - </w:t>
      </w:r>
    </w:p>
    <w:p w:rsidR="000654A3" w:rsidRDefault="000654A3" w:rsidP="000654A3">
      <w:pPr>
        <w:rPr>
          <w:rFonts w:cs="Arial"/>
        </w:rPr>
      </w:pPr>
      <w:r>
        <w:rPr>
          <w:rFonts w:cs="Arial"/>
        </w:rPr>
        <w:t>Guerra - Jelmini - Pamini - Pini - Quadranti</w:t>
      </w:r>
    </w:p>
    <w:bookmarkEnd w:id="3"/>
    <w:bookmarkEnd w:id="4"/>
    <w:p w:rsidR="006E4AE2" w:rsidRPr="00D53C9F" w:rsidRDefault="006E4AE2" w:rsidP="00B860C2">
      <w:pPr>
        <w:rPr>
          <w:rFonts w:cs="Arial"/>
          <w:szCs w:val="24"/>
        </w:rPr>
      </w:pPr>
    </w:p>
    <w:sectPr w:rsidR="006E4AE2" w:rsidRPr="00D53C9F" w:rsidSect="008B4137">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A36" w:rsidRDefault="009F2A36" w:rsidP="008E77C6">
      <w:r>
        <w:separator/>
      </w:r>
    </w:p>
  </w:endnote>
  <w:endnote w:type="continuationSeparator" w:id="0">
    <w:p w:rsidR="009F2A36" w:rsidRDefault="009F2A3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A36" w:rsidRPr="008E77C6" w:rsidRDefault="009F2A3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AB5DD3" w:rsidRPr="00AB5DD3">
      <w:rPr>
        <w:noProof/>
        <w:sz w:val="20"/>
        <w:szCs w:val="20"/>
        <w:lang w:val="it-IT"/>
      </w:rPr>
      <w:t>1</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A36" w:rsidRDefault="009F2A36" w:rsidP="008E77C6">
      <w:r>
        <w:separator/>
      </w:r>
    </w:p>
  </w:footnote>
  <w:footnote w:type="continuationSeparator" w:id="0">
    <w:p w:rsidR="009F2A36" w:rsidRDefault="009F2A36" w:rsidP="008E77C6">
      <w:r>
        <w:continuationSeparator/>
      </w:r>
    </w:p>
  </w:footnote>
  <w:footnote w:id="1">
    <w:p w:rsidR="009F2A36" w:rsidRPr="00B04441" w:rsidRDefault="009F2A36" w:rsidP="00D53C9F">
      <w:pPr>
        <w:pStyle w:val="Testonotaapidipagina"/>
        <w:rPr>
          <w:rFonts w:cs="Arial"/>
          <w:sz w:val="18"/>
          <w:szCs w:val="18"/>
        </w:rPr>
      </w:pPr>
      <w:r w:rsidRPr="00B04441">
        <w:rPr>
          <w:rStyle w:val="Rimandonotaapidipagina"/>
          <w:rFonts w:cs="Arial"/>
          <w:sz w:val="18"/>
          <w:szCs w:val="18"/>
        </w:rPr>
        <w:footnoteRef/>
      </w:r>
      <w:r w:rsidRPr="00B04441">
        <w:rPr>
          <w:rFonts w:cs="Arial"/>
          <w:sz w:val="18"/>
          <w:szCs w:val="18"/>
        </w:rPr>
        <w:t xml:space="preserve"> </w:t>
      </w:r>
      <w:hyperlink r:id="rId1" w:history="1">
        <w:r w:rsidRPr="00B04441">
          <w:rPr>
            <w:rStyle w:val="Collegamentoipertestuale"/>
            <w:rFonts w:cs="Arial"/>
            <w:sz w:val="18"/>
            <w:szCs w:val="18"/>
          </w:rPr>
          <w:t>www.admin.ch/opc/it/classified-compilation/20012210/</w:t>
        </w:r>
      </w:hyperlink>
    </w:p>
  </w:footnote>
  <w:footnote w:id="2">
    <w:p w:rsidR="009F2A36" w:rsidRPr="00F85304" w:rsidRDefault="009F2A36" w:rsidP="00D53C9F">
      <w:pPr>
        <w:pStyle w:val="Testonotaapidipagina"/>
        <w:rPr>
          <w:rFonts w:cs="Arial"/>
          <w:sz w:val="18"/>
          <w:szCs w:val="18"/>
          <w:lang w:val="de-CH"/>
        </w:rPr>
      </w:pPr>
      <w:r w:rsidRPr="00B04441">
        <w:rPr>
          <w:rStyle w:val="Rimandonotaapidipagina"/>
          <w:rFonts w:cs="Arial"/>
          <w:sz w:val="18"/>
          <w:szCs w:val="18"/>
        </w:rPr>
        <w:footnoteRef/>
      </w:r>
      <w:r w:rsidRPr="00F85304">
        <w:rPr>
          <w:rFonts w:cs="Arial"/>
          <w:sz w:val="18"/>
          <w:szCs w:val="18"/>
          <w:vertAlign w:val="superscript"/>
          <w:lang w:val="de-CH"/>
        </w:rPr>
        <w:t xml:space="preserve"> </w:t>
      </w:r>
      <w:hyperlink r:id="rId2" w:history="1">
        <w:r w:rsidRPr="00F85304">
          <w:rPr>
            <w:rStyle w:val="Collegamentoipertestuale"/>
            <w:rFonts w:cs="Arial"/>
            <w:sz w:val="18"/>
            <w:szCs w:val="18"/>
            <w:lang w:val="de-CH"/>
          </w:rPr>
          <w:t>www.ti.ch/rendicontocds</w:t>
        </w:r>
      </w:hyperlink>
    </w:p>
  </w:footnote>
  <w:footnote w:id="3">
    <w:p w:rsidR="009F2A36" w:rsidRPr="00F85304" w:rsidRDefault="009F2A36" w:rsidP="00D53C9F">
      <w:pPr>
        <w:pStyle w:val="Testonotaapidipagina"/>
        <w:rPr>
          <w:lang w:val="de-CH"/>
        </w:rPr>
      </w:pPr>
      <w:r w:rsidRPr="004D293E">
        <w:rPr>
          <w:rStyle w:val="Rimandonotaapidipagina"/>
        </w:rPr>
        <w:footnoteRef/>
      </w:r>
      <w:r w:rsidRPr="00F85304">
        <w:rPr>
          <w:lang w:val="de-CH"/>
        </w:rPr>
        <w:t xml:space="preserve"> BKK Gesundheitsreport 2019: Arbeitsunfähigkeit oeffentliche Verwaltung</w:t>
      </w:r>
    </w:p>
  </w:footnote>
  <w:footnote w:id="4">
    <w:p w:rsidR="009F2A36" w:rsidRPr="00F85304" w:rsidRDefault="009F2A36" w:rsidP="009F2A36">
      <w:pPr>
        <w:pStyle w:val="Testonotaapidipagina"/>
        <w:jc w:val="left"/>
        <w:rPr>
          <w:lang w:val="de-CH"/>
        </w:rPr>
      </w:pPr>
      <w:r w:rsidRPr="004D293E">
        <w:rPr>
          <w:rStyle w:val="Rimandonotaapidipagina"/>
        </w:rPr>
        <w:footnoteRef/>
      </w:r>
      <w:r w:rsidRPr="00F85304">
        <w:rPr>
          <w:lang w:val="de-CH"/>
        </w:rPr>
        <w:t xml:space="preserve"> Gesundheitsmanagement und Fehlzeiten 2019 im Bundesdienst: Arbeitsunfähigkeit Beamte im Bundesdienst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50C5E8C"/>
    <w:multiLevelType w:val="hybridMultilevel"/>
    <w:tmpl w:val="511C1F38"/>
    <w:lvl w:ilvl="0" w:tplc="1D2C7080">
      <w:numFmt w:val="bullet"/>
      <w:lvlText w:val="-"/>
      <w:lvlJc w:val="left"/>
      <w:pPr>
        <w:ind w:left="720" w:hanging="360"/>
      </w:pPr>
      <w:rPr>
        <w:rFonts w:ascii="Times New Roman" w:eastAsiaTheme="minorHAnsi" w:hAnsi="Times New Roman"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0AA638F0"/>
    <w:multiLevelType w:val="hybridMultilevel"/>
    <w:tmpl w:val="344A4A44"/>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15:restartNumberingAfterBreak="0">
    <w:nsid w:val="0D355C0C"/>
    <w:multiLevelType w:val="multilevel"/>
    <w:tmpl w:val="D8A4B10E"/>
    <w:lvl w:ilvl="0">
      <w:start w:val="1"/>
      <w:numFmt w:val="decimal"/>
      <w:pStyle w:val="Titolo1"/>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06D5C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EA3FF1"/>
    <w:multiLevelType w:val="hybridMultilevel"/>
    <w:tmpl w:val="B1548CA6"/>
    <w:lvl w:ilvl="0" w:tplc="B9162B84">
      <w:start w:val="13"/>
      <w:numFmt w:val="bullet"/>
      <w:lvlText w:val="-"/>
      <w:lvlJc w:val="left"/>
      <w:pPr>
        <w:ind w:left="1778" w:hanging="360"/>
      </w:pPr>
      <w:rPr>
        <w:rFonts w:ascii="Arial" w:eastAsia="Times New Roman" w:hAnsi="Arial" w:cs="Arial" w:hint="default"/>
      </w:rPr>
    </w:lvl>
    <w:lvl w:ilvl="1" w:tplc="08100003" w:tentative="1">
      <w:start w:val="1"/>
      <w:numFmt w:val="bullet"/>
      <w:lvlText w:val="o"/>
      <w:lvlJc w:val="left"/>
      <w:pPr>
        <w:ind w:left="2498" w:hanging="360"/>
      </w:pPr>
      <w:rPr>
        <w:rFonts w:ascii="Courier New" w:hAnsi="Courier New" w:cs="Courier New" w:hint="default"/>
      </w:rPr>
    </w:lvl>
    <w:lvl w:ilvl="2" w:tplc="08100005" w:tentative="1">
      <w:start w:val="1"/>
      <w:numFmt w:val="bullet"/>
      <w:lvlText w:val=""/>
      <w:lvlJc w:val="left"/>
      <w:pPr>
        <w:ind w:left="3218" w:hanging="360"/>
      </w:pPr>
      <w:rPr>
        <w:rFonts w:ascii="Wingdings" w:hAnsi="Wingdings" w:hint="default"/>
      </w:rPr>
    </w:lvl>
    <w:lvl w:ilvl="3" w:tplc="08100001" w:tentative="1">
      <w:start w:val="1"/>
      <w:numFmt w:val="bullet"/>
      <w:lvlText w:val=""/>
      <w:lvlJc w:val="left"/>
      <w:pPr>
        <w:ind w:left="3938" w:hanging="360"/>
      </w:pPr>
      <w:rPr>
        <w:rFonts w:ascii="Symbol" w:hAnsi="Symbol" w:hint="default"/>
      </w:rPr>
    </w:lvl>
    <w:lvl w:ilvl="4" w:tplc="08100003" w:tentative="1">
      <w:start w:val="1"/>
      <w:numFmt w:val="bullet"/>
      <w:lvlText w:val="o"/>
      <w:lvlJc w:val="left"/>
      <w:pPr>
        <w:ind w:left="4658" w:hanging="360"/>
      </w:pPr>
      <w:rPr>
        <w:rFonts w:ascii="Courier New" w:hAnsi="Courier New" w:cs="Courier New" w:hint="default"/>
      </w:rPr>
    </w:lvl>
    <w:lvl w:ilvl="5" w:tplc="08100005" w:tentative="1">
      <w:start w:val="1"/>
      <w:numFmt w:val="bullet"/>
      <w:lvlText w:val=""/>
      <w:lvlJc w:val="left"/>
      <w:pPr>
        <w:ind w:left="5378" w:hanging="360"/>
      </w:pPr>
      <w:rPr>
        <w:rFonts w:ascii="Wingdings" w:hAnsi="Wingdings" w:hint="default"/>
      </w:rPr>
    </w:lvl>
    <w:lvl w:ilvl="6" w:tplc="08100001" w:tentative="1">
      <w:start w:val="1"/>
      <w:numFmt w:val="bullet"/>
      <w:lvlText w:val=""/>
      <w:lvlJc w:val="left"/>
      <w:pPr>
        <w:ind w:left="6098" w:hanging="360"/>
      </w:pPr>
      <w:rPr>
        <w:rFonts w:ascii="Symbol" w:hAnsi="Symbol" w:hint="default"/>
      </w:rPr>
    </w:lvl>
    <w:lvl w:ilvl="7" w:tplc="08100003" w:tentative="1">
      <w:start w:val="1"/>
      <w:numFmt w:val="bullet"/>
      <w:lvlText w:val="o"/>
      <w:lvlJc w:val="left"/>
      <w:pPr>
        <w:ind w:left="6818" w:hanging="360"/>
      </w:pPr>
      <w:rPr>
        <w:rFonts w:ascii="Courier New" w:hAnsi="Courier New" w:cs="Courier New" w:hint="default"/>
      </w:rPr>
    </w:lvl>
    <w:lvl w:ilvl="8" w:tplc="08100005" w:tentative="1">
      <w:start w:val="1"/>
      <w:numFmt w:val="bullet"/>
      <w:lvlText w:val=""/>
      <w:lvlJc w:val="left"/>
      <w:pPr>
        <w:ind w:left="7538" w:hanging="360"/>
      </w:pPr>
      <w:rPr>
        <w:rFonts w:ascii="Wingdings" w:hAnsi="Wingdings" w:hint="default"/>
      </w:rPr>
    </w:lvl>
  </w:abstractNum>
  <w:abstractNum w:abstractNumId="6" w15:restartNumberingAfterBreak="0">
    <w:nsid w:val="149E2312"/>
    <w:multiLevelType w:val="hybridMultilevel"/>
    <w:tmpl w:val="3342E838"/>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37132362"/>
    <w:multiLevelType w:val="hybridMultilevel"/>
    <w:tmpl w:val="ECA2C674"/>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EC67296"/>
    <w:multiLevelType w:val="hybridMultilevel"/>
    <w:tmpl w:val="4CBE6624"/>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53DB2E65"/>
    <w:multiLevelType w:val="hybridMultilevel"/>
    <w:tmpl w:val="15CA3CCE"/>
    <w:lvl w:ilvl="0" w:tplc="8988A65E">
      <w:start w:val="1"/>
      <w:numFmt w:val="bullet"/>
      <w:lvlText w:val="-"/>
      <w:lvlJc w:val="left"/>
      <w:pPr>
        <w:ind w:left="360" w:hanging="360"/>
      </w:pPr>
      <w:rPr>
        <w:rFonts w:ascii="Arial" w:hAnsi="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3"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BD36B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8"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6"/>
  </w:num>
  <w:num w:numId="2">
    <w:abstractNumId w:val="16"/>
  </w:num>
  <w:num w:numId="3">
    <w:abstractNumId w:val="18"/>
  </w:num>
  <w:num w:numId="4">
    <w:abstractNumId w:val="3"/>
  </w:num>
  <w:num w:numId="5">
    <w:abstractNumId w:val="11"/>
  </w:num>
  <w:num w:numId="6">
    <w:abstractNumId w:val="0"/>
  </w:num>
  <w:num w:numId="7">
    <w:abstractNumId w:val="17"/>
  </w:num>
  <w:num w:numId="8">
    <w:abstractNumId w:val="7"/>
  </w:num>
  <w:num w:numId="9">
    <w:abstractNumId w:val="15"/>
  </w:num>
  <w:num w:numId="10">
    <w:abstractNumId w:val="13"/>
  </w:num>
  <w:num w:numId="11">
    <w:abstractNumId w:val="8"/>
  </w:num>
  <w:num w:numId="12">
    <w:abstractNumId w:val="14"/>
  </w:num>
  <w:num w:numId="13">
    <w:abstractNumId w:val="9"/>
  </w:num>
  <w:num w:numId="14">
    <w:abstractNumId w:val="4"/>
  </w:num>
  <w:num w:numId="15">
    <w:abstractNumId w:val="12"/>
  </w:num>
  <w:num w:numId="16">
    <w:abstractNumId w:val="1"/>
  </w:num>
  <w:num w:numId="17">
    <w:abstractNumId w:val="6"/>
  </w:num>
  <w:num w:numId="18">
    <w:abstractNumId w:val="5"/>
  </w:num>
  <w:num w:numId="19">
    <w:abstractNumId w:val="2"/>
  </w:num>
  <w:num w:numId="20">
    <w:abstractNumId w:val="10"/>
  </w:num>
  <w:num w:numId="21">
    <w:abstractNumId w:val="3"/>
    <w:lvlOverride w:ilvl="0">
      <w:startOverride w:val="5"/>
    </w:lvlOverride>
    <w:lvlOverride w:ilvl="1">
      <w:startOverride w:val="2"/>
    </w:lvlOverride>
    <w:lvlOverride w:ilvl="2">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9F"/>
    <w:rsid w:val="000654A3"/>
    <w:rsid w:val="00076E70"/>
    <w:rsid w:val="000972AA"/>
    <w:rsid w:val="000F1381"/>
    <w:rsid w:val="001574D7"/>
    <w:rsid w:val="00260C8C"/>
    <w:rsid w:val="002677DC"/>
    <w:rsid w:val="002E5E40"/>
    <w:rsid w:val="003F7BF1"/>
    <w:rsid w:val="00491FA1"/>
    <w:rsid w:val="0052425A"/>
    <w:rsid w:val="00586A8D"/>
    <w:rsid w:val="00685131"/>
    <w:rsid w:val="006C17AA"/>
    <w:rsid w:val="006D7A3B"/>
    <w:rsid w:val="006E4AE2"/>
    <w:rsid w:val="007078C4"/>
    <w:rsid w:val="007352D3"/>
    <w:rsid w:val="007B5462"/>
    <w:rsid w:val="008034BD"/>
    <w:rsid w:val="008472B7"/>
    <w:rsid w:val="00876352"/>
    <w:rsid w:val="008B2655"/>
    <w:rsid w:val="008B4137"/>
    <w:rsid w:val="008C767A"/>
    <w:rsid w:val="008E77C6"/>
    <w:rsid w:val="009770BB"/>
    <w:rsid w:val="009E008D"/>
    <w:rsid w:val="009F2A36"/>
    <w:rsid w:val="00A52CAD"/>
    <w:rsid w:val="00A5465F"/>
    <w:rsid w:val="00A77678"/>
    <w:rsid w:val="00AB5DD3"/>
    <w:rsid w:val="00B860C2"/>
    <w:rsid w:val="00BC4C95"/>
    <w:rsid w:val="00BD5944"/>
    <w:rsid w:val="00C61A00"/>
    <w:rsid w:val="00C74328"/>
    <w:rsid w:val="00C81A2A"/>
    <w:rsid w:val="00CC59CF"/>
    <w:rsid w:val="00CF6858"/>
    <w:rsid w:val="00D2062E"/>
    <w:rsid w:val="00D377B5"/>
    <w:rsid w:val="00D53C9F"/>
    <w:rsid w:val="00D93B31"/>
    <w:rsid w:val="00DE5307"/>
    <w:rsid w:val="00E505DB"/>
    <w:rsid w:val="00E765A9"/>
    <w:rsid w:val="00F53D9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A9078CF"/>
  <w15:docId w15:val="{5200CDEB-76C0-419F-A2E8-0BFF693E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D2062E"/>
    <w:pPr>
      <w:keepNext/>
      <w:numPr>
        <w:numId w:val="4"/>
      </w:numPr>
      <w:tabs>
        <w:tab w:val="left" w:pos="567"/>
      </w:tabs>
      <w:spacing w:after="120"/>
      <w:ind w:left="709" w:hanging="709"/>
      <w:outlineLvl w:val="0"/>
    </w:pPr>
    <w:rPr>
      <w:b/>
      <w:caps/>
      <w:szCs w:val="24"/>
      <w:lang w:val="it-IT" w:eastAsia="it-IT"/>
    </w:rPr>
  </w:style>
  <w:style w:type="paragraph" w:styleId="Titolo2">
    <w:name w:val="heading 2"/>
    <w:basedOn w:val="Normale"/>
    <w:next w:val="Normale"/>
    <w:link w:val="Titolo2Carattere"/>
    <w:autoRedefine/>
    <w:qFormat/>
    <w:rsid w:val="00D2062E"/>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D2062E"/>
    <w:rPr>
      <w:rFonts w:ascii="Arial" w:hAnsi="Arial"/>
      <w:b/>
      <w:caps/>
      <w:sz w:val="24"/>
      <w:szCs w:val="24"/>
      <w:lang w:val="it-IT" w:eastAsia="it-IT"/>
    </w:rPr>
  </w:style>
  <w:style w:type="character" w:customStyle="1" w:styleId="Titolo2Carattere">
    <w:name w:val="Titolo 2 Carattere"/>
    <w:link w:val="Titolo2"/>
    <w:rsid w:val="00D2062E"/>
    <w:rPr>
      <w:rFonts w:ascii="Arial" w:hAnsi="Arial"/>
      <w:b/>
      <w:sz w:val="24"/>
      <w:szCs w:val="22"/>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34"/>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uiPriority w:val="59"/>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 w:type="paragraph" w:styleId="Testonotaapidipagina">
    <w:name w:val="footnote text"/>
    <w:basedOn w:val="Normale"/>
    <w:link w:val="TestonotaapidipaginaCarattere"/>
    <w:uiPriority w:val="99"/>
    <w:rsid w:val="00D53C9F"/>
    <w:rPr>
      <w:rFonts w:eastAsia="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D53C9F"/>
    <w:rPr>
      <w:rFonts w:ascii="Arial" w:eastAsia="Times New Roman" w:hAnsi="Arial"/>
      <w:lang w:val="it-IT" w:eastAsia="it-IT"/>
    </w:rPr>
  </w:style>
  <w:style w:type="character" w:styleId="Rimandonotaapidipagina">
    <w:name w:val="footnote reference"/>
    <w:uiPriority w:val="99"/>
    <w:rsid w:val="00D53C9F"/>
    <w:rPr>
      <w:vertAlign w:val="superscript"/>
    </w:rPr>
  </w:style>
  <w:style w:type="character" w:styleId="Collegamentoipertestuale">
    <w:name w:val="Hyperlink"/>
    <w:uiPriority w:val="99"/>
    <w:unhideWhenUsed/>
    <w:rsid w:val="00D53C9F"/>
    <w:rPr>
      <w:color w:val="0000FF"/>
      <w:u w:val="single"/>
    </w:rPr>
  </w:style>
  <w:style w:type="paragraph" w:styleId="NormaleWeb">
    <w:name w:val="Normal (Web)"/>
    <w:basedOn w:val="Normale"/>
    <w:uiPriority w:val="99"/>
    <w:semiHidden/>
    <w:unhideWhenUsed/>
    <w:rsid w:val="00D53C9F"/>
    <w:pPr>
      <w:spacing w:before="100" w:beforeAutospacing="1" w:after="100" w:afterAutospacing="1"/>
      <w:jc w:val="left"/>
    </w:pPr>
    <w:rPr>
      <w:rFonts w:ascii="Times New Roman" w:eastAsia="Times New Roman" w:hAnsi="Times New Roman"/>
      <w:szCs w:val="24"/>
      <w:lang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66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www4.ti.ch/fileadmin/DECS/LINEA/documents/Rapporto_finale_Progetto_Sostegno_ai_docenti_in_difficolta_Le_14_Misure.pdf"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ch/linea"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i.ch/rendicontocds" TargetMode="External"/><Relationship Id="rId1" Type="http://schemas.openxmlformats.org/officeDocument/2006/relationships/hyperlink" Target="http://www.admin.ch/opc/it/classified-compilation/20012210/"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Foglio_di_lavoro_di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Foglio_di_lavoro_di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Foglio1!$B$1</c:f>
              <c:strCache>
                <c:ptCount val="1"/>
                <c:pt idx="0">
                  <c:v>giorni/anno</c:v>
                </c:pt>
              </c:strCache>
            </c:strRef>
          </c:tx>
          <c:spPr>
            <a:solidFill>
              <a:srgbClr val="4472C4"/>
            </a:solidFill>
            <a:ln w="25326">
              <a:noFill/>
            </a:ln>
          </c:spPr>
          <c:invertIfNegative val="0"/>
          <c:dLbls>
            <c:dLbl>
              <c:idx val="0"/>
              <c:layout/>
              <c:spPr>
                <a:noFill/>
                <a:ln w="25326">
                  <a:noFill/>
                </a:ln>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it-CH"/>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D53-4F9C-A37E-7DD6345EDEE7}"/>
                </c:ext>
              </c:extLst>
            </c:dLbl>
            <c:dLbl>
              <c:idx val="1"/>
              <c:layout/>
              <c:spPr>
                <a:noFill/>
                <a:ln w="25326">
                  <a:noFill/>
                </a:ln>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it-CH"/>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D53-4F9C-A37E-7DD6345EDEE7}"/>
                </c:ext>
              </c:extLst>
            </c:dLbl>
            <c:dLbl>
              <c:idx val="2"/>
              <c:layout/>
              <c:spPr>
                <a:noFill/>
                <a:ln w="25326">
                  <a:noFill/>
                </a:ln>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it-CH"/>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FD53-4F9C-A37E-7DD6345EDEE7}"/>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trendline>
            <c:spPr>
              <a:ln w="25326" cap="rnd">
                <a:solidFill>
                  <a:schemeClr val="accent1">
                    <a:lumMod val="50000"/>
                  </a:schemeClr>
                </a:solidFill>
                <a:prstDash val="sysDot"/>
              </a:ln>
              <a:effectLst/>
            </c:spPr>
            <c:trendlineType val="linear"/>
            <c:dispRSqr val="0"/>
            <c:dispEq val="0"/>
          </c:trendline>
          <c:cat>
            <c:strRef>
              <c:f>Foglio1!$A$2:$A$4</c:f>
              <c:strCache>
                <c:ptCount val="3"/>
                <c:pt idx="0">
                  <c:v>2000-2006</c:v>
                </c:pt>
                <c:pt idx="1">
                  <c:v>2007-2016</c:v>
                </c:pt>
                <c:pt idx="2">
                  <c:v>2019</c:v>
                </c:pt>
              </c:strCache>
            </c:strRef>
          </c:cat>
          <c:val>
            <c:numRef>
              <c:f>Foglio1!$B$2:$B$4</c:f>
              <c:numCache>
                <c:formatCode>General</c:formatCode>
                <c:ptCount val="3"/>
                <c:pt idx="0">
                  <c:v>11.31</c:v>
                </c:pt>
                <c:pt idx="1">
                  <c:v>9.34</c:v>
                </c:pt>
                <c:pt idx="2">
                  <c:v>8.9700000000000006</c:v>
                </c:pt>
              </c:numCache>
            </c:numRef>
          </c:val>
          <c:extLst>
            <c:ext xmlns:c16="http://schemas.microsoft.com/office/drawing/2014/chart" uri="{C3380CC4-5D6E-409C-BE32-E72D297353CC}">
              <c16:uniqueId val="{00000003-FD53-4F9C-A37E-7DD6345EDEE7}"/>
            </c:ext>
          </c:extLst>
        </c:ser>
        <c:dLbls>
          <c:showLegendKey val="0"/>
          <c:showVal val="0"/>
          <c:showCatName val="0"/>
          <c:showSerName val="0"/>
          <c:showPercent val="0"/>
          <c:showBubbleSize val="0"/>
        </c:dLbls>
        <c:gapWidth val="219"/>
        <c:overlap val="-27"/>
        <c:axId val="163846664"/>
        <c:axId val="1"/>
      </c:barChart>
      <c:catAx>
        <c:axId val="163846664"/>
        <c:scaling>
          <c:orientation val="minMax"/>
        </c:scaling>
        <c:delete val="0"/>
        <c:axPos val="b"/>
        <c:numFmt formatCode="General" sourceLinked="1"/>
        <c:majorTickMark val="none"/>
        <c:minorTickMark val="none"/>
        <c:tickLblPos val="nextTo"/>
        <c:spPr>
          <a:noFill/>
          <a:ln w="9497" cap="flat" cmpd="sng" algn="ctr">
            <a:solidFill>
              <a:schemeClr val="tx1"/>
            </a:solidFill>
            <a:round/>
          </a:ln>
          <a:effectLst/>
        </c:spPr>
        <c:txPr>
          <a:bodyPr rot="-60000000" spcFirstLastPara="1" vertOverflow="ellipsis" vert="horz" wrap="square" anchor="ctr" anchorCtr="1"/>
          <a:lstStyle/>
          <a:p>
            <a:pPr>
              <a:defRPr sz="897" b="0" i="0" u="none" strike="noStrike" kern="1200" baseline="0">
                <a:ln>
                  <a:noFill/>
                </a:ln>
                <a:solidFill>
                  <a:sysClr val="windowText" lastClr="000000"/>
                </a:solidFill>
                <a:latin typeface="+mn-lt"/>
                <a:ea typeface="+mn-ea"/>
                <a:cs typeface="+mn-cs"/>
              </a:defRPr>
            </a:pPr>
            <a:endParaRPr lang="it-CH"/>
          </a:p>
        </c:txPr>
        <c:crossAx val="1"/>
        <c:crosses val="autoZero"/>
        <c:auto val="1"/>
        <c:lblAlgn val="ctr"/>
        <c:lblOffset val="100"/>
        <c:noMultiLvlLbl val="0"/>
      </c:catAx>
      <c:valAx>
        <c:axId val="1"/>
        <c:scaling>
          <c:orientation val="minMax"/>
        </c:scaling>
        <c:delete val="0"/>
        <c:axPos val="l"/>
        <c:majorGridlines>
          <c:spPr>
            <a:ln w="9497" cap="flat" cmpd="sng" algn="ctr">
              <a:solidFill>
                <a:schemeClr val="tx1"/>
              </a:solidFill>
              <a:round/>
            </a:ln>
            <a:effectLst/>
          </c:spPr>
        </c:majorGridlines>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897" b="0" i="0" u="none" strike="noStrike" kern="1200" baseline="0">
                <a:ln>
                  <a:solidFill>
                    <a:schemeClr val="tx1"/>
                  </a:solidFill>
                </a:ln>
                <a:solidFill>
                  <a:schemeClr val="tx1">
                    <a:lumMod val="65000"/>
                    <a:lumOff val="35000"/>
                  </a:schemeClr>
                </a:solidFill>
                <a:latin typeface="+mn-lt"/>
                <a:ea typeface="+mn-ea"/>
                <a:cs typeface="+mn-cs"/>
              </a:defRPr>
            </a:pPr>
            <a:endParaRPr lang="it-CH"/>
          </a:p>
        </c:txPr>
        <c:crossAx val="163846664"/>
        <c:crosses val="autoZero"/>
        <c:crossBetween val="between"/>
      </c:valAx>
      <c:spPr>
        <a:noFill/>
        <a:ln w="25326">
          <a:noFill/>
        </a:ln>
      </c:spPr>
    </c:plotArea>
    <c:plotVisOnly val="1"/>
    <c:dispBlanksAs val="gap"/>
    <c:showDLblsOverMax val="0"/>
  </c:chart>
  <c:spPr>
    <a:solidFill>
      <a:schemeClr val="bg1"/>
    </a:solidFill>
    <a:ln w="9497" cap="flat" cmpd="sng" algn="ctr">
      <a:solidFill>
        <a:schemeClr val="tx1">
          <a:lumMod val="15000"/>
          <a:lumOff val="85000"/>
        </a:schemeClr>
      </a:solidFill>
      <a:round/>
    </a:ln>
    <a:effectLst/>
  </c:spPr>
  <c:txPr>
    <a:bodyPr/>
    <a:lstStyle/>
    <a:p>
      <a:pPr>
        <a:defRPr/>
      </a:pPr>
      <a:endParaRPr lang="it-CH"/>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Foglio1!$B$1</c:f>
              <c:strCache>
                <c:ptCount val="1"/>
                <c:pt idx="0">
                  <c:v>giorni assenza infortuni</c:v>
                </c:pt>
              </c:strCache>
            </c:strRef>
          </c:tx>
          <c:spPr>
            <a:solidFill>
              <a:srgbClr val="4472C4"/>
            </a:solidFill>
            <a:ln w="25400">
              <a:noFill/>
            </a:ln>
          </c:spPr>
          <c:invertIfNegative val="0"/>
          <c:dLbls>
            <c:dLbl>
              <c:idx val="0"/>
              <c:layout/>
              <c:spPr>
                <a:noFill/>
                <a:ln w="25400">
                  <a:noFill/>
                </a:ln>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it-CH"/>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136-4D75-8585-5BA81A3E0534}"/>
                </c:ext>
              </c:extLst>
            </c:dLbl>
            <c:dLbl>
              <c:idx val="1"/>
              <c:layout/>
              <c:spPr>
                <a:noFill/>
                <a:ln w="25400">
                  <a:noFill/>
                </a:ln>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it-CH"/>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136-4D75-8585-5BA81A3E0534}"/>
                </c:ext>
              </c:extLst>
            </c:dLbl>
            <c:dLbl>
              <c:idx val="2"/>
              <c:layout/>
              <c:spPr>
                <a:noFill/>
                <a:ln w="25400">
                  <a:noFill/>
                </a:ln>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it-CH"/>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136-4D75-8585-5BA81A3E0534}"/>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trendline>
            <c:spPr>
              <a:ln w="28575" cap="rnd">
                <a:solidFill>
                  <a:schemeClr val="tx2"/>
                </a:solidFill>
                <a:prstDash val="sysDot"/>
              </a:ln>
              <a:effectLst/>
            </c:spPr>
            <c:trendlineType val="linear"/>
            <c:dispRSqr val="0"/>
            <c:dispEq val="0"/>
          </c:trendline>
          <c:cat>
            <c:strRef>
              <c:f>Foglio1!$A$2:$A$4</c:f>
              <c:strCache>
                <c:ptCount val="3"/>
                <c:pt idx="0">
                  <c:v>2000-2006</c:v>
                </c:pt>
                <c:pt idx="1">
                  <c:v>2007-2016</c:v>
                </c:pt>
                <c:pt idx="2">
                  <c:v>2019</c:v>
                </c:pt>
              </c:strCache>
            </c:strRef>
          </c:cat>
          <c:val>
            <c:numRef>
              <c:f>Foglio1!$B$2:$B$4</c:f>
              <c:numCache>
                <c:formatCode>General</c:formatCode>
                <c:ptCount val="3"/>
                <c:pt idx="0">
                  <c:v>2.11</c:v>
                </c:pt>
                <c:pt idx="1">
                  <c:v>2.04</c:v>
                </c:pt>
                <c:pt idx="2">
                  <c:v>1.96</c:v>
                </c:pt>
              </c:numCache>
            </c:numRef>
          </c:val>
          <c:extLst>
            <c:ext xmlns:c16="http://schemas.microsoft.com/office/drawing/2014/chart" uri="{C3380CC4-5D6E-409C-BE32-E72D297353CC}">
              <c16:uniqueId val="{00000003-5136-4D75-8585-5BA81A3E0534}"/>
            </c:ext>
          </c:extLst>
        </c:ser>
        <c:dLbls>
          <c:showLegendKey val="0"/>
          <c:showVal val="0"/>
          <c:showCatName val="0"/>
          <c:showSerName val="0"/>
          <c:showPercent val="0"/>
          <c:showBubbleSize val="0"/>
        </c:dLbls>
        <c:gapWidth val="219"/>
        <c:overlap val="-27"/>
        <c:axId val="201576032"/>
        <c:axId val="1"/>
      </c:barChart>
      <c:catAx>
        <c:axId val="20157603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it-CH"/>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ln>
                  <a:solidFill>
                    <a:schemeClr val="tx1"/>
                  </a:solidFill>
                </a:ln>
                <a:solidFill>
                  <a:schemeClr val="tx1">
                    <a:lumMod val="65000"/>
                    <a:lumOff val="35000"/>
                  </a:schemeClr>
                </a:solidFill>
                <a:latin typeface="+mn-lt"/>
                <a:ea typeface="+mn-ea"/>
                <a:cs typeface="+mn-cs"/>
              </a:defRPr>
            </a:pPr>
            <a:endParaRPr lang="it-CH"/>
          </a:p>
        </c:txPr>
        <c:crossAx val="201576032"/>
        <c:crosses val="autoZero"/>
        <c:crossBetween val="between"/>
      </c:valAx>
      <c:spPr>
        <a:noFill/>
        <a:ln>
          <a:solidFill>
            <a:schemeClr val="tx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CH"/>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No collaboratori </a:t>
            </a:r>
            <a:br>
              <a:rPr lang="en-US"/>
            </a:br>
            <a:r>
              <a:rPr lang="en-US" sz="1100"/>
              <a:t>(incl. docenti e personale avventizio)</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CH"/>
        </a:p>
      </c:txPr>
    </c:title>
    <c:autoTitleDeleted val="0"/>
    <c:plotArea>
      <c:layout/>
      <c:lineChart>
        <c:grouping val="standard"/>
        <c:varyColors val="0"/>
        <c:ser>
          <c:idx val="0"/>
          <c:order val="0"/>
          <c:tx>
            <c:strRef>
              <c:f>'[Grafico in Microsoft Word]Foglio1'!$A$2</c:f>
              <c:strCache>
                <c:ptCount val="1"/>
                <c:pt idx="0">
                  <c:v>No collaboratori (incl. docenti e personale avventizio)</c:v>
                </c:pt>
              </c:strCache>
            </c:strRef>
          </c:tx>
          <c:spPr>
            <a:ln w="28575" cap="rnd">
              <a:solidFill>
                <a:schemeClr val="accent1"/>
              </a:solidFill>
              <a:round/>
            </a:ln>
            <a:effectLst/>
          </c:spPr>
          <c:marker>
            <c:symbol val="none"/>
          </c:marker>
          <c:cat>
            <c:strRef>
              <c:f>'[Grafico in Microsoft Word]Foglio1'!$B$1:$K$1</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'[Grafico in Microsoft Word]Foglio1'!$B$2:$K$2</c:f>
              <c:numCache>
                <c:formatCode>General</c:formatCode>
                <c:ptCount val="10"/>
                <c:pt idx="0">
                  <c:v>10922</c:v>
                </c:pt>
                <c:pt idx="1">
                  <c:v>11158</c:v>
                </c:pt>
                <c:pt idx="2">
                  <c:v>11429</c:v>
                </c:pt>
                <c:pt idx="3">
                  <c:v>11578</c:v>
                </c:pt>
                <c:pt idx="4">
                  <c:v>11612</c:v>
                </c:pt>
                <c:pt idx="5">
                  <c:v>11706</c:v>
                </c:pt>
                <c:pt idx="6">
                  <c:v>11764</c:v>
                </c:pt>
                <c:pt idx="7">
                  <c:v>11982</c:v>
                </c:pt>
                <c:pt idx="8">
                  <c:v>12166</c:v>
                </c:pt>
                <c:pt idx="9">
                  <c:v>12376</c:v>
                </c:pt>
              </c:numCache>
            </c:numRef>
          </c:val>
          <c:smooth val="0"/>
          <c:extLst>
            <c:ext xmlns:c16="http://schemas.microsoft.com/office/drawing/2014/chart" uri="{C3380CC4-5D6E-409C-BE32-E72D297353CC}">
              <c16:uniqueId val="{00000000-3971-4A26-B966-848B11F91957}"/>
            </c:ext>
          </c:extLst>
        </c:ser>
        <c:dLbls>
          <c:showLegendKey val="0"/>
          <c:showVal val="0"/>
          <c:showCatName val="0"/>
          <c:showSerName val="0"/>
          <c:showPercent val="0"/>
          <c:showBubbleSize val="0"/>
        </c:dLbls>
        <c:smooth val="0"/>
        <c:axId val="602888152"/>
        <c:axId val="602890120"/>
      </c:lineChart>
      <c:catAx>
        <c:axId val="602888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crossAx val="602890120"/>
        <c:crosses val="autoZero"/>
        <c:auto val="1"/>
        <c:lblAlgn val="ctr"/>
        <c:lblOffset val="100"/>
        <c:noMultiLvlLbl val="0"/>
      </c:catAx>
      <c:valAx>
        <c:axId val="602890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crossAx val="602888152"/>
        <c:crosses val="autoZero"/>
        <c:crossBetween val="between"/>
      </c:valAx>
      <c:spPr>
        <a:noFill/>
        <a:ln>
          <a:solidFill>
            <a:schemeClr val="tx1"/>
          </a:solid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CH"/>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'[Grafico in Microsoft Word]Foglio1'!$B$1</c:f>
              <c:strCache>
                <c:ptCount val="1"/>
                <c:pt idx="0">
                  <c:v>2010</c:v>
                </c:pt>
              </c:strCache>
            </c:strRef>
          </c:tx>
          <c:spPr>
            <a:solidFill>
              <a:schemeClr val="accent1"/>
            </a:solidFill>
            <a:ln>
              <a:noFill/>
            </a:ln>
            <a:effectLst/>
          </c:spPr>
          <c:invertIfNegative val="0"/>
          <c:cat>
            <c:strRef>
              <c:f>'[Grafico in Microsoft Word]Foglio1'!$A$2:$A$5</c:f>
              <c:strCache>
                <c:ptCount val="3"/>
                <c:pt idx="0">
                  <c:v>Infortuni non professionali</c:v>
                </c:pt>
                <c:pt idx="1">
                  <c:v>Infortuni professionali </c:v>
                </c:pt>
                <c:pt idx="2">
                  <c:v>Totali infortuni</c:v>
                </c:pt>
              </c:strCache>
              <c:extLst/>
            </c:strRef>
          </c:cat>
          <c:val>
            <c:numRef>
              <c:f>'[Grafico in Microsoft Word]Foglio1'!$B$2:$B$5</c:f>
              <c:numCache>
                <c:formatCode>General</c:formatCode>
                <c:ptCount val="3"/>
                <c:pt idx="0">
                  <c:v>434</c:v>
                </c:pt>
                <c:pt idx="1">
                  <c:v>114</c:v>
                </c:pt>
                <c:pt idx="2">
                  <c:v>548</c:v>
                </c:pt>
              </c:numCache>
              <c:extLst/>
            </c:numRef>
          </c:val>
          <c:extLst>
            <c:ext xmlns:c16="http://schemas.microsoft.com/office/drawing/2014/chart" uri="{C3380CC4-5D6E-409C-BE32-E72D297353CC}">
              <c16:uniqueId val="{00000000-C8D1-4064-890B-E775C0C9524F}"/>
            </c:ext>
          </c:extLst>
        </c:ser>
        <c:ser>
          <c:idx val="1"/>
          <c:order val="1"/>
          <c:tx>
            <c:strRef>
              <c:f>'[Grafico in Microsoft Word]Foglio1'!$C$1</c:f>
              <c:strCache>
                <c:ptCount val="1"/>
                <c:pt idx="0">
                  <c:v>2011</c:v>
                </c:pt>
              </c:strCache>
            </c:strRef>
          </c:tx>
          <c:spPr>
            <a:solidFill>
              <a:schemeClr val="accent2"/>
            </a:solidFill>
            <a:ln>
              <a:noFill/>
            </a:ln>
            <a:effectLst/>
          </c:spPr>
          <c:invertIfNegative val="0"/>
          <c:cat>
            <c:strRef>
              <c:f>'[Grafico in Microsoft Word]Foglio1'!$A$2:$A$5</c:f>
              <c:strCache>
                <c:ptCount val="3"/>
                <c:pt idx="0">
                  <c:v>Infortuni non professionali</c:v>
                </c:pt>
                <c:pt idx="1">
                  <c:v>Infortuni professionali </c:v>
                </c:pt>
                <c:pt idx="2">
                  <c:v>Totali infortuni</c:v>
                </c:pt>
              </c:strCache>
              <c:extLst/>
            </c:strRef>
          </c:cat>
          <c:val>
            <c:numRef>
              <c:f>'[Grafico in Microsoft Word]Foglio1'!$C$2:$C$5</c:f>
              <c:numCache>
                <c:formatCode>General</c:formatCode>
                <c:ptCount val="3"/>
                <c:pt idx="0">
                  <c:v>512</c:v>
                </c:pt>
                <c:pt idx="1">
                  <c:v>121</c:v>
                </c:pt>
                <c:pt idx="2">
                  <c:v>633</c:v>
                </c:pt>
              </c:numCache>
              <c:extLst/>
            </c:numRef>
          </c:val>
          <c:extLst>
            <c:ext xmlns:c16="http://schemas.microsoft.com/office/drawing/2014/chart" uri="{C3380CC4-5D6E-409C-BE32-E72D297353CC}">
              <c16:uniqueId val="{00000001-C8D1-4064-890B-E775C0C9524F}"/>
            </c:ext>
          </c:extLst>
        </c:ser>
        <c:ser>
          <c:idx val="2"/>
          <c:order val="2"/>
          <c:tx>
            <c:strRef>
              <c:f>'[Grafico in Microsoft Word]Foglio1'!$D$1</c:f>
              <c:strCache>
                <c:ptCount val="1"/>
                <c:pt idx="0">
                  <c:v>2012</c:v>
                </c:pt>
              </c:strCache>
            </c:strRef>
          </c:tx>
          <c:spPr>
            <a:solidFill>
              <a:schemeClr val="accent3"/>
            </a:solidFill>
            <a:ln>
              <a:noFill/>
            </a:ln>
            <a:effectLst/>
          </c:spPr>
          <c:invertIfNegative val="0"/>
          <c:cat>
            <c:strRef>
              <c:f>'[Grafico in Microsoft Word]Foglio1'!$A$2:$A$5</c:f>
              <c:strCache>
                <c:ptCount val="3"/>
                <c:pt idx="0">
                  <c:v>Infortuni non professionali</c:v>
                </c:pt>
                <c:pt idx="1">
                  <c:v>Infortuni professionali </c:v>
                </c:pt>
                <c:pt idx="2">
                  <c:v>Totali infortuni</c:v>
                </c:pt>
              </c:strCache>
              <c:extLst/>
            </c:strRef>
          </c:cat>
          <c:val>
            <c:numRef>
              <c:f>'[Grafico in Microsoft Word]Foglio1'!$D$2:$D$5</c:f>
              <c:numCache>
                <c:formatCode>General</c:formatCode>
                <c:ptCount val="3"/>
                <c:pt idx="0">
                  <c:v>459</c:v>
                </c:pt>
                <c:pt idx="1">
                  <c:v>121</c:v>
                </c:pt>
                <c:pt idx="2">
                  <c:v>580</c:v>
                </c:pt>
              </c:numCache>
              <c:extLst/>
            </c:numRef>
          </c:val>
          <c:extLst>
            <c:ext xmlns:c16="http://schemas.microsoft.com/office/drawing/2014/chart" uri="{C3380CC4-5D6E-409C-BE32-E72D297353CC}">
              <c16:uniqueId val="{00000002-C8D1-4064-890B-E775C0C9524F}"/>
            </c:ext>
          </c:extLst>
        </c:ser>
        <c:ser>
          <c:idx val="3"/>
          <c:order val="3"/>
          <c:tx>
            <c:strRef>
              <c:f>'[Grafico in Microsoft Word]Foglio1'!$E$1</c:f>
              <c:strCache>
                <c:ptCount val="1"/>
                <c:pt idx="0">
                  <c:v>2013</c:v>
                </c:pt>
              </c:strCache>
            </c:strRef>
          </c:tx>
          <c:spPr>
            <a:solidFill>
              <a:schemeClr val="accent4"/>
            </a:solidFill>
            <a:ln>
              <a:noFill/>
            </a:ln>
            <a:effectLst/>
          </c:spPr>
          <c:invertIfNegative val="0"/>
          <c:cat>
            <c:strRef>
              <c:f>'[Grafico in Microsoft Word]Foglio1'!$A$2:$A$5</c:f>
              <c:strCache>
                <c:ptCount val="3"/>
                <c:pt idx="0">
                  <c:v>Infortuni non professionali</c:v>
                </c:pt>
                <c:pt idx="1">
                  <c:v>Infortuni professionali </c:v>
                </c:pt>
                <c:pt idx="2">
                  <c:v>Totali infortuni</c:v>
                </c:pt>
              </c:strCache>
              <c:extLst/>
            </c:strRef>
          </c:cat>
          <c:val>
            <c:numRef>
              <c:f>'[Grafico in Microsoft Word]Foglio1'!$E$2:$E$5</c:f>
              <c:numCache>
                <c:formatCode>General</c:formatCode>
                <c:ptCount val="3"/>
                <c:pt idx="0">
                  <c:v>491</c:v>
                </c:pt>
                <c:pt idx="1">
                  <c:v>135</c:v>
                </c:pt>
                <c:pt idx="2">
                  <c:v>580</c:v>
                </c:pt>
              </c:numCache>
              <c:extLst/>
            </c:numRef>
          </c:val>
          <c:extLst>
            <c:ext xmlns:c16="http://schemas.microsoft.com/office/drawing/2014/chart" uri="{C3380CC4-5D6E-409C-BE32-E72D297353CC}">
              <c16:uniqueId val="{00000003-C8D1-4064-890B-E775C0C9524F}"/>
            </c:ext>
          </c:extLst>
        </c:ser>
        <c:ser>
          <c:idx val="4"/>
          <c:order val="4"/>
          <c:tx>
            <c:strRef>
              <c:f>'[Grafico in Microsoft Word]Foglio1'!$F$1</c:f>
              <c:strCache>
                <c:ptCount val="1"/>
                <c:pt idx="0">
                  <c:v>2014</c:v>
                </c:pt>
              </c:strCache>
            </c:strRef>
          </c:tx>
          <c:spPr>
            <a:solidFill>
              <a:schemeClr val="accent5"/>
            </a:solidFill>
            <a:ln>
              <a:noFill/>
            </a:ln>
            <a:effectLst/>
          </c:spPr>
          <c:invertIfNegative val="0"/>
          <c:cat>
            <c:strRef>
              <c:f>'[Grafico in Microsoft Word]Foglio1'!$A$2:$A$5</c:f>
              <c:strCache>
                <c:ptCount val="3"/>
                <c:pt idx="0">
                  <c:v>Infortuni non professionali</c:v>
                </c:pt>
                <c:pt idx="1">
                  <c:v>Infortuni professionali </c:v>
                </c:pt>
                <c:pt idx="2">
                  <c:v>Totali infortuni</c:v>
                </c:pt>
              </c:strCache>
              <c:extLst/>
            </c:strRef>
          </c:cat>
          <c:val>
            <c:numRef>
              <c:f>'[Grafico in Microsoft Word]Foglio1'!$F$2:$F$5</c:f>
              <c:numCache>
                <c:formatCode>General</c:formatCode>
                <c:ptCount val="3"/>
                <c:pt idx="0">
                  <c:v>476</c:v>
                </c:pt>
                <c:pt idx="1">
                  <c:v>105</c:v>
                </c:pt>
                <c:pt idx="2">
                  <c:v>581</c:v>
                </c:pt>
              </c:numCache>
              <c:extLst/>
            </c:numRef>
          </c:val>
          <c:extLst>
            <c:ext xmlns:c16="http://schemas.microsoft.com/office/drawing/2014/chart" uri="{C3380CC4-5D6E-409C-BE32-E72D297353CC}">
              <c16:uniqueId val="{00000004-C8D1-4064-890B-E775C0C9524F}"/>
            </c:ext>
          </c:extLst>
        </c:ser>
        <c:ser>
          <c:idx val="5"/>
          <c:order val="5"/>
          <c:tx>
            <c:strRef>
              <c:f>'[Grafico in Microsoft Word]Foglio1'!$G$1</c:f>
              <c:strCache>
                <c:ptCount val="1"/>
                <c:pt idx="0">
                  <c:v>2015</c:v>
                </c:pt>
              </c:strCache>
            </c:strRef>
          </c:tx>
          <c:spPr>
            <a:solidFill>
              <a:schemeClr val="accent6"/>
            </a:solidFill>
            <a:ln>
              <a:noFill/>
            </a:ln>
            <a:effectLst/>
          </c:spPr>
          <c:invertIfNegative val="0"/>
          <c:cat>
            <c:strRef>
              <c:f>'[Grafico in Microsoft Word]Foglio1'!$A$2:$A$5</c:f>
              <c:strCache>
                <c:ptCount val="3"/>
                <c:pt idx="0">
                  <c:v>Infortuni non professionali</c:v>
                </c:pt>
                <c:pt idx="1">
                  <c:v>Infortuni professionali </c:v>
                </c:pt>
                <c:pt idx="2">
                  <c:v>Totali infortuni</c:v>
                </c:pt>
              </c:strCache>
              <c:extLst/>
            </c:strRef>
          </c:cat>
          <c:val>
            <c:numRef>
              <c:f>'[Grafico in Microsoft Word]Foglio1'!$G$2:$G$5</c:f>
              <c:numCache>
                <c:formatCode>General</c:formatCode>
                <c:ptCount val="3"/>
                <c:pt idx="0">
                  <c:v>515</c:v>
                </c:pt>
                <c:pt idx="1">
                  <c:v>121</c:v>
                </c:pt>
                <c:pt idx="2">
                  <c:v>636</c:v>
                </c:pt>
              </c:numCache>
              <c:extLst/>
            </c:numRef>
          </c:val>
          <c:extLst>
            <c:ext xmlns:c16="http://schemas.microsoft.com/office/drawing/2014/chart" uri="{C3380CC4-5D6E-409C-BE32-E72D297353CC}">
              <c16:uniqueId val="{00000005-C8D1-4064-890B-E775C0C9524F}"/>
            </c:ext>
          </c:extLst>
        </c:ser>
        <c:ser>
          <c:idx val="6"/>
          <c:order val="6"/>
          <c:tx>
            <c:strRef>
              <c:f>'[Grafico in Microsoft Word]Foglio1'!$H$1</c:f>
              <c:strCache>
                <c:ptCount val="1"/>
                <c:pt idx="0">
                  <c:v>2016</c:v>
                </c:pt>
              </c:strCache>
            </c:strRef>
          </c:tx>
          <c:spPr>
            <a:solidFill>
              <a:schemeClr val="accent1">
                <a:lumMod val="60000"/>
              </a:schemeClr>
            </a:solidFill>
            <a:ln>
              <a:noFill/>
            </a:ln>
            <a:effectLst/>
          </c:spPr>
          <c:invertIfNegative val="0"/>
          <c:cat>
            <c:strRef>
              <c:f>'[Grafico in Microsoft Word]Foglio1'!$A$2:$A$5</c:f>
              <c:strCache>
                <c:ptCount val="3"/>
                <c:pt idx="0">
                  <c:v>Infortuni non professionali</c:v>
                </c:pt>
                <c:pt idx="1">
                  <c:v>Infortuni professionali </c:v>
                </c:pt>
                <c:pt idx="2">
                  <c:v>Totali infortuni</c:v>
                </c:pt>
              </c:strCache>
              <c:extLst/>
            </c:strRef>
          </c:cat>
          <c:val>
            <c:numRef>
              <c:f>'[Grafico in Microsoft Word]Foglio1'!$H$2:$H$5</c:f>
              <c:numCache>
                <c:formatCode>General</c:formatCode>
                <c:ptCount val="3"/>
                <c:pt idx="0">
                  <c:v>479</c:v>
                </c:pt>
                <c:pt idx="1">
                  <c:v>147</c:v>
                </c:pt>
                <c:pt idx="2">
                  <c:v>626</c:v>
                </c:pt>
              </c:numCache>
              <c:extLst/>
            </c:numRef>
          </c:val>
          <c:extLst>
            <c:ext xmlns:c16="http://schemas.microsoft.com/office/drawing/2014/chart" uri="{C3380CC4-5D6E-409C-BE32-E72D297353CC}">
              <c16:uniqueId val="{00000006-C8D1-4064-890B-E775C0C9524F}"/>
            </c:ext>
          </c:extLst>
        </c:ser>
        <c:ser>
          <c:idx val="7"/>
          <c:order val="7"/>
          <c:tx>
            <c:strRef>
              <c:f>'[Grafico in Microsoft Word]Foglio1'!$I$1</c:f>
              <c:strCache>
                <c:ptCount val="1"/>
                <c:pt idx="0">
                  <c:v>2017</c:v>
                </c:pt>
              </c:strCache>
            </c:strRef>
          </c:tx>
          <c:spPr>
            <a:solidFill>
              <a:schemeClr val="accent2">
                <a:lumMod val="60000"/>
              </a:schemeClr>
            </a:solidFill>
            <a:ln>
              <a:noFill/>
            </a:ln>
            <a:effectLst/>
          </c:spPr>
          <c:invertIfNegative val="0"/>
          <c:cat>
            <c:strRef>
              <c:f>'[Grafico in Microsoft Word]Foglio1'!$A$2:$A$5</c:f>
              <c:strCache>
                <c:ptCount val="3"/>
                <c:pt idx="0">
                  <c:v>Infortuni non professionali</c:v>
                </c:pt>
                <c:pt idx="1">
                  <c:v>Infortuni professionali </c:v>
                </c:pt>
                <c:pt idx="2">
                  <c:v>Totali infortuni</c:v>
                </c:pt>
              </c:strCache>
              <c:extLst/>
            </c:strRef>
          </c:cat>
          <c:val>
            <c:numRef>
              <c:f>'[Grafico in Microsoft Word]Foglio1'!$I$2:$I$5</c:f>
              <c:numCache>
                <c:formatCode>General</c:formatCode>
                <c:ptCount val="3"/>
                <c:pt idx="0">
                  <c:v>464</c:v>
                </c:pt>
                <c:pt idx="1">
                  <c:v>133</c:v>
                </c:pt>
                <c:pt idx="2">
                  <c:v>597</c:v>
                </c:pt>
              </c:numCache>
              <c:extLst/>
            </c:numRef>
          </c:val>
          <c:extLst>
            <c:ext xmlns:c16="http://schemas.microsoft.com/office/drawing/2014/chart" uri="{C3380CC4-5D6E-409C-BE32-E72D297353CC}">
              <c16:uniqueId val="{00000007-C8D1-4064-890B-E775C0C9524F}"/>
            </c:ext>
          </c:extLst>
        </c:ser>
        <c:ser>
          <c:idx val="8"/>
          <c:order val="8"/>
          <c:tx>
            <c:strRef>
              <c:f>'[Grafico in Microsoft Word]Foglio1'!$J$1</c:f>
              <c:strCache>
                <c:ptCount val="1"/>
                <c:pt idx="0">
                  <c:v>2018</c:v>
                </c:pt>
              </c:strCache>
            </c:strRef>
          </c:tx>
          <c:spPr>
            <a:solidFill>
              <a:schemeClr val="accent3">
                <a:lumMod val="60000"/>
              </a:schemeClr>
            </a:solidFill>
            <a:ln>
              <a:noFill/>
            </a:ln>
            <a:effectLst/>
          </c:spPr>
          <c:invertIfNegative val="0"/>
          <c:cat>
            <c:strRef>
              <c:f>'[Grafico in Microsoft Word]Foglio1'!$A$2:$A$5</c:f>
              <c:strCache>
                <c:ptCount val="3"/>
                <c:pt idx="0">
                  <c:v>Infortuni non professionali</c:v>
                </c:pt>
                <c:pt idx="1">
                  <c:v>Infortuni professionali </c:v>
                </c:pt>
                <c:pt idx="2">
                  <c:v>Totali infortuni</c:v>
                </c:pt>
              </c:strCache>
              <c:extLst/>
            </c:strRef>
          </c:cat>
          <c:val>
            <c:numRef>
              <c:f>'[Grafico in Microsoft Word]Foglio1'!$J$2:$J$5</c:f>
              <c:numCache>
                <c:formatCode>General</c:formatCode>
                <c:ptCount val="3"/>
                <c:pt idx="0">
                  <c:v>492</c:v>
                </c:pt>
                <c:pt idx="1">
                  <c:v>131</c:v>
                </c:pt>
                <c:pt idx="2">
                  <c:v>623</c:v>
                </c:pt>
              </c:numCache>
              <c:extLst/>
            </c:numRef>
          </c:val>
          <c:extLst>
            <c:ext xmlns:c16="http://schemas.microsoft.com/office/drawing/2014/chart" uri="{C3380CC4-5D6E-409C-BE32-E72D297353CC}">
              <c16:uniqueId val="{00000008-C8D1-4064-890B-E775C0C9524F}"/>
            </c:ext>
          </c:extLst>
        </c:ser>
        <c:dLbls>
          <c:showLegendKey val="0"/>
          <c:showVal val="0"/>
          <c:showCatName val="0"/>
          <c:showSerName val="0"/>
          <c:showPercent val="0"/>
          <c:showBubbleSize val="0"/>
        </c:dLbls>
        <c:gapWidth val="219"/>
        <c:overlap val="-27"/>
        <c:axId val="592777408"/>
        <c:axId val="596618600"/>
        <c:extLst>
          <c:ext xmlns:c15="http://schemas.microsoft.com/office/drawing/2012/chart" uri="{02D57815-91ED-43cb-92C2-25804820EDAC}">
            <c15:filteredBarSeries>
              <c15:ser>
                <c:idx val="9"/>
                <c:order val="9"/>
                <c:tx>
                  <c:strRef>
                    <c:extLst>
                      <c:ext uri="{02D57815-91ED-43cb-92C2-25804820EDAC}">
                        <c15:formulaRef>
                          <c15:sqref>'[Grafico in Microsoft Word]Foglio1'!$K$1</c15:sqref>
                        </c15:formulaRef>
                      </c:ext>
                    </c:extLst>
                    <c:strCache>
                      <c:ptCount val="1"/>
                      <c:pt idx="0">
                        <c:v>2019</c:v>
                      </c:pt>
                    </c:strCache>
                  </c:strRef>
                </c:tx>
                <c:spPr>
                  <a:solidFill>
                    <a:schemeClr val="accent4">
                      <a:lumMod val="60000"/>
                    </a:schemeClr>
                  </a:solidFill>
                  <a:ln>
                    <a:noFill/>
                  </a:ln>
                  <a:effectLst/>
                </c:spPr>
                <c:invertIfNegative val="0"/>
                <c:cat>
                  <c:strRef>
                    <c:extLst>
                      <c:ext uri="{02D57815-91ED-43cb-92C2-25804820EDAC}">
                        <c15:formulaRef>
                          <c15:sqref>'[Grafico in Microsoft Word]Foglio1'!$A$2:$A$5</c15:sqref>
                        </c15:formulaRef>
                      </c:ext>
                    </c:extLst>
                    <c:strCache>
                      <c:ptCount val="3"/>
                      <c:pt idx="0">
                        <c:v>Infortuni non professionali</c:v>
                      </c:pt>
                      <c:pt idx="1">
                        <c:v>Infortuni professionali </c:v>
                      </c:pt>
                      <c:pt idx="2">
                        <c:v>Totali infortuni</c:v>
                      </c:pt>
                    </c:strCache>
                  </c:strRef>
                </c:cat>
                <c:val>
                  <c:numRef>
                    <c:extLst>
                      <c:ext uri="{02D57815-91ED-43cb-92C2-25804820EDAC}">
                        <c15:formulaRef>
                          <c15:sqref>'[Grafico in Microsoft Word]Foglio1'!$K$2:$K$5</c15:sqref>
                        </c15:formulaRef>
                      </c:ext>
                    </c:extLst>
                    <c:numCache>
                      <c:formatCode>General</c:formatCode>
                      <c:ptCount val="3"/>
                      <c:pt idx="0">
                        <c:v>557</c:v>
                      </c:pt>
                      <c:pt idx="1">
                        <c:v>115</c:v>
                      </c:pt>
                      <c:pt idx="2">
                        <c:v>672</c:v>
                      </c:pt>
                    </c:numCache>
                  </c:numRef>
                </c:val>
                <c:extLst>
                  <c:ext xmlns:c16="http://schemas.microsoft.com/office/drawing/2014/chart" uri="{C3380CC4-5D6E-409C-BE32-E72D297353CC}">
                    <c16:uniqueId val="{00000009-C8D1-4064-890B-E775C0C9524F}"/>
                  </c:ext>
                </c:extLst>
              </c15:ser>
            </c15:filteredBarSeries>
          </c:ext>
        </c:extLst>
      </c:barChart>
      <c:catAx>
        <c:axId val="5927774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crossAx val="596618600"/>
        <c:crosses val="autoZero"/>
        <c:auto val="1"/>
        <c:lblAlgn val="ctr"/>
        <c:lblOffset val="100"/>
        <c:noMultiLvlLbl val="0"/>
      </c:catAx>
      <c:valAx>
        <c:axId val="596618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crossAx val="5927774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CH"/>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52A27-FF2E-4255-8D87-02BE713DA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4123</Words>
  <Characters>23507</Characters>
  <Application>Microsoft Office Word</Application>
  <DocSecurity>0</DocSecurity>
  <Lines>195</Lines>
  <Paragraphs>55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2</cp:revision>
  <cp:lastPrinted>2021-03-31T08:01:00Z</cp:lastPrinted>
  <dcterms:created xsi:type="dcterms:W3CDTF">2021-03-31T08:57:00Z</dcterms:created>
  <dcterms:modified xsi:type="dcterms:W3CDTF">2021-03-31T08:57:00Z</dcterms:modified>
</cp:coreProperties>
</file>